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p>
      <w:pPr>
        <w:spacing w:line="1180" w:lineRule="exact"/>
        <w:ind w:left="215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2683891" cy="749807"/>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683891" cy="749807"/>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p>
      <w:pPr>
        <w:spacing w:line="460" w:lineRule="exact" w:before="0"/>
        <w:ind w:left="2084" w:right="3764" w:firstLine="0"/>
        <w:jc w:val="center"/>
        <w:rPr>
          <w:rFonts w:ascii="宋体" w:hAnsi="宋体" w:cs="宋体" w:eastAsia="宋体" w:hint="default"/>
          <w:sz w:val="36"/>
          <w:szCs w:val="36"/>
        </w:rPr>
      </w:pPr>
      <w:r>
        <w:rPr>
          <w:rFonts w:ascii="宋体" w:hAnsi="宋体" w:cs="宋体" w:eastAsia="宋体" w:hint="default"/>
          <w:b/>
          <w:bCs/>
          <w:sz w:val="36"/>
          <w:szCs w:val="36"/>
        </w:rPr>
        <w:t>东方财富信息股份有限公司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83" w:right="376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2084"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504" w:top="1580" w:bottom="700" w:left="16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pStyle w:val="Heading1"/>
        <w:spacing w:line="240" w:lineRule="auto"/>
        <w:ind w:left="2803" w:right="1114"/>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35" w:firstLine="561"/>
        <w:jc w:val="both"/>
        <w:rPr>
          <w:b w:val="0"/>
          <w:bCs w:val="0"/>
        </w:rPr>
      </w:pPr>
      <w:r>
        <w:rPr>
          <w:spacing w:val="2"/>
        </w:rPr>
        <w:t>公司董事会、监事会及董事、监事、高级管理人员保证年度报告内容的真</w:t>
      </w:r>
      <w:r>
        <w:rPr>
          <w:w w:val="99"/>
        </w:rPr>
        <w:t> </w:t>
      </w:r>
      <w:r>
        <w:rPr>
          <w:spacing w:val="-6"/>
        </w:rPr>
        <w:t>实、准确、完整，不存在虚假记载、误导性陈述或重大遗漏，并承担个别和连带</w:t>
      </w:r>
      <w:r>
        <w:rPr>
          <w:spacing w:val="-137"/>
        </w:rPr>
        <w:t> </w:t>
      </w:r>
      <w:r>
        <w:rPr>
          <w:spacing w:val="-137"/>
        </w:rPr>
      </w:r>
      <w:r>
        <w:rPr/>
        <w:t>的法律责任。</w:t>
      </w:r>
      <w:r>
        <w:rPr>
          <w:b w:val="0"/>
          <w:bCs w:val="0"/>
        </w:rPr>
      </w:r>
    </w:p>
    <w:p>
      <w:pPr>
        <w:pStyle w:val="Heading2"/>
        <w:spacing w:line="386" w:lineRule="auto" w:before="163"/>
        <w:ind w:right="1131" w:firstLine="561"/>
        <w:jc w:val="both"/>
        <w:rPr>
          <w:b w:val="0"/>
          <w:bCs w:val="0"/>
        </w:rPr>
      </w:pPr>
      <w:r>
        <w:rPr>
          <w:w w:val="95"/>
        </w:rPr>
        <w:t>公司负责人其实、主管会计工作负责人陆威及会计机构负责人</w:t>
      </w:r>
      <w:r>
        <w:rPr>
          <w:rFonts w:ascii="Times New Roman" w:hAnsi="Times New Roman" w:cs="Times New Roman" w:eastAsia="Times New Roman" w:hint="default"/>
          <w:w w:val="95"/>
        </w:rPr>
        <w:t>(</w:t>
      </w:r>
      <w:r>
        <w:rPr>
          <w:w w:val="95"/>
        </w:rPr>
        <w:t>会计主管人</w:t>
      </w:r>
      <w:r>
        <w:rPr>
          <w:w w:val="99"/>
        </w:rPr>
        <w:t> </w:t>
      </w:r>
      <w:r>
        <w:rPr/>
        <w:t>员</w:t>
      </w:r>
      <w:r>
        <w:rPr>
          <w:rFonts w:ascii="Times New Roman" w:hAnsi="Times New Roman" w:cs="Times New Roman" w:eastAsia="Times New Roman" w:hint="default"/>
        </w:rPr>
        <w:t>)</w:t>
      </w:r>
      <w:r>
        <w:rPr/>
        <w:t>叶露声明：保证年度报告中财务报告的真实、准确、完整。</w:t>
      </w:r>
      <w:r>
        <w:rPr>
          <w:b w:val="0"/>
          <w:bCs w:val="0"/>
        </w:rPr>
      </w:r>
    </w:p>
    <w:p>
      <w:pPr>
        <w:pStyle w:val="Heading2"/>
        <w:spacing w:line="472" w:lineRule="auto" w:before="148"/>
        <w:ind w:left="714" w:right="1114"/>
        <w:jc w:val="left"/>
        <w:rPr>
          <w:b w:val="0"/>
          <w:bCs w:val="0"/>
        </w:rPr>
      </w:pPr>
      <w:r>
        <w:rPr/>
        <w:t>所有董事均已出席了审议本报告的董事会会议。</w:t>
      </w:r>
      <w:r>
        <w:rPr>
          <w:w w:val="99"/>
        </w:rPr>
        <w:t> </w:t>
      </w:r>
      <w:r>
        <w:rPr>
          <w:spacing w:val="7"/>
        </w:rPr>
        <w:t>公司在经营管理中可能面临的风险与对策举措已在本报告中第四节</w:t>
      </w:r>
      <w:r>
        <w:rPr>
          <w:rFonts w:ascii="Times New Roman" w:hAnsi="Times New Roman" w:cs="Times New Roman" w:eastAsia="Times New Roman" w:hint="default"/>
          <w:spacing w:val="7"/>
        </w:rPr>
        <w:t>“</w:t>
      </w:r>
      <w:r>
        <w:rPr>
          <w:spacing w:val="7"/>
        </w:rPr>
        <w:t>经营</w:t>
      </w:r>
      <w:r>
        <w:rPr>
          <w:b w:val="0"/>
          <w:bCs w:val="0"/>
        </w:rPr>
      </w:r>
    </w:p>
    <w:p>
      <w:pPr>
        <w:pStyle w:val="Heading2"/>
        <w:spacing w:line="323" w:lineRule="exact"/>
        <w:ind w:right="0"/>
        <w:jc w:val="left"/>
        <w:rPr>
          <w:b w:val="0"/>
          <w:bCs w:val="0"/>
        </w:rPr>
      </w:pPr>
      <w:r>
        <w:rPr/>
        <w:t>情况讨论与分析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九、公司未来发展的展望</w:t>
      </w:r>
      <w:r>
        <w:rPr>
          <w:rFonts w:ascii="Times New Roman" w:hAnsi="Times New Roman" w:cs="Times New Roman" w:eastAsia="Times New Roman" w:hint="default"/>
        </w:rPr>
        <w:t>”</w:t>
      </w:r>
      <w:r>
        <w:rPr/>
        <w:t>部分予以描述。敬请广大投资者</w:t>
      </w:r>
      <w:r>
        <w:rPr>
          <w:b w:val="0"/>
          <w:bCs w:val="0"/>
        </w:rPr>
      </w:r>
    </w:p>
    <w:p>
      <w:pPr>
        <w:pStyle w:val="Heading2"/>
        <w:spacing w:line="475" w:lineRule="auto" w:before="237"/>
        <w:ind w:left="714" w:right="1133" w:hanging="562"/>
        <w:jc w:val="left"/>
        <w:rPr>
          <w:b w:val="0"/>
          <w:bCs w:val="0"/>
        </w:rPr>
      </w:pPr>
      <w:r>
        <w:rPr/>
        <w:t>关注，并注意投资风险。</w:t>
      </w:r>
      <w:r>
        <w:rPr>
          <w:w w:val="99"/>
        </w:rPr>
        <w:t> </w:t>
      </w:r>
      <w:r>
        <w:rPr>
          <w:spacing w:val="2"/>
        </w:rPr>
        <w:t>公司经本次董事会审议通过的利润分配预案为：以未来实施权益分派股权</w:t>
      </w:r>
      <w:r>
        <w:rPr>
          <w:b w:val="0"/>
          <w:bCs w:val="0"/>
          <w:spacing w:val="2"/>
        </w:rPr>
      </w:r>
    </w:p>
    <w:p>
      <w:pPr>
        <w:pStyle w:val="Heading2"/>
        <w:spacing w:line="371" w:lineRule="exact"/>
        <w:ind w:right="0"/>
        <w:jc w:val="left"/>
        <w:rPr>
          <w:b w:val="0"/>
          <w:bCs w:val="0"/>
        </w:rPr>
      </w:pPr>
      <w:r>
        <w:rPr>
          <w:w w:val="99"/>
        </w:rPr>
        <w:t>登记</w:t>
      </w:r>
      <w:r>
        <w:rPr>
          <w:spacing w:val="2"/>
          <w:w w:val="99"/>
        </w:rPr>
        <w:t>日</w:t>
      </w:r>
      <w:r>
        <w:rPr>
          <w:w w:val="99"/>
        </w:rPr>
        <w:t>总股本为基数，</w:t>
      </w:r>
      <w:r>
        <w:rPr>
          <w:spacing w:val="2"/>
          <w:w w:val="99"/>
        </w:rPr>
        <w:t>向</w:t>
      </w:r>
      <w:r>
        <w:rPr>
          <w:w w:val="99"/>
        </w:rPr>
        <w:t>全体股东每</w:t>
      </w:r>
      <w:r>
        <w:rPr>
          <w:spacing w:val="-66"/>
        </w:rPr>
        <w:t> </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6"/>
        </w:rPr>
        <w:t> </w:t>
      </w:r>
      <w:r>
        <w:rPr>
          <w:w w:val="99"/>
        </w:rPr>
        <w:t>股派发现金红利</w:t>
      </w:r>
      <w:r>
        <w:rPr>
          <w:spacing w:val="-67"/>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4"/>
        </w:rPr>
        <w:t> </w:t>
      </w:r>
      <w:r>
        <w:rPr>
          <w:w w:val="99"/>
        </w:rPr>
        <w:t>元（含</w:t>
      </w:r>
      <w:r>
        <w:rPr>
          <w:spacing w:val="2"/>
          <w:w w:val="99"/>
        </w:rPr>
        <w:t>税</w:t>
      </w:r>
      <w:r>
        <w:rPr>
          <w:spacing w:val="-142"/>
          <w:w w:val="99"/>
        </w:rPr>
        <w:t>）</w:t>
      </w:r>
      <w:r>
        <w:rPr>
          <w:w w:val="99"/>
        </w:rPr>
        <w:t>，送红</w:t>
      </w:r>
      <w:r>
        <w:rPr>
          <w:b w:val="0"/>
          <w:bCs w:val="0"/>
        </w:rPr>
      </w:r>
    </w:p>
    <w:p>
      <w:pPr>
        <w:pStyle w:val="Heading2"/>
        <w:spacing w:line="240" w:lineRule="auto" w:before="236"/>
        <w:ind w:right="1114"/>
        <w:jc w:val="left"/>
        <w:rPr>
          <w:b w:val="0"/>
          <w:bCs w:val="0"/>
        </w:rPr>
      </w:pPr>
      <w:r>
        <w:rPr>
          <w:w w:val="99"/>
        </w:rPr>
        <w:t>股</w:t>
      </w:r>
      <w:r>
        <w:rPr>
          <w:spacing w:val="-70"/>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99"/>
        </w:rPr>
        <w:t>股（</w:t>
      </w:r>
      <w:r>
        <w:rPr>
          <w:spacing w:val="2"/>
          <w:w w:val="99"/>
        </w:rPr>
        <w:t>含</w:t>
      </w:r>
      <w:r>
        <w:rPr>
          <w:w w:val="99"/>
        </w:rPr>
        <w:t>税</w:t>
      </w:r>
      <w:r>
        <w:rPr>
          <w:spacing w:val="-142"/>
          <w:w w:val="99"/>
        </w:rPr>
        <w:t>）</w:t>
      </w:r>
      <w:r>
        <w:rPr>
          <w:w w:val="99"/>
        </w:rPr>
        <w:t>，以资本</w:t>
      </w:r>
      <w:r>
        <w:rPr>
          <w:spacing w:val="2"/>
          <w:w w:val="99"/>
        </w:rPr>
        <w:t>公</w:t>
      </w:r>
      <w:r>
        <w:rPr>
          <w:w w:val="99"/>
        </w:rPr>
        <w:t>积金向全体股</w:t>
      </w:r>
      <w:r>
        <w:rPr>
          <w:spacing w:val="2"/>
          <w:w w:val="99"/>
        </w:rPr>
        <w:t>东</w:t>
      </w:r>
      <w:r>
        <w:rPr>
          <w:w w:val="99"/>
        </w:rPr>
        <w:t>每</w:t>
      </w:r>
      <w:r>
        <w:rPr>
          <w:spacing w:val="-71"/>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99"/>
        </w:rPr>
        <w:t>股转增</w:t>
      </w:r>
      <w:r>
        <w:rPr>
          <w:spacing w:val="-7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rPr>
        <w:t> </w:t>
      </w:r>
      <w:r>
        <w:rPr>
          <w:w w:val="99"/>
        </w:rPr>
        <w:t>股。</w:t>
      </w:r>
      <w:r>
        <w:rPr>
          <w:b w:val="0"/>
          <w:bCs w:val="0"/>
        </w:rPr>
      </w:r>
    </w:p>
    <w:p>
      <w:pPr>
        <w:spacing w:after="0" w:line="240" w:lineRule="auto"/>
        <w:jc w:val="left"/>
        <w:sectPr>
          <w:headerReference w:type="default" r:id="rId7"/>
          <w:footerReference w:type="default" r:id="rId8"/>
          <w:pgSz w:w="11910" w:h="16840"/>
          <w:pgMar w:header="852" w:footer="979" w:top="1260" w:bottom="1160" w:left="98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line="460" w:lineRule="exact" w:before="0"/>
        <w:ind w:left="3749" w:right="472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410"/>
            <w:ind w:right="0"/>
            <w:jc w:val="left"/>
            <w:rPr>
              <w:rFonts w:ascii="Times New Roman" w:hAnsi="Times New Roman" w:cs="Times New Roman" w:eastAsia="Times New Roman" w:hint="default"/>
              <w:b w:val="0"/>
              <w:bCs w:val="0"/>
            </w:rPr>
          </w:pPr>
          <w:hyperlink w:history="true" w:anchor="_bookmark1">
            <w:r>
              <w:rPr/>
              <w:t>第二节 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411"/>
            <w:ind w:right="0"/>
            <w:jc w:val="left"/>
            <w:rPr>
              <w:rFonts w:ascii="Times New Roman" w:hAnsi="Times New Roman" w:cs="Times New Roman" w:eastAsia="Times New Roman" w:hint="default"/>
              <w:b w:val="0"/>
              <w:bCs w:val="0"/>
            </w:rPr>
          </w:pPr>
          <w:hyperlink w:history="true" w:anchor="_bookmark2">
            <w:r>
              <w:rPr/>
              <w:t>第三节 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优先股相关情况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董事、监事、高级管理人员和员工情况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3" w:val="right" w:leader="dot"/>
            </w:tabs>
            <w:spacing w:line="240" w:lineRule="auto" w:before="411"/>
            <w:ind w:right="0"/>
            <w:jc w:val="left"/>
            <w:rPr>
              <w:rFonts w:ascii="Times New Roman" w:hAnsi="Times New Roman" w:cs="Times New Roman" w:eastAsia="Times New Roman" w:hint="default"/>
              <w:b w:val="0"/>
              <w:bCs w:val="0"/>
            </w:rPr>
          </w:pPr>
          <w:hyperlink w:history="true" w:anchor="_bookmark8">
            <w:r>
              <w:rPr/>
              <w:t>第九节 公司治理</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 公司债券相关情况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before="410"/>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162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52" w:footer="979" w:top="1320" w:bottom="1160" w:left="980" w:right="0"/>
        </w:sectPr>
      </w:pPr>
    </w:p>
    <w:p>
      <w:pPr>
        <w:spacing w:before="685"/>
        <w:ind w:left="3749" w:right="472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2943"/>
        <w:gridCol w:w="569"/>
        <w:gridCol w:w="605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东方财富、公司、本公司</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东方财富网</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网址为</w:t>
            </w:r>
            <w:r>
              <w:rPr>
                <w:rFonts w:ascii="Times New Roman" w:hAnsi="Times New Roman" w:cs="Times New Roman" w:eastAsia="Times New Roman" w:hint="default"/>
                <w:sz w:val="18"/>
                <w:szCs w:val="18"/>
              </w:rPr>
              <w:t>“</w:t>
            </w:r>
            <w:hyperlink r:id="rId9">
              <w:r>
                <w:rPr>
                  <w:rFonts w:ascii="Times New Roman" w:hAnsi="Times New Roman" w:cs="Times New Roman" w:eastAsia="Times New Roman" w:hint="default"/>
                  <w:sz w:val="18"/>
                  <w:szCs w:val="18"/>
                </w:rPr>
                <w:t>www.eastmoney.com</w:t>
              </w:r>
            </w:hyperlink>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hyperlink r:id="rId10">
              <w:r>
                <w:rPr>
                  <w:rFonts w:ascii="Times New Roman" w:hAnsi="Times New Roman" w:cs="Times New Roman" w:eastAsia="Times New Roman" w:hint="default"/>
                  <w:sz w:val="18"/>
                  <w:szCs w:val="18"/>
                </w:rPr>
                <w:t>www.18.com.cn</w:t>
              </w:r>
            </w:hyperlink>
            <w:r>
              <w:rPr>
                <w:rFonts w:ascii="Times New Roman" w:hAnsi="Times New Roman" w:cs="Times New Roman" w:eastAsia="Times New Roman" w:hint="default"/>
                <w:sz w:val="18"/>
                <w:szCs w:val="18"/>
              </w:rPr>
              <w:t>”</w:t>
            </w:r>
            <w:r>
              <w:rPr>
                <w:rFonts w:ascii="宋体" w:hAnsi="宋体" w:cs="宋体" w:eastAsia="宋体" w:hint="default"/>
                <w:sz w:val="18"/>
                <w:szCs w:val="18"/>
              </w:rPr>
              <w:t>的网站</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天天基金网</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网址为</w:t>
            </w:r>
            <w:r>
              <w:rPr>
                <w:rFonts w:ascii="Times New Roman" w:hAnsi="Times New Roman" w:cs="Times New Roman" w:eastAsia="Times New Roman" w:hint="default"/>
                <w:sz w:val="18"/>
                <w:szCs w:val="18"/>
              </w:rPr>
              <w:t>“</w:t>
            </w:r>
            <w:hyperlink r:id="rId11">
              <w:r>
                <w:rPr>
                  <w:rFonts w:ascii="Times New Roman" w:hAnsi="Times New Roman" w:cs="Times New Roman" w:eastAsia="Times New Roman" w:hint="default"/>
                  <w:sz w:val="18"/>
                  <w:szCs w:val="18"/>
                </w:rPr>
                <w:t>www.1234567.com.cn</w:t>
              </w:r>
            </w:hyperlink>
            <w:r>
              <w:rPr>
                <w:rFonts w:ascii="Times New Roman" w:hAnsi="Times New Roman" w:cs="Times New Roman" w:eastAsia="Times New Roman" w:hint="default"/>
                <w:sz w:val="18"/>
                <w:szCs w:val="18"/>
              </w:rPr>
              <w:t>”</w:t>
            </w:r>
            <w:r>
              <w:rPr>
                <w:rFonts w:ascii="宋体" w:hAnsi="宋体" w:cs="宋体" w:eastAsia="宋体" w:hint="default"/>
                <w:sz w:val="18"/>
                <w:szCs w:val="18"/>
              </w:rPr>
              <w:t>的网站</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东方财富证券</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西藏东方财富证券股份有限公司（原名：西藏同信证券股份有限公司，简称 “同信证券”）</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天天基金</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东财基金</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西藏东财基金管理有限公司</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东财研究所</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置业公司</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上海东方财富置业有限公司</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扬州东财</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扬州东方财富金融信息服务有限公司</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微兆科技</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上海微兆信息科技有限公司</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东方财富期货</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上海东方财富期货有限公司（原名：同信久恒期货有限责任公司）</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东财国际证券</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东方财富国际证券有限公司</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小额贷款公司</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上海徐汇东方财富小额贷款有限公司</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宇通集团</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郑州宇通集团有限公司</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漫道金服</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上海漫道金融信息服务股份有限公司</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宝付科技</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宝付网络科技（上海）有限公司</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中证信用云</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中证信用云科技（深圳）股份有限公司</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西藏银行</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西藏银行股份有限公司</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大公国际</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大公国际资信评估有限公司</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东方财富信息股份有限公司股东大会</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东方财富信息股份有限公司的董事</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公司监事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东方财富信息股份有限公司的监事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东财转债、可转债</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东方财富信息股份有限公司可转换公司债券</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bl>
    <w:p>
      <w:pPr>
        <w:spacing w:after="0" w:line="240" w:lineRule="auto"/>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8"/>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944"/>
        <w:gridCol w:w="568"/>
        <w:gridCol w:w="6059"/>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《股票期权激励计划》</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年股票期权激励计划（</w:t>
            </w:r>
            <w:r>
              <w:rPr>
                <w:rFonts w:ascii="宋体" w:hAnsi="宋体" w:cs="宋体" w:eastAsia="宋体" w:hint="default"/>
                <w:spacing w:val="-3"/>
                <w:sz w:val="18"/>
                <w:szCs w:val="18"/>
              </w:rPr>
              <w:t>草</w:t>
            </w: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《募集说明书》</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《东方财富信息股份有限公司公开发行可转换公司债券募集说明书》</w:t>
            </w:r>
          </w:p>
        </w:tc>
      </w:tr>
      <w:tr>
        <w:trPr>
          <w:trHeight w:val="102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CNNIC</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5"/>
              <w:jc w:val="right"/>
              <w:rPr>
                <w:rFonts w:ascii="宋体" w:hAnsi="宋体" w:cs="宋体" w:eastAsia="宋体" w:hint="default"/>
                <w:sz w:val="18"/>
                <w:szCs w:val="18"/>
              </w:rPr>
            </w:pPr>
            <w:r>
              <w:rPr>
                <w:rFonts w:ascii="宋体" w:hAnsi="宋体" w:cs="宋体" w:eastAsia="宋体" w:hint="default"/>
                <w:sz w:val="18"/>
                <w:szCs w:val="18"/>
              </w:rPr>
              <w:t>指</w:t>
            </w:r>
          </w:p>
        </w:tc>
        <w:tc>
          <w:tcPr>
            <w:tcW w:w="60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52"/>
              <w:jc w:val="left"/>
              <w:rPr>
                <w:rFonts w:ascii="宋体" w:hAnsi="宋体" w:cs="宋体" w:eastAsia="宋体" w:hint="default"/>
                <w:sz w:val="18"/>
                <w:szCs w:val="18"/>
              </w:rPr>
            </w:pPr>
            <w:r>
              <w:rPr>
                <w:rFonts w:ascii="宋体" w:hAnsi="宋体" w:cs="宋体" w:eastAsia="宋体" w:hint="default"/>
                <w:sz w:val="18"/>
                <w:szCs w:val="18"/>
              </w:rPr>
              <w:t>中国互联网络信息中心（</w:t>
            </w:r>
            <w:r>
              <w:rPr>
                <w:rFonts w:ascii="Times New Roman" w:hAnsi="Times New Roman" w:cs="Times New Roman" w:eastAsia="Times New Roman" w:hint="default"/>
                <w:sz w:val="18"/>
                <w:szCs w:val="18"/>
              </w:rPr>
              <w:t>China Internet Network Information</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Center</w:t>
            </w:r>
            <w:r>
              <w:rPr>
                <w:rFonts w:ascii="宋体" w:hAnsi="宋体" w:cs="宋体" w:eastAsia="宋体" w:hint="default"/>
                <w:sz w:val="18"/>
                <w:szCs w:val="18"/>
              </w:rPr>
              <w:t>，简称 </w:t>
            </w:r>
            <w:r>
              <w:rPr>
                <w:rFonts w:ascii="Times New Roman" w:hAnsi="Times New Roman" w:cs="Times New Roman" w:eastAsia="Times New Roman" w:hint="default"/>
                <w:sz w:val="18"/>
                <w:szCs w:val="18"/>
              </w:rPr>
              <w:t>CNNIC</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日组建，现为中央网络安全和信息化委员会办公</w:t>
            </w:r>
            <w:r>
              <w:rPr>
                <w:rFonts w:ascii="宋体" w:hAnsi="宋体" w:cs="宋体" w:eastAsia="宋体" w:hint="default"/>
                <w:w w:val="99"/>
                <w:sz w:val="18"/>
                <w:szCs w:val="18"/>
              </w:rPr>
              <w:t> </w:t>
            </w:r>
            <w:r>
              <w:rPr>
                <w:rFonts w:ascii="宋体" w:hAnsi="宋体" w:cs="宋体" w:eastAsia="宋体" w:hint="default"/>
                <w:sz w:val="18"/>
                <w:szCs w:val="18"/>
              </w:rPr>
              <w:t>室直属事业单位，行使国家互联网络信息中心职责</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注：本报告中若出现总数与各分项数值之和尾数差异的情况，均属四舍五入原因所致。</w:t>
      </w:r>
    </w:p>
    <w:p>
      <w:pPr>
        <w:spacing w:after="0"/>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2" w:right="1114"/>
        <w:jc w:val="left"/>
        <w:rPr>
          <w:b w:val="0"/>
          <w:bCs w:val="0"/>
        </w:rPr>
      </w:pPr>
      <w:bookmarkStart w:name="_bookmark1" w:id="2"/>
      <w:bookmarkEnd w:id="2"/>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14"/>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512"/>
        <w:gridCol w:w="3119"/>
        <w:gridCol w:w="993"/>
        <w:gridCol w:w="1946"/>
      </w:tblGrid>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300059</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0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0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0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East Money Information</w:t>
            </w:r>
            <w:r>
              <w:rPr>
                <w:rFonts w:ascii="Times New Roman"/>
                <w:spacing w:val="-9"/>
                <w:sz w:val="18"/>
              </w:rPr>
              <w:t> </w:t>
            </w:r>
            <w:r>
              <w:rPr>
                <w:rFonts w:ascii="Times New Roman"/>
                <w:sz w:val="18"/>
              </w:rPr>
              <w:t>Co.,Ltd.</w:t>
            </w:r>
          </w:p>
        </w:tc>
      </w:tr>
      <w:tr>
        <w:trPr>
          <w:trHeight w:val="404"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0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EASTMONEY</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0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0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上海市嘉定区宝安公路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0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201801</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0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上海市徐汇区宛平南路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 </w:t>
            </w:r>
            <w:r>
              <w:rPr>
                <w:rFonts w:ascii="宋体" w:hAnsi="宋体" w:cs="宋体" w:eastAsia="宋体" w:hint="default"/>
                <w:sz w:val="18"/>
                <w:szCs w:val="18"/>
              </w:rPr>
              <w:t>号金座</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0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200030</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0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www.eastmoney.com</w:t>
              </w:r>
            </w:hyperlink>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0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2">
              <w:r>
                <w:rPr>
                  <w:rFonts w:ascii="Times New Roman"/>
                  <w:sz w:val="18"/>
                </w:rPr>
                <w:t>dongmi@eastmoney.com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14"/>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512"/>
        <w:gridCol w:w="3029"/>
        <w:gridCol w:w="3029"/>
      </w:tblGrid>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杨浩</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上海市徐汇区宛平南路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 </w:t>
            </w:r>
            <w:r>
              <w:rPr>
                <w:rFonts w:ascii="宋体" w:hAnsi="宋体" w:cs="宋体" w:eastAsia="宋体" w:hint="default"/>
                <w:sz w:val="18"/>
                <w:szCs w:val="18"/>
              </w:rPr>
              <w:t>号金座</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上海市徐汇区宛平南路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 </w:t>
            </w:r>
            <w:r>
              <w:rPr>
                <w:rFonts w:ascii="宋体" w:hAnsi="宋体" w:cs="宋体" w:eastAsia="宋体" w:hint="default"/>
                <w:sz w:val="18"/>
                <w:szCs w:val="18"/>
              </w:rPr>
              <w:t>号金座</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021-54660526</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021-54660526</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021-54660501</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021-54660501</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dongmi@eastmoney.com</w:t>
              </w:r>
            </w:hyperlink>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2">
              <w:r>
                <w:rPr>
                  <w:rFonts w:ascii="Times New Roman"/>
                  <w:sz w:val="18"/>
                </w:rPr>
                <w:t>dongmi@eastmoney.com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14"/>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512"/>
        <w:gridCol w:w="6056"/>
      </w:tblGrid>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6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6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6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line="240" w:lineRule="auto" w:before="1"/>
        <w:rPr>
          <w:rFonts w:ascii="宋体" w:hAnsi="宋体" w:cs="宋体" w:eastAsia="宋体" w:hint="default"/>
          <w:b/>
          <w:bCs/>
          <w:sz w:val="18"/>
          <w:szCs w:val="18"/>
        </w:rPr>
      </w:pPr>
    </w:p>
    <w:p>
      <w:pPr>
        <w:pStyle w:val="Heading3"/>
        <w:spacing w:line="240" w:lineRule="auto" w:before="26"/>
        <w:ind w:right="1114"/>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8"/>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512"/>
        <w:gridCol w:w="6056"/>
      </w:tblGrid>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姚辉、李新民</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234"/>
        <w:gridCol w:w="2696"/>
        <w:gridCol w:w="1416"/>
        <w:gridCol w:w="3221"/>
      </w:tblGrid>
      <w:tr>
        <w:trPr>
          <w:trHeight w:val="401"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3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6"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3"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7"/>
              <w:jc w:val="center"/>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孙雷、夏雨扬</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5"/>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14"/>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943"/>
        <w:gridCol w:w="1577"/>
        <w:gridCol w:w="1577"/>
        <w:gridCol w:w="1738"/>
        <w:gridCol w:w="1735"/>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3,123,446,007.42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2,546,785,181.27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2,351,818,010.17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958,695,412.88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636,901,644.02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713,768,803.87</w:t>
            </w: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5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947,158,427.47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615,551,716.48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595,123,299.84</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2,667,344,992.33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-6,159,926,185.78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-4,227,943,122.11</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0.1858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0.1240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0.1430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0.1858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0.1240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0.1430</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39,810,961,690.72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41,844,755,125.95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26,985,870,291.59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15,695,239,474.55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14,677,866,903.90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12,825,034,735.22</w:t>
            </w:r>
          </w:p>
        </w:tc>
      </w:tr>
    </w:tbl>
    <w:p>
      <w:pPr>
        <w:spacing w:line="314" w:lineRule="auto" w:before="49"/>
        <w:ind w:left="153" w:right="1213" w:firstLine="0"/>
        <w:jc w:val="left"/>
        <w:rPr>
          <w:rFonts w:ascii="宋体" w:hAnsi="宋体" w:cs="宋体" w:eastAsia="宋体" w:hint="default"/>
          <w:sz w:val="18"/>
          <w:szCs w:val="18"/>
        </w:rPr>
      </w:pPr>
      <w:r>
        <w:rPr>
          <w:rFonts w:ascii="宋体" w:hAnsi="宋体" w:cs="宋体" w:eastAsia="宋体" w:hint="default"/>
          <w:sz w:val="18"/>
          <w:szCs w:val="18"/>
        </w:rPr>
        <w:t>公司报告期末至年度报告披露日股本是否因发行新股、增发、配股、股权激励行权、回购等原因发生变化且影响所有者权 益金额</w:t>
      </w:r>
    </w:p>
    <w:p>
      <w:pPr>
        <w:spacing w:before="62"/>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4522"/>
        <w:gridCol w:w="5046"/>
      </w:tblGrid>
      <w:tr>
        <w:trPr>
          <w:trHeight w:val="401" w:hRule="exact"/>
        </w:trPr>
        <w:tc>
          <w:tcPr>
            <w:tcW w:w="4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0.1808</w:t>
            </w:r>
          </w:p>
        </w:tc>
      </w:tr>
    </w:tbl>
    <w:p>
      <w:pPr>
        <w:spacing w:line="240" w:lineRule="auto" w:before="4"/>
        <w:rPr>
          <w:rFonts w:ascii="宋体" w:hAnsi="宋体" w:cs="宋体" w:eastAsia="宋体" w:hint="default"/>
          <w:sz w:val="13"/>
          <w:szCs w:val="13"/>
        </w:rPr>
      </w:pPr>
    </w:p>
    <w:p>
      <w:pPr>
        <w:pStyle w:val="Heading3"/>
        <w:spacing w:line="240" w:lineRule="auto" w:before="26"/>
        <w:ind w:right="1114"/>
        <w:jc w:val="left"/>
        <w:rPr>
          <w:b w:val="0"/>
          <w:bCs w:val="0"/>
        </w:rPr>
      </w:pPr>
      <w:r>
        <w:rPr/>
        <w:t>六、分季度主要财务指标</w:t>
      </w:r>
      <w:r>
        <w:rPr>
          <w:b w:val="0"/>
          <w:bCs w:val="0"/>
        </w:rPr>
      </w:r>
    </w:p>
    <w:p>
      <w:pPr>
        <w:spacing w:line="240" w:lineRule="auto" w:before="6"/>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943"/>
        <w:gridCol w:w="1656"/>
        <w:gridCol w:w="1656"/>
        <w:gridCol w:w="1657"/>
        <w:gridCol w:w="1658"/>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822,919,465.40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9" w:right="0"/>
              <w:jc w:val="left"/>
              <w:rPr>
                <w:rFonts w:ascii="Times New Roman" w:hAnsi="Times New Roman" w:cs="Times New Roman" w:eastAsia="Times New Roman" w:hint="default"/>
                <w:sz w:val="18"/>
                <w:szCs w:val="18"/>
              </w:rPr>
            </w:pPr>
            <w:r>
              <w:rPr>
                <w:rFonts w:ascii="Times New Roman"/>
                <w:sz w:val="18"/>
              </w:rPr>
              <w:t>811,834,106.65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743,948,510.00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744,743,925.37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301,046,829.12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257,565,120.04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242,261,259.85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157,822,203.87</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320" w:bottom="1160" w:left="980" w:right="0"/>
        </w:sectPr>
      </w:pPr>
    </w:p>
    <w:p>
      <w:pPr>
        <w:spacing w:line="240" w:lineRule="auto" w:before="8"/>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943"/>
        <w:gridCol w:w="1656"/>
        <w:gridCol w:w="1656"/>
        <w:gridCol w:w="1657"/>
        <w:gridCol w:w="1658"/>
      </w:tblGrid>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291,639,883.24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258,803,984.40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240,925,219.74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155,789,340.09</w:t>
            </w:r>
            <w:r>
              <w:rPr>
                <w:rFonts w:ascii="Times New Roman"/>
                <w:sz w:val="18"/>
              </w:rPr>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2,434,310,647.07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498,309,291.93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-2,382,244,647.89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2,116,969,701.22</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19"/>
          <w:szCs w:val="19"/>
        </w:rPr>
      </w:pPr>
    </w:p>
    <w:p>
      <w:pPr>
        <w:pStyle w:val="Heading3"/>
        <w:spacing w:line="240" w:lineRule="auto"/>
        <w:ind w:right="1114"/>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2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5"/>
        <w:spacing w:line="240" w:lineRule="auto" w:before="0"/>
        <w:ind w:right="1114"/>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3"/>
        <w:spacing w:line="240" w:lineRule="auto"/>
        <w:ind w:right="1114"/>
        <w:jc w:val="left"/>
        <w:rPr>
          <w:b w:val="0"/>
          <w:bCs w:val="0"/>
        </w:rPr>
      </w:pPr>
      <w:r>
        <w:rPr/>
        <w:t>八、非经常性损益项目及金额</w:t>
      </w:r>
      <w:r>
        <w:rPr>
          <w:b w:val="0"/>
          <w:bCs w:val="0"/>
        </w:rPr>
      </w:r>
    </w:p>
    <w:p>
      <w:pPr>
        <w:spacing w:line="240" w:lineRule="auto" w:before="2"/>
        <w:rPr>
          <w:rFonts w:ascii="宋体" w:hAnsi="宋体" w:cs="宋体" w:eastAsia="宋体" w:hint="default"/>
          <w:b/>
          <w:bCs/>
          <w:sz w:val="9"/>
          <w:szCs w:val="9"/>
        </w:rPr>
      </w:pPr>
    </w:p>
    <w:p>
      <w:pPr>
        <w:spacing w:before="44"/>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931"/>
        <w:gridCol w:w="1558"/>
        <w:gridCol w:w="1561"/>
        <w:gridCol w:w="1558"/>
      </w:tblGrid>
      <w:tr>
        <w:trPr>
          <w:trHeight w:val="399" w:hRule="exact"/>
        </w:trPr>
        <w:tc>
          <w:tcPr>
            <w:tcW w:w="4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r>
      <w:tr>
        <w:trPr>
          <w:trHeight w:val="470" w:hRule="exact"/>
        </w:trPr>
        <w:tc>
          <w:tcPr>
            <w:tcW w:w="4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pacing w:val="-1"/>
                <w:sz w:val="18"/>
              </w:rPr>
              <w:t>-594,999.89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-474,355.67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pacing w:val="-1"/>
                <w:sz w:val="18"/>
              </w:rPr>
              <w:t>-5,676,968.32</w:t>
            </w:r>
          </w:p>
        </w:tc>
      </w:tr>
      <w:tr>
        <w:trPr>
          <w:trHeight w:val="734" w:hRule="exact"/>
        </w:trPr>
        <w:tc>
          <w:tcPr>
            <w:tcW w:w="4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4" w:right="34"/>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 一标准定额或定量享受的政府补助除外）</w:t>
            </w:r>
          </w:p>
        </w:tc>
        <w:tc>
          <w:tcPr>
            <w:tcW w:w="15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19,340,032.16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24,362,645.06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138,271,668.88</w:t>
            </w:r>
          </w:p>
        </w:tc>
      </w:tr>
      <w:tr>
        <w:trPr>
          <w:trHeight w:val="1375" w:hRule="exact"/>
        </w:trPr>
        <w:tc>
          <w:tcPr>
            <w:tcW w:w="4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4" w:right="34"/>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4,172,169.36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41,242.78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2,046,129.11</w:t>
            </w:r>
          </w:p>
        </w:tc>
      </w:tr>
      <w:tr>
        <w:trPr>
          <w:trHeight w:val="434" w:hRule="exact"/>
        </w:trPr>
        <w:tc>
          <w:tcPr>
            <w:tcW w:w="4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8"/>
                <w:szCs w:val="18"/>
              </w:rPr>
            </w:pPr>
            <w:r>
              <w:rPr>
                <w:rFonts w:ascii="Times New Roman"/>
                <w:spacing w:val="-1"/>
                <w:sz w:val="18"/>
              </w:rPr>
              <w:t>856,000.00</w:t>
            </w:r>
          </w:p>
        </w:tc>
      </w:tr>
      <w:tr>
        <w:trPr>
          <w:trHeight w:val="404" w:hRule="exact"/>
        </w:trPr>
        <w:tc>
          <w:tcPr>
            <w:tcW w:w="4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-9,766,175.03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2,841,781.00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-1,780,615.17</w:t>
            </w:r>
          </w:p>
        </w:tc>
      </w:tr>
      <w:tr>
        <w:trPr>
          <w:trHeight w:val="401" w:hRule="exact"/>
        </w:trPr>
        <w:tc>
          <w:tcPr>
            <w:tcW w:w="4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1,598,110.61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5,319,320.73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15,062,529.33</w:t>
            </w:r>
          </w:p>
        </w:tc>
      </w:tr>
      <w:tr>
        <w:trPr>
          <w:trHeight w:val="403" w:hRule="exact"/>
        </w:trPr>
        <w:tc>
          <w:tcPr>
            <w:tcW w:w="4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15,930.58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102,064.90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8,181.14</w:t>
            </w:r>
          </w:p>
        </w:tc>
      </w:tr>
      <w:tr>
        <w:trPr>
          <w:trHeight w:val="401" w:hRule="exact"/>
        </w:trPr>
        <w:tc>
          <w:tcPr>
            <w:tcW w:w="4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11,536,985.41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21,349,927.54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118,645,504.03</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非经常性损益》定义界定的非经常性损益项目，以及把</w:t>
      </w:r>
    </w:p>
    <w:p>
      <w:pPr>
        <w:spacing w:line="300" w:lineRule="auto" w:before="63"/>
        <w:ind w:left="153" w:right="1215" w:firstLine="0"/>
        <w:jc w:val="left"/>
        <w:rPr>
          <w:rFonts w:ascii="宋体" w:hAnsi="宋体" w:cs="宋体" w:eastAsia="宋体" w:hint="default"/>
          <w:sz w:val="18"/>
          <w:szCs w:val="18"/>
        </w:rPr>
      </w:pPr>
      <w:r>
        <w:rPr>
          <w:rFonts w:ascii="宋体" w:hAnsi="宋体" w:cs="宋体" w:eastAsia="宋体" w:hint="default"/>
          <w:sz w:val="18"/>
          <w:szCs w:val="18"/>
        </w:rPr>
        <w:t>《公开发行证券的公司信息披露解释性公告第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非经常性损益》中列举的非经常性损益项目界定为经常性损益的项 目，应说明原因</w:t>
      </w:r>
    </w:p>
    <w:p>
      <w:pPr>
        <w:spacing w:before="72"/>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3" w:right="121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非经常性损益》定义、列举的非经常性损 益项目界定为经常性损益的项目的情形。</w:t>
      </w:r>
    </w:p>
    <w:p>
      <w:pPr>
        <w:spacing w:after="0" w:line="300" w:lineRule="auto"/>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6" w:right="1114"/>
        <w:jc w:val="left"/>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14"/>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3" w:right="1114" w:firstLine="0"/>
        <w:jc w:val="left"/>
        <w:rPr>
          <w:rFonts w:ascii="宋体" w:hAnsi="宋体" w:cs="宋体" w:eastAsia="宋体" w:hint="default"/>
          <w:sz w:val="18"/>
          <w:szCs w:val="18"/>
        </w:rPr>
      </w:pPr>
      <w:r>
        <w:rPr>
          <w:rFonts w:ascii="宋体" w:hAnsi="宋体" w:cs="宋体" w:eastAsia="宋体" w:hint="default"/>
          <w:sz w:val="18"/>
          <w:szCs w:val="18"/>
        </w:rPr>
        <w:t>电子商务业</w:t>
      </w:r>
    </w:p>
    <w:p>
      <w:pPr>
        <w:pStyle w:val="BodyText"/>
        <w:spacing w:line="256" w:lineRule="auto" w:before="96"/>
        <w:ind w:left="573" w:right="1114"/>
        <w:jc w:val="left"/>
      </w:pPr>
      <w:r>
        <w:rPr>
          <w:rFonts w:ascii="Times New Roman" w:hAnsi="Times New Roman" w:cs="Times New Roman" w:eastAsia="Times New Roman" w:hint="default"/>
        </w:rPr>
        <w:t>1</w:t>
      </w:r>
      <w:r>
        <w:rPr/>
        <w:t>、公司所从事的主要业务情况</w:t>
      </w:r>
      <w:r>
        <w:rPr>
          <w:w w:val="100"/>
        </w:rPr>
        <w:t> </w:t>
      </w:r>
      <w:r>
        <w:rPr>
          <w:spacing w:val="-2"/>
        </w:rPr>
        <w:t>公司是国内领先的互联网金融服务平台综合运营商，通过以</w:t>
      </w:r>
      <w:r>
        <w:rPr>
          <w:rFonts w:ascii="Times New Roman" w:hAnsi="Times New Roman" w:cs="Times New Roman" w:eastAsia="Times New Roman" w:hint="default"/>
          <w:spacing w:val="-2"/>
        </w:rPr>
        <w:t>“</w:t>
      </w:r>
      <w:r>
        <w:rPr>
          <w:spacing w:val="-2"/>
        </w:rPr>
        <w:t>东方财富网</w:t>
      </w:r>
      <w:r>
        <w:rPr>
          <w:rFonts w:ascii="Times New Roman" w:hAnsi="Times New Roman" w:cs="Times New Roman" w:eastAsia="Times New Roman" w:hint="default"/>
          <w:spacing w:val="-2"/>
        </w:rPr>
        <w:t>”</w:t>
      </w:r>
      <w:r>
        <w:rPr>
          <w:spacing w:val="-2"/>
        </w:rPr>
        <w:t>为核心，集互联网财经门户</w:t>
      </w:r>
    </w:p>
    <w:p>
      <w:pPr>
        <w:pStyle w:val="BodyText"/>
        <w:spacing w:line="261" w:lineRule="auto" w:before="5"/>
        <w:ind w:right="1126"/>
        <w:jc w:val="both"/>
      </w:pPr>
      <w:r>
        <w:rPr>
          <w:spacing w:val="-2"/>
        </w:rPr>
        <w:t>平台、金融电子商务平台、金融终端平台及移动端平台等为一体的互联网金融服务大平台，向海量用户提</w:t>
      </w:r>
      <w:r>
        <w:rPr>
          <w:spacing w:val="-45"/>
        </w:rPr>
        <w:t> </w:t>
      </w:r>
      <w:r>
        <w:rPr>
          <w:spacing w:val="-45"/>
        </w:rPr>
      </w:r>
      <w:r>
        <w:rPr>
          <w:spacing w:val="-2"/>
        </w:rPr>
        <w:t>供基于互联网平台应用的产品和服务。公司运营的以</w:t>
      </w:r>
      <w:r>
        <w:rPr>
          <w:rFonts w:ascii="Times New Roman" w:hAnsi="Times New Roman" w:cs="Times New Roman" w:eastAsia="Times New Roman" w:hint="default"/>
          <w:spacing w:val="-2"/>
        </w:rPr>
        <w:t>“</w:t>
      </w:r>
      <w:r>
        <w:rPr>
          <w:spacing w:val="-2"/>
        </w:rPr>
        <w:t>东方财富网</w:t>
      </w:r>
      <w:r>
        <w:rPr>
          <w:rFonts w:ascii="Times New Roman" w:hAnsi="Times New Roman" w:cs="Times New Roman" w:eastAsia="Times New Roman" w:hint="default"/>
          <w:spacing w:val="-2"/>
        </w:rPr>
        <w:t>”</w:t>
      </w:r>
      <w:r>
        <w:rPr>
          <w:spacing w:val="-2"/>
        </w:rPr>
        <w:t>为核心的互联网金融服务大平台已成为</w:t>
      </w:r>
      <w:r>
        <w:rPr>
          <w:spacing w:val="-18"/>
        </w:rPr>
        <w:t> </w:t>
      </w:r>
      <w:r>
        <w:rPr>
          <w:spacing w:val="-18"/>
        </w:rPr>
      </w:r>
      <w:r>
        <w:rPr>
          <w:spacing w:val="-1"/>
        </w:rPr>
        <w:t>我国用户访问量最大、用户黏性最高的互联网金融服务平台之一，</w:t>
      </w:r>
      <w:r>
        <w:rPr>
          <w:rFonts w:ascii="Times New Roman" w:hAnsi="Times New Roman" w:cs="Times New Roman" w:eastAsia="Times New Roman" w:hint="default"/>
          <w:spacing w:val="-1"/>
        </w:rPr>
        <w:t>“</w:t>
      </w:r>
      <w:r>
        <w:rPr>
          <w:spacing w:val="-1"/>
        </w:rPr>
        <w:t>东方财富网</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天天基金网</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股吧</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7"/>
        </w:rPr>
        <w:t> </w:t>
      </w:r>
      <w:r>
        <w:rPr/>
        <w:t>等，在用户数量和用户黏性方面长期保持竞争优势，具有市场领先地位，形成了公司的核心竞争力。</w:t>
      </w:r>
    </w:p>
    <w:p>
      <w:pPr>
        <w:pStyle w:val="BodyText"/>
        <w:spacing w:line="273" w:lineRule="auto" w:before="18"/>
        <w:ind w:right="1126" w:firstLine="420"/>
        <w:jc w:val="both"/>
      </w:pPr>
      <w:r>
        <w:rPr>
          <w:spacing w:val="-2"/>
        </w:rPr>
        <w:t>报告期内，公司主要业务有证券业务、金融电子商务服务业务、金融数据服务业务及互联网广告服务</w:t>
      </w:r>
      <w:r>
        <w:rPr>
          <w:w w:val="100"/>
        </w:rPr>
        <w:t> </w:t>
      </w:r>
      <w:r>
        <w:rPr/>
        <w:t>业务等。</w:t>
      </w:r>
    </w:p>
    <w:p>
      <w:pPr>
        <w:pStyle w:val="BodyText"/>
        <w:spacing w:line="273" w:lineRule="auto" w:before="7"/>
        <w:ind w:left="573" w:right="0"/>
        <w:jc w:val="left"/>
      </w:pPr>
      <w:r>
        <w:rPr/>
        <w:t>主要业务的服务内容</w:t>
      </w:r>
      <w:r>
        <w:rPr>
          <w:w w:val="100"/>
        </w:rPr>
        <w:t> </w:t>
      </w:r>
      <w:r>
        <w:rPr/>
        <w:t>证券业务：东方财富证券拥有证券经纪、证券投资基金代销、证券自营、财务顾问、证券投资咨询、</w:t>
      </w:r>
    </w:p>
    <w:p>
      <w:pPr>
        <w:pStyle w:val="BodyText"/>
        <w:spacing w:line="273" w:lineRule="auto" w:before="7"/>
        <w:ind w:right="1114"/>
        <w:jc w:val="left"/>
      </w:pPr>
      <w:r>
        <w:rPr>
          <w:spacing w:val="-2"/>
        </w:rPr>
        <w:t>证券资产管理、融资融券、证券承销与保荐等证券业务全牌照，依托全国主要中心城市的分支机构，为海</w:t>
      </w:r>
      <w:r>
        <w:rPr>
          <w:spacing w:val="-50"/>
        </w:rPr>
        <w:t> </w:t>
      </w:r>
      <w:r>
        <w:rPr>
          <w:spacing w:val="-50"/>
        </w:rPr>
      </w:r>
      <w:r>
        <w:rPr/>
        <w:t>量用户提供证券服务。</w:t>
      </w:r>
    </w:p>
    <w:p>
      <w:pPr>
        <w:pStyle w:val="BodyText"/>
        <w:spacing w:line="256" w:lineRule="auto" w:before="7"/>
        <w:ind w:right="1128" w:firstLine="420"/>
        <w:jc w:val="both"/>
      </w:pPr>
      <w:r>
        <w:rPr>
          <w:spacing w:val="-4"/>
        </w:rPr>
        <w:t>金融电子商务服务业务：主要通过天天基金，为用户提供基金第三方销售服务。天天基金依托以</w:t>
      </w:r>
      <w:r>
        <w:rPr>
          <w:rFonts w:ascii="Times New Roman" w:hAnsi="Times New Roman" w:cs="Times New Roman" w:eastAsia="Times New Roman" w:hint="default"/>
          <w:spacing w:val="-4"/>
        </w:rPr>
        <w:t>“</w:t>
      </w:r>
      <w:r>
        <w:rPr>
          <w:spacing w:val="-4"/>
        </w:rPr>
        <w:t>东方</w:t>
      </w:r>
      <w:r>
        <w:rPr>
          <w:spacing w:val="-3"/>
          <w:w w:val="100"/>
        </w:rPr>
        <w:t> </w:t>
      </w:r>
      <w:r>
        <w:rPr/>
        <w:t>财富网</w:t>
      </w:r>
      <w:r>
        <w:rPr>
          <w:rFonts w:ascii="Times New Roman" w:hAnsi="Times New Roman" w:cs="Times New Roman" w:eastAsia="Times New Roman" w:hint="default"/>
        </w:rPr>
        <w:t>”</w:t>
      </w:r>
      <w:r>
        <w:rPr/>
        <w:t>为核心的互联网金融服务大平台积累的海量用户资源和良好的品牌形象，通过金融电子商务平台</w:t>
      </w:r>
      <w:r>
        <w:rPr>
          <w:spacing w:val="-18"/>
        </w:rPr>
        <w:t> </w:t>
      </w:r>
      <w:r>
        <w:rPr>
          <w:spacing w:val="-18"/>
        </w:rPr>
      </w:r>
      <w:r>
        <w:rPr/>
        <w:t>向用户提供一站式互联网自助基金交易服务。</w:t>
      </w:r>
    </w:p>
    <w:p>
      <w:pPr>
        <w:pStyle w:val="BodyText"/>
        <w:spacing w:line="264" w:lineRule="auto" w:before="22"/>
        <w:ind w:right="1126" w:firstLine="420"/>
        <w:jc w:val="both"/>
      </w:pPr>
      <w:r>
        <w:rPr>
          <w:spacing w:val="-2"/>
        </w:rPr>
        <w:t>金融数据服务业务：主要以金融数据终端服务平台为载体，向海量用户提供及时、海量的金融信息和</w:t>
      </w:r>
      <w:r>
        <w:rPr>
          <w:w w:val="100"/>
        </w:rPr>
        <w:t> </w:t>
      </w:r>
      <w:r>
        <w:rPr>
          <w:spacing w:val="-3"/>
        </w:rPr>
        <w:t>实时数据分析服务等。公司的金融数据服务已完整布局</w:t>
      </w:r>
      <w:r>
        <w:rPr>
          <w:rFonts w:ascii="Times New Roman" w:hAnsi="Times New Roman" w:cs="Times New Roman" w:eastAsia="Times New Roman" w:hint="default"/>
          <w:spacing w:val="-3"/>
        </w:rPr>
        <w:t>PC</w:t>
      </w:r>
      <w:r>
        <w:rPr>
          <w:spacing w:val="-3"/>
        </w:rPr>
        <w:t>端、移动端，面向个人投资者和机构投资者提供</w:t>
      </w:r>
      <w:r>
        <w:rPr>
          <w:spacing w:val="-42"/>
        </w:rPr>
        <w:t> </w:t>
      </w:r>
      <w:r>
        <w:rPr>
          <w:spacing w:val="-42"/>
        </w:rPr>
      </w:r>
      <w:r>
        <w:rPr/>
        <w:t>专业化服务。</w:t>
      </w:r>
    </w:p>
    <w:p>
      <w:pPr>
        <w:pStyle w:val="BodyText"/>
        <w:spacing w:line="256" w:lineRule="auto" w:before="16"/>
        <w:ind w:right="1126" w:firstLine="420"/>
        <w:jc w:val="both"/>
      </w:pPr>
      <w:r>
        <w:rPr>
          <w:spacing w:val="-2"/>
        </w:rPr>
        <w:t>互联网广告服务业务：主要为客户在</w:t>
      </w:r>
      <w:r>
        <w:rPr>
          <w:rFonts w:ascii="Times New Roman" w:hAnsi="Times New Roman" w:cs="Times New Roman" w:eastAsia="Times New Roman" w:hint="default"/>
          <w:spacing w:val="-2"/>
        </w:rPr>
        <w:t>“</w:t>
      </w:r>
      <w:r>
        <w:rPr>
          <w:spacing w:val="-2"/>
        </w:rPr>
        <w:t>东方财富网</w:t>
      </w:r>
      <w:r>
        <w:rPr>
          <w:rFonts w:ascii="Times New Roman" w:hAnsi="Times New Roman" w:cs="Times New Roman" w:eastAsia="Times New Roman" w:hint="default"/>
          <w:spacing w:val="-2"/>
        </w:rPr>
        <w:t>”</w:t>
      </w:r>
      <w:r>
        <w:rPr>
          <w:spacing w:val="-2"/>
        </w:rPr>
        <w:t>及各专业频道、互动社区等页面上通过文字链、图</w:t>
      </w:r>
      <w:r>
        <w:rPr>
          <w:w w:val="100"/>
        </w:rPr>
        <w:t> </w:t>
      </w:r>
      <w:r>
        <w:rPr/>
        <w:t>片、富媒体等表现形式，提供互联网广告服务。</w:t>
      </w:r>
    </w:p>
    <w:p>
      <w:pPr>
        <w:pStyle w:val="BodyText"/>
        <w:spacing w:line="240" w:lineRule="auto" w:before="178"/>
        <w:ind w:left="573" w:right="1114"/>
        <w:jc w:val="left"/>
      </w:pPr>
      <w:r>
        <w:rPr>
          <w:rFonts w:ascii="Times New Roman" w:hAnsi="Times New Roman" w:cs="Times New Roman" w:eastAsia="Times New Roman" w:hint="default"/>
        </w:rPr>
        <w:t>2</w:t>
      </w:r>
      <w:r>
        <w:rPr/>
        <w:t>、公司所处行业的宏观经济趋势</w:t>
      </w:r>
    </w:p>
    <w:p>
      <w:pPr>
        <w:pStyle w:val="BodyText"/>
        <w:spacing w:line="240" w:lineRule="auto" w:before="21"/>
        <w:ind w:left="573" w:right="1114"/>
        <w:jc w:val="left"/>
      </w:pPr>
      <w:r>
        <w:rPr/>
        <w:t>（</w:t>
      </w:r>
      <w:r>
        <w:rPr>
          <w:rFonts w:ascii="Times New Roman" w:hAnsi="Times New Roman" w:cs="Times New Roman" w:eastAsia="Times New Roman" w:hint="default"/>
        </w:rPr>
        <w:t>1</w:t>
      </w:r>
      <w:r>
        <w:rPr/>
        <w:t>）互联网金融监管力度加大，促进行业规范健康发展</w:t>
      </w:r>
    </w:p>
    <w:p>
      <w:pPr>
        <w:pStyle w:val="BodyText"/>
        <w:spacing w:line="266" w:lineRule="auto" w:before="21"/>
        <w:ind w:right="1114" w:firstLine="42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月，政府工作报告防范互联网金融风险、健全互联网金融监管、促进互联网金融健康发展提</w:t>
      </w:r>
      <w:r>
        <w:rPr>
          <w:w w:val="100"/>
        </w:rPr>
        <w:t> </w:t>
      </w:r>
      <w:r>
        <w:rPr/>
        <w:t>出了明确要求。</w:t>
      </w:r>
      <w:r>
        <w:rPr>
          <w:rFonts w:ascii="Times New Roman" w:hAnsi="Times New Roman" w:cs="Times New Roman" w:eastAsia="Times New Roman" w:hint="default"/>
        </w:rPr>
        <w:t>2019</w:t>
      </w:r>
      <w:r>
        <w:rPr/>
        <w:t>年中国人民银行工作会议指出，</w:t>
      </w:r>
      <w:r>
        <w:rPr>
          <w:rFonts w:ascii="Times New Roman" w:hAnsi="Times New Roman" w:cs="Times New Roman" w:eastAsia="Times New Roman" w:hint="default"/>
        </w:rPr>
        <w:t>2019</w:t>
      </w:r>
      <w:r>
        <w:rPr/>
        <w:t>年央行将继续推动实施防范化解重大风险攻坚</w:t>
      </w:r>
      <w:r>
        <w:rPr>
          <w:w w:val="100"/>
        </w:rPr>
        <w:t> </w:t>
      </w:r>
      <w:r>
        <w:rPr/>
        <w:t>战行动方案，推动出台金融控股公司监管办法，加快补齐金融监管短板，继续开展互联网金融风险专项</w:t>
      </w:r>
      <w:r>
        <w:rPr>
          <w:w w:val="100"/>
        </w:rPr>
        <w:t> </w:t>
      </w:r>
      <w:r>
        <w:rPr/>
        <w:t>整治工作。为促进互联网金融行业健康发展，监管机构陆续出台了一系列互联网金融政策文件，不断加</w:t>
      </w:r>
      <w:r>
        <w:rPr>
          <w:w w:val="100"/>
        </w:rPr>
        <w:t> </w:t>
      </w:r>
      <w:r>
        <w:rPr/>
        <w:t>大监管力度。随着行业监管规则和要求进一步明确，行业发展环境得到进一步净化，将进一步推动互联</w:t>
      </w:r>
      <w:r>
        <w:rPr>
          <w:w w:val="100"/>
        </w:rPr>
        <w:t> </w:t>
      </w:r>
      <w:r>
        <w:rPr/>
        <w:t>网金融行业规范健康发展。</w:t>
      </w:r>
    </w:p>
    <w:p>
      <w:pPr>
        <w:pStyle w:val="BodyText"/>
        <w:spacing w:line="256" w:lineRule="auto" w:before="14"/>
        <w:ind w:left="573" w:right="1114"/>
        <w:jc w:val="left"/>
      </w:pPr>
      <w:r>
        <w:rPr/>
        <w:t>（</w:t>
      </w:r>
      <w:r>
        <w:rPr>
          <w:rFonts w:ascii="Times New Roman" w:hAnsi="Times New Roman" w:cs="Times New Roman" w:eastAsia="Times New Roman" w:hint="default"/>
        </w:rPr>
        <w:t>2</w:t>
      </w:r>
      <w:r>
        <w:rPr/>
        <w:t>）用户规模持续扩大，进一步夯实互联网金融行业发展用户基础</w:t>
      </w:r>
      <w:r>
        <w:rPr>
          <w:w w:val="100"/>
        </w:rPr>
        <w:t> </w:t>
      </w:r>
      <w:r>
        <w:rPr>
          <w:spacing w:val="-2"/>
        </w:rPr>
        <w:t>根据中国互联网络信息中心（</w:t>
      </w:r>
      <w:r>
        <w:rPr>
          <w:rFonts w:ascii="Times New Roman" w:hAnsi="Times New Roman" w:cs="Times New Roman" w:eastAsia="Times New Roman" w:hint="default"/>
          <w:spacing w:val="-2"/>
        </w:rPr>
        <w:t>CNNIC</w:t>
      </w:r>
      <w:r>
        <w:rPr>
          <w:spacing w:val="-2"/>
        </w:rPr>
        <w:t>）发布的《第</w:t>
      </w:r>
      <w:r>
        <w:rPr>
          <w:rFonts w:ascii="Times New Roman" w:hAnsi="Times New Roman" w:cs="Times New Roman" w:eastAsia="Times New Roman" w:hint="default"/>
          <w:spacing w:val="-2"/>
        </w:rPr>
        <w:t>43</w:t>
      </w:r>
      <w:r>
        <w:rPr>
          <w:spacing w:val="-2"/>
        </w:rPr>
        <w:t>次中国互联网络发展状况统计报告》显示，截</w:t>
      </w:r>
    </w:p>
    <w:p>
      <w:pPr>
        <w:pStyle w:val="BodyText"/>
        <w:spacing w:line="256" w:lineRule="auto" w:before="5"/>
        <w:ind w:right="1114"/>
        <w:jc w:val="left"/>
      </w:pPr>
      <w:r>
        <w:rPr/>
        <w:t>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月，我国网民规模达</w:t>
      </w:r>
      <w:r>
        <w:rPr>
          <w:rFonts w:ascii="Times New Roman" w:hAnsi="Times New Roman" w:cs="Times New Roman" w:eastAsia="Times New Roman" w:hint="default"/>
        </w:rPr>
        <w:t>8.29</w:t>
      </w:r>
      <w:r>
        <w:rPr/>
        <w:t>亿，普及率达</w:t>
      </w:r>
      <w:r>
        <w:rPr>
          <w:rFonts w:ascii="Times New Roman" w:hAnsi="Times New Roman" w:cs="Times New Roman" w:eastAsia="Times New Roman" w:hint="default"/>
        </w:rPr>
        <w:t>59.6%</w:t>
      </w:r>
      <w:r>
        <w:rPr/>
        <w:t>，较</w:t>
      </w:r>
      <w:r>
        <w:rPr>
          <w:rFonts w:ascii="Times New Roman" w:hAnsi="Times New Roman" w:cs="Times New Roman" w:eastAsia="Times New Roman" w:hint="default"/>
        </w:rPr>
        <w:t>2017</w:t>
      </w:r>
      <w:r>
        <w:rPr/>
        <w:t>年底提升</w:t>
      </w:r>
      <w:r>
        <w:rPr>
          <w:rFonts w:ascii="Times New Roman" w:hAnsi="Times New Roman" w:cs="Times New Roman" w:eastAsia="Times New Roman" w:hint="default"/>
        </w:rPr>
        <w:t>3.8</w:t>
      </w:r>
      <w:r>
        <w:rPr/>
        <w:t>个百分点，全年新增网民</w:t>
      </w:r>
      <w:r>
        <w:rPr>
          <w:w w:val="100"/>
        </w:rPr>
        <w:t> </w:t>
      </w:r>
      <w:r>
        <w:rPr>
          <w:rFonts w:ascii="Times New Roman" w:hAnsi="Times New Roman" w:cs="Times New Roman" w:eastAsia="Times New Roman" w:hint="default"/>
          <w:spacing w:val="-2"/>
        </w:rPr>
        <w:t>5653</w:t>
      </w:r>
      <w:r>
        <w:rPr>
          <w:spacing w:val="-2"/>
        </w:rPr>
        <w:t>万。我国手机网民规模达</w:t>
      </w:r>
      <w:r>
        <w:rPr>
          <w:rFonts w:ascii="Times New Roman" w:hAnsi="Times New Roman" w:cs="Times New Roman" w:eastAsia="Times New Roman" w:hint="default"/>
          <w:spacing w:val="-2"/>
        </w:rPr>
        <w:t>8.17</w:t>
      </w:r>
      <w:r>
        <w:rPr>
          <w:spacing w:val="-2"/>
        </w:rPr>
        <w:t>亿，网民通过手机接入互联网的比例高达</w:t>
      </w:r>
      <w:r>
        <w:rPr>
          <w:rFonts w:ascii="Times New Roman" w:hAnsi="Times New Roman" w:cs="Times New Roman" w:eastAsia="Times New Roman" w:hint="default"/>
          <w:spacing w:val="-2"/>
        </w:rPr>
        <w:t>98.6%</w:t>
      </w:r>
      <w:r>
        <w:rPr>
          <w:spacing w:val="-2"/>
        </w:rPr>
        <w:t>。我国互联网理财使用</w:t>
      </w:r>
      <w:r>
        <w:rPr>
          <w:spacing w:val="-12"/>
        </w:rPr>
        <w:t> </w:t>
      </w:r>
      <w:r>
        <w:rPr>
          <w:spacing w:val="-12"/>
        </w:rPr>
      </w:r>
      <w:r>
        <w:rPr>
          <w:spacing w:val="-2"/>
        </w:rPr>
        <w:t>率由</w:t>
      </w:r>
      <w:r>
        <w:rPr>
          <w:rFonts w:ascii="Times New Roman" w:hAnsi="Times New Roman" w:cs="Times New Roman" w:eastAsia="Times New Roman" w:hint="default"/>
          <w:spacing w:val="-2"/>
        </w:rPr>
        <w:t>2017</w:t>
      </w:r>
      <w:r>
        <w:rPr>
          <w:spacing w:val="-2"/>
        </w:rPr>
        <w:t>年末的</w:t>
      </w:r>
      <w:r>
        <w:rPr>
          <w:rFonts w:ascii="Times New Roman" w:hAnsi="Times New Roman" w:cs="Times New Roman" w:eastAsia="Times New Roman" w:hint="default"/>
          <w:spacing w:val="-2"/>
        </w:rPr>
        <w:t>16.7%</w:t>
      </w:r>
      <w:r>
        <w:rPr>
          <w:spacing w:val="-2"/>
        </w:rPr>
        <w:t>提升至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月的</w:t>
      </w:r>
      <w:r>
        <w:rPr>
          <w:rFonts w:ascii="Times New Roman" w:hAnsi="Times New Roman" w:cs="Times New Roman" w:eastAsia="Times New Roman" w:hint="default"/>
          <w:spacing w:val="-2"/>
        </w:rPr>
        <w:t>18.30%</w:t>
      </w:r>
      <w:r>
        <w:rPr>
          <w:spacing w:val="-2"/>
        </w:rPr>
        <w:t>，我国购买互联网理财产品的网民规模达</w:t>
      </w:r>
      <w:r>
        <w:rPr>
          <w:rFonts w:ascii="Times New Roman" w:hAnsi="Times New Roman" w:cs="Times New Roman" w:eastAsia="Times New Roman" w:hint="default"/>
          <w:spacing w:val="-2"/>
        </w:rPr>
        <w:t>1.51</w:t>
      </w:r>
      <w:r>
        <w:rPr>
          <w:spacing w:val="-2"/>
        </w:rPr>
        <w:t>亿，同比</w:t>
      </w:r>
      <w:r>
        <w:rPr>
          <w:spacing w:val="1"/>
        </w:rPr>
        <w:t> </w:t>
      </w:r>
      <w:r>
        <w:rPr>
          <w:spacing w:val="1"/>
        </w:rPr>
      </w:r>
      <w:r>
        <w:rPr>
          <w:spacing w:val="-1"/>
        </w:rPr>
        <w:t>增长</w:t>
      </w:r>
      <w:r>
        <w:rPr>
          <w:rFonts w:ascii="Times New Roman" w:hAnsi="Times New Roman" w:cs="Times New Roman" w:eastAsia="Times New Roman" w:hint="default"/>
          <w:spacing w:val="-1"/>
        </w:rPr>
        <w:t>17.5</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2"/>
        </w:rPr>
        <w:t>%</w:t>
      </w:r>
      <w:r>
        <w:rPr>
          <w:spacing w:val="-2"/>
        </w:rPr>
        <w:t>，我国互联网理财用户规模持续扩大，网民理财习惯逐渐得到培养。</w:t>
      </w:r>
    </w:p>
    <w:p>
      <w:pPr>
        <w:spacing w:after="0" w:line="256" w:lineRule="auto"/>
        <w:jc w:val="left"/>
        <w:sectPr>
          <w:footerReference w:type="default" r:id="rId14"/>
          <w:pgSz w:w="11910" w:h="16840"/>
          <w:pgMar w:footer="979" w:header="852" w:top="1320" w:bottom="1160" w:left="980" w:right="0"/>
          <w:pgNumType w:start="9"/>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spacing w:line="5250" w:lineRule="exact"/>
        <w:ind w:left="57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4"/>
          <w:sz w:val="20"/>
          <w:szCs w:val="20"/>
        </w:rPr>
        <w:drawing>
          <wp:inline distT="0" distB="0" distL="0" distR="0">
            <wp:extent cx="5838889" cy="33337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5838889" cy="3333750"/>
                    </a:xfrm>
                    <a:prstGeom prst="rect">
                      <a:avLst/>
                    </a:prstGeom>
                  </pic:spPr>
                </pic:pic>
              </a:graphicData>
            </a:graphic>
          </wp:inline>
        </w:drawing>
      </w:r>
      <w:r>
        <w:rPr>
          <w:rFonts w:ascii="Times New Roman" w:hAnsi="Times New Roman" w:cs="Times New Roman" w:eastAsia="Times New Roman" w:hint="default"/>
          <w:position w:val="-10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p>
      <w:pPr>
        <w:spacing w:line="5217" w:lineRule="exact"/>
        <w:ind w:left="57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3"/>
          <w:sz w:val="20"/>
          <w:szCs w:val="20"/>
        </w:rPr>
        <w:drawing>
          <wp:inline distT="0" distB="0" distL="0" distR="0">
            <wp:extent cx="6025804" cy="331298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6" cstate="print"/>
                    <a:stretch>
                      <a:fillRect/>
                    </a:stretch>
                  </pic:blipFill>
                  <pic:spPr>
                    <a:xfrm>
                      <a:off x="0" y="0"/>
                      <a:ext cx="6025804" cy="3312985"/>
                    </a:xfrm>
                    <a:prstGeom prst="rect">
                      <a:avLst/>
                    </a:prstGeom>
                  </pic:spPr>
                </pic:pic>
              </a:graphicData>
            </a:graphic>
          </wp:inline>
        </w:drawing>
      </w:r>
      <w:r>
        <w:rPr>
          <w:rFonts w:ascii="Times New Roman" w:hAnsi="Times New Roman" w:cs="Times New Roman" w:eastAsia="Times New Roman" w:hint="default"/>
          <w:position w:val="-103"/>
          <w:sz w:val="20"/>
          <w:szCs w:val="20"/>
        </w:rPr>
      </w:r>
    </w:p>
    <w:p>
      <w:pPr>
        <w:spacing w:after="0" w:line="5217" w:lineRule="exact"/>
        <w:rPr>
          <w:rFonts w:ascii="Times New Roman" w:hAnsi="Times New Roman" w:cs="Times New Roman" w:eastAsia="Times New Roman" w:hint="default"/>
          <w:sz w:val="20"/>
          <w:szCs w:val="20"/>
        </w:rPr>
        <w:sectPr>
          <w:pgSz w:w="11910" w:h="16840"/>
          <w:pgMar w:header="852" w:footer="979" w:top="1320" w:bottom="1160" w:left="980" w:right="0"/>
        </w:sectPr>
      </w:pPr>
    </w:p>
    <w:p>
      <w:pPr>
        <w:spacing w:line="240" w:lineRule="auto" w:before="6"/>
        <w:rPr>
          <w:rFonts w:ascii="Times New Roman" w:hAnsi="Times New Roman" w:cs="Times New Roman" w:eastAsia="Times New Roman" w:hint="default"/>
          <w:sz w:val="19"/>
          <w:szCs w:val="19"/>
        </w:rPr>
      </w:pPr>
    </w:p>
    <w:p>
      <w:pPr>
        <w:spacing w:line="5700" w:lineRule="exact"/>
        <w:ind w:left="57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3"/>
          <w:sz w:val="20"/>
          <w:szCs w:val="20"/>
        </w:rPr>
        <w:drawing>
          <wp:inline distT="0" distB="0" distL="0" distR="0">
            <wp:extent cx="5803254" cy="361950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7" cstate="print"/>
                    <a:stretch>
                      <a:fillRect/>
                    </a:stretch>
                  </pic:blipFill>
                  <pic:spPr>
                    <a:xfrm>
                      <a:off x="0" y="0"/>
                      <a:ext cx="5803254" cy="3619500"/>
                    </a:xfrm>
                    <a:prstGeom prst="rect">
                      <a:avLst/>
                    </a:prstGeom>
                  </pic:spPr>
                </pic:pic>
              </a:graphicData>
            </a:graphic>
          </wp:inline>
        </w:drawing>
      </w:r>
      <w:r>
        <w:rPr>
          <w:rFonts w:ascii="Times New Roman" w:hAnsi="Times New Roman" w:cs="Times New Roman" w:eastAsia="Times New Roman" w:hint="default"/>
          <w:position w:val="-113"/>
          <w:sz w:val="20"/>
          <w:szCs w:val="20"/>
        </w:rPr>
      </w:r>
    </w:p>
    <w:p>
      <w:pPr>
        <w:spacing w:line="240" w:lineRule="auto" w:before="5"/>
        <w:rPr>
          <w:rFonts w:ascii="Times New Roman" w:hAnsi="Times New Roman" w:cs="Times New Roman" w:eastAsia="Times New Roman" w:hint="default"/>
          <w:sz w:val="16"/>
          <w:szCs w:val="16"/>
        </w:rPr>
      </w:pPr>
    </w:p>
    <w:p>
      <w:pPr>
        <w:pStyle w:val="BodyText"/>
        <w:spacing w:line="273" w:lineRule="auto" w:before="36"/>
        <w:ind w:right="1313" w:firstLine="420"/>
        <w:jc w:val="both"/>
      </w:pPr>
      <w:r>
        <w:rPr>
          <w:spacing w:val="-2"/>
        </w:rPr>
        <w:t>我国互联网基础设施建设不断优化升级，提速降费政策稳步实施，推动移动互联网接入流量显著增</w:t>
      </w:r>
      <w:r>
        <w:rPr>
          <w:w w:val="100"/>
        </w:rPr>
        <w:t> </w:t>
      </w:r>
      <w:r>
        <w:rPr>
          <w:spacing w:val="-2"/>
        </w:rPr>
        <w:t>长，进一步扩大了网络信息服务网络覆盖范围，网民上网速度更快。随着移动互联网场景不断丰富，手</w:t>
      </w:r>
      <w:r>
        <w:rPr>
          <w:spacing w:val="-21"/>
        </w:rPr>
        <w:t> </w:t>
      </w:r>
      <w:r>
        <w:rPr>
          <w:spacing w:val="-21"/>
        </w:rPr>
      </w:r>
      <w:r>
        <w:rPr>
          <w:spacing w:val="-2"/>
        </w:rPr>
        <w:t>机网民的信息安全环境进一步改善，用户体验得到持续提升，进一步促进了移动互联网用户规模的持续</w:t>
      </w:r>
      <w:r>
        <w:rPr>
          <w:spacing w:val="-21"/>
        </w:rPr>
        <w:t> </w:t>
      </w:r>
      <w:r>
        <w:rPr>
          <w:spacing w:val="-21"/>
        </w:rPr>
      </w:r>
      <w:r>
        <w:rPr/>
        <w:t>扩大，夯实了互联网金融行业发展用户基础。</w:t>
      </w:r>
    </w:p>
    <w:p>
      <w:pPr>
        <w:pStyle w:val="BodyText"/>
        <w:spacing w:line="240" w:lineRule="auto" w:before="7"/>
        <w:ind w:left="573" w:right="1114"/>
        <w:jc w:val="left"/>
      </w:pPr>
      <w:r>
        <w:rPr/>
        <w:t>（</w:t>
      </w:r>
      <w:r>
        <w:rPr>
          <w:rFonts w:ascii="Times New Roman" w:hAnsi="Times New Roman" w:cs="Times New Roman" w:eastAsia="Times New Roman" w:hint="default"/>
        </w:rPr>
        <w:t>3</w:t>
      </w:r>
      <w:r>
        <w:rPr/>
        <w:t>）投资需求和投资者规模不断增长，积极促进互联网金融行业未来可持续健康发展</w:t>
      </w:r>
    </w:p>
    <w:p>
      <w:pPr>
        <w:pStyle w:val="BodyText"/>
        <w:spacing w:line="256" w:lineRule="auto" w:before="21"/>
        <w:ind w:right="1114" w:firstLine="420"/>
        <w:jc w:val="left"/>
      </w:pPr>
      <w:r>
        <w:rPr>
          <w:rFonts w:ascii="Times New Roman" w:hAnsi="Times New Roman" w:cs="Times New Roman" w:eastAsia="Times New Roman" w:hint="default"/>
          <w:spacing w:val="-2"/>
        </w:rPr>
        <w:t>2018</w:t>
      </w:r>
      <w:r>
        <w:rPr>
          <w:spacing w:val="-2"/>
        </w:rPr>
        <w:t>年全国居民人均可支配收入为</w:t>
      </w:r>
      <w:r>
        <w:rPr>
          <w:rFonts w:ascii="Times New Roman" w:hAnsi="Times New Roman" w:cs="Times New Roman" w:eastAsia="Times New Roman" w:hint="default"/>
          <w:spacing w:val="-2"/>
        </w:rPr>
        <w:t>28228</w:t>
      </w:r>
      <w:r>
        <w:rPr>
          <w:spacing w:val="-2"/>
        </w:rPr>
        <w:t>元，比上年实际增长</w:t>
      </w:r>
      <w:r>
        <w:rPr>
          <w:rFonts w:ascii="Times New Roman" w:hAnsi="Times New Roman" w:cs="Times New Roman" w:eastAsia="Times New Roman" w:hint="default"/>
          <w:spacing w:val="-2"/>
        </w:rPr>
        <w:t>6.5%</w:t>
      </w:r>
      <w:r>
        <w:rPr>
          <w:spacing w:val="-2"/>
        </w:rPr>
        <w:t>，居民在财富积累的同时，对于投</w:t>
      </w:r>
      <w:r>
        <w:rPr>
          <w:w w:val="100"/>
        </w:rPr>
        <w:t> </w:t>
      </w:r>
      <w:r>
        <w:rPr/>
        <w:t>资理财需求的不断增长。根据中国证券投资基金业协会的统计数据，截至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月底，我国境内共有</w:t>
      </w:r>
      <w:r>
        <w:rPr>
          <w:w w:val="100"/>
        </w:rPr>
        <w:t> </w:t>
      </w:r>
      <w:r>
        <w:rPr>
          <w:spacing w:val="-2"/>
        </w:rPr>
        <w:t>基金管理公司</w:t>
      </w:r>
      <w:r>
        <w:rPr>
          <w:rFonts w:ascii="Times New Roman" w:hAnsi="Times New Roman" w:cs="Times New Roman" w:eastAsia="Times New Roman" w:hint="default"/>
          <w:spacing w:val="-2"/>
        </w:rPr>
        <w:t>120</w:t>
      </w:r>
      <w:r>
        <w:rPr>
          <w:spacing w:val="-2"/>
        </w:rPr>
        <w:t>家，其中中外合资</w:t>
      </w:r>
      <w:r>
        <w:rPr>
          <w:rFonts w:ascii="Times New Roman" w:hAnsi="Times New Roman" w:cs="Times New Roman" w:eastAsia="Times New Roman" w:hint="default"/>
          <w:spacing w:val="-2"/>
        </w:rPr>
        <w:t>44</w:t>
      </w:r>
      <w:r>
        <w:rPr>
          <w:spacing w:val="-2"/>
        </w:rPr>
        <w:t>家，内资</w:t>
      </w:r>
      <w:r>
        <w:rPr>
          <w:rFonts w:ascii="Times New Roman" w:hAnsi="Times New Roman" w:cs="Times New Roman" w:eastAsia="Times New Roman" w:hint="default"/>
          <w:spacing w:val="-2"/>
        </w:rPr>
        <w:t>76</w:t>
      </w:r>
      <w:r>
        <w:rPr>
          <w:spacing w:val="-2"/>
        </w:rPr>
        <w:t>家；取得公募基金管理资格的证券公司或证券公司资管</w:t>
      </w:r>
      <w:r>
        <w:rPr>
          <w:spacing w:val="-18"/>
        </w:rPr>
        <w:t> </w:t>
      </w:r>
      <w:r>
        <w:rPr>
          <w:spacing w:val="-18"/>
        </w:rPr>
      </w:r>
      <w:r>
        <w:rPr>
          <w:spacing w:val="-2"/>
        </w:rPr>
        <w:t>子公司共</w:t>
      </w:r>
      <w:r>
        <w:rPr>
          <w:rFonts w:ascii="Times New Roman" w:hAnsi="Times New Roman" w:cs="Times New Roman" w:eastAsia="Times New Roman" w:hint="default"/>
          <w:spacing w:val="-2"/>
        </w:rPr>
        <w:t>13</w:t>
      </w:r>
      <w:r>
        <w:rPr>
          <w:spacing w:val="-2"/>
        </w:rPr>
        <w:t>家，保险资管公司</w:t>
      </w:r>
      <w:r>
        <w:rPr>
          <w:rFonts w:ascii="Times New Roman" w:hAnsi="Times New Roman" w:cs="Times New Roman" w:eastAsia="Times New Roman" w:hint="default"/>
          <w:spacing w:val="-2"/>
        </w:rPr>
        <w:t>2</w:t>
      </w:r>
      <w:r>
        <w:rPr>
          <w:spacing w:val="-2"/>
        </w:rPr>
        <w:t>家。以上机构管理的公募基金资产合计</w:t>
      </w:r>
      <w:r>
        <w:rPr>
          <w:rFonts w:ascii="Times New Roman" w:hAnsi="Times New Roman" w:cs="Times New Roman" w:eastAsia="Times New Roman" w:hint="default"/>
          <w:spacing w:val="-2"/>
        </w:rPr>
        <w:t>13.03</w:t>
      </w:r>
      <w:r>
        <w:rPr>
          <w:spacing w:val="-2"/>
        </w:rPr>
        <w:t>万亿元。中国证券投资基金业</w:t>
      </w:r>
      <w:r>
        <w:rPr>
          <w:spacing w:val="-18"/>
        </w:rPr>
        <w:t> </w:t>
      </w:r>
      <w:r>
        <w:rPr>
          <w:spacing w:val="-18"/>
        </w:rPr>
      </w:r>
      <w:r>
        <w:rPr/>
        <w:t>协会已登记私募基金管理人</w:t>
      </w:r>
      <w:r>
        <w:rPr>
          <w:rFonts w:ascii="Times New Roman" w:hAnsi="Times New Roman" w:cs="Times New Roman" w:eastAsia="Times New Roman" w:hint="default"/>
        </w:rPr>
        <w:t>24448</w:t>
      </w:r>
      <w:r>
        <w:rPr/>
        <w:t>家，已备案私募基金</w:t>
      </w:r>
      <w:r>
        <w:rPr>
          <w:rFonts w:ascii="Times New Roman" w:hAnsi="Times New Roman" w:cs="Times New Roman" w:eastAsia="Times New Roman" w:hint="default"/>
        </w:rPr>
        <w:t>74642</w:t>
      </w:r>
      <w:r>
        <w:rPr/>
        <w:t>只，管理基金规模</w:t>
      </w:r>
      <w:r>
        <w:rPr>
          <w:rFonts w:ascii="Times New Roman" w:hAnsi="Times New Roman" w:cs="Times New Roman" w:eastAsia="Times New Roman" w:hint="default"/>
        </w:rPr>
        <w:t>12.78</w:t>
      </w:r>
      <w:r>
        <w:rPr/>
        <w:t>万亿元。</w:t>
      </w:r>
    </w:p>
    <w:p>
      <w:pPr>
        <w:spacing w:line="240" w:lineRule="auto" w:before="2"/>
        <w:rPr>
          <w:rFonts w:ascii="宋体" w:hAnsi="宋体" w:cs="宋体" w:eastAsia="宋体" w:hint="default"/>
          <w:sz w:val="25"/>
          <w:szCs w:val="25"/>
        </w:rPr>
      </w:pPr>
    </w:p>
    <w:tbl>
      <w:tblPr>
        <w:tblW w:w="0" w:type="auto"/>
        <w:jc w:val="left"/>
        <w:tblInd w:w="153" w:type="dxa"/>
        <w:tblLayout w:type="fixed"/>
        <w:tblCellMar>
          <w:top w:w="0" w:type="dxa"/>
          <w:left w:w="0" w:type="dxa"/>
          <w:bottom w:w="0" w:type="dxa"/>
          <w:right w:w="0" w:type="dxa"/>
        </w:tblCellMar>
        <w:tblLook w:val="01E0"/>
      </w:tblPr>
      <w:tblGrid>
        <w:gridCol w:w="2456"/>
        <w:gridCol w:w="2391"/>
        <w:gridCol w:w="2393"/>
        <w:gridCol w:w="2390"/>
      </w:tblGrid>
      <w:tr>
        <w:trPr>
          <w:trHeight w:val="734" w:hRule="exact"/>
        </w:trPr>
        <w:tc>
          <w:tcPr>
            <w:tcW w:w="24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b/>
                <w:bCs/>
                <w:sz w:val="21"/>
                <w:szCs w:val="21"/>
              </w:rPr>
              <w:t>基金数量（只）</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b/>
                <w:bCs/>
                <w:sz w:val="21"/>
                <w:szCs w:val="21"/>
              </w:rPr>
              <w:t>份额（亿份）</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39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b/>
                <w:bCs/>
                <w:sz w:val="21"/>
                <w:szCs w:val="21"/>
              </w:rPr>
              <w:t>净值（亿元）</w:t>
            </w:r>
            <w:r>
              <w:rPr>
                <w:rFonts w:ascii="宋体" w:hAnsi="宋体" w:cs="宋体" w:eastAsia="宋体" w:hint="default"/>
                <w:sz w:val="21"/>
                <w:szCs w:val="21"/>
              </w:rPr>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41"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封闭式基金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8706.16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8985.29</w:t>
            </w:r>
          </w:p>
        </w:tc>
      </w:tr>
      <w:tr>
        <w:trPr>
          <w:trHeight w:val="343"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开放式基金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4957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120263.35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121361.21</w:t>
            </w:r>
          </w:p>
        </w:tc>
      </w:tr>
      <w:tr>
        <w:trPr>
          <w:trHeight w:val="341"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其中：股票基金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7716.98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8244.63</w:t>
            </w:r>
          </w:p>
        </w:tc>
      </w:tr>
      <w:tr>
        <w:trPr>
          <w:trHeight w:val="343"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其中：混合基金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2375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14152.74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13603.91</w:t>
            </w:r>
          </w:p>
        </w:tc>
      </w:tr>
      <w:tr>
        <w:trPr>
          <w:trHeight w:val="341"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其中：货币基金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76150.94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76178.14</w:t>
            </w:r>
          </w:p>
        </w:tc>
      </w:tr>
      <w:tr>
        <w:trPr>
          <w:trHeight w:val="343"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其中：债券基金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1172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21552.75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22628.80</w:t>
            </w:r>
          </w:p>
        </w:tc>
      </w:tr>
      <w:tr>
        <w:trPr>
          <w:trHeight w:val="341"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QDII</w:t>
            </w:r>
            <w:r>
              <w:rPr>
                <w:rFonts w:ascii="宋体" w:hAnsi="宋体" w:cs="宋体" w:eastAsia="宋体" w:hint="default"/>
                <w:sz w:val="21"/>
                <w:szCs w:val="21"/>
              </w:rPr>
              <w:t>基金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689.94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705.73</w:t>
            </w:r>
          </w:p>
        </w:tc>
      </w:tr>
      <w:tr>
        <w:trPr>
          <w:trHeight w:val="343"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1"/>
                <w:szCs w:val="21"/>
              </w:rPr>
            </w:pPr>
            <w:r>
              <w:rPr>
                <w:rFonts w:ascii="Times New Roman"/>
                <w:b/>
                <w:sz w:val="21"/>
              </w:rPr>
              <w:t>5626</w:t>
            </w:r>
            <w:r>
              <w:rPr>
                <w:rFonts w:ascii="Times New Roman"/>
                <w:sz w:val="21"/>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1"/>
                <w:szCs w:val="21"/>
              </w:rPr>
            </w:pPr>
            <w:r>
              <w:rPr>
                <w:rFonts w:ascii="Times New Roman"/>
                <w:b/>
                <w:spacing w:val="-1"/>
                <w:sz w:val="21"/>
              </w:rPr>
              <w:t>128969.51</w:t>
            </w:r>
            <w:r>
              <w:rPr>
                <w:rFonts w:ascii="Times New Roman"/>
                <w:spacing w:val="-1"/>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1"/>
                <w:szCs w:val="21"/>
              </w:rPr>
            </w:pPr>
            <w:r>
              <w:rPr>
                <w:rFonts w:ascii="Times New Roman"/>
                <w:b/>
                <w:spacing w:val="-1"/>
                <w:sz w:val="21"/>
              </w:rPr>
              <w:t>130346.50</w:t>
            </w:r>
            <w:r>
              <w:rPr>
                <w:rFonts w:ascii="Times New Roman"/>
                <w:spacing w:val="-1"/>
                <w:sz w:val="21"/>
              </w:rPr>
            </w:r>
          </w:p>
        </w:tc>
      </w:tr>
    </w:tbl>
    <w:p>
      <w:pPr>
        <w:spacing w:line="240" w:lineRule="auto" w:before="3"/>
        <w:rPr>
          <w:rFonts w:ascii="宋体" w:hAnsi="宋体" w:cs="宋体" w:eastAsia="宋体" w:hint="default"/>
          <w:sz w:val="8"/>
          <w:szCs w:val="8"/>
        </w:rPr>
      </w:pPr>
    </w:p>
    <w:p>
      <w:pPr>
        <w:pStyle w:val="BodyText"/>
        <w:spacing w:line="256" w:lineRule="auto" w:before="36"/>
        <w:ind w:right="1114" w:firstLine="420"/>
        <w:jc w:val="left"/>
      </w:pPr>
      <w:r>
        <w:rPr>
          <w:spacing w:val="-2"/>
        </w:rPr>
        <w:t>根据中国证券登记结算有限责任公司统计，截至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日，期末投资者数为</w:t>
      </w:r>
      <w:r>
        <w:rPr>
          <w:rFonts w:ascii="Times New Roman" w:hAnsi="Times New Roman" w:cs="Times New Roman" w:eastAsia="Times New Roman" w:hint="default"/>
          <w:spacing w:val="-2"/>
        </w:rPr>
        <w:t>14,752.81</w:t>
      </w:r>
      <w:r>
        <w:rPr>
          <w:spacing w:val="-2"/>
        </w:rPr>
        <w:t>万。随着</w:t>
      </w:r>
      <w:r>
        <w:rPr>
          <w:w w:val="100"/>
        </w:rPr>
        <w:t> </w:t>
      </w:r>
      <w:r>
        <w:rPr/>
        <w:t>投资需求和投资者数量规模不断增长，积极促进互联网金融行业未来可持续健康发展。</w:t>
      </w:r>
    </w:p>
    <w:p>
      <w:pPr>
        <w:spacing w:after="0" w:line="256" w:lineRule="auto"/>
        <w:jc w:val="left"/>
        <w:sectPr>
          <w:pgSz w:w="11910" w:h="16840"/>
          <w:pgMar w:header="852" w:footer="979" w:top="1320" w:bottom="1160" w:left="980" w:right="0"/>
        </w:sectPr>
      </w:pPr>
    </w:p>
    <w:p>
      <w:pPr>
        <w:pStyle w:val="BodyText"/>
        <w:spacing w:line="256" w:lineRule="auto" w:before="100"/>
        <w:ind w:left="573" w:right="1114"/>
        <w:jc w:val="left"/>
      </w:pPr>
      <w:r>
        <w:rPr>
          <w:rFonts w:ascii="Times New Roman" w:hAnsi="Times New Roman" w:cs="Times New Roman" w:eastAsia="Times New Roman" w:hint="default"/>
        </w:rPr>
        <w:t>3</w:t>
      </w:r>
      <w:r>
        <w:rPr/>
        <w:t>、公司行业地位和优势</w:t>
      </w:r>
      <w:r>
        <w:rPr>
          <w:w w:val="100"/>
        </w:rPr>
        <w:t> </w:t>
      </w:r>
      <w:r>
        <w:rPr>
          <w:spacing w:val="-2"/>
        </w:rPr>
        <w:t>报告期内，公司进一步加强互联网金融服务大平台的持续升级优化和完善工作，加大整体战略投</w:t>
      </w:r>
    </w:p>
    <w:p>
      <w:pPr>
        <w:pStyle w:val="BodyText"/>
        <w:spacing w:line="273" w:lineRule="auto" w:before="22"/>
        <w:ind w:right="1313"/>
        <w:jc w:val="both"/>
      </w:pPr>
      <w:r>
        <w:rPr>
          <w:spacing w:val="-2"/>
        </w:rPr>
        <w:t>入，进一步强化研发创新力度。同时，进一步延伸和完善服务链条，拓展服务范围，公司互联网金融服</w:t>
      </w:r>
      <w:r>
        <w:rPr>
          <w:spacing w:val="-21"/>
        </w:rPr>
        <w:t> </w:t>
      </w:r>
      <w:r>
        <w:rPr>
          <w:spacing w:val="-21"/>
        </w:rPr>
      </w:r>
      <w:r>
        <w:rPr>
          <w:spacing w:val="-2"/>
        </w:rPr>
        <w:t>务大平台的服务能力和水平得到了全面提升，进一步提升了用户体验，用户访问量和用户黏性优势得到</w:t>
      </w:r>
      <w:r>
        <w:rPr>
          <w:spacing w:val="-21"/>
        </w:rPr>
        <w:t> </w:t>
      </w:r>
      <w:r>
        <w:rPr>
          <w:spacing w:val="-21"/>
        </w:rPr>
      </w:r>
      <w:r>
        <w:rPr/>
        <w:t>进一步巩固和加强，相关指标在行业内持续保持领先地位。</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2518"/>
        <w:gridCol w:w="7050"/>
      </w:tblGrid>
      <w:tr>
        <w:trPr>
          <w:trHeight w:val="764"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2"/>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705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报告期末，以公允价值计量且其变动计入当期损益的金融资产较年初增长了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108.44%</w:t>
            </w:r>
            <w:r>
              <w:rPr>
                <w:rFonts w:ascii="宋体" w:hAnsi="宋体" w:cs="宋体" w:eastAsia="宋体" w:hint="default"/>
                <w:sz w:val="18"/>
                <w:szCs w:val="18"/>
              </w:rPr>
              <w:t>，主 要因为购买的理财产品增加</w:t>
            </w:r>
          </w:p>
        </w:tc>
      </w:tr>
    </w:tbl>
    <w:p>
      <w:pPr>
        <w:spacing w:line="240" w:lineRule="auto" w:before="3"/>
        <w:rPr>
          <w:rFonts w:ascii="宋体" w:hAnsi="宋体" w:cs="宋体" w:eastAsia="宋体" w:hint="default"/>
          <w:b/>
          <w:bCs/>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1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3" w:right="1114" w:firstLine="0"/>
        <w:jc w:val="left"/>
        <w:rPr>
          <w:rFonts w:ascii="宋体" w:hAnsi="宋体" w:cs="宋体" w:eastAsia="宋体" w:hint="default"/>
          <w:sz w:val="18"/>
          <w:szCs w:val="18"/>
        </w:rPr>
      </w:pPr>
      <w:r>
        <w:rPr>
          <w:rFonts w:ascii="宋体" w:hAnsi="宋体" w:cs="宋体" w:eastAsia="宋体" w:hint="default"/>
          <w:sz w:val="18"/>
          <w:szCs w:val="18"/>
        </w:rPr>
        <w:t>电子商务业</w:t>
      </w:r>
    </w:p>
    <w:p>
      <w:pPr>
        <w:pStyle w:val="BodyText"/>
        <w:spacing w:line="240" w:lineRule="auto" w:before="96"/>
        <w:ind w:left="573" w:right="1114"/>
        <w:jc w:val="left"/>
      </w:pPr>
      <w:r>
        <w:rPr/>
        <w:t>报告期内，公司进一步巩固和增强核心竞争力，公司可持续健康发展的基础得到进一步夯实。</w:t>
      </w:r>
    </w:p>
    <w:p>
      <w:pPr>
        <w:pStyle w:val="BodyText"/>
        <w:spacing w:line="240" w:lineRule="auto" w:before="78"/>
        <w:ind w:left="573" w:right="1114"/>
        <w:jc w:val="left"/>
      </w:pPr>
      <w:r>
        <w:rPr/>
        <w:t>（一）主要核心竞争力</w:t>
      </w:r>
    </w:p>
    <w:p>
      <w:pPr>
        <w:pStyle w:val="BodyText"/>
        <w:spacing w:line="290" w:lineRule="auto" w:before="75"/>
        <w:ind w:left="573" w:right="1114"/>
        <w:jc w:val="left"/>
      </w:pPr>
      <w:r>
        <w:rPr>
          <w:rFonts w:ascii="Times New Roman" w:hAnsi="Times New Roman" w:cs="Times New Roman" w:eastAsia="Times New Roman" w:hint="default"/>
        </w:rPr>
        <w:t>1</w:t>
      </w:r>
      <w:r>
        <w:rPr/>
        <w:t>、用户资源优势</w:t>
      </w:r>
      <w:r>
        <w:rPr>
          <w:w w:val="100"/>
        </w:rPr>
        <w:t> </w:t>
      </w:r>
      <w:r>
        <w:rPr>
          <w:spacing w:val="-2"/>
        </w:rPr>
        <w:t>经过多年的发展，公司运营的以</w:t>
      </w:r>
      <w:r>
        <w:rPr>
          <w:rFonts w:ascii="Times New Roman" w:hAnsi="Times New Roman" w:cs="Times New Roman" w:eastAsia="Times New Roman" w:hint="default"/>
          <w:spacing w:val="-2"/>
        </w:rPr>
        <w:t>“</w:t>
      </w:r>
      <w:r>
        <w:rPr>
          <w:spacing w:val="-2"/>
        </w:rPr>
        <w:t>东方财富网</w:t>
      </w:r>
      <w:r>
        <w:rPr>
          <w:rFonts w:ascii="Times New Roman" w:hAnsi="Times New Roman" w:cs="Times New Roman" w:eastAsia="Times New Roman" w:hint="default"/>
          <w:spacing w:val="-2"/>
        </w:rPr>
        <w:t>”</w:t>
      </w:r>
      <w:r>
        <w:rPr>
          <w:spacing w:val="-2"/>
        </w:rPr>
        <w:t>为核心的互联网金融服务大平台已成为我国用户访问量</w:t>
      </w:r>
    </w:p>
    <w:p>
      <w:pPr>
        <w:pStyle w:val="BodyText"/>
        <w:spacing w:line="247" w:lineRule="exact"/>
        <w:ind w:right="1114"/>
        <w:jc w:val="left"/>
      </w:pPr>
      <w:r>
        <w:rPr/>
        <w:t>最大、用户黏性最高的互联网金融服务平台之一，同时，公司积极推进一站式互联网金融服务大平台战</w:t>
      </w:r>
    </w:p>
    <w:p>
      <w:pPr>
        <w:pStyle w:val="BodyText"/>
        <w:spacing w:line="268" w:lineRule="auto" w:before="37"/>
        <w:ind w:right="1114"/>
        <w:jc w:val="left"/>
      </w:pPr>
      <w:r>
        <w:rPr/>
        <w:t>略，不断加强战略投入，持续拓展平台服务范围，提升整体服务能力和质量，进一步巩固和提升访问量</w:t>
      </w:r>
      <w:r>
        <w:rPr>
          <w:w w:val="100"/>
        </w:rPr>
        <w:t> </w:t>
      </w:r>
      <w:r>
        <w:rPr/>
        <w:t>指标和用户黏性方面的优势，用户访问量指标和用户黏性指标在垂直财经领域始终保持绝对领先地位，</w:t>
      </w:r>
      <w:r>
        <w:rPr>
          <w:w w:val="100"/>
        </w:rPr>
        <w:t> </w:t>
      </w:r>
      <w:r>
        <w:rPr>
          <w:spacing w:val="-2"/>
        </w:rPr>
        <w:t>以</w:t>
      </w:r>
      <w:r>
        <w:rPr>
          <w:rFonts w:ascii="Times New Roman" w:hAnsi="Times New Roman" w:cs="Times New Roman" w:eastAsia="Times New Roman" w:hint="default"/>
          <w:spacing w:val="-2"/>
        </w:rPr>
        <w:t>“</w:t>
      </w:r>
      <w:r>
        <w:rPr>
          <w:spacing w:val="-2"/>
        </w:rPr>
        <w:t>东方财富网</w:t>
      </w:r>
      <w:r>
        <w:rPr>
          <w:rFonts w:ascii="Times New Roman" w:hAnsi="Times New Roman" w:cs="Times New Roman" w:eastAsia="Times New Roman" w:hint="default"/>
          <w:spacing w:val="-2"/>
        </w:rPr>
        <w:t>”</w:t>
      </w:r>
      <w:r>
        <w:rPr>
          <w:spacing w:val="-2"/>
        </w:rPr>
        <w:t>为核心的互联网金融服务大平台所集聚的庞大的用户访问量和领先的用户黏性，形成了本</w:t>
      </w:r>
      <w:r>
        <w:rPr>
          <w:spacing w:val="-18"/>
        </w:rPr>
        <w:t> </w:t>
      </w:r>
      <w:r>
        <w:rPr>
          <w:spacing w:val="-18"/>
        </w:rPr>
      </w:r>
      <w:r>
        <w:rPr/>
        <w:t>公司核心的竞争优势，为公司持续健康发展奠定了坚实基础。</w:t>
      </w:r>
    </w:p>
    <w:p>
      <w:pPr>
        <w:pStyle w:val="BodyText"/>
        <w:spacing w:line="290" w:lineRule="auto" w:before="52"/>
        <w:ind w:left="573" w:right="1114"/>
        <w:jc w:val="left"/>
      </w:pPr>
      <w:r>
        <w:rPr>
          <w:rFonts w:ascii="Times New Roman" w:hAnsi="Times New Roman" w:cs="Times New Roman" w:eastAsia="Times New Roman" w:hint="default"/>
        </w:rPr>
        <w:t>2</w:t>
      </w:r>
      <w:r>
        <w:rPr/>
        <w:t>、品牌知名度优势</w:t>
      </w:r>
      <w:r>
        <w:rPr>
          <w:w w:val="100"/>
        </w:rPr>
        <w:t> </w:t>
      </w:r>
      <w:r>
        <w:rPr>
          <w:spacing w:val="-2"/>
        </w:rPr>
        <w:t>公司依托于</w:t>
      </w:r>
      <w:r>
        <w:rPr>
          <w:rFonts w:ascii="Times New Roman" w:hAnsi="Times New Roman" w:cs="Times New Roman" w:eastAsia="Times New Roman" w:hint="default"/>
          <w:spacing w:val="-2"/>
        </w:rPr>
        <w:t>“</w:t>
      </w:r>
      <w:r>
        <w:rPr>
          <w:spacing w:val="-2"/>
        </w:rPr>
        <w:t>东方财富网</w:t>
      </w:r>
      <w:r>
        <w:rPr>
          <w:rFonts w:ascii="Times New Roman" w:hAnsi="Times New Roman" w:cs="Times New Roman" w:eastAsia="Times New Roman" w:hint="default"/>
          <w:spacing w:val="-2"/>
        </w:rPr>
        <w:t>”</w:t>
      </w:r>
      <w:r>
        <w:rPr>
          <w:spacing w:val="-2"/>
        </w:rPr>
        <w:t>树立的品牌知名度和投资者认可度，形成了强大的品牌优势，公司持续加强</w:t>
      </w:r>
    </w:p>
    <w:p>
      <w:pPr>
        <w:pStyle w:val="BodyText"/>
        <w:spacing w:line="247" w:lineRule="exact"/>
        <w:ind w:right="1114"/>
        <w:jc w:val="left"/>
      </w:pPr>
      <w:r>
        <w:rPr/>
        <w:t>品牌推广与宣传力度，品牌影响力和知名度得到了进一步提升，本公司所形成的市场认可的品牌优势，</w:t>
      </w:r>
    </w:p>
    <w:p>
      <w:pPr>
        <w:pStyle w:val="BodyText"/>
        <w:spacing w:line="300" w:lineRule="auto" w:before="37"/>
        <w:ind w:left="573" w:right="1239" w:hanging="420"/>
        <w:jc w:val="left"/>
      </w:pPr>
      <w:r>
        <w:rPr/>
        <w:t>进一步提升了公司的广告媒体价值，对公司各项业务的开展都将起到积极的促进作用。</w:t>
      </w:r>
      <w:r>
        <w:rPr>
          <w:w w:val="100"/>
        </w:rPr>
        <w:t> </w:t>
      </w:r>
      <w:r>
        <w:rPr>
          <w:rFonts w:ascii="Times New Roman" w:hAnsi="Times New Roman" w:cs="Times New Roman" w:eastAsia="Times New Roman" w:hint="default"/>
        </w:rPr>
        <w:t>3</w:t>
      </w:r>
      <w:r>
        <w:rPr/>
        <w:t>、营销渠道优势</w:t>
      </w:r>
      <w:r>
        <w:rPr>
          <w:w w:val="100"/>
        </w:rPr>
        <w:t> </w:t>
      </w:r>
      <w:r>
        <w:rPr>
          <w:spacing w:val="-2"/>
        </w:rPr>
        <w:t>互联网营销渠道不受地域、空间、时间的限制，可以提供全天候不间断的网上营销信息发布、网上</w:t>
      </w:r>
    </w:p>
    <w:p>
      <w:pPr>
        <w:pStyle w:val="BodyText"/>
        <w:spacing w:line="260" w:lineRule="exact"/>
        <w:ind w:right="1114"/>
        <w:jc w:val="left"/>
      </w:pPr>
      <w:r>
        <w:rPr/>
        <w:t>产品展示、互动交流的平台，用户覆盖区域广，营销渠道价值与网站用户数量和用户访问量成正比。公</w:t>
      </w:r>
    </w:p>
    <w:p>
      <w:pPr>
        <w:pStyle w:val="BodyText"/>
        <w:spacing w:line="256" w:lineRule="auto" w:before="37"/>
        <w:ind w:right="1114"/>
        <w:jc w:val="left"/>
      </w:pPr>
      <w:r>
        <w:rPr>
          <w:spacing w:val="-2"/>
        </w:rPr>
        <w:t>司运营的以</w:t>
      </w:r>
      <w:r>
        <w:rPr>
          <w:rFonts w:ascii="Times New Roman" w:hAnsi="Times New Roman" w:cs="Times New Roman" w:eastAsia="Times New Roman" w:hint="default"/>
          <w:spacing w:val="-2"/>
        </w:rPr>
        <w:t>“</w:t>
      </w:r>
      <w:r>
        <w:rPr>
          <w:spacing w:val="-2"/>
        </w:rPr>
        <w:t>东方财富网</w:t>
      </w:r>
      <w:r>
        <w:rPr>
          <w:rFonts w:ascii="Times New Roman" w:hAnsi="Times New Roman" w:cs="Times New Roman" w:eastAsia="Times New Roman" w:hint="default"/>
          <w:spacing w:val="-2"/>
        </w:rPr>
        <w:t>”</w:t>
      </w:r>
      <w:r>
        <w:rPr>
          <w:spacing w:val="-2"/>
        </w:rPr>
        <w:t>为核心的互联网金融服务大平台，是我国用户访问量最大的互联网金融服务平台</w:t>
      </w:r>
      <w:r>
        <w:rPr>
          <w:spacing w:val="-18"/>
        </w:rPr>
        <w:t> </w:t>
      </w:r>
      <w:r>
        <w:rPr>
          <w:spacing w:val="-18"/>
        </w:rPr>
      </w:r>
      <w:r>
        <w:rPr/>
        <w:t>之一，拥有明显的互联网营销渠道优势。</w:t>
      </w:r>
    </w:p>
    <w:p>
      <w:pPr>
        <w:spacing w:after="0" w:line="256" w:lineRule="auto"/>
        <w:jc w:val="left"/>
        <w:sectPr>
          <w:pgSz w:w="11910" w:h="16840"/>
          <w:pgMar w:header="852" w:footer="979" w:top="1320" w:bottom="1160" w:left="980" w:right="0"/>
        </w:sectPr>
      </w:pPr>
    </w:p>
    <w:p>
      <w:pPr>
        <w:pStyle w:val="BodyText"/>
        <w:spacing w:line="290" w:lineRule="auto" w:before="100"/>
        <w:ind w:left="573" w:right="1114"/>
        <w:jc w:val="left"/>
      </w:pPr>
      <w:r>
        <w:rPr>
          <w:rFonts w:ascii="Times New Roman" w:hAnsi="Times New Roman" w:cs="Times New Roman" w:eastAsia="Times New Roman" w:hint="default"/>
        </w:rPr>
        <w:t>4</w:t>
      </w:r>
      <w:r>
        <w:rPr/>
        <w:t>、管理团队优势</w:t>
      </w:r>
      <w:r>
        <w:rPr>
          <w:w w:val="100"/>
        </w:rPr>
        <w:t> </w:t>
      </w:r>
      <w:r>
        <w:rPr>
          <w:spacing w:val="-2"/>
        </w:rPr>
        <w:t>公司积极推行</w:t>
      </w:r>
      <w:r>
        <w:rPr>
          <w:rFonts w:ascii="Times New Roman" w:hAnsi="Times New Roman" w:cs="Times New Roman" w:eastAsia="Times New Roman" w:hint="default"/>
          <w:spacing w:val="-2"/>
        </w:rPr>
        <w:t>“</w:t>
      </w:r>
      <w:r>
        <w:rPr>
          <w:spacing w:val="-2"/>
        </w:rPr>
        <w:t>以人为本</w:t>
      </w:r>
      <w:r>
        <w:rPr>
          <w:rFonts w:ascii="Times New Roman" w:hAnsi="Times New Roman" w:cs="Times New Roman" w:eastAsia="Times New Roman" w:hint="default"/>
          <w:spacing w:val="-2"/>
        </w:rPr>
        <w:t>”</w:t>
      </w:r>
      <w:r>
        <w:rPr>
          <w:spacing w:val="-2"/>
        </w:rPr>
        <w:t>的人才战略，通过内部培养和外部引进，不断扩充和培养骨干队伍，形成了</w:t>
      </w:r>
    </w:p>
    <w:p>
      <w:pPr>
        <w:pStyle w:val="BodyText"/>
        <w:spacing w:line="247" w:lineRule="exact"/>
        <w:ind w:right="0"/>
        <w:jc w:val="both"/>
      </w:pPr>
      <w:r>
        <w:rPr/>
        <w:t>以创业团队为核心，以资深经理人为骨干的管理团队，主要管理人员具有丰富的管理经验、互联网技术</w:t>
      </w:r>
    </w:p>
    <w:p>
      <w:pPr>
        <w:pStyle w:val="BodyText"/>
        <w:spacing w:line="273" w:lineRule="auto" w:before="37"/>
        <w:ind w:right="1313"/>
        <w:jc w:val="both"/>
      </w:pPr>
      <w:r>
        <w:rPr>
          <w:spacing w:val="-2"/>
        </w:rPr>
        <w:t>开发经验、金融研究工作经验和市场营销经验，对互联网金融服务行业的相关技术、发展历程及未来趋</w:t>
      </w:r>
      <w:r>
        <w:rPr>
          <w:spacing w:val="-21"/>
        </w:rPr>
        <w:t> </w:t>
      </w:r>
      <w:r>
        <w:rPr>
          <w:spacing w:val="-21"/>
        </w:rPr>
      </w:r>
      <w:r>
        <w:rPr>
          <w:spacing w:val="-2"/>
        </w:rPr>
        <w:t>势具有深刻理解。同时，公司不断完善考核激励制度，先后推出两期股权激励计划，激励和稳定核心团</w:t>
      </w:r>
      <w:r>
        <w:rPr>
          <w:spacing w:val="-21"/>
        </w:rPr>
        <w:t> </w:t>
      </w:r>
      <w:r>
        <w:rPr>
          <w:spacing w:val="-21"/>
        </w:rPr>
      </w:r>
      <w:r>
        <w:rPr/>
        <w:t>队。</w:t>
      </w:r>
    </w:p>
    <w:p>
      <w:pPr>
        <w:pStyle w:val="BodyText"/>
        <w:spacing w:line="290" w:lineRule="auto" w:before="46"/>
        <w:ind w:left="573" w:right="1114"/>
        <w:jc w:val="left"/>
      </w:pPr>
      <w:r>
        <w:rPr>
          <w:rFonts w:ascii="Times New Roman" w:hAnsi="Times New Roman" w:cs="Times New Roman" w:eastAsia="Times New Roman" w:hint="default"/>
        </w:rPr>
        <w:t>5</w:t>
      </w:r>
      <w:r>
        <w:rPr/>
        <w:t>、研发、技术优势</w:t>
      </w:r>
      <w:r>
        <w:rPr>
          <w:w w:val="100"/>
        </w:rPr>
        <w:t> </w:t>
      </w:r>
      <w:r>
        <w:rPr>
          <w:spacing w:val="-2"/>
        </w:rPr>
        <w:t>通过多年大平台的运营管理和研发，公司培养了一支稳定、过硬的技术研发团队，自主研发了一系</w:t>
      </w:r>
    </w:p>
    <w:p>
      <w:pPr>
        <w:pStyle w:val="BodyText"/>
        <w:spacing w:line="273" w:lineRule="auto"/>
        <w:ind w:right="1313"/>
        <w:jc w:val="both"/>
      </w:pPr>
      <w:r>
        <w:rPr>
          <w:spacing w:val="-2"/>
        </w:rPr>
        <w:t>列的网络核心技术，不断优化和完善现有互联金融服务大平台系统，同时，对互联网领域的新技术和行</w:t>
      </w:r>
      <w:r>
        <w:rPr>
          <w:spacing w:val="-21"/>
        </w:rPr>
        <w:t> </w:t>
      </w:r>
      <w:r>
        <w:rPr>
          <w:spacing w:val="-21"/>
        </w:rPr>
      </w:r>
      <w:r>
        <w:rPr>
          <w:spacing w:val="-2"/>
        </w:rPr>
        <w:t>业前瞻性技术进行深入研究和跟进，强大的技术研发力量和核心技术储备为公司后续发展奠定了坚实的</w:t>
      </w:r>
      <w:r>
        <w:rPr>
          <w:spacing w:val="-21"/>
        </w:rPr>
        <w:t> </w:t>
      </w:r>
      <w:r>
        <w:rPr>
          <w:spacing w:val="-21"/>
        </w:rPr>
      </w:r>
      <w:r>
        <w:rPr/>
        <w:t>技术基础。</w:t>
      </w:r>
    </w:p>
    <w:p>
      <w:pPr>
        <w:pStyle w:val="BodyText"/>
        <w:spacing w:line="240" w:lineRule="auto" w:before="49"/>
        <w:ind w:left="573" w:right="1114"/>
        <w:jc w:val="left"/>
      </w:pPr>
      <w:r>
        <w:rPr/>
        <w:t>（二）报告期末公司拥有的商标、软件著作权、非专利技术等情况</w:t>
      </w:r>
    </w:p>
    <w:p>
      <w:pPr>
        <w:pStyle w:val="BodyText"/>
        <w:spacing w:line="290" w:lineRule="auto" w:before="75"/>
        <w:ind w:left="573" w:right="4993"/>
        <w:jc w:val="left"/>
      </w:pPr>
      <w:r>
        <w:rPr>
          <w:rFonts w:ascii="Times New Roman" w:hAnsi="Times New Roman" w:cs="Times New Roman" w:eastAsia="Times New Roman" w:hint="default"/>
        </w:rPr>
        <w:t>1</w:t>
      </w:r>
      <w:r>
        <w:rPr/>
        <w:t>、商标</w:t>
      </w:r>
      <w:r>
        <w:rPr>
          <w:w w:val="100"/>
        </w:rPr>
        <w:t> </w:t>
      </w:r>
      <w:r>
        <w:rPr>
          <w:spacing w:val="-2"/>
        </w:rPr>
        <w:t>截至报告期末，公司及子公司共获得注册的商标</w:t>
      </w:r>
      <w:r>
        <w:rPr>
          <w:rFonts w:ascii="Times New Roman" w:hAnsi="Times New Roman" w:cs="Times New Roman" w:eastAsia="Times New Roman" w:hint="default"/>
          <w:spacing w:val="-2"/>
        </w:rPr>
        <w:t>105</w:t>
      </w:r>
      <w:r>
        <w:rPr>
          <w:spacing w:val="-2"/>
        </w:rPr>
        <w:t>项。</w:t>
      </w:r>
      <w:r>
        <w:rPr>
          <w:spacing w:val="-58"/>
        </w:rPr>
        <w:t> </w:t>
      </w:r>
      <w:r>
        <w:rPr>
          <w:rFonts w:ascii="Times New Roman" w:hAnsi="Times New Roman" w:cs="Times New Roman" w:eastAsia="Times New Roman" w:hint="default"/>
        </w:rPr>
        <w:t>2</w:t>
      </w:r>
      <w:r>
        <w:rPr/>
        <w:t>、软件著作权</w:t>
      </w:r>
    </w:p>
    <w:p>
      <w:pPr>
        <w:pStyle w:val="BodyText"/>
        <w:spacing w:line="240" w:lineRule="auto" w:before="11"/>
        <w:ind w:left="573" w:right="1114"/>
        <w:jc w:val="left"/>
      </w:pPr>
      <w:r>
        <w:rPr/>
        <w:t>截至报告期末，公司及子公司获得国家版权局登记的软件著作权</w:t>
      </w:r>
      <w:r>
        <w:rPr>
          <w:rFonts w:ascii="Times New Roman" w:hAnsi="Times New Roman" w:cs="Times New Roman" w:eastAsia="Times New Roman" w:hint="default"/>
        </w:rPr>
        <w:t>201</w:t>
      </w:r>
      <w:r>
        <w:rPr/>
        <w:t>项。</w:t>
      </w:r>
    </w:p>
    <w:p>
      <w:pPr>
        <w:pStyle w:val="BodyText"/>
        <w:spacing w:line="290" w:lineRule="auto" w:before="62"/>
        <w:ind w:left="573" w:right="4993"/>
        <w:jc w:val="left"/>
      </w:pPr>
      <w:r>
        <w:rPr>
          <w:rFonts w:ascii="Times New Roman" w:hAnsi="Times New Roman" w:cs="Times New Roman" w:eastAsia="Times New Roman" w:hint="default"/>
        </w:rPr>
        <w:t>3</w:t>
      </w:r>
      <w:r>
        <w:rPr/>
        <w:t>、非专利技术</w:t>
      </w:r>
      <w:r>
        <w:rPr>
          <w:w w:val="100"/>
        </w:rPr>
        <w:t> </w:t>
      </w:r>
      <w:r>
        <w:rPr>
          <w:spacing w:val="-2"/>
        </w:rPr>
        <w:t>截至报告期末，公司及子公司拥有的非专利技术</w:t>
      </w:r>
      <w:r>
        <w:rPr>
          <w:rFonts w:ascii="Times New Roman" w:hAnsi="Times New Roman" w:cs="Times New Roman" w:eastAsia="Times New Roman" w:hint="default"/>
          <w:spacing w:val="-2"/>
        </w:rPr>
        <w:t>59</w:t>
      </w:r>
      <w:r>
        <w:rPr>
          <w:spacing w:val="-2"/>
        </w:rPr>
        <w:t>项。</w:t>
      </w:r>
    </w:p>
    <w:p>
      <w:pPr>
        <w:spacing w:after="0" w:line="290" w:lineRule="auto"/>
        <w:jc w:val="left"/>
        <w:sectPr>
          <w:pgSz w:w="11910" w:h="16840"/>
          <w:pgMar w:header="852" w:footer="979" w:top="132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1"/>
        <w:spacing w:line="240" w:lineRule="auto"/>
        <w:ind w:right="1114"/>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114"/>
        <w:jc w:val="left"/>
        <w:rPr>
          <w:b w:val="0"/>
          <w:bCs w:val="0"/>
        </w:rPr>
      </w:pPr>
      <w:r>
        <w:rPr/>
        <w:t>一、概述</w:t>
      </w:r>
      <w:r>
        <w:rPr>
          <w:b w:val="0"/>
          <w:bCs w:val="0"/>
        </w:rPr>
      </w:r>
    </w:p>
    <w:p>
      <w:pPr>
        <w:spacing w:line="240" w:lineRule="auto" w:before="3"/>
        <w:rPr>
          <w:rFonts w:ascii="宋体" w:hAnsi="宋体" w:cs="宋体" w:eastAsia="宋体" w:hint="default"/>
          <w:b/>
          <w:bCs/>
          <w:sz w:val="23"/>
          <w:szCs w:val="23"/>
        </w:rPr>
      </w:pPr>
    </w:p>
    <w:p>
      <w:pPr>
        <w:pStyle w:val="BodyText"/>
        <w:spacing w:line="297" w:lineRule="auto"/>
        <w:ind w:right="1126" w:firstLine="420"/>
        <w:jc w:val="both"/>
      </w:pPr>
      <w:r>
        <w:rPr>
          <w:spacing w:val="-2"/>
        </w:rPr>
        <w:t>报告期内，公司紧紧围绕战略目标，坚持以用户需求为中心，努力克服资本市场景气度下降对行业的</w:t>
      </w:r>
      <w:r>
        <w:rPr>
          <w:w w:val="100"/>
        </w:rPr>
        <w:t> </w:t>
      </w:r>
      <w:r>
        <w:rPr>
          <w:spacing w:val="-7"/>
        </w:rPr>
        <w:t>影响，积极推进并全面落实年度工作计划，进一步加强和完善互联网金融服务大平台建设，加大研发投入，</w:t>
      </w:r>
      <w:r>
        <w:rPr>
          <w:spacing w:val="-17"/>
        </w:rPr>
        <w:t> </w:t>
      </w:r>
      <w:r>
        <w:rPr>
          <w:spacing w:val="-17"/>
        </w:rPr>
      </w:r>
      <w:r>
        <w:rPr>
          <w:spacing w:val="-2"/>
        </w:rPr>
        <w:t>加强产品和服务的研发创新，持续提升整体服务质量和水平，进一步巩固和提升公司核心竞争力。报告期</w:t>
      </w:r>
      <w:r>
        <w:rPr>
          <w:spacing w:val="-44"/>
        </w:rPr>
        <w:t> </w:t>
      </w:r>
      <w:r>
        <w:rPr>
          <w:spacing w:val="-44"/>
        </w:rPr>
      </w:r>
      <w:r>
        <w:rPr/>
        <w:t>内，公司主要业务发展及整体财务状况健康良好。</w:t>
      </w:r>
    </w:p>
    <w:p>
      <w:pPr>
        <w:pStyle w:val="BodyText"/>
        <w:spacing w:line="297" w:lineRule="auto" w:before="15"/>
        <w:ind w:right="0" w:firstLine="420"/>
        <w:jc w:val="left"/>
      </w:pPr>
      <w:r>
        <w:rPr>
          <w:spacing w:val="-2"/>
        </w:rPr>
        <w:t>报告期内，公司进一步加强证券业务发展，充分发挥海量用户优势及整体协同效应，进一步加强软硬</w:t>
      </w:r>
      <w:r>
        <w:rPr>
          <w:w w:val="100"/>
        </w:rPr>
        <w:t> </w:t>
      </w:r>
      <w:r>
        <w:rPr/>
        <w:t>件投入，加强服务网点建设，进一步提升整体服务能力；同时进一步提升内部管理水平，加强团队建设，</w:t>
      </w:r>
      <w:r>
        <w:rPr>
          <w:spacing w:val="-22"/>
        </w:rPr>
        <w:t> </w:t>
      </w:r>
      <w:r>
        <w:rPr>
          <w:spacing w:val="-22"/>
        </w:rPr>
      </w:r>
      <w:r>
        <w:rPr>
          <w:spacing w:val="-7"/>
        </w:rPr>
        <w:t>强化和完善内部合规及风控管理，加强费用控制。报告期内，证券经纪业务和融资融券业务实现快速发展，</w:t>
      </w:r>
      <w:r>
        <w:rPr>
          <w:spacing w:val="-20"/>
        </w:rPr>
        <w:t> </w:t>
      </w:r>
      <w:r>
        <w:rPr>
          <w:spacing w:val="-20"/>
        </w:rPr>
      </w:r>
      <w:r>
        <w:rPr/>
        <w:t>用户规模得到进一步提升，证券业务相关收入同比实现较大幅度增长。</w:t>
      </w:r>
    </w:p>
    <w:p>
      <w:pPr>
        <w:spacing w:line="295" w:lineRule="auto" w:before="15"/>
        <w:ind w:left="153" w:right="1114" w:firstLine="420"/>
        <w:jc w:val="left"/>
        <w:rPr>
          <w:rFonts w:ascii="宋体" w:hAnsi="宋体" w:cs="宋体" w:eastAsia="宋体" w:hint="default"/>
          <w:sz w:val="23"/>
          <w:szCs w:val="23"/>
        </w:rPr>
      </w:pPr>
      <w:r>
        <w:rPr>
          <w:rFonts w:ascii="宋体" w:hAnsi="宋体" w:cs="宋体" w:eastAsia="宋体" w:hint="default"/>
          <w:sz w:val="21"/>
          <w:szCs w:val="21"/>
        </w:rPr>
        <w:t>报告期内，公司进一步做好基金第三方销售服务业务，持续丰富平台产品，整体服务能力和水平得</w:t>
      </w:r>
      <w:r>
        <w:rPr>
          <w:rFonts w:ascii="宋体" w:hAnsi="宋体" w:cs="宋体" w:eastAsia="宋体" w:hint="default"/>
          <w:w w:val="100"/>
          <w:sz w:val="21"/>
          <w:szCs w:val="21"/>
        </w:rPr>
        <w:t> </w:t>
      </w:r>
      <w:r>
        <w:rPr>
          <w:rFonts w:ascii="宋体" w:hAnsi="宋体" w:cs="宋体" w:eastAsia="宋体" w:hint="default"/>
          <w:spacing w:val="-1"/>
          <w:sz w:val="21"/>
          <w:szCs w:val="21"/>
        </w:rPr>
        <w:t>到进一步提升，基金投资者规模进一步增长。报告期内，</w:t>
      </w:r>
      <w:r>
        <w:rPr>
          <w:rFonts w:ascii="宋体" w:hAnsi="宋体" w:cs="宋体" w:eastAsia="宋体" w:hint="default"/>
          <w:spacing w:val="-1"/>
          <w:sz w:val="23"/>
          <w:szCs w:val="23"/>
        </w:rPr>
        <w:t>公司互联网金融电子商务平台基金销售额同</w:t>
      </w:r>
      <w:r>
        <w:rPr>
          <w:rFonts w:ascii="宋体" w:hAnsi="宋体" w:cs="宋体" w:eastAsia="宋体" w:hint="default"/>
          <w:spacing w:val="-79"/>
          <w:sz w:val="23"/>
          <w:szCs w:val="23"/>
        </w:rPr>
        <w:t> </w:t>
      </w:r>
      <w:r>
        <w:rPr>
          <w:rFonts w:ascii="宋体" w:hAnsi="宋体" w:cs="宋体" w:eastAsia="宋体" w:hint="default"/>
          <w:spacing w:val="-79"/>
          <w:sz w:val="23"/>
          <w:szCs w:val="23"/>
        </w:rPr>
      </w:r>
      <w:r>
        <w:rPr>
          <w:rFonts w:ascii="宋体" w:hAnsi="宋体" w:cs="宋体" w:eastAsia="宋体" w:hint="default"/>
          <w:sz w:val="23"/>
          <w:szCs w:val="23"/>
        </w:rPr>
        <w:t>比较大幅度增长，金融电子商务服务业务收入同比实现较大幅度增长。</w:t>
      </w:r>
    </w:p>
    <w:p>
      <w:pPr>
        <w:pStyle w:val="BodyText"/>
        <w:spacing w:line="297" w:lineRule="auto" w:before="24"/>
        <w:ind w:right="1126" w:firstLine="420"/>
        <w:jc w:val="both"/>
      </w:pPr>
      <w:r>
        <w:rPr>
          <w:spacing w:val="-2"/>
        </w:rPr>
        <w:t>报告期内，公司继续做好金融数据服务业务，不断优化和完善产品功能，进一步研发上线新产品和新</w:t>
      </w:r>
      <w:r>
        <w:rPr>
          <w:w w:val="100"/>
        </w:rPr>
        <w:t> </w:t>
      </w:r>
      <w:r>
        <w:rPr>
          <w:spacing w:val="-2"/>
        </w:rPr>
        <w:t>功能，进一步提升用户体验。报告期内，公司金融数据服务业务收入和互联网广告服务业务收入，同比有</w:t>
      </w:r>
      <w:r>
        <w:rPr>
          <w:spacing w:val="-47"/>
        </w:rPr>
        <w:t> </w:t>
      </w:r>
      <w:r>
        <w:rPr>
          <w:spacing w:val="-47"/>
        </w:rPr>
      </w:r>
      <w:r>
        <w:rPr/>
        <w:t>一定幅度下降。</w:t>
      </w:r>
    </w:p>
    <w:p>
      <w:pPr>
        <w:pStyle w:val="BodyText"/>
        <w:spacing w:line="240" w:lineRule="auto" w:before="15"/>
        <w:ind w:left="573" w:right="0"/>
        <w:jc w:val="left"/>
      </w:pPr>
      <w:r>
        <w:rPr>
          <w:spacing w:val="21"/>
        </w:rPr>
        <w:t>报告期内，公司实现营业总收入 </w:t>
      </w:r>
      <w:r>
        <w:rPr>
          <w:rFonts w:ascii="宋体" w:hAnsi="宋体" w:cs="宋体" w:eastAsia="宋体" w:hint="default"/>
        </w:rPr>
        <w:t>3,123,446,007.42 </w:t>
      </w:r>
      <w:r>
        <w:rPr>
          <w:spacing w:val="11"/>
        </w:rPr>
        <w:t>元， </w:t>
      </w:r>
      <w:r>
        <w:rPr>
          <w:spacing w:val="16"/>
        </w:rPr>
        <w:t>同比增长 </w:t>
      </w:r>
      <w:r>
        <w:rPr>
          <w:rFonts w:ascii="宋体" w:hAnsi="宋体" w:cs="宋体" w:eastAsia="宋体" w:hint="default"/>
        </w:rPr>
        <w:t>22.64%</w:t>
      </w:r>
      <w:r>
        <w:rPr>
          <w:rFonts w:ascii="宋体" w:hAnsi="宋体" w:cs="宋体" w:eastAsia="宋体" w:hint="default"/>
          <w:spacing w:val="-89"/>
        </w:rPr>
        <w:t> </w:t>
      </w:r>
      <w:r>
        <w:rPr>
          <w:spacing w:val="20"/>
        </w:rPr>
        <w:t>，公司营业总成本</w:t>
      </w:r>
      <w:r>
        <w:rPr>
          <w:spacing w:val="-81"/>
        </w:rPr>
        <w:t> </w:t>
      </w:r>
      <w:r>
        <w:rPr/>
      </w:r>
    </w:p>
    <w:p>
      <w:pPr>
        <w:pStyle w:val="BodyText"/>
        <w:spacing w:line="297" w:lineRule="auto" w:before="64"/>
        <w:ind w:right="1114"/>
        <w:jc w:val="left"/>
      </w:pPr>
      <w:r>
        <w:rPr>
          <w:rFonts w:ascii="宋体" w:hAnsi="宋体" w:cs="宋体" w:eastAsia="宋体" w:hint="default"/>
        </w:rPr>
        <w:t>2,272,442,976.05</w:t>
      </w:r>
      <w:r>
        <w:rPr>
          <w:rFonts w:ascii="宋体" w:hAnsi="宋体" w:cs="宋体" w:eastAsia="宋体" w:hint="default"/>
          <w:spacing w:val="-52"/>
        </w:rPr>
        <w:t> </w:t>
      </w:r>
      <w:r>
        <w:rPr>
          <w:spacing w:val="-12"/>
        </w:rPr>
        <w:t>元，同比增长</w:t>
      </w:r>
      <w:r>
        <w:rPr>
          <w:spacing w:val="-49"/>
        </w:rPr>
        <w:t> </w:t>
      </w:r>
      <w:r>
        <w:rPr>
          <w:rFonts w:ascii="宋体" w:hAnsi="宋体" w:cs="宋体" w:eastAsia="宋体" w:hint="default"/>
          <w:spacing w:val="-8"/>
        </w:rPr>
        <w:t>9.67%</w:t>
      </w:r>
      <w:r>
        <w:rPr>
          <w:spacing w:val="-8"/>
        </w:rPr>
        <w:t>。</w:t>
      </w:r>
      <w:r>
        <w:rPr>
          <w:rFonts w:ascii="宋体" w:hAnsi="宋体" w:cs="宋体" w:eastAsia="宋体" w:hint="default"/>
          <w:spacing w:val="-8"/>
        </w:rPr>
        <w:t>2018</w:t>
      </w:r>
      <w:r>
        <w:rPr>
          <w:rFonts w:ascii="宋体" w:hAnsi="宋体" w:cs="宋体" w:eastAsia="宋体" w:hint="default"/>
          <w:spacing w:val="-50"/>
        </w:rPr>
        <w:t> </w:t>
      </w:r>
      <w:r>
        <w:rPr/>
        <w:t>年度公司实现归属于上市公司股东的净利润</w:t>
      </w:r>
      <w:r>
        <w:rPr>
          <w:spacing w:val="-49"/>
        </w:rPr>
        <w:t> </w:t>
      </w:r>
      <w:r>
        <w:rPr>
          <w:rFonts w:ascii="宋体" w:hAnsi="宋体" w:cs="宋体" w:eastAsia="宋体" w:hint="default"/>
        </w:rPr>
        <w:t>958,695,412.88</w:t>
      </w:r>
      <w:r>
        <w:rPr>
          <w:rFonts w:ascii="宋体" w:hAnsi="宋体" w:cs="宋体" w:eastAsia="宋体" w:hint="default"/>
          <w:w w:val="100"/>
        </w:rPr>
        <w:t> </w:t>
      </w:r>
      <w:r>
        <w:rPr/>
        <w:t>元，同比增长</w:t>
      </w:r>
      <w:r>
        <w:rPr>
          <w:spacing w:val="-54"/>
        </w:rPr>
        <w:t> </w:t>
      </w:r>
      <w:r>
        <w:rPr>
          <w:rFonts w:ascii="宋体" w:hAnsi="宋体" w:cs="宋体" w:eastAsia="宋体" w:hint="default"/>
        </w:rPr>
        <w:t>50.52%</w:t>
      </w:r>
      <w:r>
        <w:rPr/>
        <w:t>。</w:t>
      </w:r>
    </w:p>
    <w:p>
      <w:pPr>
        <w:spacing w:line="240" w:lineRule="auto" w:before="11"/>
        <w:rPr>
          <w:rFonts w:ascii="宋体" w:hAnsi="宋体" w:cs="宋体" w:eastAsia="宋体" w:hint="default"/>
          <w:sz w:val="23"/>
          <w:szCs w:val="23"/>
        </w:rPr>
      </w:pPr>
    </w:p>
    <w:p>
      <w:pPr>
        <w:pStyle w:val="Heading3"/>
        <w:spacing w:line="240" w:lineRule="auto"/>
        <w:ind w:right="1114"/>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9"/>
        <w:ind w:right="1114"/>
        <w:jc w:val="left"/>
        <w:rPr>
          <w:b w:val="0"/>
          <w:bCs w:val="0"/>
        </w:rPr>
      </w:pPr>
      <w:r>
        <w:rPr/>
        <w:t>（</w:t>
      </w:r>
      <w:r>
        <w:rPr>
          <w:rFonts w:ascii="Times New Roman" w:hAnsi="Times New Roman" w:cs="Times New Roman" w:eastAsia="Times New Roman" w:hint="default"/>
        </w:rPr>
        <w:t>1</w:t>
      </w:r>
      <w:r>
        <w:rPr/>
        <w:t>）营业总收入构成</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6"/>
        <w:gridCol w:w="1594"/>
        <w:gridCol w:w="1594"/>
        <w:gridCol w:w="1594"/>
        <w:gridCol w:w="1595"/>
        <w:gridCol w:w="1595"/>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占营业总收入比重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1"/>
              <w:jc w:val="right"/>
              <w:rPr>
                <w:rFonts w:ascii="宋体" w:hAnsi="宋体" w:cs="宋体" w:eastAsia="宋体" w:hint="default"/>
                <w:sz w:val="18"/>
                <w:szCs w:val="18"/>
              </w:rPr>
            </w:pPr>
            <w:r>
              <w:rPr>
                <w:rFonts w:ascii="宋体" w:hAnsi="宋体" w:cs="宋体" w:eastAsia="宋体" w:hint="default"/>
                <w:sz w:val="18"/>
                <w:szCs w:val="18"/>
              </w:rPr>
              <w:t>占营业总收入比重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3,123,446,007.42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2,546,785,181.27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22.64%</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1,813,148,849.66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1,434,425,793.55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26.40%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20" w:bottom="1160" w:left="980" w:right="0"/>
        </w:sectPr>
      </w:pPr>
    </w:p>
    <w:p>
      <w:pPr>
        <w:spacing w:line="240" w:lineRule="auto" w:before="8"/>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1,310,297,157.76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1,112,359,387.72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17.79%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分服务</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1,813,148,849.66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1,434,425,793.55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26.40%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金融电子商务服务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1,065,419,166.35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844,201,334.76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26.20%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金融数据服务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159,682,454.63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169,155,857.38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互联网广告服务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71,011,246.00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78,993,692.78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-10.11%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14,184,290.78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20,008,502.80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-29.11%</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）占公司营业总收入或营业利润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52" w:footer="979" w:top="1320" w:bottom="1160" w:left="980" w:right="0"/>
        </w:sectPr>
      </w:pPr>
    </w:p>
    <w:p>
      <w:pPr>
        <w:spacing w:line="350" w:lineRule="auto" w:before="44"/>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公司是否需要遵守特殊行业的披露要求 是</w:t>
      </w:r>
    </w:p>
    <w:p>
      <w:pPr>
        <w:spacing w:before="32"/>
        <w:ind w:left="153" w:right="-20" w:firstLine="0"/>
        <w:jc w:val="left"/>
        <w:rPr>
          <w:rFonts w:ascii="宋体" w:hAnsi="宋体" w:cs="宋体" w:eastAsia="宋体" w:hint="default"/>
          <w:sz w:val="18"/>
          <w:szCs w:val="18"/>
        </w:rPr>
      </w:pPr>
      <w:r>
        <w:rPr>
          <w:rFonts w:ascii="宋体" w:hAnsi="宋体" w:cs="宋体" w:eastAsia="宋体" w:hint="default"/>
          <w:sz w:val="18"/>
          <w:szCs w:val="18"/>
        </w:rPr>
        <w:t>电子商务业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3214" w:space="5706"/>
            <w:col w:w="2010"/>
          </w:cols>
        </w:sectPr>
      </w:pP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26"/>
        <w:gridCol w:w="1561"/>
        <w:gridCol w:w="1274"/>
        <w:gridCol w:w="994"/>
        <w:gridCol w:w="1558"/>
        <w:gridCol w:w="1419"/>
        <w:gridCol w:w="1241"/>
      </w:tblGrid>
      <w:tr>
        <w:trPr>
          <w:trHeight w:val="754"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415" w:right="50" w:hanging="360"/>
              <w:jc w:val="left"/>
              <w:rPr>
                <w:rFonts w:ascii="宋体" w:hAnsi="宋体" w:cs="宋体" w:eastAsia="宋体" w:hint="default"/>
                <w:sz w:val="18"/>
                <w:szCs w:val="18"/>
              </w:rPr>
            </w:pPr>
            <w:r>
              <w:rPr>
                <w:rFonts w:ascii="宋体" w:hAnsi="宋体" w:cs="宋体" w:eastAsia="宋体" w:hint="default"/>
                <w:sz w:val="18"/>
                <w:szCs w:val="18"/>
              </w:rPr>
              <w:t>营业总收入比上年 同期增减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46" w:right="74"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54" w:right="74"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1,813,148,849.66</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26.40%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1,310,297,157.76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371,335,725.53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17.79%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分服务</w:t>
            </w:r>
          </w:p>
        </w:tc>
      </w:tr>
      <w:tr>
        <w:trPr>
          <w:trHeight w:val="40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1,813,148,849.66</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26.40%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金融电子商务服务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1,065,419,166.35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93,615,216.36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20.49%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6"/>
          <w:szCs w:val="26"/>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before="44"/>
        <w:ind w:left="0" w:right="104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870"/>
        <w:gridCol w:w="1277"/>
        <w:gridCol w:w="1558"/>
        <w:gridCol w:w="1277"/>
        <w:gridCol w:w="1416"/>
        <w:gridCol w:w="95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870"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958"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580" w:bottom="700" w:left="980" w:right="0"/>
        </w:sectPr>
      </w:pPr>
    </w:p>
    <w:p>
      <w:pPr>
        <w:spacing w:line="240" w:lineRule="auto" w:before="8"/>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870"/>
        <w:gridCol w:w="1277"/>
        <w:gridCol w:w="1558"/>
        <w:gridCol w:w="1277"/>
        <w:gridCol w:w="1416"/>
        <w:gridCol w:w="958"/>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网络技术及信息数据费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198,683,792.81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2" w:right="0"/>
              <w:jc w:val="left"/>
              <w:rPr>
                <w:rFonts w:ascii="Times New Roman" w:hAnsi="Times New Roman" w:cs="Times New Roman" w:eastAsia="Times New Roman" w:hint="default"/>
                <w:sz w:val="18"/>
                <w:szCs w:val="18"/>
              </w:rPr>
            </w:pPr>
            <w:r>
              <w:rPr>
                <w:rFonts w:ascii="Times New Roman"/>
                <w:sz w:val="18"/>
              </w:rPr>
              <w:t>53.51%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238,382,867.32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0" w:right="0"/>
              <w:jc w:val="left"/>
              <w:rPr>
                <w:rFonts w:ascii="Times New Roman" w:hAnsi="Times New Roman" w:cs="Times New Roman" w:eastAsia="Times New Roman" w:hint="default"/>
                <w:sz w:val="18"/>
                <w:szCs w:val="18"/>
              </w:rPr>
            </w:pPr>
            <w:r>
              <w:rPr>
                <w:rFonts w:ascii="Times New Roman"/>
                <w:sz w:val="18"/>
              </w:rPr>
              <w:t>60.05%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-16.65%</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95" w:lineRule="auto"/>
        <w:ind w:right="478"/>
        <w:jc w:val="left"/>
      </w:pPr>
      <w:r>
        <w:rPr>
          <w:rFonts w:ascii="Times New Roman" w:hAnsi="Times New Roman" w:cs="Times New Roman" w:eastAsia="Times New Roman" w:hint="default"/>
          <w:sz w:val="18"/>
          <w:szCs w:val="18"/>
        </w:rPr>
        <w:t>√ </w:t>
      </w:r>
      <w:r>
        <w:rPr>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否 </w:t>
      </w:r>
      <w:r>
        <w:rPr>
          <w:spacing w:val="-2"/>
        </w:rPr>
        <w:t>本期合并范围增加一家子公司和一家结构化主体，主要为：</w:t>
      </w:r>
      <w:r>
        <w:rPr>
          <w:rFonts w:ascii="宋体" w:hAnsi="宋体" w:cs="宋体" w:eastAsia="宋体" w:hint="default"/>
          <w:spacing w:val="-2"/>
        </w:rPr>
        <w:t>1</w:t>
      </w:r>
      <w:r>
        <w:rPr>
          <w:spacing w:val="-2"/>
        </w:rPr>
        <w:t>、新设东财基金。</w:t>
      </w:r>
      <w:r>
        <w:rPr>
          <w:rFonts w:ascii="宋体" w:hAnsi="宋体" w:cs="宋体" w:eastAsia="宋体" w:hint="default"/>
          <w:spacing w:val="-2"/>
        </w:rPr>
        <w:t>2</w:t>
      </w:r>
      <w:r>
        <w:rPr>
          <w:spacing w:val="-2"/>
        </w:rPr>
        <w:t>、本公司子公司东方财富</w:t>
      </w:r>
      <w:r>
        <w:rPr>
          <w:spacing w:val="-44"/>
        </w:rPr>
        <w:t> </w:t>
      </w:r>
      <w:r>
        <w:rPr>
          <w:spacing w:val="-44"/>
        </w:rPr>
      </w:r>
      <w:r>
        <w:rPr>
          <w:spacing w:val="-4"/>
        </w:rPr>
        <w:t>证券以自有资金认购“爱建信托钱潮</w:t>
      </w:r>
      <w:r>
        <w:rPr>
          <w:rFonts w:ascii="宋体" w:hAnsi="宋体" w:cs="宋体" w:eastAsia="宋体" w:hint="default"/>
          <w:spacing w:val="-4"/>
        </w:rPr>
        <w:t>3</w:t>
      </w:r>
      <w:r>
        <w:rPr>
          <w:spacing w:val="-4"/>
        </w:rPr>
        <w:t>号东方财富事务管理单一资金信托”，占比</w:t>
      </w:r>
      <w:r>
        <w:rPr>
          <w:rFonts w:ascii="宋体" w:hAnsi="宋体" w:cs="宋体" w:eastAsia="宋体" w:hint="default"/>
          <w:spacing w:val="-4"/>
        </w:rPr>
        <w:t>100.00%</w:t>
      </w:r>
      <w:r>
        <w:rPr>
          <w:spacing w:val="-4"/>
        </w:rPr>
        <w:t>，纳入合并范围。</w:t>
      </w:r>
    </w:p>
    <w:p>
      <w:pPr>
        <w:spacing w:line="240" w:lineRule="auto" w:before="6"/>
        <w:rPr>
          <w:rFonts w:ascii="宋体" w:hAnsi="宋体" w:cs="宋体" w:eastAsia="宋体" w:hint="default"/>
          <w:sz w:val="17"/>
          <w:szCs w:val="17"/>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1"/>
          <w:szCs w:val="21"/>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1"/>
          <w:szCs w:val="21"/>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5"/>
        <w:rPr>
          <w:rFonts w:ascii="宋体" w:hAnsi="宋体" w:cs="宋体" w:eastAsia="宋体" w:hint="default"/>
          <w:b/>
          <w:bCs/>
          <w:sz w:val="21"/>
          <w:szCs w:val="21"/>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6488"/>
        <w:gridCol w:w="3080"/>
      </w:tblGrid>
      <w:tr>
        <w:trPr>
          <w:trHeight w:val="401" w:hRule="exact"/>
        </w:trPr>
        <w:tc>
          <w:tcPr>
            <w:tcW w:w="6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341,752,612.89</w:t>
            </w:r>
          </w:p>
        </w:tc>
      </w:tr>
      <w:tr>
        <w:trPr>
          <w:trHeight w:val="403" w:hRule="exact"/>
        </w:trPr>
        <w:tc>
          <w:tcPr>
            <w:tcW w:w="6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10.94%</w:t>
            </w:r>
          </w:p>
        </w:tc>
      </w:tr>
      <w:tr>
        <w:trPr>
          <w:trHeight w:val="401" w:hRule="exact"/>
        </w:trPr>
        <w:tc>
          <w:tcPr>
            <w:tcW w:w="6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5"/>
        <w:rPr>
          <w:rFonts w:ascii="宋体" w:hAnsi="宋体" w:cs="宋体" w:eastAsia="宋体" w:hint="default"/>
          <w:sz w:val="6"/>
          <w:szCs w:val="6"/>
        </w:rPr>
      </w:pPr>
    </w:p>
    <w:p>
      <w:pPr>
        <w:spacing w:before="44"/>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802"/>
        <w:gridCol w:w="2427"/>
        <w:gridCol w:w="3260"/>
        <w:gridCol w:w="3080"/>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销售额（元）</w:t>
            </w:r>
          </w:p>
        </w:tc>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91,867,263.72</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81,727,952.47</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67,128,501.32</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53,907,712.22</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47,121,183.16</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341,752,612.89</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10.94%</w:t>
            </w:r>
          </w:p>
        </w:tc>
      </w:tr>
    </w:tbl>
    <w:p>
      <w:pPr>
        <w:spacing w:line="240" w:lineRule="auto" w:before="5"/>
        <w:rPr>
          <w:rFonts w:ascii="宋体" w:hAnsi="宋体" w:cs="宋体" w:eastAsia="宋体" w:hint="default"/>
          <w:sz w:val="6"/>
          <w:szCs w:val="6"/>
        </w:rPr>
      </w:pPr>
    </w:p>
    <w:p>
      <w:pPr>
        <w:spacing w:before="44"/>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6488"/>
        <w:gridCol w:w="3080"/>
      </w:tblGrid>
      <w:tr>
        <w:trPr>
          <w:trHeight w:val="403" w:hRule="exact"/>
        </w:trPr>
        <w:tc>
          <w:tcPr>
            <w:tcW w:w="6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197,666,505.47</w:t>
            </w:r>
          </w:p>
        </w:tc>
      </w:tr>
      <w:tr>
        <w:trPr>
          <w:trHeight w:val="401" w:hRule="exact"/>
        </w:trPr>
        <w:tc>
          <w:tcPr>
            <w:tcW w:w="6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21.14%</w:t>
            </w:r>
          </w:p>
        </w:tc>
      </w:tr>
      <w:tr>
        <w:trPr>
          <w:trHeight w:val="404" w:hRule="exact"/>
        </w:trPr>
        <w:tc>
          <w:tcPr>
            <w:tcW w:w="6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5"/>
        <w:rPr>
          <w:rFonts w:ascii="宋体" w:hAnsi="宋体" w:cs="宋体" w:eastAsia="宋体" w:hint="default"/>
          <w:sz w:val="6"/>
          <w:szCs w:val="6"/>
        </w:rPr>
      </w:pPr>
    </w:p>
    <w:p>
      <w:pPr>
        <w:spacing w:before="44"/>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934"/>
        <w:gridCol w:w="2295"/>
        <w:gridCol w:w="3260"/>
        <w:gridCol w:w="3080"/>
      </w:tblGrid>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供应商名称</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采购额（元）</w:t>
            </w:r>
          </w:p>
        </w:tc>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102,970,699.24</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11.01%</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32,083,000.00</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23,272,207.00</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23,154,217.00</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16,186,382.23</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20" w:bottom="1160" w:left="980" w:right="0"/>
        </w:sectPr>
      </w:pPr>
    </w:p>
    <w:p>
      <w:pPr>
        <w:spacing w:line="240" w:lineRule="auto" w:before="8"/>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934"/>
        <w:gridCol w:w="2295"/>
        <w:gridCol w:w="3260"/>
        <w:gridCol w:w="3080"/>
      </w:tblGrid>
      <w:tr>
        <w:trPr>
          <w:trHeight w:val="404"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2" w:right="0"/>
              <w:jc w:val="left"/>
              <w:rPr>
                <w:rFonts w:ascii="Times New Roman" w:hAnsi="Times New Roman" w:cs="Times New Roman" w:eastAsia="Times New Roman" w:hint="default"/>
                <w:sz w:val="18"/>
                <w:szCs w:val="18"/>
              </w:rPr>
            </w:pPr>
            <w:r>
              <w:rPr>
                <w:rFonts w:ascii="Times New Roman"/>
                <w:sz w:val="18"/>
              </w:rPr>
              <w:t>197,666,505.47</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21.14%</w:t>
            </w:r>
          </w:p>
        </w:tc>
      </w:tr>
    </w:tbl>
    <w:p>
      <w:pPr>
        <w:spacing w:line="240" w:lineRule="auto" w:before="8"/>
        <w:rPr>
          <w:rFonts w:ascii="宋体" w:hAnsi="宋体" w:cs="宋体" w:eastAsia="宋体" w:hint="default"/>
          <w:sz w:val="14"/>
          <w:szCs w:val="14"/>
        </w:rPr>
      </w:pPr>
    </w:p>
    <w:p>
      <w:pPr>
        <w:pStyle w:val="Heading5"/>
        <w:spacing w:line="240" w:lineRule="auto"/>
        <w:ind w:right="1114"/>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2"/>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668"/>
        <w:gridCol w:w="1606"/>
        <w:gridCol w:w="1608"/>
        <w:gridCol w:w="1606"/>
        <w:gridCol w:w="3080"/>
      </w:tblGrid>
      <w:tr>
        <w:trPr>
          <w:trHeight w:val="40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259,775,169.89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315,824,916.10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-17.75%</w:t>
            </w:r>
          </w:p>
        </w:tc>
        <w:tc>
          <w:tcPr>
            <w:tcW w:w="30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1,191,609,602.23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1,101,265,021.81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w:t>
            </w:r>
          </w:p>
        </w:tc>
        <w:tc>
          <w:tcPr>
            <w:tcW w:w="30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156,451,818.84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-32,303,606.15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584.32%</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可转债利息费用增加</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250,328,059.28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182,042,674.11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37.51%</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加大了研发投入</w:t>
            </w:r>
          </w:p>
        </w:tc>
      </w:tr>
    </w:tbl>
    <w:p>
      <w:pPr>
        <w:spacing w:line="240" w:lineRule="auto" w:before="9"/>
        <w:rPr>
          <w:rFonts w:ascii="宋体" w:hAnsi="宋体" w:cs="宋体" w:eastAsia="宋体" w:hint="default"/>
          <w:sz w:val="14"/>
          <w:szCs w:val="14"/>
        </w:rPr>
      </w:pPr>
    </w:p>
    <w:p>
      <w:pPr>
        <w:pStyle w:val="Heading5"/>
        <w:spacing w:line="240" w:lineRule="auto"/>
        <w:ind w:right="1114"/>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1"/>
          <w:szCs w:val="21"/>
        </w:rPr>
      </w:pPr>
    </w:p>
    <w:p>
      <w:pPr>
        <w:pStyle w:val="BodyText"/>
        <w:spacing w:line="295" w:lineRule="auto"/>
        <w:ind w:right="1114"/>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spacing w:val="-2"/>
        </w:rPr>
        <w:t>报告期内，公司积极跟踪和把握行业技术和发展动向，加强研发创新投入，积极做好新产品的研发和技</w:t>
      </w:r>
      <w:r>
        <w:rPr>
          <w:spacing w:val="-21"/>
        </w:rPr>
        <w:t> </w:t>
      </w:r>
      <w:r>
        <w:rPr>
          <w:spacing w:val="-21"/>
        </w:rPr>
      </w:r>
      <w:r>
        <w:rPr>
          <w:spacing w:val="-2"/>
        </w:rPr>
        <w:t>术储备工作，进一步丰富产品和服务，提升大平台的服务能力，为公司实现一站式互联网金融服务整体</w:t>
      </w:r>
    </w:p>
    <w:p>
      <w:pPr>
        <w:pStyle w:val="BodyText"/>
        <w:spacing w:line="280" w:lineRule="exact"/>
        <w:ind w:right="1114"/>
        <w:jc w:val="left"/>
      </w:pPr>
      <w:r>
        <w:rPr/>
        <w:t>战略目标打下坚实的基础。报告期内，公司新获得注册的商标</w:t>
      </w:r>
      <w:r>
        <w:rPr>
          <w:rFonts w:ascii="Times New Roman" w:hAnsi="Times New Roman" w:cs="Times New Roman" w:eastAsia="Times New Roman" w:hint="default"/>
        </w:rPr>
        <w:t>43</w:t>
      </w:r>
      <w:r>
        <w:rPr/>
        <w:t>项，软件著作权</w:t>
      </w:r>
      <w:r>
        <w:rPr>
          <w:rFonts w:ascii="Times New Roman" w:hAnsi="Times New Roman" w:cs="Times New Roman" w:eastAsia="Times New Roman" w:hint="default"/>
        </w:rPr>
        <w:t>44</w:t>
      </w:r>
      <w:r>
        <w:rPr/>
        <w:t>项，新增非专利技术</w:t>
      </w:r>
    </w:p>
    <w:p>
      <w:pPr>
        <w:pStyle w:val="BodyText"/>
        <w:spacing w:line="240" w:lineRule="auto" w:before="21"/>
        <w:ind w:right="1114"/>
        <w:jc w:val="left"/>
      </w:pPr>
      <w:r>
        <w:rPr>
          <w:rFonts w:ascii="Times New Roman" w:hAnsi="Times New Roman" w:cs="Times New Roman" w:eastAsia="Times New Roman" w:hint="default"/>
        </w:rPr>
        <w:t>14</w:t>
      </w:r>
      <w:r>
        <w:rPr/>
        <w:t>项。</w:t>
      </w:r>
    </w:p>
    <w:p>
      <w:pPr>
        <w:spacing w:before="82"/>
        <w:ind w:left="153" w:right="1114"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近三年公司研发投入金额及占营业总收入的比例</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512"/>
        <w:gridCol w:w="2019"/>
        <w:gridCol w:w="2019"/>
        <w:gridCol w:w="2018"/>
      </w:tblGrid>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4"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1,690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1,664</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1,646</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39.08%</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38.82%</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41.65%</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250,328,059.28</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182,042,674.11</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178,402,759.84</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研发投入占营业总收入比例</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研发投入总额占营业总收入的比重较上年发生显著变化的原因</w:t>
      </w:r>
    </w:p>
    <w:p>
      <w:pPr>
        <w:spacing w:line="340" w:lineRule="auto" w:before="115"/>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1"/>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before="0"/>
        <w:ind w:right="1114"/>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512"/>
        <w:gridCol w:w="2019"/>
        <w:gridCol w:w="2019"/>
        <w:gridCol w:w="2018"/>
      </w:tblGrid>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7" w:right="0"/>
              <w:jc w:val="left"/>
              <w:rPr>
                <w:rFonts w:ascii="Times New Roman" w:hAnsi="Times New Roman" w:cs="Times New Roman" w:eastAsia="Times New Roman" w:hint="default"/>
                <w:sz w:val="18"/>
                <w:szCs w:val="18"/>
              </w:rPr>
            </w:pPr>
            <w:r>
              <w:rPr>
                <w:rFonts w:ascii="Times New Roman"/>
                <w:sz w:val="18"/>
              </w:rPr>
              <w:t>7,873,942,926.26</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7" w:right="0"/>
              <w:jc w:val="left"/>
              <w:rPr>
                <w:rFonts w:ascii="Times New Roman" w:hAnsi="Times New Roman" w:cs="Times New Roman" w:eastAsia="Times New Roman" w:hint="default"/>
                <w:sz w:val="18"/>
                <w:szCs w:val="18"/>
              </w:rPr>
            </w:pPr>
            <w:r>
              <w:rPr>
                <w:rFonts w:ascii="Times New Roman"/>
                <w:sz w:val="18"/>
              </w:rPr>
              <w:t>5,455,274,293.92</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44.34%</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7" w:right="0"/>
              <w:jc w:val="left"/>
              <w:rPr>
                <w:rFonts w:ascii="Times New Roman" w:hAnsi="Times New Roman" w:cs="Times New Roman" w:eastAsia="Times New Roman" w:hint="default"/>
                <w:sz w:val="18"/>
                <w:szCs w:val="18"/>
              </w:rPr>
            </w:pPr>
            <w:r>
              <w:rPr>
                <w:rFonts w:ascii="Times New Roman"/>
                <w:sz w:val="18"/>
              </w:rPr>
              <w:t>5,206,597,933.93</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11,615,200,479.70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-55.17%</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7" w:right="0"/>
              <w:jc w:val="left"/>
              <w:rPr>
                <w:rFonts w:ascii="Times New Roman" w:hAnsi="Times New Roman" w:cs="Times New Roman" w:eastAsia="Times New Roman" w:hint="default"/>
                <w:sz w:val="18"/>
                <w:szCs w:val="18"/>
              </w:rPr>
            </w:pPr>
            <w:r>
              <w:rPr>
                <w:rFonts w:ascii="Times New Roman"/>
                <w:sz w:val="18"/>
              </w:rPr>
              <w:t>2,667,344,992.33</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-6,159,926,185.78</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20" w:bottom="1160" w:left="980" w:right="0"/>
        </w:sectPr>
      </w:pPr>
    </w:p>
    <w:p>
      <w:pPr>
        <w:spacing w:line="240" w:lineRule="auto" w:before="8"/>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512"/>
        <w:gridCol w:w="2019"/>
        <w:gridCol w:w="2019"/>
        <w:gridCol w:w="2018"/>
      </w:tblGrid>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2,880,370,833.33</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951,692,385.13</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202.66%</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4,056,242,505.98</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1,021,329,977.35</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297.15%</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-1,175,871,672.65</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-69,637,592.22</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-1,588.56%</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5,780,044,238.27</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14,087,831,947.42</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-58.97%</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7,585,687,185.57</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5,193,542,803.53</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46.06%</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-1,805,642,947.30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8,894,289,143.89</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-120.30%</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-304,729,632.52</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2,650,325,621.64</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-111.50%</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pStyle w:val="BodyText"/>
        <w:spacing w:line="300" w:lineRule="auto" w:before="115"/>
        <w:ind w:right="1114"/>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rFonts w:ascii="Times New Roman" w:hAnsi="Times New Roman" w:cs="Times New Roman" w:eastAsia="Times New Roman" w:hint="default"/>
        </w:rPr>
        <w:t>(1)</w:t>
      </w:r>
      <w:r>
        <w:rPr/>
        <w:t>报告期内，经营活动产生的现金流量净流入同比大幅增加，主要原因是融出资金同比减少。</w:t>
      </w:r>
      <w:r>
        <w:rPr>
          <w:w w:val="100"/>
        </w:rPr>
        <w:t> </w:t>
      </w:r>
      <w:r>
        <w:rPr>
          <w:rFonts w:ascii="Times New Roman" w:hAnsi="Times New Roman" w:cs="Times New Roman" w:eastAsia="Times New Roman" w:hint="default"/>
        </w:rPr>
        <w:t>(2)</w:t>
      </w:r>
      <w:r>
        <w:rPr/>
        <w:t>报告期内，投资活动产生的现金流量净流出同比大幅增加，主要原因是理财产品规模同比增加。</w:t>
      </w:r>
      <w:r>
        <w:rPr>
          <w:w w:val="100"/>
        </w:rPr>
        <w:t> </w:t>
      </w:r>
      <w:r>
        <w:rPr>
          <w:rFonts w:ascii="Times New Roman" w:hAnsi="Times New Roman" w:cs="Times New Roman" w:eastAsia="Times New Roman" w:hint="default"/>
          <w:spacing w:val="-2"/>
        </w:rPr>
        <w:t>(3)</w:t>
      </w:r>
      <w:r>
        <w:rPr>
          <w:spacing w:val="-2"/>
        </w:rPr>
        <w:t>报告期内，筹资活动产生的现金流量净流出同比大幅增加，主要原因是收益凭证融资规模同比减少。</w:t>
      </w:r>
    </w:p>
    <w:p>
      <w:pPr>
        <w:spacing w:line="240" w:lineRule="auto" w:before="9"/>
        <w:rPr>
          <w:rFonts w:ascii="宋体" w:hAnsi="宋体" w:cs="宋体" w:eastAsia="宋体" w:hint="default"/>
          <w:sz w:val="28"/>
          <w:szCs w:val="28"/>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pStyle w:val="BodyText"/>
        <w:spacing w:line="295" w:lineRule="auto" w:before="117"/>
        <w:ind w:right="1114"/>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spacing w:val="-2"/>
        </w:rPr>
        <w:t>报告期内，公司经营活动产生的现金净流量与本年度净利润存在差异的主要原因是东方财富证券融出资</w:t>
      </w:r>
      <w:r>
        <w:rPr>
          <w:spacing w:val="-21"/>
        </w:rPr>
        <w:t> </w:t>
      </w:r>
      <w:r>
        <w:rPr>
          <w:spacing w:val="-21"/>
        </w:rPr>
      </w:r>
      <w:r>
        <w:rPr/>
        <w:t>金大幅减少。</w:t>
      </w:r>
    </w:p>
    <w:p>
      <w:pPr>
        <w:spacing w:line="240" w:lineRule="auto" w:before="12"/>
        <w:rPr>
          <w:rFonts w:ascii="宋体" w:hAnsi="宋体" w:cs="宋体" w:eastAsia="宋体" w:hint="default"/>
          <w:sz w:val="19"/>
          <w:szCs w:val="19"/>
        </w:rPr>
      </w:pPr>
    </w:p>
    <w:p>
      <w:pPr>
        <w:pStyle w:val="Heading3"/>
        <w:spacing w:line="240" w:lineRule="auto"/>
        <w:ind w:right="1114"/>
        <w:jc w:val="left"/>
        <w:rPr>
          <w:b w:val="0"/>
          <w:bCs w:val="0"/>
        </w:rPr>
      </w:pPr>
      <w:r>
        <w:rPr/>
        <w:t>三、非主营业务情况</w:t>
      </w:r>
      <w:r>
        <w:rPr>
          <w:b w:val="0"/>
          <w:bCs w:val="0"/>
        </w:rPr>
      </w:r>
    </w:p>
    <w:p>
      <w:pPr>
        <w:spacing w:line="240" w:lineRule="auto" w:before="7"/>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14"/>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093"/>
        <w:gridCol w:w="1561"/>
        <w:gridCol w:w="708"/>
        <w:gridCol w:w="1560"/>
        <w:gridCol w:w="708"/>
        <w:gridCol w:w="850"/>
        <w:gridCol w:w="2090"/>
      </w:tblGrid>
      <w:tr>
        <w:trPr>
          <w:trHeight w:val="402" w:hRule="exact"/>
        </w:trPr>
        <w:tc>
          <w:tcPr>
            <w:tcW w:w="2093" w:type="dxa"/>
            <w:vMerge w:val="restart"/>
            <w:tcBorders>
              <w:top w:val="single" w:sz="4" w:space="0" w:color="000000"/>
              <w:left w:val="single" w:sz="4" w:space="0" w:color="000000"/>
              <w:right w:val="single" w:sz="4" w:space="0" w:color="000000"/>
            </w:tcBorders>
            <w:shd w:val="clear" w:color="auto" w:fill="D2D2D2"/>
          </w:tcPr>
          <w:p>
            <w:pP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2093"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9" w:right="77"/>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9" w:right="77"/>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850" w:type="dxa"/>
            <w:vMerge/>
            <w:tcBorders>
              <w:left w:val="single" w:sz="4" w:space="0" w:color="000000"/>
              <w:bottom w:val="single" w:sz="4" w:space="0" w:color="000000"/>
              <w:right w:val="single" w:sz="4" w:space="0" w:color="000000"/>
            </w:tcBorders>
            <w:shd w:val="clear" w:color="auto" w:fill="D2D2D2"/>
          </w:tcPr>
          <w:p>
            <w:pPr/>
          </w:p>
        </w:tc>
        <w:tc>
          <w:tcPr>
            <w:tcW w:w="209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11,334,325,902.76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12,080,276,919.84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20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257,906,912.27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329,333,537.27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-0.14%</w:t>
            </w:r>
          </w:p>
        </w:tc>
        <w:tc>
          <w:tcPr>
            <w:tcW w:w="20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145,708,168.60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142,249,974.42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20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444,788,404.58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410,436,340.87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0.14%</w:t>
            </w:r>
          </w:p>
        </w:tc>
        <w:tc>
          <w:tcPr>
            <w:tcW w:w="20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1,716,423,761.02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1,761,274,524.65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20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9,942,080.28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43,834,230.95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-0.08%</w:t>
            </w:r>
          </w:p>
        </w:tc>
        <w:tc>
          <w:tcPr>
            <w:tcW w:w="20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213,057,069.31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297,985,533.82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20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5,562,782,650.55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2,668,824,820.53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7.59%</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购买的理财产品增加</w:t>
            </w:r>
          </w:p>
        </w:tc>
      </w:tr>
    </w:tbl>
    <w:p>
      <w:pPr>
        <w:spacing w:after="0" w:line="240" w:lineRule="auto"/>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8"/>
        <w:rPr>
          <w:rFonts w:ascii="宋体" w:hAnsi="宋体" w:cs="宋体" w:eastAsia="宋体" w:hint="default"/>
          <w:sz w:val="8"/>
          <w:szCs w:val="8"/>
        </w:rPr>
      </w:pPr>
    </w:p>
    <w:tbl>
      <w:tblPr>
        <w:tblW w:w="0" w:type="auto"/>
        <w:jc w:val="left"/>
        <w:tblInd w:w="882" w:type="dxa"/>
        <w:tblLayout w:type="fixed"/>
        <w:tblCellMar>
          <w:top w:w="0" w:type="dxa"/>
          <w:left w:w="0" w:type="dxa"/>
          <w:bottom w:w="0" w:type="dxa"/>
          <w:right w:w="0" w:type="dxa"/>
        </w:tblCellMar>
        <w:tblLook w:val="01E0"/>
      </w:tblPr>
      <w:tblGrid>
        <w:gridCol w:w="2093"/>
        <w:gridCol w:w="1561"/>
        <w:gridCol w:w="708"/>
        <w:gridCol w:w="1560"/>
        <w:gridCol w:w="708"/>
        <w:gridCol w:w="850"/>
        <w:gridCol w:w="2090"/>
      </w:tblGrid>
      <w:tr>
        <w:trPr>
          <w:trHeight w:val="363" w:hRule="exact"/>
        </w:trPr>
        <w:tc>
          <w:tcPr>
            <w:tcW w:w="2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计入当期损益的金融资产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1,508,886,850.22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5,468,250,935.29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-9.28%</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质押式回购业务规模减少</w:t>
            </w:r>
          </w:p>
        </w:tc>
      </w:tr>
      <w:tr>
        <w:trPr>
          <w:trHeight w:val="715" w:hRule="exact"/>
        </w:trPr>
        <w:tc>
          <w:tcPr>
            <w:tcW w:w="2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85,985,126.50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3,658,113,625.82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-8.52%</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2"/>
              <w:jc w:val="left"/>
              <w:rPr>
                <w:rFonts w:ascii="宋体" w:hAnsi="宋体" w:cs="宋体" w:eastAsia="宋体" w:hint="default"/>
                <w:sz w:val="18"/>
                <w:szCs w:val="18"/>
              </w:rPr>
            </w:pPr>
            <w:r>
              <w:rPr>
                <w:rFonts w:ascii="宋体" w:hAnsi="宋体" w:cs="宋体" w:eastAsia="宋体" w:hint="default"/>
                <w:sz w:val="18"/>
                <w:szCs w:val="18"/>
              </w:rPr>
              <w:t>融资业务债权收益权转让 及回购业务规模减少</w:t>
            </w:r>
          </w:p>
        </w:tc>
      </w:tr>
    </w:tbl>
    <w:p>
      <w:pPr>
        <w:spacing w:line="240" w:lineRule="auto" w:before="3"/>
        <w:rPr>
          <w:rFonts w:ascii="宋体" w:hAnsi="宋体" w:cs="宋体" w:eastAsia="宋体" w:hint="default"/>
          <w:sz w:val="19"/>
          <w:szCs w:val="19"/>
        </w:rPr>
      </w:pPr>
    </w:p>
    <w:p>
      <w:pPr>
        <w:pStyle w:val="Heading5"/>
        <w:spacing w:line="240" w:lineRule="auto"/>
        <w:ind w:left="853"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8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4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649"/>
        <w:gridCol w:w="1315"/>
        <w:gridCol w:w="1251"/>
        <w:gridCol w:w="1356"/>
        <w:gridCol w:w="1229"/>
        <w:gridCol w:w="1585"/>
        <w:gridCol w:w="1406"/>
        <w:gridCol w:w="1323"/>
      </w:tblGrid>
      <w:tr>
        <w:trPr>
          <w:trHeight w:val="71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7" w:right="82" w:hanging="181"/>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31" w:right="45"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本期其他增加</w:t>
            </w:r>
          </w:p>
        </w:tc>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本期出售金额</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9465" w:type="dxa"/>
            <w:gridSpan w:val="7"/>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1"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 其变动计入当期损 益的金融资产（不 含衍生金融资产）</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2,668,824,820.53</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52,268,370.81</w:t>
            </w:r>
          </w:p>
        </w:tc>
        <w:tc>
          <w:tcPr>
            <w:tcW w:w="135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91,979,293,261.92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89,137,603,802.71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5,562,782,650.55</w:t>
            </w:r>
          </w:p>
        </w:tc>
      </w:tr>
      <w:tr>
        <w:trPr>
          <w:trHeight w:val="40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248,268.00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-5,120,741.03</w:t>
            </w:r>
          </w:p>
        </w:tc>
        <w:tc>
          <w:tcPr>
            <w:tcW w:w="135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487,181.33</w:t>
            </w:r>
          </w:p>
        </w:tc>
      </w:tr>
      <w:tr>
        <w:trPr>
          <w:trHeight w:val="401"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8,488,086.30</w:t>
            </w:r>
          </w:p>
        </w:tc>
        <w:tc>
          <w:tcPr>
            <w:tcW w:w="125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-979,103.37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158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14,008,982.93</w:t>
            </w:r>
          </w:p>
        </w:tc>
      </w:tr>
      <w:tr>
        <w:trPr>
          <w:trHeight w:val="40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金融资产合计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2,677,561,174.83</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47,147,629.78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-979,103.37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 w:right="0"/>
              <w:jc w:val="left"/>
              <w:rPr>
                <w:rFonts w:ascii="Times New Roman" w:hAnsi="Times New Roman" w:cs="Times New Roman" w:eastAsia="Times New Roman" w:hint="default"/>
                <w:sz w:val="18"/>
                <w:szCs w:val="18"/>
              </w:rPr>
            </w:pPr>
            <w:r>
              <w:rPr>
                <w:rFonts w:ascii="Times New Roman"/>
                <w:sz w:val="18"/>
              </w:rPr>
              <w:t>91,979,293,261.92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89,137,603,802.71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5,577,278,814.81</w:t>
            </w:r>
          </w:p>
        </w:tc>
      </w:tr>
      <w:tr>
        <w:trPr>
          <w:trHeight w:val="401"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9465" w:type="dxa"/>
            <w:gridSpan w:val="7"/>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衍生金融负债</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2,060,340.00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-2,060,340.00</w:t>
            </w:r>
          </w:p>
        </w:tc>
        <w:tc>
          <w:tcPr>
            <w:tcW w:w="135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1" w:right="3"/>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以公允价值计量且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8"/>
                <w:sz w:val="18"/>
                <w:szCs w:val="18"/>
              </w:rPr>
              <w:t>其变动计入当期损</w:t>
            </w:r>
            <w:r>
              <w:rPr>
                <w:rFonts w:ascii="宋体" w:hAnsi="宋体" w:cs="宋体" w:eastAsia="宋体" w:hint="default"/>
                <w:spacing w:val="-88"/>
                <w:sz w:val="18"/>
                <w:szCs w:val="18"/>
              </w:rPr>
              <w:t> </w:t>
            </w:r>
            <w:r>
              <w:rPr>
                <w:rFonts w:ascii="宋体" w:hAnsi="宋体" w:cs="宋体" w:eastAsia="宋体" w:hint="default"/>
                <w:spacing w:val="-4"/>
                <w:sz w:val="18"/>
                <w:szCs w:val="18"/>
              </w:rPr>
              <w:t>益的金融负债（不包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含衍生金融资产）</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金融负债合计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2,060,340.00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-2,060,340.00</w:t>
            </w:r>
          </w:p>
        </w:tc>
        <w:tc>
          <w:tcPr>
            <w:tcW w:w="135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bl>
    <w:p>
      <w:pPr>
        <w:spacing w:before="49"/>
        <w:ind w:left="853"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8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6"/>
          <w:szCs w:val="26"/>
        </w:rPr>
      </w:pPr>
    </w:p>
    <w:p>
      <w:pPr>
        <w:pStyle w:val="Heading5"/>
        <w:spacing w:line="240" w:lineRule="auto" w:before="0"/>
        <w:ind w:left="853"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854" w:type="dxa"/>
        <w:tblLayout w:type="fixed"/>
        <w:tblCellMar>
          <w:top w:w="0" w:type="dxa"/>
          <w:left w:w="0" w:type="dxa"/>
          <w:bottom w:w="0" w:type="dxa"/>
          <w:right w:w="0" w:type="dxa"/>
        </w:tblCellMar>
        <w:tblLook w:val="01E0"/>
      </w:tblPr>
      <w:tblGrid>
        <w:gridCol w:w="4247"/>
        <w:gridCol w:w="2105"/>
        <w:gridCol w:w="3277"/>
      </w:tblGrid>
      <w:tr>
        <w:trPr>
          <w:trHeight w:val="317"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37" w:right="0"/>
              <w:jc w:val="left"/>
              <w:rPr>
                <w:rFonts w:ascii="宋体" w:hAnsi="宋体" w:cs="宋体" w:eastAsia="宋体" w:hint="default"/>
                <w:sz w:val="18"/>
                <w:szCs w:val="18"/>
              </w:rPr>
            </w:pPr>
            <w:r>
              <w:rPr>
                <w:rFonts w:ascii="宋体" w:hAnsi="宋体" w:cs="宋体" w:eastAsia="宋体" w:hint="default"/>
                <w:sz w:val="18"/>
                <w:szCs w:val="18"/>
              </w:rPr>
              <w:t>期末账面价值（元）</w:t>
            </w:r>
          </w:p>
        </w:tc>
        <w:tc>
          <w:tcPr>
            <w:tcW w:w="3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66"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10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151,138,747.23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卖出回购业务质押、融券业务融出证券</w:t>
            </w:r>
          </w:p>
        </w:tc>
      </w:tr>
      <w:tr>
        <w:trPr>
          <w:trHeight w:val="322"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1,106,520,279.57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以自有资产抵押向银行申请授信及贷款</w:t>
            </w:r>
          </w:p>
        </w:tc>
      </w:tr>
      <w:tr>
        <w:trPr>
          <w:trHeight w:val="322"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1,257,659,026.80</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20" w:bottom="1160" w:left="280" w:right="0"/>
        </w:sectPr>
      </w:pPr>
    </w:p>
    <w:p>
      <w:pPr>
        <w:pStyle w:val="Heading3"/>
        <w:spacing w:line="240" w:lineRule="auto" w:before="75"/>
        <w:ind w:left="733"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left="733"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spacing w:before="0"/>
        <w:ind w:left="7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before="0"/>
        <w:ind w:left="733"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spacing w:before="44"/>
        <w:ind w:left="7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77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346" w:type="dxa"/>
        <w:tblLayout w:type="fixed"/>
        <w:tblCellMar>
          <w:top w:w="0" w:type="dxa"/>
          <w:left w:w="0" w:type="dxa"/>
          <w:bottom w:w="0" w:type="dxa"/>
          <w:right w:w="0" w:type="dxa"/>
        </w:tblCellMar>
        <w:tblLook w:val="01E0"/>
      </w:tblPr>
      <w:tblGrid>
        <w:gridCol w:w="848"/>
        <w:gridCol w:w="1147"/>
        <w:gridCol w:w="662"/>
        <w:gridCol w:w="814"/>
        <w:gridCol w:w="739"/>
        <w:gridCol w:w="662"/>
        <w:gridCol w:w="658"/>
        <w:gridCol w:w="655"/>
        <w:gridCol w:w="658"/>
        <w:gridCol w:w="629"/>
        <w:gridCol w:w="740"/>
        <w:gridCol w:w="518"/>
        <w:gridCol w:w="950"/>
        <w:gridCol w:w="723"/>
      </w:tblGrid>
      <w:tr>
        <w:trPr>
          <w:trHeight w:val="754" w:hRule="exact"/>
        </w:trPr>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148" w:right="58" w:hanging="92"/>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46" w:right="144"/>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23" w:right="218"/>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84" w:right="182"/>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46" w:right="14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44" w:right="139"/>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43" w:right="143"/>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29" w:right="127"/>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95" w:right="9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74" w:right="72"/>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77" w:right="173"/>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1027" w:hRule="exact"/>
        </w:trPr>
        <w:tc>
          <w:tcPr>
            <w:tcW w:w="8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东财基金</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公开募集证券 投资基金管 理、基金销售</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66"/>
              <w:jc w:val="right"/>
              <w:rPr>
                <w:rFonts w:ascii="宋体" w:hAnsi="宋体" w:cs="宋体" w:eastAsia="宋体" w:hint="default"/>
                <w:sz w:val="18"/>
                <w:szCs w:val="18"/>
              </w:rPr>
            </w:pPr>
            <w:r>
              <w:rPr>
                <w:rFonts w:ascii="宋体" w:hAnsi="宋体" w:cs="宋体" w:eastAsia="宋体" w:hint="default"/>
                <w:sz w:val="18"/>
                <w:szCs w:val="18"/>
              </w:rPr>
              <w:t>新设</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20,000.00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24" w:right="2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9"/>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2"/>
              <w:jc w:val="left"/>
              <w:rPr>
                <w:rFonts w:ascii="Times New Roman" w:hAnsi="Times New Roman" w:cs="Times New Roman" w:eastAsia="Times New Roman" w:hint="default"/>
                <w:sz w:val="18"/>
                <w:szCs w:val="18"/>
              </w:rPr>
            </w:pPr>
            <w:hyperlink r:id="rId18">
              <w:r>
                <w:rPr>
                  <w:rFonts w:ascii="Times New Roman"/>
                  <w:sz w:val="18"/>
                </w:rPr>
                <w:t>http://w</w:t>
              </w:r>
            </w:hyperlink>
            <w:r>
              <w:rPr>
                <w:rFonts w:ascii="Times New Roman"/>
                <w:w w:val="99"/>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tc>
      </w:tr>
      <w:tr>
        <w:trPr>
          <w:trHeight w:val="401" w:hRule="exact"/>
        </w:trPr>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64"/>
              <w:jc w:val="right"/>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20,000.00</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9"/>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ind w:left="733"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7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before="0"/>
        <w:ind w:left="733"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spacing w:before="44"/>
        <w:ind w:left="7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50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848"/>
        <w:gridCol w:w="1416"/>
        <w:gridCol w:w="1277"/>
        <w:gridCol w:w="1390"/>
        <w:gridCol w:w="1424"/>
        <w:gridCol w:w="1411"/>
        <w:gridCol w:w="1184"/>
        <w:gridCol w:w="1385"/>
        <w:gridCol w:w="528"/>
      </w:tblGrid>
      <w:tr>
        <w:trPr>
          <w:trHeight w:val="754" w:hRule="exact"/>
        </w:trPr>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71" w:right="94"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48" w:right="60"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345" w:right="346"/>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338" w:right="341"/>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累计投资收益</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76" w:right="79"/>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351,066,670.40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-1,568,150.28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41,934,668,132.63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42,870,171,014.66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25,287,696.86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313,836,859.53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34"/>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5"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2,138,191,627.96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-3,253,341.44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6,246,692,651.61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4,135,147,214.47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33,246,401.72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2,141,979,419.00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34"/>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43,039,209.72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-1,673,771.50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17,072,477.68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10,275,573.58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-325,265.20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44,149,791.60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34"/>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5"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3,040,350,000.00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58,763,634.03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-1,491,017.07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43,780,860,000.00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42,122,010,000.00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89,662,096.32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3,076,825,563.35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34"/>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2"/>
              <w:jc w:val="left"/>
              <w:rPr>
                <w:rFonts w:ascii="宋体" w:hAnsi="宋体" w:cs="宋体" w:eastAsia="宋体" w:hint="default"/>
                <w:sz w:val="18"/>
                <w:szCs w:val="18"/>
              </w:rPr>
            </w:pPr>
            <w:r>
              <w:rPr>
                <w:rFonts w:ascii="宋体" w:hAnsi="宋体" w:cs="宋体" w:eastAsia="宋体" w:hint="default"/>
                <w:sz w:val="18"/>
                <w:szCs w:val="18"/>
              </w:rPr>
              <w:t>金融衍生 工具</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-5,120,741.03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1,336,770.66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487,181.33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34"/>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03" w:hRule="exact"/>
        </w:trPr>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5,572,647,508.08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47,147,629.78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-1,491,017.07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91,979,293,261.92</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89,137,603,802.71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149,207,700.36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5,577,278,814.81</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79" w:top="1320" w:bottom="1160" w:left="400" w:right="0"/>
        </w:sectPr>
      </w:pPr>
    </w:p>
    <w:p>
      <w:pPr>
        <w:pStyle w:val="Heading5"/>
        <w:spacing w:line="240" w:lineRule="auto" w:before="100"/>
        <w:ind w:left="693" w:right="73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69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before="0"/>
        <w:ind w:left="693" w:right="73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69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9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498" w:type="dxa"/>
        <w:tblLayout w:type="fixed"/>
        <w:tblCellMar>
          <w:top w:w="0" w:type="dxa"/>
          <w:left w:w="0" w:type="dxa"/>
          <w:bottom w:w="0" w:type="dxa"/>
          <w:right w:w="0" w:type="dxa"/>
        </w:tblCellMar>
        <w:tblLook w:val="01E0"/>
      </w:tblPr>
      <w:tblGrid>
        <w:gridCol w:w="536"/>
        <w:gridCol w:w="1351"/>
        <w:gridCol w:w="872"/>
        <w:gridCol w:w="869"/>
        <w:gridCol w:w="871"/>
        <w:gridCol w:w="869"/>
        <w:gridCol w:w="1022"/>
        <w:gridCol w:w="869"/>
        <w:gridCol w:w="872"/>
        <w:gridCol w:w="1022"/>
        <w:gridCol w:w="869"/>
      </w:tblGrid>
      <w:tr>
        <w:trPr>
          <w:trHeight w:val="1339" w:hRule="exact"/>
        </w:trPr>
        <w:tc>
          <w:tcPr>
            <w:tcW w:w="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81" w:right="82"/>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9" w:right="70"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7" w:right="53"/>
              <w:jc w:val="center"/>
              <w:rPr>
                <w:rFonts w:ascii="宋体" w:hAnsi="宋体" w:cs="宋体" w:eastAsia="宋体" w:hint="default"/>
                <w:sz w:val="18"/>
                <w:szCs w:val="18"/>
              </w:rPr>
            </w:pPr>
            <w:r>
              <w:rPr>
                <w:rFonts w:ascii="宋体" w:hAnsi="宋体" w:cs="宋体" w:eastAsia="宋体" w:hint="default"/>
                <w:sz w:val="18"/>
                <w:szCs w:val="18"/>
              </w:rPr>
              <w:t>累计变更用 途的募集资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7"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70"/>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5" w:right="55"/>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7" w:right="70"/>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1" w:hRule="exact"/>
        </w:trPr>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130,455.45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130,335.03</w:t>
            </w:r>
          </w:p>
        </w:tc>
        <w:tc>
          <w:tcPr>
            <w:tcW w:w="86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46,214.82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120.42</w:t>
            </w:r>
          </w:p>
        </w:tc>
      </w:tr>
      <w:tr>
        <w:trPr>
          <w:trHeight w:val="403" w:hRule="exact"/>
        </w:trPr>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397,599.99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397,599.99</w:t>
            </w:r>
          </w:p>
        </w:tc>
        <w:tc>
          <w:tcPr>
            <w:tcW w:w="86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公开发行可转债</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462,144.50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62,144.50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462,144.50</w:t>
            </w:r>
          </w:p>
        </w:tc>
        <w:tc>
          <w:tcPr>
            <w:tcW w:w="86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990,199.94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82,144.50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990,079.52</w:t>
            </w:r>
          </w:p>
        </w:tc>
        <w:tc>
          <w:tcPr>
            <w:tcW w:w="86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46,214.82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120.42</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120.42</w:t>
            </w:r>
          </w:p>
        </w:tc>
      </w:tr>
    </w:tbl>
    <w:p>
      <w:pPr>
        <w:spacing w:line="240" w:lineRule="auto" w:before="3"/>
        <w:rPr>
          <w:rFonts w:ascii="宋体" w:hAnsi="宋体" w:cs="宋体" w:eastAsia="宋体" w:hint="default"/>
          <w:sz w:val="19"/>
          <w:szCs w:val="19"/>
        </w:rPr>
      </w:pPr>
    </w:p>
    <w:p>
      <w:pPr>
        <w:pStyle w:val="Heading5"/>
        <w:spacing w:line="240" w:lineRule="auto"/>
        <w:ind w:left="693" w:right="73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69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59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1863"/>
        <w:gridCol w:w="722"/>
        <w:gridCol w:w="1025"/>
        <w:gridCol w:w="874"/>
        <w:gridCol w:w="794"/>
        <w:gridCol w:w="1028"/>
        <w:gridCol w:w="722"/>
        <w:gridCol w:w="872"/>
        <w:gridCol w:w="722"/>
        <w:gridCol w:w="722"/>
        <w:gridCol w:w="722"/>
        <w:gridCol w:w="723"/>
      </w:tblGrid>
      <w:tr>
        <w:trPr>
          <w:trHeight w:val="1650"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57" w:lineRule="auto"/>
              <w:ind w:left="386" w:right="293" w:hanging="89"/>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5" w:right="58"/>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7" w:right="5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1" w:right="31"/>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5"/>
              <w:ind w:left="57" w:right="58"/>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0"/>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1079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大型网络在线平台系 统升级项目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11,739.56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11,739.56</w:t>
            </w:r>
          </w:p>
        </w:tc>
        <w:tc>
          <w:tcPr>
            <w:tcW w:w="79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11,726.90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99.89%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在线金融数据服务系 统升级项目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13,676.79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13,676.79</w:t>
            </w:r>
          </w:p>
        </w:tc>
        <w:tc>
          <w:tcPr>
            <w:tcW w:w="79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13,639.71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99.73%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基于手机端的财经信 息服务系统项目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4,571.89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4,571.89</w:t>
            </w:r>
          </w:p>
        </w:tc>
        <w:tc>
          <w:tcPr>
            <w:tcW w:w="79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4,568.42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99.92%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增资东方财富证券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397,599.99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397,599.99</w:t>
            </w:r>
          </w:p>
        </w:tc>
        <w:tc>
          <w:tcPr>
            <w:tcW w:w="79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397,599.99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补充东方财富证券营 运资金</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462,144.50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462,144.50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62,144.50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462,144.50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889,732.73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889,732.73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62,144.50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889,679.52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1079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建设研发基地与金融</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46,214.82</w:t>
            </w:r>
          </w:p>
        </w:tc>
        <w:tc>
          <w:tcPr>
            <w:tcW w:w="87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2" w:footer="979" w:top="1320" w:bottom="1160" w:left="44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1863"/>
        <w:gridCol w:w="722"/>
        <w:gridCol w:w="1025"/>
        <w:gridCol w:w="874"/>
        <w:gridCol w:w="794"/>
        <w:gridCol w:w="1028"/>
        <w:gridCol w:w="722"/>
        <w:gridCol w:w="872"/>
        <w:gridCol w:w="722"/>
        <w:gridCol w:w="722"/>
        <w:gridCol w:w="722"/>
        <w:gridCol w:w="723"/>
      </w:tblGrid>
      <w:tr>
        <w:trPr>
          <w:trHeight w:val="36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信息服务中心</w:t>
            </w:r>
          </w:p>
        </w:tc>
        <w:tc>
          <w:tcPr>
            <w:tcW w:w="72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东方财富金融数据机 构服务平台系统项目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增资天天基金</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增资天天基金</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增资东财研究所</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成立基金管理公司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设立小额贷款公司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增资扬州东财</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发起设立中证信用云</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增资东方财富证券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1025"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142,674.82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96,460.00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114,460.00</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1,032,407.55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986,192.73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82,144.50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1,004,139.52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r>
      <w:tr>
        <w:trPr>
          <w:trHeight w:val="2897"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27"/>
              <w:jc w:val="both"/>
              <w:rPr>
                <w:rFonts w:ascii="宋体" w:hAnsi="宋体" w:cs="宋体" w:eastAsia="宋体" w:hint="default"/>
                <w:sz w:val="18"/>
                <w:szCs w:val="18"/>
              </w:rPr>
            </w:pPr>
            <w:r>
              <w:rPr>
                <w:rFonts w:ascii="宋体" w:hAnsi="宋体" w:cs="宋体" w:eastAsia="宋体" w:hint="default"/>
                <w:sz w:val="18"/>
                <w:szCs w:val="18"/>
              </w:rPr>
              <w:t>未达到计划进度或预计 收益的情况和原因（分 具体项目）</w:t>
            </w:r>
          </w:p>
        </w:tc>
        <w:tc>
          <w:tcPr>
            <w:tcW w:w="8928"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3"/>
              <w:jc w:val="both"/>
              <w:rPr>
                <w:rFonts w:ascii="Times New Roman" w:hAnsi="Times New Roman" w:cs="Times New Roman" w:eastAsia="Times New Roman" w:hint="default"/>
                <w:sz w:val="18"/>
                <w:szCs w:val="18"/>
              </w:rPr>
            </w:pPr>
            <w:r>
              <w:rPr>
                <w:rFonts w:ascii="宋体" w:hAnsi="宋体" w:cs="宋体" w:eastAsia="宋体" w:hint="default"/>
                <w:sz w:val="18"/>
                <w:szCs w:val="18"/>
              </w:rPr>
              <w:t>大型网络在线平台系统升级项目已建成，其建成后为公司现有服务及其他两个募集资金投资项目提供全面平台支 持，不单独核算投资效益。基于手机端的财经信息服务系统项目已建成，其建成后主要与公司现有服务及其他两 个募集资金投资项目相结合，实现协同效应，不单独进行手机端项目收费，不单独核算投资效益。研发基地和金 融信息服务中心项目，鉴于公司业务发展、项目规划要求、周边配套和整体经济低迷等原因，项目于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314" w:lineRule="auto"/>
              <w:ind w:left="24" w:right="7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日终止。受技术进步和智能终端快速发展的推动，互联网行业的发展和用户需求也不断持续快速变化，为 适应互联网行业发展变化的新形势，东方财富金融数据机构服务平台系统项目，作为子平台，已成为公司一站式 金融服务大平台的重要组成部分，为海量用户提供金融数据等服务，单独孤立计算单个平台的效益，已无法完整 体现其整体效益，该项目拓展了公司大平台的服务范围和内容，提升了大平台的服务能力和水平，进一步提升了 用户体验和黏性，促进了公司大平台整体效益的实现，整体上达到了预期效益目标。</w:t>
            </w:r>
          </w:p>
        </w:tc>
      </w:tr>
      <w:tr>
        <w:trPr>
          <w:trHeight w:val="715"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项目可行性发生重大变 化的情况说明</w:t>
            </w:r>
          </w:p>
        </w:tc>
        <w:tc>
          <w:tcPr>
            <w:tcW w:w="8928"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3"/>
              <w:jc w:val="left"/>
              <w:rPr>
                <w:rFonts w:ascii="宋体" w:hAnsi="宋体" w:cs="宋体" w:eastAsia="宋体" w:hint="default"/>
                <w:sz w:val="18"/>
                <w:szCs w:val="18"/>
              </w:rPr>
            </w:pPr>
            <w:r>
              <w:rPr>
                <w:rFonts w:ascii="宋体" w:hAnsi="宋体" w:cs="宋体" w:eastAsia="宋体" w:hint="default"/>
                <w:sz w:val="18"/>
                <w:szCs w:val="18"/>
              </w:rPr>
              <w:t>研发基地和金融信息服务中心项目，鉴于公司业务发展、项目规划要求、周边配套和整体经济低迷等原因，项目 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日终止，公司已于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日完成了以自有资金置换已投入置业公司的超募资金。</w:t>
            </w:r>
          </w:p>
        </w:tc>
      </w:tr>
      <w:tr>
        <w:trPr>
          <w:trHeight w:val="401" w:hRule="exact"/>
        </w:trPr>
        <w:tc>
          <w:tcPr>
            <w:tcW w:w="1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316" w:lineRule="auto"/>
              <w:ind w:left="23" w:right="27"/>
              <w:jc w:val="left"/>
              <w:rPr>
                <w:rFonts w:ascii="宋体" w:hAnsi="宋体" w:cs="宋体" w:eastAsia="宋体" w:hint="default"/>
                <w:sz w:val="18"/>
                <w:szCs w:val="18"/>
              </w:rPr>
            </w:pPr>
            <w:r>
              <w:rPr>
                <w:rFonts w:ascii="宋体" w:hAnsi="宋体" w:cs="宋体" w:eastAsia="宋体" w:hint="default"/>
                <w:sz w:val="18"/>
                <w:szCs w:val="18"/>
              </w:rPr>
              <w:t>超募资金的金额、用途 及使用进展情况</w:t>
            </w:r>
          </w:p>
        </w:tc>
        <w:tc>
          <w:tcPr>
            <w:tcW w:w="892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419" w:hRule="exact"/>
        </w:trPr>
        <w:tc>
          <w:tcPr>
            <w:tcW w:w="1863" w:type="dxa"/>
            <w:vMerge/>
            <w:tcBorders>
              <w:left w:val="single" w:sz="4" w:space="0" w:color="000000"/>
              <w:bottom w:val="single" w:sz="4" w:space="0" w:color="000000"/>
              <w:right w:val="single" w:sz="4" w:space="0" w:color="000000"/>
            </w:tcBorders>
            <w:shd w:val="clear" w:color="auto" w:fill="D2D2D2"/>
          </w:tcPr>
          <w:p>
            <w:pPr/>
          </w:p>
        </w:tc>
        <w:tc>
          <w:tcPr>
            <w:tcW w:w="892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公司首次公开发行募集资金净额为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130,455.45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万元，其中超募资金为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100,467.21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、公司第一届董事会第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十六次会议及</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w:t>
            </w:r>
            <w:r>
              <w:rPr>
                <w:rFonts w:ascii="宋体" w:hAnsi="宋体" w:cs="宋体" w:eastAsia="宋体" w:hint="default"/>
                <w:spacing w:val="-3"/>
                <w:sz w:val="18"/>
                <w:szCs w:val="18"/>
              </w:rPr>
              <w:t>临</w:t>
            </w:r>
            <w:r>
              <w:rPr>
                <w:rFonts w:ascii="宋体" w:hAnsi="宋体" w:cs="宋体" w:eastAsia="宋体" w:hint="default"/>
                <w:sz w:val="18"/>
                <w:szCs w:val="18"/>
              </w:rPr>
              <w:t>时股东大会审议通过了《关于超募资金的使用计划的议案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计划使用部分超募资</w:t>
            </w:r>
          </w:p>
          <w:p>
            <w:pPr>
              <w:pStyle w:val="TableParagraph"/>
              <w:spacing w:line="309" w:lineRule="auto" w:before="63"/>
              <w:ind w:left="24" w:right="72"/>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46,214.82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万元建设研发基地和金融信息服务中心。公司独立董事、监事会、保荐机构都发表了相关意见，同 意上述超募资金的使用计划。根据公司第二届董事会第三次会议审议通过的《关于成立项目公司负责金融信息服 </w:t>
            </w:r>
            <w:r>
              <w:rPr>
                <w:rFonts w:ascii="宋体" w:hAnsi="宋体" w:cs="宋体" w:eastAsia="宋体" w:hint="default"/>
                <w:spacing w:val="-4"/>
                <w:sz w:val="18"/>
                <w:szCs w:val="18"/>
              </w:rPr>
              <w:t>务中心建设和运营管理工作的议案》，公司拟用超募资金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万元（包含</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13,693.00</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万元的金融信息服务中</w:t>
            </w:r>
          </w:p>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心项目建设用地款）注册成立项目公司，负责金融信息服务中心项目的建设和运营管理工作。公司已于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日注册成立了全资子公司置业公司，公司投资金额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、根据公司第一届董事会第十七次会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议审议通过了《关于使用部分超募资金永久补充流动资金的议案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，公司计划使用部分超</w:t>
            </w:r>
            <w:r>
              <w:rPr>
                <w:rFonts w:ascii="宋体" w:hAnsi="宋体" w:cs="宋体" w:eastAsia="宋体" w:hint="default"/>
                <w:spacing w:val="2"/>
                <w:sz w:val="18"/>
                <w:szCs w:val="18"/>
              </w:rPr>
              <w:t>募</w:t>
            </w:r>
            <w:r>
              <w:rPr>
                <w:rFonts w:ascii="宋体" w:hAnsi="宋体" w:cs="宋体" w:eastAsia="宋体" w:hint="default"/>
                <w:sz w:val="18"/>
                <w:szCs w:val="18"/>
              </w:rPr>
              <w:t>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久补充流动资金，独立董事、监事会、保荐机构都发表了相关意见，同意上述超募资金的使用。公司已于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日完成补充流动资金事项。</w:t>
            </w:r>
            <w:r>
              <w:rPr>
                <w:rFonts w:ascii="Times New Roman" w:hAnsi="Times New Roman" w:cs="Times New Roman" w:eastAsia="Times New Roman" w:hint="default"/>
                <w:sz w:val="18"/>
                <w:szCs w:val="18"/>
              </w:rPr>
              <w:t>3</w:t>
            </w:r>
            <w:r>
              <w:rPr>
                <w:rFonts w:ascii="宋体" w:hAnsi="宋体" w:cs="宋体" w:eastAsia="宋体" w:hint="default"/>
                <w:sz w:val="18"/>
                <w:szCs w:val="18"/>
              </w:rPr>
              <w:t>、根据公司第二届董事会第七次会议审议通过了《关于使用部分超募资金</w:t>
            </w:r>
          </w:p>
          <w:p>
            <w:pPr>
              <w:pStyle w:val="TableParagraph"/>
              <w:spacing w:line="309" w:lineRule="auto" w:before="63"/>
              <w:ind w:left="24" w:right="73"/>
              <w:jc w:val="left"/>
              <w:rPr>
                <w:rFonts w:ascii="宋体" w:hAnsi="宋体" w:cs="宋体" w:eastAsia="宋体" w:hint="default"/>
                <w:sz w:val="18"/>
                <w:szCs w:val="18"/>
              </w:rPr>
            </w:pPr>
            <w:r>
              <w:rPr>
                <w:rFonts w:ascii="宋体" w:hAnsi="宋体" w:cs="宋体" w:eastAsia="宋体" w:hint="default"/>
                <w:spacing w:val="-4"/>
                <w:sz w:val="18"/>
                <w:szCs w:val="18"/>
              </w:rPr>
              <w:t>投资设立全资子公司的议案》，公司拟使用超募资金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万元投资设立全资子公司负责东方财富金融数据机</w:t>
            </w:r>
            <w:r>
              <w:rPr>
                <w:rFonts w:ascii="宋体" w:hAnsi="宋体" w:cs="宋体" w:eastAsia="宋体" w:hint="default"/>
                <w:spacing w:val="-87"/>
                <w:sz w:val="18"/>
                <w:szCs w:val="18"/>
              </w:rPr>
              <w:t> </w:t>
            </w:r>
            <w:r>
              <w:rPr>
                <w:rFonts w:ascii="宋体" w:hAnsi="宋体" w:cs="宋体" w:eastAsia="宋体" w:hint="default"/>
                <w:sz w:val="18"/>
                <w:szCs w:val="18"/>
              </w:rPr>
              <w:t>构服务平台系统项目的具体建设和运营管理工作，公司独立董事、保荐机构都发表了相关意见，同意上述超募资 金的使用计划。公司已于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日注册成立了全资子公司上海东方财富金融数据服务有限公司，公司投</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万元，另支付了设立公司的验资费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w:t>
            </w:r>
            <w:r>
              <w:rPr>
                <w:rFonts w:ascii="宋体" w:hAnsi="宋体" w:cs="宋体" w:eastAsia="宋体" w:hint="default"/>
                <w:sz w:val="18"/>
                <w:szCs w:val="18"/>
              </w:rPr>
              <w:t>、根据公司第二届董事会第十二次会议审议通过</w:t>
            </w:r>
          </w:p>
        </w:tc>
      </w:tr>
    </w:tbl>
    <w:p>
      <w:pPr>
        <w:spacing w:after="0" w:line="240" w:lineRule="auto"/>
        <w:jc w:val="left"/>
        <w:rPr>
          <w:rFonts w:ascii="宋体" w:hAnsi="宋体" w:cs="宋体" w:eastAsia="宋体" w:hint="default"/>
          <w:sz w:val="18"/>
          <w:szCs w:val="18"/>
        </w:rPr>
        <w:sectPr>
          <w:pgSz w:w="11910" w:h="16840"/>
          <w:pgMar w:header="852" w:footer="979" w:top="1320" w:bottom="1160" w:left="44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1863"/>
        <w:gridCol w:w="8928"/>
      </w:tblGrid>
      <w:tr>
        <w:trPr>
          <w:trHeight w:val="11284"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了《关于使用部分超募资金永久补充流动资金的议案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，公</w:t>
            </w:r>
            <w:r>
              <w:rPr>
                <w:rFonts w:ascii="宋体" w:hAnsi="宋体" w:cs="宋体" w:eastAsia="宋体" w:hint="default"/>
                <w:spacing w:val="2"/>
                <w:sz w:val="18"/>
                <w:szCs w:val="18"/>
              </w:rPr>
              <w:t>司</w:t>
            </w:r>
            <w:r>
              <w:rPr>
                <w:rFonts w:ascii="宋体" w:hAnsi="宋体" w:cs="宋体" w:eastAsia="宋体" w:hint="default"/>
                <w:sz w:val="18"/>
                <w:szCs w:val="18"/>
              </w:rPr>
              <w:t>计划使用部分超募资金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w:t>
            </w:r>
          </w:p>
          <w:p>
            <w:pPr>
              <w:pStyle w:val="TableParagraph"/>
              <w:spacing w:line="300" w:lineRule="auto" w:before="63"/>
              <w:ind w:left="24" w:right="67"/>
              <w:jc w:val="left"/>
              <w:rPr>
                <w:rFonts w:ascii="宋体" w:hAnsi="宋体" w:cs="宋体" w:eastAsia="宋体" w:hint="default"/>
                <w:sz w:val="18"/>
                <w:szCs w:val="18"/>
              </w:rPr>
            </w:pPr>
            <w:r>
              <w:rPr>
                <w:rFonts w:ascii="宋体" w:hAnsi="宋体" w:cs="宋体" w:eastAsia="宋体" w:hint="default"/>
                <w:sz w:val="18"/>
                <w:szCs w:val="18"/>
              </w:rPr>
              <w:t>资金，独立董事、监事会、保荐机构都发表了相关意见，同意上述超募资金的使用。公司已于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 完成补充流动资金事项。</w:t>
            </w:r>
            <w:r>
              <w:rPr>
                <w:rFonts w:ascii="Times New Roman" w:hAnsi="Times New Roman" w:cs="Times New Roman" w:eastAsia="Times New Roman" w:hint="default"/>
                <w:sz w:val="18"/>
                <w:szCs w:val="18"/>
              </w:rPr>
              <w:t>5</w:t>
            </w:r>
            <w:r>
              <w:rPr>
                <w:rFonts w:ascii="宋体" w:hAnsi="宋体" w:cs="宋体" w:eastAsia="宋体" w:hint="default"/>
                <w:sz w:val="18"/>
                <w:szCs w:val="18"/>
              </w:rPr>
              <w:t>、根据公司第二届董事会第二十一次会议审议通过了《关于公司使用部分超募资金对 </w:t>
            </w:r>
            <w:r>
              <w:rPr>
                <w:rFonts w:ascii="宋体" w:hAnsi="宋体" w:cs="宋体" w:eastAsia="宋体" w:hint="default"/>
                <w:spacing w:val="-3"/>
                <w:sz w:val="18"/>
                <w:szCs w:val="18"/>
              </w:rPr>
              <w:t>全资子公司上海天天基金销售有限公司进行增资的议案》，公司计划使用部分超募资金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5,000.00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万元对全资子公</w:t>
            </w:r>
          </w:p>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司天天基金进行增资，独立董事、保荐机构都发表了相关意见，同意上述超募资金的使用。公司已于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309" w:lineRule="auto" w:before="63"/>
              <w:ind w:left="24" w:right="6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号完成了增资事项。</w:t>
            </w:r>
            <w:r>
              <w:rPr>
                <w:rFonts w:ascii="Times New Roman" w:hAnsi="Times New Roman" w:cs="Times New Roman" w:eastAsia="Times New Roman" w:hint="default"/>
                <w:sz w:val="18"/>
                <w:szCs w:val="18"/>
              </w:rPr>
              <w:t>6</w:t>
            </w:r>
            <w:r>
              <w:rPr>
                <w:rFonts w:ascii="宋体" w:hAnsi="宋体" w:cs="宋体" w:eastAsia="宋体" w:hint="default"/>
                <w:sz w:val="18"/>
                <w:szCs w:val="18"/>
              </w:rPr>
              <w:t>、根据公司第二届董事会第二十三次会议和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年第一次临时股东大会审议通过《关 </w:t>
            </w:r>
            <w:r>
              <w:rPr>
                <w:rFonts w:ascii="宋体" w:hAnsi="宋体" w:cs="宋体" w:eastAsia="宋体" w:hint="default"/>
                <w:spacing w:val="-2"/>
                <w:sz w:val="18"/>
                <w:szCs w:val="18"/>
              </w:rPr>
              <w:t>于终止研发基地和金融信息服务中心超募资金投资项目并使用自有资金置换已投入超募资金的议案》，公司决定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终止研发基地和金融信息服务中心超募资金投资项目，并使用自有资金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 </w:t>
            </w:r>
            <w:r>
              <w:rPr>
                <w:rFonts w:ascii="宋体" w:hAnsi="宋体" w:cs="宋体" w:eastAsia="宋体" w:hint="default"/>
                <w:sz w:val="18"/>
                <w:szCs w:val="18"/>
              </w:rPr>
              <w:t>万元，置换已投入置业公司的</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超募资金。独立董事、监事会、保荐机构都发表了相关意见，同意该事项。公司已于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日完成了相</w:t>
            </w:r>
          </w:p>
          <w:p>
            <w:pPr>
              <w:pStyle w:val="TableParagraph"/>
              <w:spacing w:line="307" w:lineRule="auto" w:before="63"/>
              <w:ind w:left="24" w:right="67"/>
              <w:jc w:val="both"/>
              <w:rPr>
                <w:rFonts w:ascii="宋体" w:hAnsi="宋体" w:cs="宋体" w:eastAsia="宋体" w:hint="default"/>
                <w:sz w:val="18"/>
                <w:szCs w:val="18"/>
              </w:rPr>
            </w:pPr>
            <w:r>
              <w:rPr>
                <w:rFonts w:ascii="宋体" w:hAnsi="宋体" w:cs="宋体" w:eastAsia="宋体" w:hint="default"/>
                <w:sz w:val="18"/>
                <w:szCs w:val="18"/>
              </w:rPr>
              <w:t>关置换工作。</w:t>
            </w:r>
            <w:r>
              <w:rPr>
                <w:rFonts w:ascii="Times New Roman" w:hAnsi="Times New Roman" w:cs="Times New Roman" w:eastAsia="Times New Roman" w:hint="default"/>
                <w:sz w:val="18"/>
                <w:szCs w:val="18"/>
              </w:rPr>
              <w:t>7</w:t>
            </w:r>
            <w:r>
              <w:rPr>
                <w:rFonts w:ascii="宋体" w:hAnsi="宋体" w:cs="宋体" w:eastAsia="宋体" w:hint="default"/>
                <w:sz w:val="18"/>
                <w:szCs w:val="18"/>
              </w:rPr>
              <w:t>、根据公司第三届董事会第十九次会议及公司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年第一次临时股东大会审议通过《关于公司拟 </w:t>
            </w:r>
            <w:r>
              <w:rPr>
                <w:rFonts w:ascii="宋体" w:hAnsi="宋体" w:cs="宋体" w:eastAsia="宋体" w:hint="default"/>
                <w:spacing w:val="-4"/>
                <w:sz w:val="18"/>
                <w:szCs w:val="18"/>
              </w:rPr>
              <w:t>使用部分超募资金对全资子公司上海天天基金销售有限公司进行增资的议案》、《关于公司拟使用部分超募资金对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全资子公司上海东方财富证券研究所有限公司进行增资的议案》及《关于公司拟使用部分超募资金成立基金管理 公司的议案》等议案，拟使用超募资金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44,000.00 </w:t>
            </w:r>
            <w:r>
              <w:rPr>
                <w:rFonts w:ascii="宋体" w:hAnsi="宋体" w:cs="宋体" w:eastAsia="宋体" w:hint="default"/>
                <w:sz w:val="18"/>
                <w:szCs w:val="18"/>
              </w:rPr>
              <w:t>万元投资如下三个项目，其中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 </w:t>
            </w:r>
            <w:r>
              <w:rPr>
                <w:rFonts w:ascii="宋体" w:hAnsi="宋体" w:cs="宋体" w:eastAsia="宋体" w:hint="default"/>
                <w:sz w:val="18"/>
                <w:szCs w:val="18"/>
              </w:rPr>
              <w:t>万元用于对天天基金进 行增资，</w:t>
            </w:r>
            <w:r>
              <w:rPr>
                <w:rFonts w:ascii="Times New Roman" w:hAnsi="Times New Roman" w:cs="Times New Roman" w:eastAsia="Times New Roman" w:hint="default"/>
                <w:sz w:val="18"/>
                <w:szCs w:val="18"/>
              </w:rPr>
              <w:t>4,000.00 </w:t>
            </w:r>
            <w:r>
              <w:rPr>
                <w:rFonts w:ascii="宋体" w:hAnsi="宋体" w:cs="宋体" w:eastAsia="宋体" w:hint="default"/>
                <w:sz w:val="18"/>
                <w:szCs w:val="18"/>
              </w:rPr>
              <w:t>万元用于对东财研究所进行增资，</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万元将用于设立基金管理公司。独立董事、保荐机 构都发表了相关意见，同意上述超募资金的使用。公司已于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日完成对天天基金增资款缴纳，并于</w:t>
            </w:r>
          </w:p>
          <w:p>
            <w:pPr>
              <w:pStyle w:val="TableParagraph"/>
              <w:spacing w:line="240" w:lineRule="auto" w:before="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日完成了相关工商变更登记。公司已于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日完成对东财研究所增资款缴纳，并于</w:t>
            </w:r>
          </w:p>
          <w:p>
            <w:pPr>
              <w:pStyle w:val="TableParagraph"/>
              <w:spacing w:line="309" w:lineRule="auto" w:before="63"/>
              <w:ind w:left="24"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日完成相关工商变更登记。</w:t>
            </w:r>
            <w:r>
              <w:rPr>
                <w:rFonts w:ascii="Times New Roman" w:hAnsi="Times New Roman" w:cs="Times New Roman" w:eastAsia="Times New Roman" w:hint="default"/>
                <w:sz w:val="18"/>
                <w:szCs w:val="18"/>
              </w:rPr>
              <w:t>8</w:t>
            </w:r>
            <w:r>
              <w:rPr>
                <w:rFonts w:ascii="宋体" w:hAnsi="宋体" w:cs="宋体" w:eastAsia="宋体" w:hint="default"/>
                <w:sz w:val="18"/>
                <w:szCs w:val="18"/>
              </w:rPr>
              <w:t>、根据公司第三届董事会第四十次会议审议通过的《关于变更超募资 </w:t>
            </w:r>
            <w:r>
              <w:rPr>
                <w:rFonts w:ascii="宋体" w:hAnsi="宋体" w:cs="宋体" w:eastAsia="宋体" w:hint="default"/>
                <w:spacing w:val="-2"/>
                <w:sz w:val="18"/>
                <w:szCs w:val="18"/>
              </w:rPr>
              <w:t>金投资项目实施主体的议案》，公司将设立基金管理公司的超募资金投资项目实施主体由公司变更为子公司东方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财富证券，设立基金管理公司的相关超募资金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万元将以增资的方式划转至东方财富证券。独立董事、 监事会、保荐机构都发表了相关意见，同意变更超募资金投资项目实施主体。</w:t>
            </w:r>
            <w:r>
              <w:rPr>
                <w:rFonts w:ascii="Times New Roman" w:hAnsi="Times New Roman" w:cs="Times New Roman" w:eastAsia="Times New Roman" w:hint="default"/>
                <w:sz w:val="18"/>
                <w:szCs w:val="18"/>
              </w:rPr>
              <w:t>9</w:t>
            </w:r>
            <w:r>
              <w:rPr>
                <w:rFonts w:ascii="宋体" w:hAnsi="宋体" w:cs="宋体" w:eastAsia="宋体" w:hint="default"/>
                <w:sz w:val="18"/>
                <w:szCs w:val="18"/>
              </w:rPr>
              <w:t>、根据公司第三届董事会第四十 </w:t>
            </w:r>
            <w:r>
              <w:rPr>
                <w:rFonts w:ascii="宋体" w:hAnsi="宋体" w:cs="宋体" w:eastAsia="宋体" w:hint="default"/>
                <w:spacing w:val="-4"/>
                <w:sz w:val="18"/>
                <w:szCs w:val="18"/>
              </w:rPr>
              <w:t>二次会议审议通过的《关于公司拟使用部分超募资金投资设立小额贷款公司的议案》、《关于公司拟使用部分超募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资金对全资子公司进行增资的议案》及《关于公司拟使用部分超募资金发起设立参股公司的议案》，拟使用超募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资金</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28,400.00</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万元投资如下三个项目：（</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）使用超募资金</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20,000.00</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万元投资设立小额贷款公司，其中，公司使</w:t>
            </w:r>
          </w:p>
          <w:p>
            <w:pPr>
              <w:pStyle w:val="TableParagraph"/>
              <w:spacing w:line="300" w:lineRule="auto" w:before="5"/>
              <w:ind w:left="24" w:right="48"/>
              <w:jc w:val="left"/>
              <w:rPr>
                <w:rFonts w:ascii="宋体" w:hAnsi="宋体" w:cs="宋体" w:eastAsia="宋体" w:hint="default"/>
                <w:sz w:val="18"/>
                <w:szCs w:val="18"/>
              </w:rPr>
            </w:pPr>
            <w:r>
              <w:rPr>
                <w:rFonts w:ascii="宋体" w:hAnsi="宋体" w:cs="宋体" w:eastAsia="宋体" w:hint="default"/>
                <w:sz w:val="18"/>
                <w:szCs w:val="18"/>
              </w:rPr>
              <w:t>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万元直接出资，持股比例为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；公司全资子公司天天基金出资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3,800.00 </w:t>
            </w:r>
            <w:r>
              <w:rPr>
                <w:rFonts w:ascii="宋体" w:hAnsi="宋体" w:cs="宋体" w:eastAsia="宋体" w:hint="default"/>
                <w:sz w:val="18"/>
                <w:szCs w:val="18"/>
              </w:rPr>
              <w:t>万元，持股比例 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宋体" w:hAnsi="宋体" w:cs="宋体" w:eastAsia="宋体" w:hint="default"/>
                <w:sz w:val="18"/>
                <w:szCs w:val="18"/>
              </w:rPr>
              <w:t>，公司全资子公司东财研究所出资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万元，持股比例为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，相关出资款由公司使用超募资金以增 </w:t>
            </w:r>
            <w:r>
              <w:rPr>
                <w:rFonts w:ascii="宋体" w:hAnsi="宋体" w:cs="宋体" w:eastAsia="宋体" w:hint="default"/>
                <w:spacing w:val="-4"/>
                <w:sz w:val="18"/>
                <w:szCs w:val="18"/>
              </w:rPr>
              <w:t>资的方式划转至天天基金和东财研究所。（</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）使用超募资金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4,900.00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万元，对全资子公司扬州东财进行增资，增</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资后扬州东财资本增加至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）使用超募</w:t>
            </w:r>
            <w:r>
              <w:rPr>
                <w:rFonts w:ascii="宋体" w:hAnsi="宋体" w:cs="宋体" w:eastAsia="宋体" w:hint="default"/>
                <w:spacing w:val="-3"/>
                <w:sz w:val="18"/>
                <w:szCs w:val="18"/>
              </w:rPr>
              <w:t>资</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万元与中证信用增进</w:t>
            </w:r>
            <w:r>
              <w:rPr>
                <w:rFonts w:ascii="宋体" w:hAnsi="宋体" w:cs="宋体" w:eastAsia="宋体" w:hint="default"/>
                <w:spacing w:val="-3"/>
                <w:sz w:val="18"/>
                <w:szCs w:val="18"/>
              </w:rPr>
              <w:t>股</w:t>
            </w:r>
            <w:r>
              <w:rPr>
                <w:rFonts w:ascii="宋体" w:hAnsi="宋体" w:cs="宋体" w:eastAsia="宋体" w:hint="default"/>
                <w:sz w:val="18"/>
                <w:szCs w:val="18"/>
              </w:rPr>
              <w:t>份有限公司及深圳市</w:t>
            </w:r>
          </w:p>
          <w:p>
            <w:pPr>
              <w:pStyle w:val="TableParagraph"/>
              <w:spacing w:line="304" w:lineRule="auto" w:before="63"/>
              <w:ind w:left="24" w:right="57"/>
              <w:jc w:val="left"/>
              <w:rPr>
                <w:rFonts w:ascii="宋体" w:hAnsi="宋体" w:cs="宋体" w:eastAsia="宋体" w:hint="default"/>
                <w:sz w:val="18"/>
                <w:szCs w:val="18"/>
              </w:rPr>
            </w:pPr>
            <w:r>
              <w:rPr>
                <w:rFonts w:ascii="宋体" w:hAnsi="宋体" w:cs="宋体" w:eastAsia="宋体" w:hint="default"/>
                <w:sz w:val="18"/>
                <w:szCs w:val="18"/>
              </w:rPr>
              <w:t>云兴企业管理合伙企业（有限合伙）共同发起设立中证信用云，中证信用云注册资本为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万元，公司持 股比例为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，为中证信用云第二大股东。独立董事、保荐机构发表了相关意见，同意上述超募资金的使用。截 至本报告披露之日，公司完成对小额贷款公司、中证信用云的出资及对扬州东财增资，小额贷款公司完成工商注 册登记。</w:t>
            </w:r>
            <w:r>
              <w:rPr>
                <w:rFonts w:ascii="Times New Roman" w:hAnsi="Times New Roman" w:cs="Times New Roman" w:eastAsia="Times New Roman" w:hint="default"/>
                <w:sz w:val="18"/>
                <w:szCs w:val="18"/>
              </w:rPr>
              <w:t>10</w:t>
            </w:r>
            <w:r>
              <w:rPr>
                <w:rFonts w:ascii="宋体" w:hAnsi="宋体" w:cs="宋体" w:eastAsia="宋体" w:hint="default"/>
                <w:sz w:val="18"/>
                <w:szCs w:val="18"/>
              </w:rPr>
              <w:t>、根据公司第四届董事会第五次会议审议通过的《关于使用自有资金与部分募集资金利息对西藏东方 </w:t>
            </w:r>
            <w:r>
              <w:rPr>
                <w:rFonts w:ascii="宋体" w:hAnsi="宋体" w:cs="宋体" w:eastAsia="宋体" w:hint="default"/>
                <w:spacing w:val="-4"/>
                <w:sz w:val="18"/>
                <w:szCs w:val="18"/>
              </w:rPr>
              <w:t>财富证券股份有限公司进行增资的议案》，公司使用自有资金</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45,940.00</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万元及部分募集资金利息</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14,060.00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p>
          <w:p>
            <w:pPr>
              <w:pStyle w:val="TableParagraph"/>
              <w:spacing w:line="300" w:lineRule="auto" w:before="9"/>
              <w:ind w:left="24" w:right="21"/>
              <w:jc w:val="left"/>
              <w:rPr>
                <w:rFonts w:ascii="宋体" w:hAnsi="宋体" w:cs="宋体" w:eastAsia="宋体" w:hint="default"/>
                <w:sz w:val="18"/>
                <w:szCs w:val="18"/>
              </w:rPr>
            </w:pPr>
            <w:r>
              <w:rPr>
                <w:rFonts w:ascii="宋体" w:hAnsi="宋体" w:cs="宋体" w:eastAsia="宋体" w:hint="default"/>
                <w:sz w:val="18"/>
                <w:szCs w:val="18"/>
              </w:rPr>
              <w:t>对东方财富证券进行增资，增资总额为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万元。独立董事、保荐机构发表了相关意见，同意上述募集资 金利息使用计划。截至本报告披露之日，公司已完成对东方财富证券的增资。</w:t>
            </w:r>
            <w:r>
              <w:rPr>
                <w:rFonts w:ascii="Times New Roman" w:hAnsi="Times New Roman" w:cs="Times New Roman" w:eastAsia="Times New Roman" w:hint="default"/>
                <w:sz w:val="18"/>
                <w:szCs w:val="18"/>
              </w:rPr>
              <w:t>11</w:t>
            </w:r>
            <w:r>
              <w:rPr>
                <w:rFonts w:ascii="宋体" w:hAnsi="宋体" w:cs="宋体" w:eastAsia="宋体" w:hint="default"/>
                <w:sz w:val="18"/>
                <w:szCs w:val="18"/>
              </w:rPr>
              <w:t>、截至本报告披露之日，公司已 将可转债募集资金及利息全部补充东方财富证券营运资金。</w:t>
            </w:r>
            <w:r>
              <w:rPr>
                <w:rFonts w:ascii="Times New Roman" w:hAnsi="Times New Roman" w:cs="Times New Roman" w:eastAsia="Times New Roman" w:hint="default"/>
                <w:sz w:val="18"/>
                <w:szCs w:val="18"/>
              </w:rPr>
              <w:t>12</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月增资东方财富证券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 </w:t>
            </w:r>
            <w:r>
              <w:rPr>
                <w:rFonts w:ascii="宋体" w:hAnsi="宋体" w:cs="宋体" w:eastAsia="宋体" w:hint="default"/>
                <w:sz w:val="18"/>
                <w:szCs w:val="18"/>
              </w:rPr>
              <w:t>万元，并由东方财富证券出资设立东财基金。</w:t>
            </w:r>
          </w:p>
        </w:tc>
      </w:tr>
      <w:tr>
        <w:trPr>
          <w:trHeight w:val="797"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9"/>
              <w:ind w:left="23" w:right="27"/>
              <w:jc w:val="left"/>
              <w:rPr>
                <w:rFonts w:ascii="宋体" w:hAnsi="宋体" w:cs="宋体" w:eastAsia="宋体" w:hint="default"/>
                <w:sz w:val="18"/>
                <w:szCs w:val="18"/>
              </w:rPr>
            </w:pPr>
            <w:r>
              <w:rPr>
                <w:rFonts w:ascii="宋体" w:hAnsi="宋体" w:cs="宋体" w:eastAsia="宋体" w:hint="default"/>
                <w:sz w:val="18"/>
                <w:szCs w:val="18"/>
              </w:rPr>
              <w:t>募集资金投资项目实施 地点变更情况</w:t>
            </w:r>
          </w:p>
        </w:tc>
        <w:tc>
          <w:tcPr>
            <w:tcW w:w="8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募集资金投资项目实施 方式调整情况</w:t>
            </w:r>
          </w:p>
        </w:tc>
        <w:tc>
          <w:tcPr>
            <w:tcW w:w="8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6" w:lineRule="auto"/>
              <w:ind w:left="23" w:right="27"/>
              <w:jc w:val="left"/>
              <w:rPr>
                <w:rFonts w:ascii="宋体" w:hAnsi="宋体" w:cs="宋体" w:eastAsia="宋体" w:hint="default"/>
                <w:sz w:val="18"/>
                <w:szCs w:val="18"/>
              </w:rPr>
            </w:pPr>
            <w:r>
              <w:rPr>
                <w:rFonts w:ascii="宋体" w:hAnsi="宋体" w:cs="宋体" w:eastAsia="宋体" w:hint="default"/>
                <w:sz w:val="18"/>
                <w:szCs w:val="18"/>
              </w:rPr>
              <w:t>募集资金投资项目先期 投入及置换情况</w:t>
            </w:r>
          </w:p>
        </w:tc>
        <w:tc>
          <w:tcPr>
            <w:tcW w:w="8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74" w:hRule="exact"/>
        </w:trPr>
        <w:tc>
          <w:tcPr>
            <w:tcW w:w="1863" w:type="dxa"/>
            <w:vMerge/>
            <w:tcBorders>
              <w:left w:val="single" w:sz="4" w:space="0" w:color="000000"/>
              <w:bottom w:val="single" w:sz="4" w:space="0" w:color="000000"/>
              <w:right w:val="single" w:sz="4" w:space="0" w:color="000000"/>
            </w:tcBorders>
            <w:shd w:val="clear" w:color="auto" w:fill="D2D2D2"/>
          </w:tcPr>
          <w:p>
            <w:pPr/>
          </w:p>
        </w:tc>
        <w:tc>
          <w:tcPr>
            <w:tcW w:w="89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公司第一届董事会第十三次会议审议通过了《关于用募集资金置换预先投入募集资金投资项目的自筹资金的议 </w:t>
            </w:r>
            <w:r>
              <w:rPr>
                <w:rFonts w:ascii="宋体" w:hAnsi="宋体" w:cs="宋体" w:eastAsia="宋体" w:hint="default"/>
                <w:spacing w:val="-4"/>
                <w:sz w:val="18"/>
                <w:szCs w:val="18"/>
              </w:rPr>
              <w:t>案》，在募集资金实际到账之前，同意以本次募集资金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1,698.00</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万元置换公司预先已投入募集资金投资项目的自</w:t>
            </w:r>
          </w:p>
        </w:tc>
      </w:tr>
    </w:tbl>
    <w:p>
      <w:pPr>
        <w:spacing w:after="0" w:line="316" w:lineRule="auto"/>
        <w:jc w:val="left"/>
        <w:rPr>
          <w:rFonts w:ascii="宋体" w:hAnsi="宋体" w:cs="宋体" w:eastAsia="宋体" w:hint="default"/>
          <w:sz w:val="18"/>
          <w:szCs w:val="18"/>
        </w:rPr>
        <w:sectPr>
          <w:pgSz w:w="11910" w:h="16840"/>
          <w:pgMar w:header="852" w:footer="979" w:top="1320" w:bottom="1160" w:left="44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1863"/>
        <w:gridCol w:w="8928"/>
      </w:tblGrid>
      <w:tr>
        <w:trPr>
          <w:trHeight w:val="675"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3"/>
              <w:jc w:val="left"/>
              <w:rPr>
                <w:rFonts w:ascii="宋体" w:hAnsi="宋体" w:cs="宋体" w:eastAsia="宋体" w:hint="default"/>
                <w:sz w:val="18"/>
                <w:szCs w:val="18"/>
              </w:rPr>
            </w:pPr>
            <w:r>
              <w:rPr>
                <w:rFonts w:ascii="宋体" w:hAnsi="宋体" w:cs="宋体" w:eastAsia="宋体" w:hint="default"/>
                <w:sz w:val="18"/>
                <w:szCs w:val="18"/>
              </w:rPr>
              <w:t>筹资金。立信会计师事务所有限公司对公司以自筹资金预先投入募投项目的情况进行了核验，并出具了信会师报 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 </w:t>
            </w:r>
            <w:r>
              <w:rPr>
                <w:rFonts w:ascii="Times New Roman" w:hAnsi="Times New Roman" w:cs="Times New Roman" w:eastAsia="Times New Roman" w:hint="default"/>
                <w:spacing w:val="-3"/>
                <w:sz w:val="18"/>
                <w:szCs w:val="18"/>
              </w:rPr>
              <w:t>11856</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号《关于东方财富信息股份有限公司以自筹资金预先投入募投项目的鉴证报告》。</w:t>
            </w:r>
          </w:p>
        </w:tc>
      </w:tr>
      <w:tr>
        <w:trPr>
          <w:trHeight w:val="71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用闲置募集资金暂时补 充流动资金情况</w:t>
            </w:r>
          </w:p>
        </w:tc>
        <w:tc>
          <w:tcPr>
            <w:tcW w:w="8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30"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8"/>
              <w:ind w:left="23" w:right="27"/>
              <w:jc w:val="left"/>
              <w:rPr>
                <w:rFonts w:ascii="宋体" w:hAnsi="宋体" w:cs="宋体" w:eastAsia="宋体" w:hint="default"/>
                <w:sz w:val="18"/>
                <w:szCs w:val="18"/>
              </w:rPr>
            </w:pPr>
            <w:r>
              <w:rPr>
                <w:rFonts w:ascii="宋体" w:hAnsi="宋体" w:cs="宋体" w:eastAsia="宋体" w:hint="default"/>
                <w:sz w:val="18"/>
                <w:szCs w:val="18"/>
              </w:rPr>
              <w:t>项目实施出现募集资金 结余的金额及原因</w:t>
            </w:r>
          </w:p>
        </w:tc>
        <w:tc>
          <w:tcPr>
            <w:tcW w:w="8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7"/>
              <w:jc w:val="left"/>
              <w:rPr>
                <w:rFonts w:ascii="宋体" w:hAnsi="宋体" w:cs="宋体" w:eastAsia="宋体" w:hint="default"/>
                <w:sz w:val="18"/>
                <w:szCs w:val="18"/>
              </w:rPr>
            </w:pPr>
            <w:r>
              <w:rPr>
                <w:rFonts w:ascii="宋体" w:hAnsi="宋体" w:cs="宋体" w:eastAsia="宋体" w:hint="default"/>
                <w:sz w:val="18"/>
                <w:szCs w:val="18"/>
              </w:rPr>
              <w:t>尚未使用的募集资金用 途及去向</w:t>
            </w:r>
          </w:p>
        </w:tc>
        <w:tc>
          <w:tcPr>
            <w:tcW w:w="8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715"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募集资金使用及披露中 存在的问题或其他情况</w:t>
            </w:r>
          </w:p>
        </w:tc>
        <w:tc>
          <w:tcPr>
            <w:tcW w:w="8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ind w:left="693" w:right="73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69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6"/>
        <w:rPr>
          <w:rFonts w:ascii="宋体" w:hAnsi="宋体" w:cs="宋体" w:eastAsia="宋体" w:hint="default"/>
          <w:sz w:val="19"/>
          <w:szCs w:val="19"/>
        </w:rPr>
      </w:pPr>
    </w:p>
    <w:p>
      <w:pPr>
        <w:pStyle w:val="Heading3"/>
        <w:spacing w:line="240" w:lineRule="auto"/>
        <w:ind w:left="693" w:right="7333"/>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5"/>
        <w:spacing w:line="240" w:lineRule="auto" w:before="0"/>
        <w:ind w:left="693" w:right="73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69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pStyle w:val="Heading5"/>
        <w:spacing w:line="240" w:lineRule="auto" w:before="0"/>
        <w:ind w:left="693" w:right="73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69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left="693" w:right="733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2" w:footer="979" w:top="1320" w:bottom="1160" w:left="440" w:right="0"/>
        </w:sectPr>
      </w:pPr>
    </w:p>
    <w:p>
      <w:pPr>
        <w:spacing w:before="44"/>
        <w:ind w:left="69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69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69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580" w:bottom="700" w:left="440" w:right="0"/>
          <w:cols w:num="2" w:equalWidth="0">
            <w:col w:w="5391" w:space="3349"/>
            <w:col w:w="2730"/>
          </w:cols>
        </w:sectPr>
      </w:pPr>
    </w:p>
    <w:p>
      <w:pPr>
        <w:spacing w:line="240" w:lineRule="auto" w:before="4"/>
        <w:rPr>
          <w:rFonts w:ascii="宋体" w:hAnsi="宋体" w:cs="宋体" w:eastAsia="宋体" w:hint="default"/>
          <w:sz w:val="8"/>
          <w:szCs w:val="8"/>
        </w:rPr>
      </w:pPr>
    </w:p>
    <w:tbl>
      <w:tblPr>
        <w:tblW w:w="0" w:type="auto"/>
        <w:jc w:val="left"/>
        <w:tblInd w:w="722" w:type="dxa"/>
        <w:tblLayout w:type="fixed"/>
        <w:tblCellMar>
          <w:top w:w="0" w:type="dxa"/>
          <w:left w:w="0" w:type="dxa"/>
          <w:bottom w:w="0" w:type="dxa"/>
          <w:right w:w="0" w:type="dxa"/>
        </w:tblCellMar>
        <w:tblLook w:val="01E0"/>
      </w:tblPr>
      <w:tblGrid>
        <w:gridCol w:w="818"/>
        <w:gridCol w:w="850"/>
        <w:gridCol w:w="1628"/>
        <w:gridCol w:w="1044"/>
        <w:gridCol w:w="1047"/>
        <w:gridCol w:w="1044"/>
        <w:gridCol w:w="1047"/>
        <w:gridCol w:w="1044"/>
        <w:gridCol w:w="1046"/>
      </w:tblGrid>
      <w:tr>
        <w:trPr>
          <w:trHeight w:val="401" w:hRule="exact"/>
        </w:trPr>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8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东方财富 证券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2"/>
              <w:jc w:val="left"/>
              <w:rPr>
                <w:rFonts w:ascii="宋体" w:hAnsi="宋体" w:cs="宋体" w:eastAsia="宋体" w:hint="default"/>
                <w:sz w:val="18"/>
                <w:szCs w:val="18"/>
              </w:rPr>
            </w:pPr>
            <w:r>
              <w:rPr>
                <w:rFonts w:ascii="宋体" w:hAnsi="宋体" w:cs="宋体" w:eastAsia="宋体" w:hint="default"/>
                <w:sz w:val="18"/>
                <w:szCs w:val="18"/>
              </w:rPr>
              <w:t>证券经纪、证券自 营、资产管理等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540,000.00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2,967,975.22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704,187.04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159,776.60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73,442.50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62,407.83</w:t>
            </w:r>
          </w:p>
        </w:tc>
      </w:tr>
    </w:tbl>
    <w:p>
      <w:pPr>
        <w:spacing w:before="49"/>
        <w:ind w:left="693" w:right="7333"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69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722" w:type="dxa"/>
        <w:tblLayout w:type="fixed"/>
        <w:tblCellMar>
          <w:top w:w="0" w:type="dxa"/>
          <w:left w:w="0" w:type="dxa"/>
          <w:bottom w:w="0" w:type="dxa"/>
          <w:right w:w="0" w:type="dxa"/>
        </w:tblCellMar>
        <w:tblLook w:val="01E0"/>
      </w:tblPr>
      <w:tblGrid>
        <w:gridCol w:w="3370"/>
        <w:gridCol w:w="3118"/>
        <w:gridCol w:w="3082"/>
      </w:tblGrid>
      <w:tr>
        <w:trPr>
          <w:trHeight w:val="401"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东财基金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不构成重大影响</w:t>
            </w:r>
          </w:p>
        </w:tc>
      </w:tr>
    </w:tbl>
    <w:p>
      <w:pPr>
        <w:spacing w:before="49"/>
        <w:ind w:left="693" w:right="7333"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after="0"/>
        <w:jc w:val="left"/>
        <w:rPr>
          <w:rFonts w:ascii="宋体" w:hAnsi="宋体" w:cs="宋体" w:eastAsia="宋体" w:hint="default"/>
          <w:sz w:val="18"/>
          <w:szCs w:val="18"/>
        </w:rPr>
        <w:sectPr>
          <w:type w:val="continuous"/>
          <w:pgSz w:w="11910" w:h="16840"/>
          <w:pgMar w:top="1580" w:bottom="700" w:left="440" w:right="0"/>
        </w:sectPr>
      </w:pPr>
    </w:p>
    <w:p>
      <w:pPr>
        <w:pStyle w:val="Heading3"/>
        <w:spacing w:line="240" w:lineRule="auto" w:before="75"/>
        <w:ind w:right="1114"/>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95" w:lineRule="auto"/>
        <w:ind w:right="1114"/>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spacing w:val="-2"/>
        </w:rPr>
        <w:t>本公司子公司东方财富证券以自有资金</w:t>
      </w:r>
      <w:r>
        <w:rPr>
          <w:rFonts w:ascii="宋体" w:hAnsi="宋体" w:cs="宋体" w:eastAsia="宋体" w:hint="default"/>
          <w:spacing w:val="-2"/>
        </w:rPr>
        <w:t>4,720.00</w:t>
      </w:r>
      <w:r>
        <w:rPr>
          <w:spacing w:val="-2"/>
        </w:rPr>
        <w:t>万元认购“爱建信托钱潮</w:t>
      </w:r>
      <w:r>
        <w:rPr>
          <w:rFonts w:ascii="宋体" w:hAnsi="宋体" w:cs="宋体" w:eastAsia="宋体" w:hint="default"/>
          <w:spacing w:val="-2"/>
        </w:rPr>
        <w:t>3</w:t>
      </w:r>
      <w:r>
        <w:rPr>
          <w:spacing w:val="-2"/>
        </w:rPr>
        <w:t>号东方财富事务管理单一资金</w:t>
      </w:r>
      <w:r>
        <w:rPr>
          <w:spacing w:val="-16"/>
        </w:rPr>
        <w:t> </w:t>
      </w:r>
      <w:r>
        <w:rPr>
          <w:spacing w:val="-16"/>
        </w:rPr>
      </w:r>
      <w:r>
        <w:rPr/>
        <w:t>信托”，占比</w:t>
      </w:r>
      <w:r>
        <w:rPr>
          <w:rFonts w:ascii="宋体" w:hAnsi="宋体" w:cs="宋体" w:eastAsia="宋体" w:hint="default"/>
        </w:rPr>
        <w:t>100.00%</w:t>
      </w:r>
      <w:r>
        <w:rPr/>
        <w:t>。</w:t>
      </w:r>
    </w:p>
    <w:p>
      <w:pPr>
        <w:spacing w:line="240" w:lineRule="auto" w:before="2"/>
        <w:rPr>
          <w:rFonts w:ascii="宋体" w:hAnsi="宋体" w:cs="宋体" w:eastAsia="宋体" w:hint="default"/>
          <w:sz w:val="20"/>
          <w:szCs w:val="20"/>
        </w:rPr>
      </w:pPr>
    </w:p>
    <w:p>
      <w:pPr>
        <w:pStyle w:val="Heading3"/>
        <w:spacing w:line="240" w:lineRule="auto"/>
        <w:ind w:right="1114"/>
        <w:jc w:val="left"/>
        <w:rPr>
          <w:b w:val="0"/>
          <w:bCs w:val="0"/>
        </w:rPr>
      </w:pPr>
      <w:r>
        <w:rPr/>
        <w:t>九、公司未来发展的展望</w:t>
      </w:r>
      <w:r>
        <w:rPr>
          <w:b w:val="0"/>
          <w:bCs w:val="0"/>
        </w:rPr>
      </w:r>
    </w:p>
    <w:p>
      <w:pPr>
        <w:spacing w:line="240" w:lineRule="auto" w:before="12"/>
        <w:rPr>
          <w:rFonts w:ascii="宋体" w:hAnsi="宋体" w:cs="宋体" w:eastAsia="宋体" w:hint="default"/>
          <w:b/>
          <w:bCs/>
          <w:sz w:val="24"/>
          <w:szCs w:val="24"/>
        </w:rPr>
      </w:pPr>
    </w:p>
    <w:p>
      <w:pPr>
        <w:spacing w:line="273" w:lineRule="auto" w:before="0"/>
        <w:ind w:left="573" w:right="11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经营计划执行情况</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、报告期内，公司立足于实现一站式互联网金融服务这一战略定位，进一步加大战略投入，加强研</w:t>
      </w:r>
    </w:p>
    <w:p>
      <w:pPr>
        <w:pStyle w:val="BodyText"/>
        <w:spacing w:line="273" w:lineRule="auto" w:before="7"/>
        <w:ind w:right="1114"/>
        <w:jc w:val="left"/>
      </w:pPr>
      <w:r>
        <w:rPr>
          <w:spacing w:val="-2"/>
        </w:rPr>
        <w:t>发创新，持续推进互联网金融服务大平台的升级、优化和完善工作，大平台的整体服务能力和水平得到</w:t>
      </w:r>
      <w:r>
        <w:rPr>
          <w:spacing w:val="-21"/>
        </w:rPr>
        <w:t> </w:t>
      </w:r>
      <w:r>
        <w:rPr>
          <w:spacing w:val="-21"/>
        </w:rPr>
      </w:r>
      <w:r>
        <w:rPr/>
        <w:t>进一步提升，进一步提升用户体验和用户黏性，进一步夯实了公司核心竞争力。</w:t>
      </w:r>
    </w:p>
    <w:p>
      <w:pPr>
        <w:pStyle w:val="BodyText"/>
        <w:spacing w:line="273" w:lineRule="auto" w:before="7"/>
        <w:ind w:right="1114" w:firstLine="420"/>
        <w:jc w:val="left"/>
      </w:pPr>
      <w:r>
        <w:rPr>
          <w:rFonts w:ascii="宋体" w:hAnsi="宋体" w:cs="宋体" w:eastAsia="宋体" w:hint="default"/>
          <w:spacing w:val="-2"/>
        </w:rPr>
        <w:t>2</w:t>
      </w:r>
      <w:r>
        <w:rPr>
          <w:spacing w:val="-2"/>
        </w:rPr>
        <w:t>、报告期内，公司进一步加强证券业务发展，充分发挥大平台和海量用户的核心竞争优势及整体协</w:t>
      </w:r>
      <w:r>
        <w:rPr>
          <w:w w:val="100"/>
        </w:rPr>
        <w:t> </w:t>
      </w:r>
      <w:r>
        <w:rPr/>
        <w:t>同效应，加强服务网点建设，为用户提供优质服务。报告期内证券经纪业务同比实现较快增长，证券用</w:t>
      </w:r>
      <w:r>
        <w:rPr>
          <w:w w:val="100"/>
        </w:rPr>
        <w:t> </w:t>
      </w:r>
      <w:r>
        <w:rPr/>
        <w:t>户规模进一步增加，证券业务相关收入同比实现较大幅度增长。</w:t>
      </w:r>
    </w:p>
    <w:p>
      <w:pPr>
        <w:pStyle w:val="BodyText"/>
        <w:spacing w:line="272" w:lineRule="exact" w:before="14"/>
        <w:ind w:right="1114" w:firstLine="420"/>
        <w:jc w:val="left"/>
      </w:pPr>
      <w:r>
        <w:rPr>
          <w:rFonts w:ascii="宋体" w:hAnsi="宋体" w:cs="宋体" w:eastAsia="宋体" w:hint="default"/>
          <w:spacing w:val="-5"/>
        </w:rPr>
        <w:t>3</w:t>
      </w:r>
      <w:r>
        <w:rPr>
          <w:spacing w:val="-5"/>
        </w:rPr>
        <w:t>、报告期内，公司进一步加强基金第三方销售服务业务，提升金融电子商务服务平台整体服务能力和</w:t>
      </w:r>
      <w:r>
        <w:rPr>
          <w:w w:val="100"/>
        </w:rPr>
        <w:t> </w:t>
      </w:r>
      <w:r>
        <w:rPr>
          <w:spacing w:val="-3"/>
        </w:rPr>
        <w:t>水平，基金投资者规模进一步增长。截至</w:t>
      </w:r>
      <w:r>
        <w:rPr>
          <w:spacing w:val="-49"/>
        </w:rPr>
        <w:t> </w:t>
      </w:r>
      <w:r>
        <w:rPr>
          <w:rFonts w:ascii="宋体" w:hAnsi="宋体" w:cs="宋体" w:eastAsia="宋体" w:hint="default"/>
        </w:rPr>
        <w:t>2018</w:t>
      </w:r>
      <w:r>
        <w:rPr>
          <w:rFonts w:ascii="宋体" w:hAnsi="宋体" w:cs="宋体" w:eastAsia="宋体" w:hint="default"/>
          <w:spacing w:val="-49"/>
        </w:rPr>
        <w:t> </w:t>
      </w:r>
      <w:r>
        <w:rPr/>
        <w:t>年</w:t>
      </w:r>
      <w:r>
        <w:rPr>
          <w:spacing w:val="-52"/>
        </w:rPr>
        <w:t> </w:t>
      </w:r>
      <w:r>
        <w:rPr>
          <w:rFonts w:ascii="宋体" w:hAnsi="宋体" w:cs="宋体" w:eastAsia="宋体" w:hint="default"/>
        </w:rPr>
        <w:t>12</w:t>
      </w:r>
      <w:r>
        <w:rPr>
          <w:rFonts w:ascii="宋体" w:hAnsi="宋体" w:cs="宋体" w:eastAsia="宋体" w:hint="default"/>
          <w:spacing w:val="-49"/>
        </w:rPr>
        <w:t> </w:t>
      </w:r>
      <w:r>
        <w:rPr/>
        <w:t>月</w:t>
      </w:r>
      <w:r>
        <w:rPr>
          <w:spacing w:val="-48"/>
        </w:rPr>
        <w:t> </w:t>
      </w:r>
      <w:r>
        <w:rPr>
          <w:rFonts w:ascii="宋体" w:hAnsi="宋体" w:cs="宋体" w:eastAsia="宋体" w:hint="default"/>
        </w:rPr>
        <w:t>31</w:t>
      </w:r>
      <w:r>
        <w:rPr>
          <w:rFonts w:ascii="宋体" w:hAnsi="宋体" w:cs="宋体" w:eastAsia="宋体" w:hint="default"/>
          <w:spacing w:val="-49"/>
        </w:rPr>
        <w:t> </w:t>
      </w:r>
      <w:r>
        <w:rPr>
          <w:spacing w:val="-3"/>
        </w:rPr>
        <w:t>日，共上线</w:t>
      </w:r>
      <w:r>
        <w:rPr>
          <w:spacing w:val="-49"/>
        </w:rPr>
        <w:t> </w:t>
      </w:r>
      <w:r>
        <w:rPr>
          <w:rFonts w:ascii="宋体" w:hAnsi="宋体" w:cs="宋体" w:eastAsia="宋体" w:hint="default"/>
        </w:rPr>
        <w:t>128</w:t>
      </w:r>
      <w:r>
        <w:rPr>
          <w:rFonts w:ascii="宋体" w:hAnsi="宋体" w:cs="宋体" w:eastAsia="宋体" w:hint="default"/>
          <w:spacing w:val="-52"/>
        </w:rPr>
        <w:t> </w:t>
      </w:r>
      <w:r>
        <w:rPr/>
        <w:t>家公募基金管理人</w:t>
      </w:r>
      <w:r>
        <w:rPr>
          <w:spacing w:val="-48"/>
        </w:rPr>
        <w:t> </w:t>
      </w:r>
      <w:r>
        <w:rPr>
          <w:rFonts w:ascii="宋体" w:hAnsi="宋体" w:cs="宋体" w:eastAsia="宋体" w:hint="default"/>
        </w:rPr>
        <w:t>6470</w:t>
      </w:r>
      <w:r>
        <w:rPr>
          <w:rFonts w:ascii="宋体" w:hAnsi="宋体" w:cs="宋体" w:eastAsia="宋体" w:hint="default"/>
          <w:spacing w:val="-49"/>
        </w:rPr>
        <w:t> </w:t>
      </w:r>
      <w:r>
        <w:rPr>
          <w:spacing w:val="-3"/>
        </w:rPr>
        <w:t>只基金</w:t>
      </w:r>
      <w:r>
        <w:rPr/>
      </w:r>
    </w:p>
    <w:p>
      <w:pPr>
        <w:pStyle w:val="BodyText"/>
        <w:spacing w:line="247" w:lineRule="exact"/>
        <w:ind w:right="0"/>
        <w:jc w:val="left"/>
      </w:pPr>
      <w:r>
        <w:rPr/>
        <w:t>产品，公司互联网金融电子商务平台共计实现基金认申购及定期定额申购交易 </w:t>
      </w:r>
      <w:r>
        <w:rPr>
          <w:rFonts w:ascii="宋体" w:hAnsi="宋体" w:cs="宋体" w:eastAsia="宋体" w:hint="default"/>
        </w:rPr>
        <w:t>55361236</w:t>
      </w:r>
      <w:r>
        <w:rPr>
          <w:rFonts w:ascii="宋体" w:hAnsi="宋体" w:cs="宋体" w:eastAsia="宋体" w:hint="default"/>
          <w:spacing w:val="-29"/>
        </w:rPr>
        <w:t> </w:t>
      </w:r>
      <w:r>
        <w:rPr/>
        <w:t>笔，基金销售额</w:t>
      </w:r>
    </w:p>
    <w:p>
      <w:pPr>
        <w:pStyle w:val="BodyText"/>
        <w:spacing w:line="272" w:lineRule="exact"/>
        <w:ind w:right="0"/>
        <w:jc w:val="left"/>
        <w:rPr>
          <w:rFonts w:ascii="宋体" w:hAnsi="宋体" w:cs="宋体" w:eastAsia="宋体" w:hint="default"/>
        </w:rPr>
      </w:pPr>
      <w:r>
        <w:rPr/>
        <w:t>为</w:t>
      </w:r>
      <w:r>
        <w:rPr>
          <w:spacing w:val="-45"/>
        </w:rPr>
        <w:t> </w:t>
      </w:r>
      <w:r>
        <w:rPr>
          <w:rFonts w:ascii="宋体" w:hAnsi="宋体" w:cs="宋体" w:eastAsia="宋体" w:hint="default"/>
        </w:rPr>
        <w:t>5,251.62</w:t>
      </w:r>
      <w:r>
        <w:rPr>
          <w:rFonts w:ascii="宋体" w:hAnsi="宋体" w:cs="宋体" w:eastAsia="宋体" w:hint="default"/>
          <w:spacing w:val="-45"/>
        </w:rPr>
        <w:t> </w:t>
      </w:r>
      <w:r>
        <w:rPr>
          <w:spacing w:val="-6"/>
        </w:rPr>
        <w:t>亿元，同比增长</w:t>
      </w:r>
      <w:r>
        <w:rPr>
          <w:spacing w:val="-44"/>
        </w:rPr>
        <w:t> </w:t>
      </w:r>
      <w:r>
        <w:rPr>
          <w:rFonts w:ascii="宋体" w:hAnsi="宋体" w:cs="宋体" w:eastAsia="宋体" w:hint="default"/>
          <w:spacing w:val="-5"/>
        </w:rPr>
        <w:t>27.34%</w:t>
      </w:r>
      <w:r>
        <w:rPr>
          <w:spacing w:val="-5"/>
        </w:rPr>
        <w:t>，其中“活期宝”共计实现申购交易</w:t>
      </w:r>
      <w:r>
        <w:rPr>
          <w:spacing w:val="-45"/>
        </w:rPr>
        <w:t> </w:t>
      </w:r>
      <w:r>
        <w:rPr>
          <w:rFonts w:ascii="宋体" w:hAnsi="宋体" w:cs="宋体" w:eastAsia="宋体" w:hint="default"/>
        </w:rPr>
        <w:t>16072730</w:t>
      </w:r>
      <w:r>
        <w:rPr>
          <w:rFonts w:ascii="宋体" w:hAnsi="宋体" w:cs="宋体" w:eastAsia="宋体" w:hint="default"/>
          <w:spacing w:val="-44"/>
        </w:rPr>
        <w:t> </w:t>
      </w:r>
      <w:r>
        <w:rPr>
          <w:spacing w:val="-6"/>
        </w:rPr>
        <w:t>笔，销售额为</w:t>
      </w:r>
      <w:r>
        <w:rPr>
          <w:spacing w:val="-45"/>
        </w:rPr>
        <w:t> </w:t>
      </w:r>
      <w:r>
        <w:rPr>
          <w:rFonts w:ascii="宋体" w:hAnsi="宋体" w:cs="宋体" w:eastAsia="宋体" w:hint="default"/>
        </w:rPr>
        <w:t>3,287.31</w:t>
      </w:r>
    </w:p>
    <w:p>
      <w:pPr>
        <w:pStyle w:val="BodyText"/>
        <w:spacing w:line="272" w:lineRule="exact"/>
        <w:ind w:right="0"/>
        <w:jc w:val="left"/>
      </w:pPr>
      <w:r>
        <w:rPr>
          <w:w w:val="100"/>
        </w:rPr>
        <w:t>亿元</w:t>
      </w:r>
      <w:r>
        <w:rPr>
          <w:spacing w:val="-113"/>
          <w:w w:val="100"/>
        </w:rPr>
        <w:t>。</w:t>
      </w:r>
      <w:r>
        <w:rPr>
          <w:w w:val="100"/>
        </w:rPr>
        <w:t>“</w:t>
      </w:r>
      <w:r>
        <w:rPr>
          <w:spacing w:val="-3"/>
          <w:w w:val="100"/>
        </w:rPr>
        <w:t>天</w:t>
      </w:r>
      <w:r>
        <w:rPr>
          <w:w w:val="100"/>
        </w:rPr>
        <w:t>天</w:t>
      </w:r>
      <w:r>
        <w:rPr>
          <w:spacing w:val="-3"/>
          <w:w w:val="100"/>
        </w:rPr>
        <w:t>基</w:t>
      </w:r>
      <w:r>
        <w:rPr>
          <w:w w:val="100"/>
        </w:rPr>
        <w:t>金网</w:t>
      </w:r>
      <w:r>
        <w:rPr>
          <w:spacing w:val="-8"/>
          <w:w w:val="100"/>
        </w:rPr>
        <w:t>”</w:t>
      </w:r>
      <w:r>
        <w:rPr>
          <w:spacing w:val="-3"/>
          <w:w w:val="100"/>
        </w:rPr>
        <w:t>网</w:t>
      </w:r>
      <w:r>
        <w:rPr>
          <w:w w:val="100"/>
        </w:rPr>
        <w:t>站</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年</w:t>
      </w:r>
      <w:r>
        <w:rPr>
          <w:w w:val="100"/>
        </w:rPr>
        <w:t>日</w:t>
      </w:r>
      <w:r>
        <w:rPr>
          <w:spacing w:val="-3"/>
          <w:w w:val="100"/>
        </w:rPr>
        <w:t>均</w:t>
      </w:r>
      <w:r>
        <w:rPr>
          <w:w w:val="100"/>
        </w:rPr>
        <w:t>页</w:t>
      </w:r>
      <w:r>
        <w:rPr>
          <w:spacing w:val="-3"/>
          <w:w w:val="100"/>
        </w:rPr>
        <w:t>面</w:t>
      </w:r>
      <w:r>
        <w:rPr>
          <w:w w:val="100"/>
        </w:rPr>
        <w:t>浏</w:t>
      </w:r>
      <w:r>
        <w:rPr>
          <w:spacing w:val="-3"/>
          <w:w w:val="100"/>
        </w:rPr>
        <w:t>览量</w:t>
      </w:r>
      <w:r>
        <w:rPr>
          <w:w w:val="100"/>
        </w:rPr>
        <w:t>为</w:t>
      </w:r>
      <w:r>
        <w:rPr>
          <w:spacing w:val="-53"/>
        </w:rPr>
        <w:t> </w:t>
      </w:r>
      <w:r>
        <w:rPr>
          <w:rFonts w:ascii="宋体" w:hAnsi="宋体" w:cs="宋体" w:eastAsia="宋体" w:hint="default"/>
          <w:w w:val="100"/>
        </w:rPr>
        <w:t>562</w:t>
      </w:r>
      <w:r>
        <w:rPr>
          <w:rFonts w:ascii="宋体" w:hAnsi="宋体" w:cs="宋体" w:eastAsia="宋体" w:hint="default"/>
          <w:spacing w:val="-55"/>
        </w:rPr>
        <w:t> </w:t>
      </w:r>
      <w:r>
        <w:rPr>
          <w:w w:val="100"/>
        </w:rPr>
        <w:t>万</w:t>
      </w:r>
      <w:r>
        <w:rPr>
          <w:spacing w:val="-8"/>
          <w:w w:val="100"/>
        </w:rPr>
        <w:t>，</w:t>
      </w:r>
      <w:r>
        <w:rPr>
          <w:w w:val="100"/>
        </w:rPr>
        <w:t>其</w:t>
      </w:r>
      <w:r>
        <w:rPr>
          <w:spacing w:val="-3"/>
          <w:w w:val="100"/>
        </w:rPr>
        <w:t>中</w:t>
      </w:r>
      <w:r>
        <w:rPr>
          <w:spacing w:val="-5"/>
          <w:w w:val="100"/>
        </w:rPr>
        <w:t>，</w:t>
      </w:r>
      <w:r>
        <w:rPr>
          <w:spacing w:val="-3"/>
          <w:w w:val="100"/>
        </w:rPr>
        <w:t>交</w:t>
      </w:r>
      <w:r>
        <w:rPr>
          <w:w w:val="100"/>
        </w:rPr>
        <w:t>易</w:t>
      </w:r>
      <w:r>
        <w:rPr>
          <w:spacing w:val="-3"/>
          <w:w w:val="100"/>
        </w:rPr>
        <w:t>日</w:t>
      </w:r>
      <w:r>
        <w:rPr>
          <w:w w:val="100"/>
        </w:rPr>
        <w:t>日均</w:t>
      </w:r>
      <w:r>
        <w:rPr>
          <w:spacing w:val="-3"/>
          <w:w w:val="100"/>
        </w:rPr>
        <w:t>页</w:t>
      </w:r>
      <w:r>
        <w:rPr>
          <w:w w:val="100"/>
        </w:rPr>
        <w:t>面</w:t>
      </w:r>
      <w:r>
        <w:rPr>
          <w:spacing w:val="-3"/>
          <w:w w:val="100"/>
        </w:rPr>
        <w:t>浏</w:t>
      </w:r>
      <w:r>
        <w:rPr>
          <w:w w:val="100"/>
        </w:rPr>
        <w:t>览</w:t>
      </w:r>
      <w:r>
        <w:rPr>
          <w:spacing w:val="-3"/>
          <w:w w:val="100"/>
        </w:rPr>
        <w:t>量</w:t>
      </w:r>
      <w:r>
        <w:rPr>
          <w:w w:val="100"/>
        </w:rPr>
        <w:t>为</w:t>
      </w:r>
      <w:r>
        <w:rPr>
          <w:spacing w:val="-53"/>
        </w:rPr>
        <w:t> </w:t>
      </w:r>
      <w:r>
        <w:rPr>
          <w:rFonts w:ascii="宋体" w:hAnsi="宋体" w:cs="宋体" w:eastAsia="宋体" w:hint="default"/>
          <w:spacing w:val="-3"/>
          <w:w w:val="100"/>
        </w:rPr>
        <w:t>7</w:t>
      </w:r>
      <w:r>
        <w:rPr>
          <w:rFonts w:ascii="宋体" w:hAnsi="宋体" w:cs="宋体" w:eastAsia="宋体" w:hint="default"/>
          <w:w w:val="100"/>
        </w:rPr>
        <w:t>63</w:t>
      </w:r>
      <w:r>
        <w:rPr>
          <w:rFonts w:ascii="宋体" w:hAnsi="宋体" w:cs="宋体" w:eastAsia="宋体" w:hint="default"/>
          <w:spacing w:val="-53"/>
        </w:rPr>
        <w:t> </w:t>
      </w:r>
      <w:r>
        <w:rPr>
          <w:spacing w:val="-3"/>
          <w:w w:val="100"/>
        </w:rPr>
        <w:t>万</w:t>
      </w:r>
      <w:r>
        <w:rPr>
          <w:spacing w:val="-5"/>
          <w:w w:val="100"/>
        </w:rPr>
        <w:t>，</w:t>
      </w:r>
      <w:r>
        <w:rPr>
          <w:w w:val="100"/>
        </w:rPr>
        <w:t>非</w:t>
      </w:r>
    </w:p>
    <w:p>
      <w:pPr>
        <w:pStyle w:val="BodyText"/>
        <w:spacing w:line="272" w:lineRule="exact"/>
        <w:ind w:right="0"/>
        <w:jc w:val="left"/>
      </w:pPr>
      <w:r>
        <w:rPr>
          <w:w w:val="100"/>
        </w:rPr>
        <w:t>交易</w:t>
      </w:r>
      <w:r>
        <w:rPr>
          <w:spacing w:val="-3"/>
          <w:w w:val="100"/>
        </w:rPr>
        <w:t>日</w:t>
      </w:r>
      <w:r>
        <w:rPr>
          <w:w w:val="100"/>
        </w:rPr>
        <w:t>日</w:t>
      </w:r>
      <w:r>
        <w:rPr>
          <w:spacing w:val="-3"/>
          <w:w w:val="100"/>
        </w:rPr>
        <w:t>均</w:t>
      </w:r>
      <w:r>
        <w:rPr>
          <w:w w:val="100"/>
        </w:rPr>
        <w:t>页</w:t>
      </w:r>
      <w:r>
        <w:rPr>
          <w:spacing w:val="-3"/>
          <w:w w:val="100"/>
        </w:rPr>
        <w:t>面</w:t>
      </w:r>
      <w:r>
        <w:rPr>
          <w:w w:val="100"/>
        </w:rPr>
        <w:t>浏</w:t>
      </w:r>
      <w:r>
        <w:rPr>
          <w:spacing w:val="-3"/>
          <w:w w:val="100"/>
        </w:rPr>
        <w:t>览</w:t>
      </w:r>
      <w:r>
        <w:rPr>
          <w:w w:val="100"/>
        </w:rPr>
        <w:t>量为</w:t>
      </w:r>
      <w:r>
        <w:rPr>
          <w:spacing w:val="-51"/>
        </w:rPr>
        <w:t> </w:t>
      </w:r>
      <w:r>
        <w:rPr>
          <w:rFonts w:ascii="宋体" w:hAnsi="宋体" w:cs="宋体" w:eastAsia="宋体" w:hint="default"/>
          <w:w w:val="100"/>
        </w:rPr>
        <w:t>161</w:t>
      </w:r>
      <w:r>
        <w:rPr>
          <w:rFonts w:ascii="宋体" w:hAnsi="宋体" w:cs="宋体" w:eastAsia="宋体" w:hint="default"/>
          <w:spacing w:val="-47"/>
        </w:rPr>
        <w:t> </w:t>
      </w:r>
      <w:r>
        <w:rPr>
          <w:w w:val="100"/>
        </w:rPr>
        <w:t>万</w:t>
      </w:r>
      <w:r>
        <w:rPr>
          <w:spacing w:val="-108"/>
          <w:w w:val="100"/>
        </w:rPr>
        <w:t>；</w:t>
      </w:r>
      <w:r>
        <w:rPr>
          <w:w w:val="100"/>
        </w:rPr>
        <w:t>“</w:t>
      </w:r>
      <w:r>
        <w:rPr>
          <w:spacing w:val="-3"/>
          <w:w w:val="100"/>
        </w:rPr>
        <w:t>天</w:t>
      </w:r>
      <w:r>
        <w:rPr>
          <w:w w:val="100"/>
        </w:rPr>
        <w:t>天</w:t>
      </w:r>
      <w:r>
        <w:rPr>
          <w:spacing w:val="-3"/>
          <w:w w:val="100"/>
        </w:rPr>
        <w:t>基</w:t>
      </w:r>
      <w:r>
        <w:rPr>
          <w:w w:val="100"/>
        </w:rPr>
        <w:t>金</w:t>
      </w:r>
      <w:r>
        <w:rPr>
          <w:spacing w:val="-3"/>
          <w:w w:val="100"/>
        </w:rPr>
        <w:t>网</w:t>
      </w:r>
      <w:r>
        <w:rPr>
          <w:spacing w:val="-1"/>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48"/>
        </w:rPr>
        <w:t> </w:t>
      </w:r>
      <w:r>
        <w:rPr>
          <w:w w:val="100"/>
        </w:rPr>
        <w:t>年</w:t>
      </w:r>
      <w:r>
        <w:rPr>
          <w:spacing w:val="-3"/>
          <w:w w:val="100"/>
        </w:rPr>
        <w:t>用</w:t>
      </w:r>
      <w:r>
        <w:rPr>
          <w:w w:val="100"/>
        </w:rPr>
        <w:t>户</w:t>
      </w:r>
      <w:r>
        <w:rPr>
          <w:spacing w:val="-3"/>
          <w:w w:val="100"/>
        </w:rPr>
        <w:t>日</w:t>
      </w:r>
      <w:r>
        <w:rPr>
          <w:w w:val="100"/>
        </w:rPr>
        <w:t>均</w:t>
      </w:r>
      <w:r>
        <w:rPr>
          <w:spacing w:val="-3"/>
          <w:w w:val="100"/>
        </w:rPr>
        <w:t>使</w:t>
      </w:r>
      <w:r>
        <w:rPr>
          <w:w w:val="100"/>
        </w:rPr>
        <w:t>用</w:t>
      </w:r>
      <w:r>
        <w:rPr>
          <w:spacing w:val="-3"/>
          <w:w w:val="100"/>
        </w:rPr>
        <w:t>时</w:t>
      </w:r>
      <w:r>
        <w:rPr>
          <w:w w:val="100"/>
        </w:rPr>
        <w:t>长为</w:t>
      </w:r>
      <w:r>
        <w:rPr>
          <w:spacing w:val="-51"/>
        </w:rPr>
        <w:t> </w:t>
      </w:r>
      <w:r>
        <w:rPr>
          <w:rFonts w:ascii="宋体" w:hAnsi="宋体" w:cs="宋体" w:eastAsia="宋体" w:hint="default"/>
          <w:w w:val="100"/>
        </w:rPr>
        <w:t>22.31</w:t>
      </w:r>
      <w:r>
        <w:rPr>
          <w:rFonts w:ascii="宋体" w:hAnsi="宋体" w:cs="宋体" w:eastAsia="宋体" w:hint="default"/>
          <w:spacing w:val="-47"/>
        </w:rPr>
        <w:t> </w:t>
      </w:r>
      <w:r>
        <w:rPr>
          <w:spacing w:val="-3"/>
          <w:w w:val="100"/>
        </w:rPr>
        <w:t>分</w:t>
      </w:r>
      <w:r>
        <w:rPr>
          <w:w w:val="100"/>
        </w:rPr>
        <w:t>钟</w:t>
      </w:r>
      <w:r>
        <w:rPr>
          <w:spacing w:val="-3"/>
          <w:w w:val="100"/>
        </w:rPr>
        <w:t>；</w:t>
      </w:r>
      <w:r>
        <w:rPr>
          <w:w w:val="100"/>
        </w:rPr>
        <w:t>天</w:t>
      </w:r>
      <w:r>
        <w:rPr>
          <w:spacing w:val="-3"/>
          <w:w w:val="100"/>
        </w:rPr>
        <w:t>天</w:t>
      </w:r>
      <w:r>
        <w:rPr>
          <w:w w:val="100"/>
        </w:rPr>
        <w:t>基</w:t>
      </w:r>
      <w:r>
        <w:rPr>
          <w:spacing w:val="-3"/>
          <w:w w:val="100"/>
        </w:rPr>
        <w:t>金服</w:t>
      </w:r>
      <w:r>
        <w:rPr>
          <w:w w:val="100"/>
        </w:rPr>
        <w:t>务</w:t>
      </w:r>
    </w:p>
    <w:p>
      <w:pPr>
        <w:pStyle w:val="BodyText"/>
        <w:spacing w:line="272" w:lineRule="exact"/>
        <w:ind w:right="0"/>
        <w:jc w:val="left"/>
      </w:pPr>
      <w:r>
        <w:rPr/>
        <w:t>平台日均活跃访问用户数为</w:t>
      </w:r>
      <w:r>
        <w:rPr>
          <w:spacing w:val="-41"/>
        </w:rPr>
        <w:t> </w:t>
      </w:r>
      <w:r>
        <w:rPr>
          <w:rFonts w:ascii="宋体" w:hAnsi="宋体" w:cs="宋体" w:eastAsia="宋体" w:hint="default"/>
        </w:rPr>
        <w:t>140.75</w:t>
      </w:r>
      <w:r>
        <w:rPr>
          <w:rFonts w:ascii="宋体" w:hAnsi="宋体" w:cs="宋体" w:eastAsia="宋体" w:hint="default"/>
          <w:spacing w:val="-43"/>
        </w:rPr>
        <w:t> </w:t>
      </w:r>
      <w:r>
        <w:rPr>
          <w:spacing w:val="-3"/>
        </w:rPr>
        <w:t>万，其中，交易日日均活跃访问用户数为</w:t>
      </w:r>
      <w:r>
        <w:rPr>
          <w:spacing w:val="-43"/>
        </w:rPr>
        <w:t> </w:t>
      </w:r>
      <w:r>
        <w:rPr>
          <w:rFonts w:ascii="宋体" w:hAnsi="宋体" w:cs="宋体" w:eastAsia="宋体" w:hint="default"/>
        </w:rPr>
        <w:t>174.90</w:t>
      </w:r>
      <w:r>
        <w:rPr>
          <w:rFonts w:ascii="宋体" w:hAnsi="宋体" w:cs="宋体" w:eastAsia="宋体" w:hint="default"/>
          <w:spacing w:val="-40"/>
        </w:rPr>
        <w:t> </w:t>
      </w:r>
      <w:r>
        <w:rPr>
          <w:spacing w:val="-3"/>
        </w:rPr>
        <w:t>万，非交易日日均活</w:t>
      </w:r>
    </w:p>
    <w:p>
      <w:pPr>
        <w:pStyle w:val="BodyText"/>
        <w:spacing w:line="259" w:lineRule="auto"/>
        <w:ind w:left="573" w:right="1114" w:hanging="420"/>
        <w:jc w:val="left"/>
      </w:pPr>
      <w:r>
        <w:rPr/>
        <w:t>跃访问用户数为</w:t>
      </w:r>
      <w:r>
        <w:rPr>
          <w:spacing w:val="-53"/>
        </w:rPr>
        <w:t> </w:t>
      </w:r>
      <w:r>
        <w:rPr>
          <w:rFonts w:ascii="宋体" w:hAnsi="宋体" w:cs="宋体" w:eastAsia="宋体" w:hint="default"/>
        </w:rPr>
        <w:t>72.74</w:t>
      </w:r>
      <w:r>
        <w:rPr>
          <w:rFonts w:ascii="宋体" w:hAnsi="宋体" w:cs="宋体" w:eastAsia="宋体" w:hint="default"/>
          <w:spacing w:val="-53"/>
        </w:rPr>
        <w:t> </w:t>
      </w:r>
      <w:r>
        <w:rPr>
          <w:spacing w:val="-3"/>
        </w:rPr>
        <w:t>万。</w:t>
      </w:r>
      <w:r>
        <w:rPr>
          <w:spacing w:val="-3"/>
          <w:w w:val="100"/>
        </w:rPr>
        <w:t> </w:t>
      </w:r>
      <w:r>
        <w:rPr>
          <w:rFonts w:ascii="宋体" w:hAnsi="宋体" w:cs="宋体" w:eastAsia="宋体" w:hint="default"/>
          <w:spacing w:val="-2"/>
        </w:rPr>
        <w:t>4</w:t>
      </w:r>
      <w:r>
        <w:rPr>
          <w:spacing w:val="-2"/>
        </w:rPr>
        <w:t>、报告期内，公司进一步挖掘海量数据的巨大价值，持续进行技术与架构创新，有效提升计算效</w:t>
      </w:r>
    </w:p>
    <w:p>
      <w:pPr>
        <w:pStyle w:val="BodyText"/>
        <w:spacing w:line="273" w:lineRule="auto" w:before="20"/>
        <w:ind w:right="1114"/>
        <w:jc w:val="left"/>
      </w:pPr>
      <w:r>
        <w:rPr>
          <w:spacing w:val="-2"/>
        </w:rPr>
        <w:t>率，进一步建立和完善数据资产管理体系、智能监控体系，保障业务持续稳定运行，进一步提升服务智</w:t>
      </w:r>
      <w:r>
        <w:rPr>
          <w:spacing w:val="-21"/>
        </w:rPr>
        <w:t> </w:t>
      </w:r>
      <w:r>
        <w:rPr>
          <w:spacing w:val="-21"/>
        </w:rPr>
      </w:r>
      <w:r>
        <w:rPr/>
        <w:t>能化水平，提升用户体验，为用户提供更优质的服务。</w:t>
      </w:r>
    </w:p>
    <w:p>
      <w:pPr>
        <w:pStyle w:val="BodyText"/>
        <w:spacing w:line="273" w:lineRule="auto" w:before="7"/>
        <w:ind w:right="1114" w:firstLine="420"/>
        <w:jc w:val="left"/>
      </w:pPr>
      <w:r>
        <w:rPr>
          <w:rFonts w:ascii="宋体" w:hAnsi="宋体" w:cs="宋体" w:eastAsia="宋体" w:hint="default"/>
          <w:spacing w:val="-2"/>
        </w:rPr>
        <w:t>5</w:t>
      </w:r>
      <w:r>
        <w:rPr>
          <w:spacing w:val="-2"/>
        </w:rPr>
        <w:t>、报告期内，公司进一步做好金融数据服务业务的发展，进一步加强个人终端产品的研发和创新工</w:t>
      </w:r>
      <w:r>
        <w:rPr>
          <w:w w:val="100"/>
        </w:rPr>
        <w:t> </w:t>
      </w:r>
      <w:r>
        <w:rPr/>
        <w:t>作，持续提升用户体验和产品服务能力，同时持续优化和完善</w:t>
      </w:r>
      <w:r>
        <w:rPr>
          <w:rFonts w:ascii="宋体" w:hAnsi="宋体" w:cs="宋体" w:eastAsia="宋体" w:hint="default"/>
        </w:rPr>
        <w:t>Choice</w:t>
      </w:r>
      <w:r>
        <w:rPr/>
        <w:t>数据专业服务，品牌在行业内影响</w:t>
      </w:r>
      <w:r>
        <w:rPr>
          <w:w w:val="100"/>
        </w:rPr>
        <w:t> </w:t>
      </w:r>
      <w:r>
        <w:rPr/>
        <w:t>力不断扩大，市场关注度和用户规模进一步提升。</w:t>
      </w:r>
    </w:p>
    <w:p>
      <w:pPr>
        <w:pStyle w:val="BodyText"/>
        <w:spacing w:line="273" w:lineRule="auto" w:before="7"/>
        <w:ind w:right="1114" w:firstLine="420"/>
        <w:jc w:val="left"/>
      </w:pPr>
      <w:r>
        <w:rPr>
          <w:rFonts w:ascii="宋体" w:hAnsi="宋体" w:cs="宋体" w:eastAsia="宋体" w:hint="default"/>
          <w:spacing w:val="-2"/>
        </w:rPr>
        <w:t>6</w:t>
      </w:r>
      <w:r>
        <w:rPr>
          <w:spacing w:val="-2"/>
        </w:rPr>
        <w:t>、报告期内，公司继续做好募投项目和超募资金投资项目的后期运维工作，进一步发挥项目整体协</w:t>
      </w:r>
      <w:r>
        <w:rPr>
          <w:w w:val="100"/>
        </w:rPr>
        <w:t> </w:t>
      </w:r>
      <w:r>
        <w:rPr/>
        <w:t>同效应，同时加强剩余超募资金的使用和管理工作，努力提高资金使用效率。报告期内，公司完成对东</w:t>
      </w:r>
      <w:r>
        <w:rPr>
          <w:w w:val="100"/>
        </w:rPr>
        <w:t> </w:t>
      </w:r>
      <w:r>
        <w:rPr/>
        <w:t>方财富证券增资</w:t>
      </w:r>
      <w:r>
        <w:rPr>
          <w:rFonts w:ascii="宋体" w:hAnsi="宋体" w:cs="宋体" w:eastAsia="宋体" w:hint="default"/>
        </w:rPr>
        <w:t>20,000.00</w:t>
      </w:r>
      <w:r>
        <w:rPr/>
        <w:t>万元，并通过东方财富证券出资设立基金管理公司。</w:t>
      </w:r>
    </w:p>
    <w:p>
      <w:pPr>
        <w:pStyle w:val="BodyText"/>
        <w:spacing w:line="273" w:lineRule="auto" w:before="7"/>
        <w:ind w:right="1114" w:firstLine="420"/>
        <w:jc w:val="left"/>
      </w:pPr>
      <w:r>
        <w:rPr>
          <w:rFonts w:ascii="宋体" w:hAnsi="宋体" w:cs="宋体" w:eastAsia="宋体" w:hint="default"/>
          <w:spacing w:val="-2"/>
        </w:rPr>
        <w:t>7</w:t>
      </w:r>
      <w:r>
        <w:rPr>
          <w:spacing w:val="-2"/>
        </w:rPr>
        <w:t>、报告期内，公司进一步建设和完善集团化财务智能管理系统，强化集团化财务管理工作，加强集</w:t>
      </w:r>
      <w:r>
        <w:rPr>
          <w:w w:val="100"/>
        </w:rPr>
        <w:t> </w:t>
      </w:r>
      <w:r>
        <w:rPr/>
        <w:t>团化资金管理，进一步发挥财务职能作用。进一步加强人力资源管理，健全绩效考核机制和激励机制，</w:t>
      </w:r>
      <w:r>
        <w:rPr>
          <w:w w:val="100"/>
        </w:rPr>
        <w:t> </w:t>
      </w:r>
      <w:r>
        <w:rPr/>
        <w:t>完成了公司</w:t>
      </w:r>
      <w:r>
        <w:rPr>
          <w:rFonts w:ascii="宋体" w:hAnsi="宋体" w:cs="宋体" w:eastAsia="宋体" w:hint="default"/>
        </w:rPr>
        <w:t>2014</w:t>
      </w:r>
      <w:r>
        <w:rPr/>
        <w:t>年股票期权激励计划首次授予期权第三个行权期的行权工作。同时，进一步完善人才引</w:t>
      </w:r>
      <w:r>
        <w:rPr>
          <w:w w:val="100"/>
        </w:rPr>
        <w:t> </w:t>
      </w:r>
      <w:r>
        <w:rPr/>
        <w:t>进和梯队建设工作。进一步强化企业文化建设，进一步增强了企业活力和凝聚力，公司整体管理水平得</w:t>
      </w:r>
      <w:r>
        <w:rPr>
          <w:w w:val="100"/>
        </w:rPr>
        <w:t> </w:t>
      </w:r>
      <w:r>
        <w:rPr/>
        <w:t>到了进一步提升。</w:t>
      </w:r>
    </w:p>
    <w:p>
      <w:pPr>
        <w:pStyle w:val="BodyText"/>
        <w:spacing w:line="273" w:lineRule="auto" w:before="7"/>
        <w:ind w:right="1114" w:firstLine="422"/>
        <w:jc w:val="left"/>
      </w:pPr>
      <w:r>
        <w:rPr>
          <w:rFonts w:ascii="宋体" w:hAnsi="宋体" w:cs="宋体" w:eastAsia="宋体" w:hint="default"/>
        </w:rPr>
        <w:t>8</w:t>
      </w:r>
      <w:r>
        <w:rPr/>
        <w:t>、报告期内，公司进一步加强了投资者关系管理工作，进一步增强与投资者的互动交流。报告期</w:t>
      </w:r>
      <w:r>
        <w:rPr>
          <w:w w:val="100"/>
        </w:rPr>
        <w:t> </w:t>
      </w:r>
      <w:r>
        <w:rPr>
          <w:spacing w:val="-2"/>
        </w:rPr>
        <w:t>内，公司共接听投资者来电</w:t>
      </w:r>
      <w:r>
        <w:rPr>
          <w:rFonts w:ascii="宋体" w:hAnsi="宋体" w:cs="宋体" w:eastAsia="宋体" w:hint="default"/>
          <w:spacing w:val="-2"/>
        </w:rPr>
        <w:t>887</w:t>
      </w:r>
      <w:r>
        <w:rPr>
          <w:spacing w:val="-2"/>
        </w:rPr>
        <w:t>个，回答深交所互动易平台投资者提问</w:t>
      </w:r>
      <w:r>
        <w:rPr>
          <w:rFonts w:ascii="宋体" w:hAnsi="宋体" w:cs="宋体" w:eastAsia="宋体" w:hint="default"/>
          <w:spacing w:val="-2"/>
        </w:rPr>
        <w:t>146</w:t>
      </w:r>
      <w:r>
        <w:rPr>
          <w:spacing w:val="-2"/>
        </w:rPr>
        <w:t>个，举行网上业绩说明会</w:t>
      </w:r>
      <w:r>
        <w:rPr>
          <w:rFonts w:ascii="宋体" w:hAnsi="宋体" w:cs="宋体" w:eastAsia="宋体" w:hint="default"/>
          <w:spacing w:val="-2"/>
        </w:rPr>
        <w:t>1</w:t>
      </w:r>
      <w:r>
        <w:rPr>
          <w:spacing w:val="-2"/>
        </w:rPr>
        <w:t>次，</w:t>
      </w:r>
      <w:r>
        <w:rPr>
          <w:spacing w:val="-24"/>
        </w:rPr>
        <w:t> </w:t>
      </w:r>
      <w:r>
        <w:rPr/>
        <w:t>参加投资者交流活动</w:t>
      </w:r>
      <w:r>
        <w:rPr>
          <w:rFonts w:ascii="宋体" w:hAnsi="宋体" w:cs="宋体" w:eastAsia="宋体" w:hint="default"/>
        </w:rPr>
        <w:t>2</w:t>
      </w:r>
      <w:r>
        <w:rPr/>
        <w:t>次。</w:t>
      </w:r>
    </w:p>
    <w:p>
      <w:pPr>
        <w:spacing w:line="273" w:lineRule="auto" w:before="7"/>
        <w:ind w:left="573" w:right="11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)2019</w:t>
      </w:r>
      <w:r>
        <w:rPr>
          <w:rFonts w:ascii="宋体" w:hAnsi="宋体" w:cs="宋体" w:eastAsia="宋体" w:hint="default"/>
          <w:b/>
          <w:bCs/>
          <w:sz w:val="21"/>
          <w:szCs w:val="21"/>
        </w:rPr>
        <w:t>年度经营计划</w:t>
      </w:r>
      <w:r>
        <w:rPr>
          <w:rFonts w:ascii="宋体" w:hAnsi="宋体" w:cs="宋体" w:eastAsia="宋体" w:hint="default"/>
          <w:b/>
          <w:bCs/>
          <w:w w:val="100"/>
          <w:sz w:val="21"/>
          <w:szCs w:val="21"/>
        </w:rPr>
        <w:t> </w:t>
      </w:r>
      <w:r>
        <w:rPr>
          <w:rFonts w:ascii="宋体" w:hAnsi="宋体" w:cs="宋体" w:eastAsia="宋体" w:hint="default"/>
          <w:spacing w:val="-2"/>
          <w:sz w:val="21"/>
          <w:szCs w:val="21"/>
        </w:rPr>
        <w:t>2019</w:t>
      </w:r>
      <w:r>
        <w:rPr>
          <w:rFonts w:ascii="宋体" w:hAnsi="宋体" w:cs="宋体" w:eastAsia="宋体" w:hint="default"/>
          <w:spacing w:val="-2"/>
          <w:sz w:val="21"/>
          <w:szCs w:val="21"/>
        </w:rPr>
        <w:t>年度，公司将紧紧围绕实现一站式互联网金融服务的整体战略目标，积极抓住发展机遇，克服</w:t>
      </w:r>
    </w:p>
    <w:p>
      <w:pPr>
        <w:pStyle w:val="BodyText"/>
        <w:spacing w:line="273" w:lineRule="auto" w:before="7"/>
        <w:ind w:right="1114"/>
        <w:jc w:val="left"/>
      </w:pPr>
      <w:r>
        <w:rPr>
          <w:spacing w:val="-2"/>
        </w:rPr>
        <w:t>不利因素，加大研发投入，进一步提升服务能力和水平，提升用户体验，增强用户黏性，进一步巩固和</w:t>
      </w:r>
      <w:r>
        <w:rPr>
          <w:spacing w:val="-21"/>
        </w:rPr>
        <w:t> </w:t>
      </w:r>
      <w:r>
        <w:rPr>
          <w:spacing w:val="-21"/>
        </w:rPr>
      </w:r>
      <w:r>
        <w:rPr/>
        <w:t>提升公司核心竞争力，努力实现公司可持续健康发展。</w:t>
      </w:r>
    </w:p>
    <w:p>
      <w:pPr>
        <w:pStyle w:val="BodyText"/>
        <w:spacing w:line="240" w:lineRule="auto" w:before="7"/>
        <w:ind w:left="573" w:right="1114"/>
        <w:jc w:val="left"/>
      </w:pPr>
      <w:r>
        <w:rPr>
          <w:rFonts w:ascii="宋体" w:hAnsi="宋体" w:cs="宋体" w:eastAsia="宋体" w:hint="default"/>
        </w:rPr>
        <w:t>1</w:t>
      </w:r>
      <w:r>
        <w:rPr/>
        <w:t>、进一步加强研发创新，不断完善和优化互联网金融服务大平台</w:t>
      </w:r>
    </w:p>
    <w:p>
      <w:pPr>
        <w:spacing w:after="0" w:line="240" w:lineRule="auto"/>
        <w:jc w:val="left"/>
        <w:sectPr>
          <w:pgSz w:w="11910" w:h="16840"/>
          <w:pgMar w:header="852" w:footer="979" w:top="1320" w:bottom="1160" w:left="980" w:right="0"/>
        </w:sectPr>
      </w:pPr>
    </w:p>
    <w:p>
      <w:pPr>
        <w:pStyle w:val="BodyText"/>
        <w:spacing w:line="273" w:lineRule="auto" w:before="100"/>
        <w:ind w:right="1313" w:firstLine="420"/>
        <w:jc w:val="both"/>
      </w:pPr>
      <w:r>
        <w:rPr>
          <w:spacing w:val="-2"/>
        </w:rPr>
        <w:t>公司将进一步加强研发创新，持续推动网站平台、互动社区平台、金融数据终端平台和移动端平台</w:t>
      </w:r>
      <w:r>
        <w:rPr>
          <w:w w:val="100"/>
        </w:rPr>
        <w:t> </w:t>
      </w:r>
      <w:r>
        <w:rPr>
          <w:spacing w:val="-2"/>
        </w:rPr>
        <w:t>的升级、优化和完善工作，进一步加强互联网金融电子商务平台服务创新和完善工作。同时继续加强核</w:t>
      </w:r>
      <w:r>
        <w:rPr>
          <w:spacing w:val="-21"/>
        </w:rPr>
        <w:t> </w:t>
      </w:r>
      <w:r>
        <w:rPr>
          <w:spacing w:val="-21"/>
        </w:rPr>
      </w:r>
      <w:r>
        <w:rPr>
          <w:spacing w:val="-2"/>
        </w:rPr>
        <w:t>心海量数据库的升级、优化和完善工作，实现大平台底层海量数据的共享覆盖并提升数据处理和响应能</w:t>
      </w:r>
      <w:r>
        <w:rPr>
          <w:spacing w:val="-22"/>
        </w:rPr>
        <w:t> </w:t>
      </w:r>
      <w:r>
        <w:rPr>
          <w:spacing w:val="-22"/>
        </w:rPr>
      </w:r>
      <w:r>
        <w:rPr>
          <w:spacing w:val="-2"/>
        </w:rPr>
        <w:t>力，充分发挥各平台的整体协同效应，为海量用户提供更大范围、更全面、更完善的一站式互联网金融</w:t>
      </w:r>
      <w:r>
        <w:rPr>
          <w:spacing w:val="-21"/>
        </w:rPr>
        <w:t> </w:t>
      </w:r>
      <w:r>
        <w:rPr>
          <w:spacing w:val="-21"/>
        </w:rPr>
      </w:r>
      <w:r>
        <w:rPr/>
        <w:t>服务，夯实基础。</w:t>
      </w:r>
    </w:p>
    <w:p>
      <w:pPr>
        <w:pStyle w:val="BodyText"/>
        <w:spacing w:line="273" w:lineRule="auto" w:before="7"/>
        <w:ind w:left="573" w:right="1114"/>
        <w:jc w:val="left"/>
      </w:pPr>
      <w:r>
        <w:rPr>
          <w:rFonts w:ascii="宋体" w:hAnsi="宋体" w:cs="宋体" w:eastAsia="宋体" w:hint="default"/>
        </w:rPr>
        <w:t>2</w:t>
      </w:r>
      <w:r>
        <w:rPr/>
        <w:t>、进一步提升证券期货服务能力和水平，推动证券期货业务持续健康发展</w:t>
      </w:r>
      <w:r>
        <w:rPr>
          <w:w w:val="100"/>
        </w:rPr>
        <w:t> </w:t>
      </w:r>
      <w:r>
        <w:rPr>
          <w:spacing w:val="-2"/>
        </w:rPr>
        <w:t>公司将进一步发挥一站式互联网金融服务大平台和海量用户的核心竞争优势，以海量用户的需求为</w:t>
      </w:r>
    </w:p>
    <w:p>
      <w:pPr>
        <w:pStyle w:val="BodyText"/>
        <w:spacing w:line="273" w:lineRule="auto" w:before="7"/>
        <w:ind w:right="1114"/>
        <w:jc w:val="left"/>
      </w:pPr>
      <w:r>
        <w:rPr>
          <w:spacing w:val="-2"/>
        </w:rPr>
        <w:t>中心，充分发挥整体协同效应，进一步提升证券期货服务能力和水平，加强技术投入，加强服务网点建</w:t>
      </w:r>
      <w:r>
        <w:rPr>
          <w:spacing w:val="-21"/>
        </w:rPr>
        <w:t> </w:t>
      </w:r>
      <w:r>
        <w:rPr>
          <w:spacing w:val="-21"/>
        </w:rPr>
      </w:r>
      <w:r>
        <w:rPr/>
        <w:t>设，提升内部管理水平，完善内治理和风险管理，推动证券期货业务实现长期可持续健康发展。</w:t>
      </w:r>
    </w:p>
    <w:p>
      <w:pPr>
        <w:pStyle w:val="BodyText"/>
        <w:spacing w:line="273" w:lineRule="auto" w:before="7"/>
        <w:ind w:left="573" w:right="1114"/>
        <w:jc w:val="left"/>
      </w:pPr>
      <w:r>
        <w:rPr>
          <w:rFonts w:ascii="宋体" w:hAnsi="宋体" w:cs="宋体" w:eastAsia="宋体" w:hint="default"/>
        </w:rPr>
        <w:t>3</w:t>
      </w:r>
      <w:r>
        <w:rPr/>
        <w:t>、进一步强化服务创新，努力推进互联网金融电子商务服务业务发展</w:t>
      </w:r>
      <w:r>
        <w:rPr>
          <w:w w:val="100"/>
        </w:rPr>
        <w:t> </w:t>
      </w:r>
      <w:r>
        <w:rPr>
          <w:spacing w:val="-2"/>
        </w:rPr>
        <w:t>公司将坚持以用户需求为中心，进一步做好互联网金融电子商务服务业务，巩固和强化行业领先地</w:t>
      </w:r>
    </w:p>
    <w:p>
      <w:pPr>
        <w:pStyle w:val="BodyText"/>
        <w:spacing w:line="273" w:lineRule="auto" w:before="8"/>
        <w:ind w:right="1114"/>
        <w:jc w:val="left"/>
      </w:pPr>
      <w:r>
        <w:rPr>
          <w:spacing w:val="-2"/>
        </w:rPr>
        <w:t>位，进一步加强互联网金融服务创新工作，提升整体服务能力和水平，进一步丰富产品线，拓展服务范</w:t>
      </w:r>
      <w:r>
        <w:rPr>
          <w:spacing w:val="-21"/>
        </w:rPr>
        <w:t> </w:t>
      </w:r>
      <w:r>
        <w:rPr>
          <w:spacing w:val="-21"/>
        </w:rPr>
      </w:r>
      <w:r>
        <w:rPr/>
        <w:t>围，努力为海量用户提供更全面、更完善的互联网金融电子商务服务。</w:t>
      </w:r>
    </w:p>
    <w:p>
      <w:pPr>
        <w:pStyle w:val="BodyText"/>
        <w:spacing w:line="273" w:lineRule="auto" w:before="7"/>
        <w:ind w:left="573" w:right="1114"/>
        <w:jc w:val="left"/>
      </w:pPr>
      <w:r>
        <w:rPr>
          <w:rFonts w:ascii="宋体" w:hAnsi="宋体" w:cs="宋体" w:eastAsia="宋体" w:hint="default"/>
        </w:rPr>
        <w:t>4</w:t>
      </w:r>
      <w:r>
        <w:rPr/>
        <w:t>、进一步加强新业务拓展工作，不断完善服务链条</w:t>
      </w:r>
      <w:r>
        <w:rPr>
          <w:w w:val="100"/>
        </w:rPr>
        <w:t> </w:t>
      </w:r>
      <w:r>
        <w:rPr>
          <w:spacing w:val="-2"/>
        </w:rPr>
        <w:t>公司继续加强互联网金融服务新业务领域探索工作，进一步延伸和完善服务链条，拓宽公司互联网</w:t>
      </w:r>
    </w:p>
    <w:p>
      <w:pPr>
        <w:pStyle w:val="BodyText"/>
        <w:spacing w:line="273" w:lineRule="auto" w:before="7"/>
        <w:ind w:right="1114"/>
        <w:jc w:val="left"/>
      </w:pPr>
      <w:r>
        <w:rPr>
          <w:spacing w:val="-2"/>
        </w:rPr>
        <w:t>金融服务大平台的服务范围，进一步增强整体服务能力和水平，努力实现一站式互联网金融服务整体战</w:t>
      </w:r>
      <w:r>
        <w:rPr>
          <w:spacing w:val="-21"/>
        </w:rPr>
        <w:t> </w:t>
      </w:r>
      <w:r>
        <w:rPr>
          <w:spacing w:val="-21"/>
        </w:rPr>
      </w:r>
      <w:r>
        <w:rPr/>
        <w:t>略目标。</w:t>
      </w:r>
    </w:p>
    <w:p>
      <w:pPr>
        <w:pStyle w:val="BodyText"/>
        <w:spacing w:line="273" w:lineRule="auto" w:before="7"/>
        <w:ind w:left="573" w:right="1114"/>
        <w:jc w:val="left"/>
      </w:pPr>
      <w:r>
        <w:rPr>
          <w:rFonts w:ascii="宋体" w:hAnsi="宋体" w:cs="宋体" w:eastAsia="宋体" w:hint="default"/>
        </w:rPr>
        <w:t>5</w:t>
      </w:r>
      <w:r>
        <w:rPr/>
        <w:t>、进一步提升金融大数据服务，做好金融数据服务业务和互联网广告服务业务</w:t>
      </w:r>
      <w:r>
        <w:rPr>
          <w:w w:val="100"/>
        </w:rPr>
        <w:t> </w:t>
      </w:r>
      <w:r>
        <w:rPr>
          <w:spacing w:val="-2"/>
        </w:rPr>
        <w:t>公司将坚持以用户需求为中心，进一步加强个人终端产品的研发和创新，将进一步挖掘互联网金融</w:t>
      </w:r>
    </w:p>
    <w:p>
      <w:pPr>
        <w:pStyle w:val="BodyText"/>
        <w:spacing w:line="273" w:lineRule="auto" w:before="7"/>
        <w:ind w:right="1114"/>
        <w:jc w:val="left"/>
      </w:pPr>
      <w:r>
        <w:rPr/>
        <w:t>服务海量数据的巨大价值，不断延伸和提升金融大数据服务，进一步完善机构终端产品，优化数据服</w:t>
      </w:r>
      <w:r>
        <w:rPr>
          <w:w w:val="100"/>
        </w:rPr>
        <w:t> </w:t>
      </w:r>
      <w:r>
        <w:rPr>
          <w:spacing w:val="-2"/>
        </w:rPr>
        <w:t>务，提升产品服务质量和水平。同时，将进一步加大产品推广力度，扩大用户规模，提升市场占有率。</w:t>
      </w:r>
      <w:r>
        <w:rPr>
          <w:spacing w:val="-21"/>
        </w:rPr>
        <w:t> </w:t>
      </w:r>
      <w:r>
        <w:rPr>
          <w:spacing w:val="-21"/>
        </w:rPr>
      </w:r>
      <w:r>
        <w:rPr>
          <w:spacing w:val="-2"/>
        </w:rPr>
        <w:t>公司将继续加强服务创新，提升营销水平，完善绩效考核和激励机制，进一步推动互联网广告服务业务</w:t>
      </w:r>
      <w:r>
        <w:rPr>
          <w:spacing w:val="-21"/>
        </w:rPr>
        <w:t> </w:t>
      </w:r>
      <w:r>
        <w:rPr>
          <w:spacing w:val="-21"/>
        </w:rPr>
      </w:r>
      <w:r>
        <w:rPr/>
        <w:t>持续稳健发展。</w:t>
      </w:r>
    </w:p>
    <w:p>
      <w:pPr>
        <w:pStyle w:val="BodyText"/>
        <w:spacing w:line="273" w:lineRule="auto" w:before="7"/>
        <w:ind w:left="573" w:right="1114"/>
        <w:jc w:val="left"/>
      </w:pPr>
      <w:r>
        <w:rPr>
          <w:rFonts w:ascii="宋体" w:hAnsi="宋体" w:cs="宋体" w:eastAsia="宋体" w:hint="default"/>
        </w:rPr>
        <w:t>6</w:t>
      </w:r>
      <w:r>
        <w:rPr/>
        <w:t>、进一步加强募集资金使用和管理工作，做好可转债后续管理工作</w:t>
      </w:r>
      <w:r>
        <w:rPr>
          <w:w w:val="100"/>
        </w:rPr>
        <w:t> </w:t>
      </w:r>
      <w:r>
        <w:rPr>
          <w:spacing w:val="-2"/>
        </w:rPr>
        <w:t>公司将继续做好募投项目和超募资金投资项目的后期运维工作，进一步加强超募资金项目的推进和</w:t>
      </w:r>
    </w:p>
    <w:p>
      <w:pPr>
        <w:pStyle w:val="BodyText"/>
        <w:spacing w:line="273" w:lineRule="auto" w:before="7"/>
        <w:ind w:right="1114"/>
        <w:jc w:val="left"/>
      </w:pPr>
      <w:r>
        <w:rPr>
          <w:spacing w:val="-2"/>
        </w:rPr>
        <w:t>剩余超募资金的使用和管理工作，提高资金使用效率。同时公司将按照相关法律法规及《募集说明书》</w:t>
      </w:r>
      <w:r>
        <w:rPr>
          <w:spacing w:val="-21"/>
        </w:rPr>
        <w:t> </w:t>
      </w:r>
      <w:r>
        <w:rPr>
          <w:spacing w:val="-21"/>
        </w:rPr>
      </w:r>
      <w:r>
        <w:rPr/>
        <w:t>要求，持续推进可转债后续管理工作。</w:t>
      </w:r>
    </w:p>
    <w:p>
      <w:pPr>
        <w:pStyle w:val="BodyText"/>
        <w:spacing w:line="273" w:lineRule="auto" w:before="7"/>
        <w:ind w:left="573" w:right="1114"/>
        <w:jc w:val="left"/>
      </w:pPr>
      <w:r>
        <w:rPr>
          <w:rFonts w:ascii="宋体" w:hAnsi="宋体" w:cs="宋体" w:eastAsia="宋体" w:hint="default"/>
        </w:rPr>
        <w:t>7</w:t>
      </w:r>
      <w:r>
        <w:rPr/>
        <w:t>、进一步加强集团内部管理工作，不断提升企业管理水平</w:t>
      </w:r>
      <w:r>
        <w:rPr>
          <w:w w:val="100"/>
        </w:rPr>
        <w:t> </w:t>
      </w:r>
      <w:r>
        <w:rPr>
          <w:spacing w:val="-2"/>
        </w:rPr>
        <w:t>为适应公司各业务板块不断发展要求，公司将进一步健全内部治理和科学决策机制，持续完善内部</w:t>
      </w:r>
    </w:p>
    <w:p>
      <w:pPr>
        <w:pStyle w:val="BodyText"/>
        <w:spacing w:line="273" w:lineRule="auto" w:before="7"/>
        <w:ind w:right="1313"/>
        <w:jc w:val="both"/>
      </w:pPr>
      <w:r>
        <w:rPr>
          <w:spacing w:val="-2"/>
        </w:rPr>
        <w:t>控制和管理制度，优化组织架构，加强集团化财务管理，充分发挥财务职能作用，加强人力资源管理，</w:t>
      </w:r>
      <w:r>
        <w:rPr>
          <w:spacing w:val="-21"/>
        </w:rPr>
        <w:t> </w:t>
      </w:r>
      <w:r>
        <w:rPr>
          <w:spacing w:val="-21"/>
        </w:rPr>
      </w:r>
      <w:r>
        <w:rPr>
          <w:spacing w:val="-2"/>
        </w:rPr>
        <w:t>进一步完善绩效考核和激励机制，做好股权激励行权等相关后续工作，进一步发挥员工的积极性和创造</w:t>
      </w:r>
      <w:r>
        <w:rPr>
          <w:spacing w:val="-22"/>
        </w:rPr>
        <w:t> </w:t>
      </w:r>
      <w:r>
        <w:rPr>
          <w:spacing w:val="-22"/>
        </w:rPr>
      </w:r>
      <w:r>
        <w:rPr>
          <w:spacing w:val="-2"/>
        </w:rPr>
        <w:t>性，加强人才引进和培养工作，强化人才梯队建设，夯实人才基础，同时，进一步加强信息化建设和企</w:t>
      </w:r>
      <w:r>
        <w:rPr>
          <w:spacing w:val="-24"/>
        </w:rPr>
        <w:t> </w:t>
      </w:r>
      <w:r>
        <w:rPr>
          <w:spacing w:val="-24"/>
        </w:rPr>
      </w:r>
      <w:r>
        <w:rPr/>
        <w:t>业文化建设，全面提升整体规范运作和企业管理水平。</w:t>
      </w:r>
    </w:p>
    <w:p>
      <w:pPr>
        <w:pStyle w:val="BodyText"/>
        <w:spacing w:line="273" w:lineRule="auto" w:before="7"/>
        <w:ind w:left="573" w:right="1114"/>
        <w:jc w:val="left"/>
      </w:pPr>
      <w:r>
        <w:rPr>
          <w:rFonts w:ascii="宋体" w:hAnsi="宋体" w:cs="宋体" w:eastAsia="宋体" w:hint="default"/>
        </w:rPr>
        <w:t>8</w:t>
      </w:r>
      <w:r>
        <w:rPr/>
        <w:t>、进一步做好投资者关系管理工作，树立和维护企业良好形象</w:t>
      </w:r>
      <w:r>
        <w:rPr>
          <w:w w:val="100"/>
        </w:rPr>
        <w:t> </w:t>
      </w:r>
      <w:r>
        <w:rPr>
          <w:spacing w:val="-2"/>
        </w:rPr>
        <w:t>公司将严格按照相关法律法规、规范性文件及监管部门的有关规定，继续做好投资者关系管理工</w:t>
      </w:r>
    </w:p>
    <w:p>
      <w:pPr>
        <w:pStyle w:val="BodyText"/>
        <w:spacing w:line="273" w:lineRule="auto" w:before="7"/>
        <w:ind w:right="1114"/>
        <w:jc w:val="left"/>
      </w:pPr>
      <w:r>
        <w:rPr>
          <w:spacing w:val="-2"/>
        </w:rPr>
        <w:t>作，进一步提升投资者关系管理水平，与投资者保持良好的沟通交流，进一步提高信息披露质量，向投</w:t>
      </w:r>
      <w:r>
        <w:rPr>
          <w:spacing w:val="-21"/>
        </w:rPr>
        <w:t> </w:t>
      </w:r>
      <w:r>
        <w:rPr>
          <w:spacing w:val="-21"/>
        </w:rPr>
      </w:r>
      <w:r>
        <w:rPr/>
        <w:t>资者客观、真实、准确、完整地介绍公司的经营管理情况，树立和维护公司良好的市场形象。</w:t>
      </w:r>
    </w:p>
    <w:p>
      <w:pPr>
        <w:spacing w:line="273" w:lineRule="auto" w:before="7"/>
        <w:ind w:left="573" w:right="4993" w:firstLine="2"/>
        <w:jc w:val="left"/>
        <w:rPr>
          <w:rFonts w:ascii="宋体" w:hAnsi="宋体" w:cs="宋体" w:eastAsia="宋体" w:hint="default"/>
          <w:sz w:val="21"/>
          <w:szCs w:val="21"/>
        </w:rPr>
      </w:pPr>
      <w:r>
        <w:rPr>
          <w:rFonts w:ascii="宋体" w:hAnsi="宋体" w:cs="宋体" w:eastAsia="宋体" w:hint="default"/>
          <w:b/>
          <w:bCs/>
          <w:sz w:val="21"/>
          <w:szCs w:val="21"/>
        </w:rPr>
        <w:t>（三）公司可能面临的风险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、行业及业务受证券市场景气度波动影响的风险</w:t>
      </w:r>
    </w:p>
    <w:p>
      <w:pPr>
        <w:pStyle w:val="BodyText"/>
        <w:spacing w:line="273" w:lineRule="auto" w:before="7"/>
        <w:ind w:right="1313" w:firstLine="420"/>
        <w:jc w:val="both"/>
      </w:pPr>
      <w:r>
        <w:rPr>
          <w:spacing w:val="-2"/>
        </w:rPr>
        <w:t>公司所提供的一站式互联网金融服务，与证券市场的景气度具有较高的相关性，一旦证券市场景气</w:t>
      </w:r>
      <w:r>
        <w:rPr>
          <w:w w:val="100"/>
        </w:rPr>
        <w:t> </w:t>
      </w:r>
      <w:r>
        <w:rPr>
          <w:spacing w:val="-2"/>
        </w:rPr>
        <w:t>度下降，市场活跃程度和投资者热情均会受到直接影响，并进而可能抑制投资者对互联网金融服务的市</w:t>
      </w:r>
      <w:r>
        <w:rPr>
          <w:spacing w:val="-21"/>
        </w:rPr>
        <w:t> </w:t>
      </w:r>
      <w:r>
        <w:rPr>
          <w:spacing w:val="-21"/>
        </w:rPr>
      </w:r>
      <w:r>
        <w:rPr/>
        <w:t>场需求，进而影响公司整体业务的盈利能力。</w:t>
      </w:r>
    </w:p>
    <w:p>
      <w:pPr>
        <w:pStyle w:val="BodyText"/>
        <w:spacing w:line="273" w:lineRule="auto" w:before="7"/>
        <w:ind w:right="1313" w:firstLine="420"/>
        <w:jc w:val="both"/>
      </w:pPr>
      <w:r>
        <w:rPr>
          <w:spacing w:val="-2"/>
        </w:rPr>
        <w:t>应对措施：公司将积极推进和实施互联网金融服务大平台战略，坚持以用户需求为中心，进一步加</w:t>
      </w:r>
      <w:r>
        <w:rPr>
          <w:w w:val="100"/>
        </w:rPr>
        <w:t> </w:t>
      </w:r>
      <w:r>
        <w:rPr>
          <w:spacing w:val="-2"/>
        </w:rPr>
        <w:t>强战略投入，加强技术和产品的研发创新，不断拓展和完善大平台服务的内容，进一步提高大平台的综</w:t>
      </w:r>
    </w:p>
    <w:p>
      <w:pPr>
        <w:spacing w:after="0" w:line="273" w:lineRule="auto"/>
        <w:jc w:val="both"/>
        <w:sectPr>
          <w:pgSz w:w="11910" w:h="16840"/>
          <w:pgMar w:header="852" w:footer="979" w:top="1320" w:bottom="1160" w:left="980" w:right="0"/>
        </w:sectPr>
      </w:pPr>
    </w:p>
    <w:p>
      <w:pPr>
        <w:pStyle w:val="BodyText"/>
        <w:spacing w:line="273" w:lineRule="auto" w:before="100"/>
        <w:ind w:right="1213"/>
        <w:jc w:val="left"/>
      </w:pPr>
      <w:r>
        <w:rPr>
          <w:spacing w:val="-2"/>
        </w:rPr>
        <w:t>合服务能力、质量和水平，持续提升用户体验，巩固和增强海量用户的优势和用户黏性，提高公司整体</w:t>
      </w:r>
      <w:r>
        <w:rPr>
          <w:spacing w:val="-22"/>
        </w:rPr>
        <w:t> </w:t>
      </w:r>
      <w:r>
        <w:rPr>
          <w:spacing w:val="-22"/>
        </w:rPr>
      </w:r>
      <w:r>
        <w:rPr>
          <w:spacing w:val="-2"/>
        </w:rPr>
        <w:t>竞争实力。未来，随着一站式互联网金融服务大平台的构建完成，公司所提供的专业服务，将更加丰富</w:t>
      </w:r>
      <w:r>
        <w:rPr>
          <w:spacing w:val="-21"/>
        </w:rPr>
        <w:t> </w:t>
      </w:r>
      <w:r>
        <w:rPr>
          <w:spacing w:val="-21"/>
        </w:rPr>
      </w:r>
      <w:r>
        <w:rPr/>
        <w:t>和完善，各业务板块之间协同效应将大大增强，证券市场景气度波动对公司业务带来的影响也将会降</w:t>
      </w:r>
      <w:r>
        <w:rPr>
          <w:w w:val="100"/>
        </w:rPr>
        <w:t> </w:t>
      </w:r>
      <w:r>
        <w:rPr/>
        <w:t>低。</w:t>
      </w:r>
    </w:p>
    <w:p>
      <w:pPr>
        <w:pStyle w:val="BodyText"/>
        <w:spacing w:line="273" w:lineRule="auto" w:before="7"/>
        <w:ind w:left="573" w:right="1114"/>
        <w:jc w:val="left"/>
      </w:pPr>
      <w:r>
        <w:rPr>
          <w:rFonts w:ascii="宋体" w:hAnsi="宋体" w:cs="宋体" w:eastAsia="宋体" w:hint="default"/>
        </w:rPr>
        <w:t>2</w:t>
      </w:r>
      <w:r>
        <w:rPr/>
        <w:t>、一站式互联网金融服务大平台和网络信息传输系统安全运行风险</w:t>
      </w:r>
      <w:r>
        <w:rPr>
          <w:w w:val="100"/>
        </w:rPr>
        <w:t> </w:t>
      </w:r>
      <w:r>
        <w:rPr>
          <w:spacing w:val="-2"/>
        </w:rPr>
        <w:t>公司商业模式的持续运作和盈利模式的有效实施，有赖于公司一站式互联网金融服务大平台和网络</w:t>
      </w:r>
    </w:p>
    <w:p>
      <w:pPr>
        <w:pStyle w:val="BodyText"/>
        <w:spacing w:line="273" w:lineRule="auto" w:before="7"/>
        <w:ind w:right="1313"/>
        <w:jc w:val="both"/>
      </w:pPr>
      <w:r>
        <w:rPr>
          <w:spacing w:val="-2"/>
        </w:rPr>
        <w:t>信息传输系统的安全运行。如果出现互联网系统安全运行问题，可能造成公司大平台不能正常访问和金</w:t>
      </w:r>
      <w:r>
        <w:rPr>
          <w:spacing w:val="-24"/>
        </w:rPr>
        <w:t> </w:t>
      </w:r>
      <w:r>
        <w:rPr>
          <w:spacing w:val="-24"/>
        </w:rPr>
      </w:r>
      <w:r>
        <w:rPr>
          <w:spacing w:val="-2"/>
        </w:rPr>
        <w:t>融数据服务客户端不能正常使用等后果。虽然公司已制定了完善的数据库备份、数据安全传输和质量管</w:t>
      </w:r>
      <w:r>
        <w:rPr>
          <w:spacing w:val="-21"/>
        </w:rPr>
        <w:t> </w:t>
      </w:r>
      <w:r>
        <w:rPr>
          <w:spacing w:val="-21"/>
        </w:rPr>
      </w:r>
      <w:r>
        <w:rPr>
          <w:spacing w:val="-2"/>
        </w:rPr>
        <w:t>理体系等措施，但由于第三方服务提供方而造成的互联网系统安全运行问题，将可能影响公司大平台的</w:t>
      </w:r>
      <w:r>
        <w:rPr>
          <w:spacing w:val="-21"/>
        </w:rPr>
        <w:t> </w:t>
      </w:r>
      <w:r>
        <w:rPr>
          <w:spacing w:val="-21"/>
        </w:rPr>
      </w:r>
      <w:r>
        <w:rPr/>
        <w:t>正常运行及服务的正常提供，降低用户体验和满意度，甚至给公司品牌形象带来不利影响。</w:t>
      </w:r>
    </w:p>
    <w:p>
      <w:pPr>
        <w:pStyle w:val="BodyText"/>
        <w:spacing w:line="273" w:lineRule="auto" w:before="7"/>
        <w:ind w:right="1313" w:firstLine="420"/>
        <w:jc w:val="both"/>
      </w:pPr>
      <w:r>
        <w:rPr>
          <w:spacing w:val="-2"/>
        </w:rPr>
        <w:t>应对措施：公司将进一步完善内部软硬件管理规范，严格执行内部实时监控流程，确保安全设备的</w:t>
      </w:r>
      <w:r>
        <w:rPr>
          <w:w w:val="100"/>
        </w:rPr>
        <w:t> </w:t>
      </w:r>
      <w:r>
        <w:rPr>
          <w:spacing w:val="-2"/>
        </w:rPr>
        <w:t>质量，定期进行相关技术人员的安全技能培训，提高技术安全维护队伍的技术水平，以防范软件、硬件</w:t>
      </w:r>
      <w:r>
        <w:rPr>
          <w:spacing w:val="-21"/>
        </w:rPr>
        <w:t> </w:t>
      </w:r>
      <w:r>
        <w:rPr>
          <w:spacing w:val="-21"/>
        </w:rPr>
      </w:r>
      <w:r>
        <w:rPr>
          <w:spacing w:val="-2"/>
        </w:rPr>
        <w:t>和系统故障等风险。进一步完善数据库本地与异地灾备制度，配备专业的数据库管理与系统运营维护人</w:t>
      </w:r>
      <w:r>
        <w:rPr>
          <w:spacing w:val="-21"/>
        </w:rPr>
        <w:t> </w:t>
      </w:r>
      <w:r>
        <w:rPr>
          <w:spacing w:val="-21"/>
        </w:rPr>
      </w:r>
      <w:r>
        <w:rPr/>
        <w:t>员，以保证数据库系统与网络系统平稳运行和数据安全。</w:t>
      </w:r>
    </w:p>
    <w:p>
      <w:pPr>
        <w:pStyle w:val="BodyText"/>
        <w:spacing w:line="273" w:lineRule="auto" w:before="7"/>
        <w:ind w:left="573" w:right="1114"/>
        <w:jc w:val="left"/>
      </w:pPr>
      <w:r>
        <w:rPr>
          <w:rFonts w:ascii="宋体" w:hAnsi="宋体" w:cs="宋体" w:eastAsia="宋体" w:hint="default"/>
        </w:rPr>
        <w:t>3</w:t>
      </w:r>
      <w:r>
        <w:rPr/>
        <w:t>、行业竞争进一步加剧的风险</w:t>
      </w:r>
      <w:r>
        <w:rPr>
          <w:w w:val="100"/>
        </w:rPr>
        <w:t> </w:t>
      </w:r>
      <w:r>
        <w:rPr>
          <w:spacing w:val="-2"/>
        </w:rPr>
        <w:t>鉴于互联网金融服务行业广阔的发展前景、国内资本市场的进一步健全开放和相关政策的出台，行</w:t>
      </w:r>
    </w:p>
    <w:p>
      <w:pPr>
        <w:pStyle w:val="BodyText"/>
        <w:spacing w:line="273" w:lineRule="auto" w:before="7"/>
        <w:ind w:right="1313"/>
        <w:jc w:val="both"/>
      </w:pPr>
      <w:r>
        <w:rPr>
          <w:spacing w:val="-2"/>
        </w:rPr>
        <w:t>业的参与者将越来越多，相关费率市场化程度会越来越高，行业竞争将会进一步加剧，缺乏竞争力和核</w:t>
      </w:r>
      <w:r>
        <w:rPr>
          <w:spacing w:val="-21"/>
        </w:rPr>
        <w:t> </w:t>
      </w:r>
      <w:r>
        <w:rPr>
          <w:spacing w:val="-21"/>
        </w:rPr>
      </w:r>
      <w:r>
        <w:rPr>
          <w:spacing w:val="-2"/>
        </w:rPr>
        <w:t>心优势的企业将会被市场淘汰，如果公司不能紧跟行业发展形势，提高公司的竞争力和核心优势，可能</w:t>
      </w:r>
      <w:r>
        <w:rPr>
          <w:spacing w:val="-21"/>
        </w:rPr>
        <w:t> </w:t>
      </w:r>
      <w:r>
        <w:rPr>
          <w:spacing w:val="-21"/>
        </w:rPr>
      </w:r>
      <w:r>
        <w:rPr/>
        <w:t>将无法适应激烈的行业竞争。</w:t>
      </w:r>
    </w:p>
    <w:p>
      <w:pPr>
        <w:pStyle w:val="BodyText"/>
        <w:spacing w:line="273" w:lineRule="auto" w:before="7"/>
        <w:ind w:right="1313" w:firstLine="420"/>
        <w:jc w:val="both"/>
      </w:pPr>
      <w:r>
        <w:rPr>
          <w:spacing w:val="-2"/>
        </w:rPr>
        <w:t>应对措施：公司将进一步立足于整体战略定位，持续加大研发投入，紧密跟踪行业发展趋势和前沿</w:t>
      </w:r>
      <w:r>
        <w:rPr>
          <w:w w:val="100"/>
        </w:rPr>
        <w:t> </w:t>
      </w:r>
      <w:r>
        <w:rPr>
          <w:spacing w:val="-2"/>
        </w:rPr>
        <w:t>创新技术，进一步巩固和强化公司在用户访问量、用户黏性及技术方面的核心竞争优势，进一步夯实公</w:t>
      </w:r>
      <w:r>
        <w:rPr>
          <w:spacing w:val="-21"/>
        </w:rPr>
        <w:t> </w:t>
      </w:r>
      <w:r>
        <w:rPr>
          <w:spacing w:val="-21"/>
        </w:rPr>
      </w:r>
      <w:r>
        <w:rPr/>
        <w:t>司可持续健康发展的基础。</w:t>
      </w:r>
    </w:p>
    <w:p>
      <w:pPr>
        <w:pStyle w:val="BodyText"/>
        <w:spacing w:line="273" w:lineRule="auto" w:before="8"/>
        <w:ind w:left="573" w:right="1114"/>
        <w:jc w:val="left"/>
      </w:pPr>
      <w:r>
        <w:rPr>
          <w:rFonts w:ascii="宋体" w:hAnsi="宋体" w:cs="宋体" w:eastAsia="宋体" w:hint="default"/>
        </w:rPr>
        <w:t>4</w:t>
      </w:r>
      <w:r>
        <w:rPr/>
        <w:t>、政策法律合规风险</w:t>
      </w:r>
      <w:r>
        <w:rPr>
          <w:w w:val="100"/>
        </w:rPr>
        <w:t> </w:t>
      </w:r>
      <w:r>
        <w:rPr>
          <w:spacing w:val="-2"/>
        </w:rPr>
        <w:t>随着互联网金融服务行业发展的进一步深入，监管行业发展的法律、法规等将会越来越规范和完</w:t>
      </w:r>
    </w:p>
    <w:p>
      <w:pPr>
        <w:pStyle w:val="BodyText"/>
        <w:spacing w:line="273" w:lineRule="auto" w:before="7"/>
        <w:ind w:right="1114"/>
        <w:jc w:val="left"/>
      </w:pPr>
      <w:r>
        <w:rPr>
          <w:spacing w:val="-2"/>
        </w:rPr>
        <w:t>善，虽然目前有《银行法》、《证券法》、《保险法》等法律，监管机构也出台了一些关于互联网金融</w:t>
      </w:r>
      <w:r>
        <w:rPr>
          <w:spacing w:val="-21"/>
        </w:rPr>
        <w:t> </w:t>
      </w:r>
      <w:r>
        <w:rPr>
          <w:spacing w:val="-21"/>
        </w:rPr>
      </w:r>
      <w:r>
        <w:rPr/>
        <w:t>规范发展的指导意见和措施，但是互联网金融服务行业创新层出不穷，对于政策及法律尚未明确的领</w:t>
      </w:r>
      <w:r>
        <w:rPr>
          <w:w w:val="100"/>
        </w:rPr>
        <w:t> </w:t>
      </w:r>
      <w:r>
        <w:rPr/>
        <w:t>域，或在经营中不能适应政策的变化，违反相关法律法规和政策的有关规定，可能会受到监管机构罚</w:t>
      </w:r>
      <w:r>
        <w:rPr>
          <w:w w:val="100"/>
        </w:rPr>
        <w:t> </w:t>
      </w:r>
      <w:r>
        <w:rPr/>
        <w:t>款、暂停或取消业务资格等行政处罚。</w:t>
      </w:r>
    </w:p>
    <w:p>
      <w:pPr>
        <w:pStyle w:val="BodyText"/>
        <w:spacing w:line="273" w:lineRule="auto" w:before="7"/>
        <w:ind w:right="1313" w:firstLine="420"/>
        <w:jc w:val="both"/>
      </w:pPr>
      <w:r>
        <w:rPr>
          <w:spacing w:val="-2"/>
        </w:rPr>
        <w:t>应对措施：公司一直坚持规范运作，严格按照相关法律法规和政策规定开展公司业务。公司将进一</w:t>
      </w:r>
      <w:r>
        <w:rPr>
          <w:w w:val="100"/>
        </w:rPr>
        <w:t> </w:t>
      </w:r>
      <w:r>
        <w:rPr>
          <w:spacing w:val="-2"/>
        </w:rPr>
        <w:t>步加强落实主动合规意识和全面风险管理工作，深化全员合规理念，不断完善全面风险管理体系与风险</w:t>
      </w:r>
      <w:r>
        <w:rPr>
          <w:spacing w:val="-21"/>
        </w:rPr>
        <w:t> </w:t>
      </w:r>
      <w:r>
        <w:rPr>
          <w:spacing w:val="-21"/>
        </w:rPr>
      </w:r>
      <w:r>
        <w:rPr>
          <w:spacing w:val="-2"/>
        </w:rPr>
        <w:t>管理机制，保障公司合规风险管控能力与业务发展相适应。同时，公司积极跟踪和研究行业相关政策及</w:t>
      </w:r>
      <w:r>
        <w:rPr>
          <w:spacing w:val="-21"/>
        </w:rPr>
        <w:t> </w:t>
      </w:r>
      <w:r>
        <w:rPr>
          <w:spacing w:val="-21"/>
        </w:rPr>
      </w:r>
      <w:r>
        <w:rPr>
          <w:spacing w:val="-2"/>
        </w:rPr>
        <w:t>变化，以用户需求为中心，根据市场发展情况，在政策允许和条件成熟时，积极把握新的机遇，努力实</w:t>
      </w:r>
      <w:r>
        <w:rPr>
          <w:spacing w:val="-21"/>
        </w:rPr>
        <w:t> </w:t>
      </w:r>
      <w:r>
        <w:rPr>
          <w:spacing w:val="-21"/>
        </w:rPr>
      </w:r>
      <w:r>
        <w:rPr/>
        <w:t>现公司的整体战略目标。</w:t>
      </w:r>
    </w:p>
    <w:p>
      <w:pPr>
        <w:spacing w:line="240" w:lineRule="auto" w:before="8"/>
        <w:rPr>
          <w:rFonts w:ascii="宋体" w:hAnsi="宋体" w:cs="宋体" w:eastAsia="宋体" w:hint="default"/>
          <w:sz w:val="21"/>
          <w:szCs w:val="21"/>
        </w:rPr>
      </w:pPr>
    </w:p>
    <w:p>
      <w:pPr>
        <w:pStyle w:val="Heading3"/>
        <w:spacing w:line="240" w:lineRule="auto"/>
        <w:ind w:right="1114"/>
        <w:jc w:val="left"/>
        <w:rPr>
          <w:b w:val="0"/>
          <w:bCs w:val="0"/>
        </w:rPr>
      </w:pPr>
      <w:r>
        <w:rPr/>
        <w:t>十、接待调研、沟通、采访等活动登记表</w:t>
      </w:r>
      <w:r>
        <w:rPr>
          <w:b w:val="0"/>
          <w:bCs w:val="0"/>
        </w:rPr>
      </w:r>
    </w:p>
    <w:p>
      <w:pPr>
        <w:spacing w:line="240" w:lineRule="auto" w:before="4"/>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668"/>
        <w:gridCol w:w="3118"/>
        <w:gridCol w:w="1745"/>
        <w:gridCol w:w="3039"/>
      </w:tblGrid>
      <w:tr>
        <w:trPr>
          <w:trHeight w:val="40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网上业绩说明会</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在线投资者</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
              <w:jc w:val="center"/>
              <w:rPr>
                <w:rFonts w:ascii="Times New Roman" w:hAnsi="Times New Roman" w:cs="Times New Roman" w:eastAsia="Times New Roman" w:hint="default"/>
                <w:sz w:val="18"/>
                <w:szCs w:val="18"/>
              </w:rPr>
            </w:pPr>
            <w:hyperlink r:id="rId19">
              <w:r>
                <w:rPr>
                  <w:rFonts w:ascii="Times New Roman"/>
                  <w:sz w:val="18"/>
                </w:rPr>
                <w:t>http://irm.cninfo.com.cn/szse/index.html</w:t>
              </w:r>
            </w:hyperlink>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赴港与境外投资者面对面交流活动</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境外投资者</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
              <w:jc w:val="center"/>
              <w:rPr>
                <w:rFonts w:ascii="Times New Roman" w:hAnsi="Times New Roman" w:cs="Times New Roman" w:eastAsia="Times New Roman" w:hint="default"/>
                <w:sz w:val="18"/>
                <w:szCs w:val="18"/>
              </w:rPr>
            </w:pPr>
            <w:hyperlink r:id="rId19">
              <w:r>
                <w:rPr>
                  <w:rFonts w:ascii="Times New Roman"/>
                  <w:sz w:val="18"/>
                </w:rPr>
                <w:t>http://irm.cninfo.com.cn/szse/index.html</w:t>
              </w:r>
            </w:hyperlink>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投资者交流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个人及机构投资者</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
              <w:jc w:val="center"/>
              <w:rPr>
                <w:rFonts w:ascii="Times New Roman" w:hAnsi="Times New Roman" w:cs="Times New Roman" w:eastAsia="Times New Roman" w:hint="default"/>
                <w:sz w:val="18"/>
                <w:szCs w:val="18"/>
              </w:rPr>
            </w:pPr>
            <w:hyperlink r:id="rId19">
              <w:r>
                <w:rPr>
                  <w:rFonts w:ascii="Times New Roman"/>
                  <w:sz w:val="18"/>
                </w:rPr>
                <w:t>http://irm.cninfo.com.cn/szse/index.html</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52" w:footer="979" w:top="132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751" w:right="472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14"/>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0"/>
        <w:ind w:right="1222" w:firstLine="252"/>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日，公司实施了</w:t>
      </w:r>
      <w:r>
        <w:rPr>
          <w:rFonts w:ascii="Times New Roman" w:hAnsi="Times New Roman" w:cs="Times New Roman" w:eastAsia="Times New Roman" w:hint="default"/>
          <w:spacing w:val="-2"/>
        </w:rPr>
        <w:t>2017</w:t>
      </w:r>
      <w:r>
        <w:rPr>
          <w:spacing w:val="-2"/>
        </w:rPr>
        <w:t>年度权益分派，即以总股本</w:t>
      </w:r>
      <w:r>
        <w:rPr>
          <w:rFonts w:ascii="Times New Roman" w:hAnsi="Times New Roman" w:cs="Times New Roman" w:eastAsia="Times New Roman" w:hint="default"/>
          <w:spacing w:val="-2"/>
        </w:rPr>
        <w:t>4,288,779,718</w:t>
      </w:r>
      <w:r>
        <w:rPr>
          <w:spacing w:val="-2"/>
        </w:rPr>
        <w:t>股为基数，用资本公积金向</w:t>
      </w:r>
      <w:r>
        <w:rPr>
          <w:w w:val="100"/>
        </w:rPr>
        <w:t> </w:t>
      </w:r>
      <w:r>
        <w:rPr>
          <w:spacing w:val="-2"/>
        </w:rPr>
        <w:t>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2</w:t>
      </w:r>
      <w:r>
        <w:rPr>
          <w:spacing w:val="-2"/>
        </w:rPr>
        <w:t>股，共转增</w:t>
      </w:r>
      <w:r>
        <w:rPr>
          <w:rFonts w:ascii="Times New Roman" w:hAnsi="Times New Roman" w:cs="Times New Roman" w:eastAsia="Times New Roman" w:hint="default"/>
          <w:spacing w:val="-2"/>
        </w:rPr>
        <w:t>857,755,943</w:t>
      </w:r>
      <w:r>
        <w:rPr>
          <w:spacing w:val="-2"/>
        </w:rPr>
        <w:t>股，转增后公司总股本变更为</w:t>
      </w:r>
      <w:r>
        <w:rPr>
          <w:rFonts w:ascii="Times New Roman" w:hAnsi="Times New Roman" w:cs="Times New Roman" w:eastAsia="Times New Roman" w:hint="default"/>
          <w:spacing w:val="-2"/>
        </w:rPr>
        <w:t>5,146,535,661</w:t>
      </w:r>
      <w:r>
        <w:rPr>
          <w:spacing w:val="-2"/>
        </w:rPr>
        <w:t>股，向全体股东</w:t>
      </w:r>
      <w:r>
        <w:rPr>
          <w:spacing w:val="2"/>
        </w:rPr>
        <w:t> </w:t>
      </w:r>
      <w:r>
        <w:rPr>
          <w:spacing w:val="2"/>
        </w:rPr>
      </w:r>
      <w:r>
        <w:rPr/>
        <w:t>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0.20</w:t>
      </w:r>
      <w:r>
        <w:rPr/>
        <w:t>元（含税），合计派发现金</w:t>
      </w:r>
      <w:r>
        <w:rPr>
          <w:rFonts w:ascii="Times New Roman" w:hAnsi="Times New Roman" w:cs="Times New Roman" w:eastAsia="Times New Roman" w:hint="default"/>
        </w:rPr>
        <w:t>85,775,594.36</w:t>
      </w:r>
      <w:r>
        <w:rPr/>
        <w:t>元。</w:t>
      </w:r>
    </w:p>
    <w:tbl>
      <w:tblPr>
        <w:tblW w:w="0" w:type="auto"/>
        <w:jc w:val="left"/>
        <w:tblInd w:w="182" w:type="dxa"/>
        <w:tblLayout w:type="fixed"/>
        <w:tblCellMar>
          <w:top w:w="0" w:type="dxa"/>
          <w:left w:w="0" w:type="dxa"/>
          <w:bottom w:w="0" w:type="dxa"/>
          <w:right w:w="0" w:type="dxa"/>
        </w:tblCellMar>
        <w:tblLook w:val="01E0"/>
      </w:tblPr>
      <w:tblGrid>
        <w:gridCol w:w="6630"/>
        <w:gridCol w:w="2938"/>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68"/>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5"/>
        <w:ind w:left="153" w:right="4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6630"/>
        <w:gridCol w:w="2938"/>
      </w:tblGrid>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5,168,285,026</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103,365,700.52</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103,365,700.52</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2,650,601,688.13</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公司发展阶段不易区分但有重大资金支出安排的，进行利润分配时，现金分红在本次利润分配中所占比例最低应达到</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67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67"/>
              <w:jc w:val="left"/>
              <w:rPr>
                <w:rFonts w:ascii="宋体" w:hAnsi="宋体" w:cs="宋体" w:eastAsia="宋体" w:hint="default"/>
                <w:sz w:val="18"/>
                <w:szCs w:val="18"/>
              </w:rPr>
            </w:pPr>
            <w:r>
              <w:rPr>
                <w:rFonts w:ascii="宋体" w:hAnsi="宋体" w:cs="宋体" w:eastAsia="宋体" w:hint="default"/>
                <w:sz w:val="18"/>
                <w:szCs w:val="18"/>
              </w:rPr>
              <w:t>经立信会计师事务所（特殊普通合伙）审计，</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年度实现归属于母公司股东的净利润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958,695,412.88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 章程》的有关规定，按照母公司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年度实现净利润的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83,369,158.70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元，加年初未分配利润</w:t>
            </w:r>
          </w:p>
        </w:tc>
      </w:tr>
    </w:tbl>
    <w:p>
      <w:pPr>
        <w:spacing w:after="0" w:line="297" w:lineRule="auto"/>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13"/>
        <w:rPr>
          <w:rFonts w:ascii="宋体" w:hAnsi="宋体" w:cs="宋体" w:eastAsia="宋体" w:hint="default"/>
          <w:sz w:val="8"/>
          <w:szCs w:val="8"/>
        </w:rPr>
      </w:pPr>
    </w:p>
    <w:p>
      <w:pPr>
        <w:spacing w:line="2042" w:lineRule="exact"/>
        <w:ind w:left="186" w:right="0" w:firstLine="0"/>
        <w:rPr>
          <w:rFonts w:ascii="宋体" w:hAnsi="宋体" w:cs="宋体" w:eastAsia="宋体" w:hint="default"/>
          <w:sz w:val="20"/>
          <w:szCs w:val="20"/>
        </w:rPr>
      </w:pPr>
      <w:r>
        <w:rPr>
          <w:rFonts w:ascii="宋体" w:hAnsi="宋体" w:cs="宋体" w:eastAsia="宋体" w:hint="default"/>
          <w:position w:val="-40"/>
          <w:sz w:val="20"/>
          <w:szCs w:val="20"/>
        </w:rPr>
        <w:pict>
          <v:shape style="width:478.4pt;height:102.15pt;mso-position-horizontal-relative:char;mso-position-vertical-relative:line" type="#_x0000_t202" filled="false" stroked="true" strokeweight=".47998pt" strokecolor="#000000">
            <w10:anchorlock/>
            <v:textbox inset="0,0,0,0">
              <w:txbxContent>
                <w:p>
                  <w:pPr>
                    <w:spacing w:before="8"/>
                    <w:ind w:left="2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2,623,013,744.38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元，减去</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年上半年分配利润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85,775,594.36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日，公司可供股东分配利润</w:t>
                  </w:r>
                </w:p>
                <w:p>
                  <w:pPr>
                    <w:spacing w:before="63"/>
                    <w:ind w:left="2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3,412,564,404.20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316" w:lineRule="auto" w:before="103"/>
                    <w:ind w:left="24" w:right="172" w:firstLine="0"/>
                    <w:jc w:val="left"/>
                    <w:rPr>
                      <w:rFonts w:ascii="宋体" w:hAnsi="宋体" w:cs="宋体" w:eastAsia="宋体" w:hint="default"/>
                      <w:sz w:val="18"/>
                      <w:szCs w:val="18"/>
                    </w:rPr>
                  </w:pPr>
                  <w:r>
                    <w:rPr>
                      <w:rFonts w:ascii="宋体" w:hAnsi="宋体" w:cs="宋体" w:eastAsia="宋体" w:hint="default"/>
                      <w:sz w:val="18"/>
                      <w:szCs w:val="18"/>
                    </w:rPr>
                    <w:t>根据公司整体发展战略和实际经营情况，同时给投资者以持续回报，遵照中国证监会和深圳证券交易所相关规定，拟提 出公司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年度资本公积金转增股本及利润分派预案为：</w:t>
                  </w:r>
                </w:p>
                <w:p>
                  <w:pPr>
                    <w:spacing w:before="37"/>
                    <w:ind w:left="2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、以未来实施权益分派股权登记日的总股本为基数，用资本公积金向全体股东每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股。</w:t>
                  </w:r>
                </w:p>
                <w:p>
                  <w:pPr>
                    <w:spacing w:before="103"/>
                    <w:ind w:left="2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、以未来实施权益分派股权登记日的总股本为基数，向全体股东每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xbxContent>
            </v:textbox>
          </v:shape>
        </w:pict>
      </w:r>
      <w:r>
        <w:rPr>
          <w:rFonts w:ascii="宋体" w:hAnsi="宋体" w:cs="宋体" w:eastAsia="宋体" w:hint="default"/>
          <w:position w:val="-40"/>
          <w:sz w:val="20"/>
          <w:szCs w:val="20"/>
        </w:rPr>
      </w:r>
    </w:p>
    <w:p>
      <w:pPr>
        <w:spacing w:line="300" w:lineRule="auto" w:before="54"/>
        <w:ind w:left="153" w:right="1125" w:firstLine="0"/>
        <w:jc w:val="left"/>
        <w:rPr>
          <w:rFonts w:ascii="宋体" w:hAnsi="宋体" w:cs="宋体" w:eastAsia="宋体" w:hint="default"/>
          <w:sz w:val="18"/>
          <w:szCs w:val="18"/>
        </w:rPr>
      </w:pPr>
      <w:r>
        <w:rPr>
          <w:rFonts w:ascii="宋体" w:hAnsi="宋体" w:cs="宋体" w:eastAsia="宋体" w:hint="default"/>
          <w:sz w:val="18"/>
          <w:szCs w:val="18"/>
        </w:rPr>
        <w:t>注：上述表格中现金分红金额是以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年末股本为基数计算出来的，目前公司可转债处于转股期，公司将以未来实施权益 分派股权登记日总股本为基数，向全体股东派发现金红利及使用资本公积金转增股数。</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Heading5"/>
        <w:spacing w:line="240" w:lineRule="auto" w:before="83"/>
        <w:ind w:right="1114"/>
        <w:jc w:val="left"/>
        <w:rPr>
          <w:b w:val="0"/>
          <w:bCs w:val="0"/>
        </w:rPr>
      </w:pPr>
      <w:r>
        <w:rPr>
          <w:rFonts w:ascii="Times New Roman" w:hAnsi="Times New Roman" w:cs="Times New Roman" w:eastAsia="Times New Roman" w:hint="default"/>
        </w:rPr>
        <w:t>2018</w:t>
      </w:r>
      <w:r>
        <w:rPr/>
        <w:t>年度权益分派方案为：</w:t>
      </w:r>
      <w:r>
        <w:rPr>
          <w:b w:val="0"/>
          <w:bCs w:val="0"/>
        </w:rPr>
      </w:r>
    </w:p>
    <w:p>
      <w:pPr>
        <w:pStyle w:val="BodyText"/>
        <w:spacing w:line="240" w:lineRule="auto" w:before="21"/>
        <w:ind w:left="573" w:right="1114"/>
        <w:jc w:val="left"/>
      </w:pPr>
      <w:r>
        <w:rPr>
          <w:rFonts w:ascii="Times New Roman" w:hAnsi="Times New Roman" w:cs="Times New Roman" w:eastAsia="Times New Roman" w:hint="default"/>
        </w:rPr>
        <w:t>1</w:t>
      </w:r>
      <w:r>
        <w:rPr/>
        <w:t>、以未来实施权益分派股权登记日总股本为基数，用资本公积金向全体股东每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w:t>
      </w:r>
    </w:p>
    <w:p>
      <w:pPr>
        <w:pStyle w:val="BodyText"/>
        <w:spacing w:line="240" w:lineRule="auto" w:before="21"/>
        <w:ind w:left="573" w:right="1114"/>
        <w:jc w:val="left"/>
      </w:pPr>
      <w:r>
        <w:rPr>
          <w:rFonts w:ascii="Times New Roman" w:hAnsi="Times New Roman" w:cs="Times New Roman" w:eastAsia="Times New Roman" w:hint="default"/>
        </w:rPr>
        <w:t>2</w:t>
      </w:r>
      <w:r>
        <w:rPr/>
        <w:t>、以未来实施权益分派股权登记日总股本为基数，向全体股东每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0.20</w:t>
      </w:r>
      <w:r>
        <w:rPr/>
        <w:t>元</w:t>
      </w:r>
    </w:p>
    <w:p>
      <w:pPr>
        <w:pStyle w:val="BodyText"/>
        <w:spacing w:line="240" w:lineRule="auto" w:before="21"/>
        <w:ind w:right="1114"/>
        <w:jc w:val="left"/>
      </w:pPr>
      <w:r>
        <w:rPr/>
        <w:t>（含税）。</w:t>
      </w:r>
    </w:p>
    <w:p>
      <w:pPr>
        <w:spacing w:line="240" w:lineRule="auto" w:before="9"/>
        <w:rPr>
          <w:rFonts w:ascii="宋体" w:hAnsi="宋体" w:cs="宋体" w:eastAsia="宋体" w:hint="default"/>
          <w:sz w:val="26"/>
          <w:szCs w:val="26"/>
        </w:rPr>
      </w:pPr>
    </w:p>
    <w:p>
      <w:pPr>
        <w:pStyle w:val="Heading5"/>
        <w:spacing w:line="240" w:lineRule="auto" w:before="0"/>
        <w:ind w:right="1114"/>
        <w:jc w:val="left"/>
        <w:rPr>
          <w:b w:val="0"/>
          <w:bCs w:val="0"/>
        </w:rPr>
      </w:pPr>
      <w:r>
        <w:rPr>
          <w:rFonts w:ascii="Times New Roman" w:hAnsi="Times New Roman" w:cs="Times New Roman" w:eastAsia="Times New Roman" w:hint="default"/>
        </w:rPr>
        <w:t>2017</w:t>
      </w:r>
      <w:r>
        <w:rPr/>
        <w:t>年度权益分派方案为：</w:t>
      </w:r>
      <w:r>
        <w:rPr>
          <w:b w:val="0"/>
          <w:bCs w:val="0"/>
        </w:rPr>
      </w:r>
    </w:p>
    <w:p>
      <w:pPr>
        <w:pStyle w:val="BodyText"/>
        <w:spacing w:line="240" w:lineRule="auto" w:before="21"/>
        <w:ind w:left="573" w:right="111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、以总股本</w:t>
      </w:r>
      <w:r>
        <w:rPr>
          <w:rFonts w:ascii="Times New Roman" w:hAnsi="Times New Roman" w:cs="Times New Roman" w:eastAsia="Times New Roman" w:hint="default"/>
        </w:rPr>
        <w:t>4,288,779,718</w:t>
      </w:r>
      <w:r>
        <w:rPr/>
        <w:t>股为基数，用资本公积金向全体股东每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股，共转增</w:t>
      </w:r>
      <w:r>
        <w:rPr>
          <w:rFonts w:ascii="Times New Roman" w:hAnsi="Times New Roman" w:cs="Times New Roman" w:eastAsia="Times New Roman" w:hint="default"/>
        </w:rPr>
        <w:t>857,755,943</w:t>
      </w:r>
    </w:p>
    <w:p>
      <w:pPr>
        <w:pStyle w:val="BodyText"/>
        <w:spacing w:line="240" w:lineRule="auto" w:before="21"/>
        <w:ind w:right="1114"/>
        <w:jc w:val="left"/>
      </w:pPr>
      <w:r>
        <w:rPr/>
        <w:t>股，转增后公司总股本变更为</w:t>
      </w:r>
      <w:r>
        <w:rPr>
          <w:rFonts w:ascii="Times New Roman" w:hAnsi="Times New Roman" w:cs="Times New Roman" w:eastAsia="Times New Roman" w:hint="default"/>
        </w:rPr>
        <w:t>5,146,535,661</w:t>
      </w:r>
      <w:r>
        <w:rPr/>
        <w:t>股。</w:t>
      </w:r>
    </w:p>
    <w:p>
      <w:pPr>
        <w:pStyle w:val="BodyText"/>
        <w:spacing w:line="256" w:lineRule="auto" w:before="21"/>
        <w:ind w:right="1114" w:firstLine="420"/>
        <w:jc w:val="left"/>
      </w:pPr>
      <w:r>
        <w:rPr>
          <w:rFonts w:ascii="Times New Roman" w:hAnsi="Times New Roman" w:cs="Times New Roman" w:eastAsia="Times New Roman" w:hint="default"/>
          <w:spacing w:val="-2"/>
        </w:rPr>
        <w:t>2</w:t>
      </w:r>
      <w:r>
        <w:rPr>
          <w:spacing w:val="-2"/>
        </w:rPr>
        <w:t>、以总股本</w:t>
      </w:r>
      <w:r>
        <w:rPr>
          <w:rFonts w:ascii="Times New Roman" w:hAnsi="Times New Roman" w:cs="Times New Roman" w:eastAsia="Times New Roman" w:hint="default"/>
          <w:spacing w:val="-2"/>
        </w:rPr>
        <w:t>4,288,779,718</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0.20</w:t>
      </w:r>
      <w:r>
        <w:rPr>
          <w:spacing w:val="-2"/>
        </w:rPr>
        <w:t>元（含税），合计</w:t>
      </w:r>
      <w:r>
        <w:rPr>
          <w:w w:val="100"/>
        </w:rPr>
        <w:t> </w:t>
      </w:r>
      <w:r>
        <w:rPr/>
        <w:t>派发现金</w:t>
      </w:r>
      <w:r>
        <w:rPr>
          <w:rFonts w:ascii="Times New Roman" w:hAnsi="Times New Roman" w:cs="Times New Roman" w:eastAsia="Times New Roman" w:hint="default"/>
        </w:rPr>
        <w:t>85,775,594.36</w:t>
      </w:r>
      <w:r>
        <w:rPr/>
        <w:t>元。</w:t>
      </w:r>
    </w:p>
    <w:p>
      <w:pPr>
        <w:spacing w:line="240" w:lineRule="auto" w:before="3"/>
        <w:rPr>
          <w:rFonts w:ascii="宋体" w:hAnsi="宋体" w:cs="宋体" w:eastAsia="宋体" w:hint="default"/>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2016</w:t>
      </w:r>
      <w:r>
        <w:rPr/>
        <w:t>年度权益分派方案为：</w:t>
      </w:r>
      <w:r>
        <w:rPr>
          <w:b w:val="0"/>
          <w:bCs w:val="0"/>
        </w:rPr>
      </w:r>
    </w:p>
    <w:p>
      <w:pPr>
        <w:pStyle w:val="BodyText"/>
        <w:spacing w:line="240" w:lineRule="auto" w:before="21"/>
        <w:ind w:left="573" w:right="111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、以总股本</w:t>
      </w:r>
      <w:r>
        <w:rPr>
          <w:rFonts w:ascii="Times New Roman" w:hAnsi="Times New Roman" w:cs="Times New Roman" w:eastAsia="Times New Roman" w:hint="default"/>
        </w:rPr>
        <w:t>3,558,321,299</w:t>
      </w:r>
      <w:r>
        <w:rPr/>
        <w:t>股为基数，用资本公积金向全体股东每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股，共转增</w:t>
      </w:r>
      <w:r>
        <w:rPr>
          <w:rFonts w:ascii="Times New Roman" w:hAnsi="Times New Roman" w:cs="Times New Roman" w:eastAsia="Times New Roman" w:hint="default"/>
        </w:rPr>
        <w:t>711,664,259</w:t>
      </w:r>
    </w:p>
    <w:p>
      <w:pPr>
        <w:pStyle w:val="BodyText"/>
        <w:spacing w:line="240" w:lineRule="auto" w:before="21"/>
        <w:ind w:right="1114"/>
        <w:jc w:val="left"/>
      </w:pP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转增后公司总股本变更为</w:t>
      </w:r>
      <w:r>
        <w:rPr>
          <w:rFonts w:ascii="Times New Roman" w:hAnsi="Times New Roman" w:cs="Times New Roman" w:eastAsia="Times New Roman" w:hint="default"/>
        </w:rPr>
        <w:t>4,269,985,558</w:t>
      </w:r>
      <w:r>
        <w:rPr/>
        <w:t>股。</w:t>
      </w:r>
    </w:p>
    <w:p>
      <w:pPr>
        <w:pStyle w:val="BodyText"/>
        <w:spacing w:line="256" w:lineRule="auto" w:before="21"/>
        <w:ind w:right="1114" w:firstLine="420"/>
        <w:jc w:val="left"/>
      </w:pPr>
      <w:r>
        <w:rPr>
          <w:rFonts w:ascii="Times New Roman" w:hAnsi="Times New Roman" w:cs="Times New Roman" w:eastAsia="Times New Roman" w:hint="default"/>
          <w:spacing w:val="-2"/>
        </w:rPr>
        <w:t>2</w:t>
      </w:r>
      <w:r>
        <w:rPr>
          <w:spacing w:val="-2"/>
        </w:rPr>
        <w:t>、以总股本</w:t>
      </w:r>
      <w:r>
        <w:rPr>
          <w:rFonts w:ascii="Times New Roman" w:hAnsi="Times New Roman" w:cs="Times New Roman" w:eastAsia="Times New Roman" w:hint="default"/>
          <w:spacing w:val="-2"/>
        </w:rPr>
        <w:t>3,558,321,299</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0.40</w:t>
      </w:r>
      <w:r>
        <w:rPr>
          <w:spacing w:val="-2"/>
        </w:rPr>
        <w:t>元（含税），合计</w:t>
      </w:r>
      <w:r>
        <w:rPr>
          <w:w w:val="100"/>
        </w:rPr>
        <w:t> </w:t>
      </w:r>
      <w:r>
        <w:rPr/>
        <w:t>派发现金</w:t>
      </w:r>
      <w:r>
        <w:rPr>
          <w:rFonts w:ascii="Times New Roman" w:hAnsi="Times New Roman" w:cs="Times New Roman" w:eastAsia="Times New Roman" w:hint="default"/>
        </w:rPr>
        <w:t>142,332,851.96</w:t>
      </w:r>
      <w:r>
        <w:rPr/>
        <w:t>元。</w:t>
      </w:r>
    </w:p>
    <w:p>
      <w:pPr>
        <w:spacing w:before="66"/>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9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674"/>
        <w:gridCol w:w="1418"/>
        <w:gridCol w:w="1352"/>
        <w:gridCol w:w="1354"/>
        <w:gridCol w:w="1133"/>
        <w:gridCol w:w="1277"/>
        <w:gridCol w:w="1210"/>
        <w:gridCol w:w="1378"/>
      </w:tblGrid>
      <w:tr>
        <w:trPr>
          <w:trHeight w:val="1961" w:hRule="exact"/>
        </w:trPr>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60" w:lineRule="auto"/>
              <w:ind w:left="153" w:right="149"/>
              <w:jc w:val="left"/>
              <w:rPr>
                <w:rFonts w:ascii="宋体" w:hAnsi="宋体" w:cs="宋体" w:eastAsia="宋体" w:hint="default"/>
                <w:sz w:val="18"/>
                <w:szCs w:val="18"/>
              </w:rPr>
            </w:pPr>
            <w:r>
              <w:rPr>
                <w:rFonts w:ascii="宋体" w:hAnsi="宋体" w:cs="宋体" w:eastAsia="宋体" w:hint="default"/>
                <w:sz w:val="18"/>
                <w:szCs w:val="18"/>
              </w:rPr>
              <w:t>分红 年度</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left="7"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0" w:right="39"/>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41"/>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4"/>
              <w:ind w:left="112" w:right="108"/>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2"/>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420" w:right="146"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55" w:right="51"/>
              <w:jc w:val="center"/>
              <w:rPr>
                <w:rFonts w:ascii="宋体" w:hAnsi="宋体" w:cs="宋体" w:eastAsia="宋体" w:hint="default"/>
                <w:sz w:val="18"/>
                <w:szCs w:val="18"/>
              </w:rPr>
            </w:pPr>
            <w:r>
              <w:rPr>
                <w:rFonts w:ascii="宋体" w:hAnsi="宋体" w:cs="宋体" w:eastAsia="宋体" w:hint="default"/>
                <w:sz w:val="18"/>
                <w:szCs w:val="18"/>
              </w:rPr>
              <w:t>（含其他方式） 占合并报表中归 属于上市公司普 通股股东的净利 润的比率</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103,365,700.52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958,695,412.88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103,365,700.52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10.78%</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85,775,594.36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636,901,644.02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85,775,594.36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13.47%</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142,332,851.96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713,768,803.87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142,332,851.96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19.94%</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9" w:top="1320" w:bottom="1160" w:left="980" w:right="0"/>
        </w:sectPr>
      </w:pPr>
    </w:p>
    <w:p>
      <w:pPr>
        <w:pStyle w:val="Heading3"/>
        <w:spacing w:line="240" w:lineRule="auto" w:before="75"/>
        <w:ind w:right="1114"/>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5"/>
        <w:spacing w:line="256" w:lineRule="auto" w:before="0"/>
        <w:ind w:right="1114"/>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394"/>
        <w:gridCol w:w="1004"/>
        <w:gridCol w:w="1416"/>
        <w:gridCol w:w="3642"/>
        <w:gridCol w:w="994"/>
        <w:gridCol w:w="1001"/>
        <w:gridCol w:w="953"/>
      </w:tblGrid>
      <w:tr>
        <w:trPr>
          <w:trHeight w:val="403"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8202" w:hRule="exact"/>
        </w:trPr>
        <w:tc>
          <w:tcPr>
            <w:tcW w:w="13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23" w:right="120"/>
              <w:jc w:val="both"/>
              <w:rPr>
                <w:rFonts w:ascii="宋体" w:hAnsi="宋体" w:cs="宋体" w:eastAsia="宋体" w:hint="default"/>
                <w:sz w:val="18"/>
                <w:szCs w:val="18"/>
              </w:rPr>
            </w:pPr>
            <w:r>
              <w:rPr>
                <w:rFonts w:ascii="宋体" w:hAnsi="宋体" w:cs="宋体" w:eastAsia="宋体" w:hint="default"/>
                <w:sz w:val="18"/>
                <w:szCs w:val="18"/>
              </w:rPr>
              <w:t>关于同业竞争、 关联交易、资金 占用方面的承诺</w:t>
            </w:r>
          </w:p>
        </w:tc>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both"/>
              <w:rPr>
                <w:rFonts w:ascii="宋体" w:hAnsi="宋体" w:cs="宋体" w:eastAsia="宋体" w:hint="default"/>
                <w:sz w:val="18"/>
                <w:szCs w:val="18"/>
              </w:rPr>
            </w:pPr>
            <w:r>
              <w:rPr>
                <w:rFonts w:ascii="宋体" w:hAnsi="宋体" w:cs="宋体" w:eastAsia="宋体" w:hint="default"/>
                <w:sz w:val="18"/>
                <w:szCs w:val="18"/>
              </w:rPr>
              <w:t>一、避免同业竞争事宜（一）截至本承诺函 出具之日，本人及本人控制的其他企业不存 在直接或间接从事与西藏同信证券股份有限 公司相同或相似并构成竞争关系的业务。</w:t>
            </w:r>
          </w:p>
          <w:p>
            <w:pPr>
              <w:pStyle w:val="TableParagraph"/>
              <w:spacing w:line="316" w:lineRule="auto" w:before="19"/>
              <w:ind w:left="23" w:right="80"/>
              <w:jc w:val="left"/>
              <w:rPr>
                <w:rFonts w:ascii="宋体" w:hAnsi="宋体" w:cs="宋体" w:eastAsia="宋体" w:hint="default"/>
                <w:sz w:val="18"/>
                <w:szCs w:val="18"/>
              </w:rPr>
            </w:pPr>
            <w:r>
              <w:rPr>
                <w:rFonts w:ascii="宋体" w:hAnsi="宋体" w:cs="宋体" w:eastAsia="宋体" w:hint="default"/>
                <w:sz w:val="18"/>
                <w:szCs w:val="18"/>
              </w:rPr>
              <w:t>（二）本次重组完成后，在本人作为上市公 司股东期间，本人及本人控制的其他企业不 会直接或间接从事与上市公司相同或相似并 构成竞争关系的业务，亦不会直接或间接拥 有从事前述业务的企业、其他组织、经济实 </w:t>
            </w:r>
            <w:r>
              <w:rPr>
                <w:rFonts w:ascii="宋体" w:hAnsi="宋体" w:cs="宋体" w:eastAsia="宋体" w:hint="default"/>
                <w:spacing w:val="-5"/>
                <w:sz w:val="18"/>
                <w:szCs w:val="18"/>
              </w:rPr>
              <w:t>体的控制权。（三）如果本人违反上述声明与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承诺并造成上市公司经济损失的，本人将赔 偿上市公司因此受到的全部损失。二、关于 保持上市公司独立性</w:t>
            </w:r>
            <w:r>
              <w:rPr>
                <w:rFonts w:ascii="宋体" w:hAnsi="宋体" w:cs="宋体" w:eastAsia="宋体" w:hint="default"/>
                <w:spacing w:val="1"/>
                <w:sz w:val="18"/>
                <w:szCs w:val="18"/>
              </w:rPr>
              <w:t> </w:t>
            </w:r>
            <w:r>
              <w:rPr>
                <w:rFonts w:ascii="宋体" w:hAnsi="宋体" w:cs="宋体" w:eastAsia="宋体" w:hint="default"/>
                <w:sz w:val="18"/>
                <w:szCs w:val="18"/>
              </w:rPr>
              <w:t>本人及本人控制的企业</w:t>
            </w:r>
            <w:r>
              <w:rPr>
                <w:rFonts w:ascii="宋体" w:hAnsi="宋体" w:cs="宋体" w:eastAsia="宋体" w:hint="default"/>
                <w:sz w:val="18"/>
                <w:szCs w:val="18"/>
              </w:rPr>
              <w:t> 将充分尊重东方财富的独立法人地位，严格 遵守东方财富的公司章程，保证东方财富独 立经营、自主决策，保证东方财富资产完 整，人员、财务、机构和业务独立。三、关 于规范关联交易 在本人持有东方财富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上股份期间，本人及本人直接、间接控制的 公司、企业将尽力避免及规范与东方财富及 其子公司的关联交易；对于无法避免或必要 的关联交易，将本着公平、公开、公正的原 则确定关联交易价格，保证关联交易的公允 性。如因未履行本次承诺事项给东方财富或 其他投资者造成损失的，本人将向东方财富 或其他投资者依法承担赔偿责任。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71" w:hRule="exact"/>
        </w:trPr>
        <w:tc>
          <w:tcPr>
            <w:tcW w:w="1394"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3" w:right="68"/>
              <w:jc w:val="left"/>
              <w:rPr>
                <w:rFonts w:ascii="宋体" w:hAnsi="宋体" w:cs="宋体" w:eastAsia="宋体" w:hint="default"/>
                <w:sz w:val="18"/>
                <w:szCs w:val="18"/>
              </w:rPr>
            </w:pPr>
            <w:r>
              <w:rPr>
                <w:rFonts w:ascii="宋体" w:hAnsi="宋体" w:cs="宋体" w:eastAsia="宋体" w:hint="default"/>
                <w:sz w:val="18"/>
                <w:szCs w:val="18"/>
              </w:rPr>
              <w:t>郑州宇通集 团有限公 司、西藏自 治区投资有 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left"/>
              <w:rPr>
                <w:rFonts w:ascii="宋体" w:hAnsi="宋体" w:cs="宋体" w:eastAsia="宋体" w:hint="default"/>
                <w:sz w:val="18"/>
                <w:szCs w:val="18"/>
              </w:rPr>
            </w:pPr>
            <w:r>
              <w:rPr>
                <w:rFonts w:ascii="宋体" w:hAnsi="宋体" w:cs="宋体" w:eastAsia="宋体" w:hint="default"/>
                <w:sz w:val="18"/>
                <w:szCs w:val="18"/>
              </w:rPr>
              <w:t>一、本公司已向东方财富及为本次交易提供 审计、评估、法律及财务顾问专业服务的中 介机构提供了本公司有关本次交易的相关信 息和文件（包括但不限于原始书面材料、副 本材料或口头证言等</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，本公司保证：所提供 的文件资料的副本或复印件与正本或原件一 致，且该等文件资料的签字与印章都是真实 的，该等文件的签署人业经合法授权并有效 签署该文件；保证所提供信息和文件真实、 准确和完整，不存在虚假记载、误导性陈述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394"/>
        <w:gridCol w:w="1004"/>
        <w:gridCol w:w="1416"/>
        <w:gridCol w:w="3642"/>
        <w:gridCol w:w="994"/>
        <w:gridCol w:w="1001"/>
        <w:gridCol w:w="953"/>
      </w:tblGrid>
      <w:tr>
        <w:trPr>
          <w:trHeight w:val="5667" w:hRule="exact"/>
        </w:trPr>
        <w:tc>
          <w:tcPr>
            <w:tcW w:w="1394" w:type="dxa"/>
            <w:vMerge w:val="restart"/>
            <w:tcBorders>
              <w:top w:val="single" w:sz="4" w:space="0" w:color="000000"/>
              <w:left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4"/>
              <w:jc w:val="left"/>
              <w:rPr>
                <w:rFonts w:ascii="宋体" w:hAnsi="宋体" w:cs="宋体" w:eastAsia="宋体" w:hint="default"/>
                <w:sz w:val="18"/>
                <w:szCs w:val="18"/>
              </w:rPr>
            </w:pPr>
            <w:r>
              <w:rPr>
                <w:rFonts w:ascii="宋体" w:hAnsi="宋体" w:cs="宋体" w:eastAsia="宋体" w:hint="default"/>
                <w:sz w:val="18"/>
                <w:szCs w:val="18"/>
              </w:rPr>
              <w:t>或者重大遗漏，并对所提供信息的真实性、 准确性和完整性承担个别和连带责任。</w:t>
            </w:r>
            <w:r>
              <w:rPr>
                <w:rFonts w:ascii="宋体" w:hAnsi="宋体" w:cs="宋体" w:eastAsia="宋体" w:hint="default"/>
                <w:spacing w:val="1"/>
                <w:sz w:val="18"/>
                <w:szCs w:val="18"/>
              </w:rPr>
              <w:t> </w:t>
            </w:r>
            <w:r>
              <w:rPr>
                <w:rFonts w:ascii="宋体" w:hAnsi="宋体" w:cs="宋体" w:eastAsia="宋体" w:hint="default"/>
                <w:sz w:val="18"/>
                <w:szCs w:val="18"/>
              </w:rPr>
              <w:t>二、</w:t>
            </w:r>
            <w:r>
              <w:rPr>
                <w:rFonts w:ascii="宋体" w:hAnsi="宋体" w:cs="宋体" w:eastAsia="宋体" w:hint="default"/>
                <w:sz w:val="18"/>
                <w:szCs w:val="18"/>
              </w:rPr>
              <w:t> 在参与本次交易期间，本公司将依照相关法 律、法规、规章、中国证监会和证券交易所 的有关规定，及时向东方财富提供和披露有 关本次交易的信息，并保证所提供的信息真 实、准确、完整，如因提供的信息存在虚假 记载、误导性陈述或者重大遗漏，给东方财 富或者投资者造成损失的，本公司将依法承 担赔偿责任。</w:t>
            </w:r>
            <w:r>
              <w:rPr>
                <w:rFonts w:ascii="宋体" w:hAnsi="宋体" w:cs="宋体" w:eastAsia="宋体" w:hint="default"/>
                <w:spacing w:val="1"/>
                <w:sz w:val="18"/>
                <w:szCs w:val="18"/>
              </w:rPr>
              <w:t> </w:t>
            </w:r>
            <w:r>
              <w:rPr>
                <w:rFonts w:ascii="宋体" w:hAnsi="宋体" w:cs="宋体" w:eastAsia="宋体" w:hint="default"/>
                <w:sz w:val="18"/>
                <w:szCs w:val="18"/>
              </w:rPr>
              <w:t>三、本公司保证已履行了法定</w:t>
            </w:r>
            <w:r>
              <w:rPr>
                <w:rFonts w:ascii="宋体" w:hAnsi="宋体" w:cs="宋体" w:eastAsia="宋体" w:hint="default"/>
                <w:sz w:val="18"/>
                <w:szCs w:val="18"/>
              </w:rPr>
              <w:t> 的披露和报告义务，不存在应当披露而未披 露</w:t>
            </w:r>
            <w:r>
              <w:rPr>
                <w:rFonts w:ascii="宋体" w:hAnsi="宋体" w:cs="宋体" w:eastAsia="宋体" w:hint="default"/>
                <w:spacing w:val="1"/>
                <w:sz w:val="18"/>
                <w:szCs w:val="18"/>
              </w:rPr>
              <w:t> </w:t>
            </w:r>
            <w:r>
              <w:rPr>
                <w:rFonts w:ascii="宋体" w:hAnsi="宋体" w:cs="宋体" w:eastAsia="宋体" w:hint="default"/>
                <w:sz w:val="18"/>
                <w:szCs w:val="18"/>
              </w:rPr>
              <w:t>的合同、协议、安排或其他事项。四、如</w:t>
            </w:r>
            <w:r>
              <w:rPr>
                <w:rFonts w:ascii="宋体" w:hAnsi="宋体" w:cs="宋体" w:eastAsia="宋体" w:hint="default"/>
                <w:sz w:val="18"/>
                <w:szCs w:val="18"/>
              </w:rPr>
              <w:t> 本公司就本次交易所提供或披露的信息涉嫌 虚假记载、误导性陈述或者重大遗漏，被司 法机关立案侦查或者被中国证监会立案调查 的，在形成调查结论以前，本公司不转让在 东方财富拥有权益的股份。</w:t>
            </w:r>
            <w:r>
              <w:rPr>
                <w:rFonts w:ascii="宋体" w:hAnsi="宋体" w:cs="宋体" w:eastAsia="宋体" w:hint="default"/>
                <w:spacing w:val="1"/>
                <w:sz w:val="18"/>
                <w:szCs w:val="18"/>
              </w:rPr>
              <w:t> </w:t>
            </w:r>
            <w:r>
              <w:rPr>
                <w:rFonts w:ascii="宋体" w:hAnsi="宋体" w:cs="宋体" w:eastAsia="宋体" w:hint="default"/>
                <w:sz w:val="18"/>
                <w:szCs w:val="18"/>
              </w:rPr>
              <w:t>如违反上述声明</w:t>
            </w:r>
            <w:r>
              <w:rPr>
                <w:rFonts w:ascii="宋体" w:hAnsi="宋体" w:cs="宋体" w:eastAsia="宋体" w:hint="default"/>
                <w:sz w:val="18"/>
                <w:szCs w:val="18"/>
              </w:rPr>
              <w:t> 和承诺，本公司愿意承担相应的法律责任。</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1394" w:type="dxa"/>
            <w:vMerge/>
            <w:tcBorders>
              <w:left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8"/>
              <w:jc w:val="left"/>
              <w:rPr>
                <w:rFonts w:ascii="宋体" w:hAnsi="宋体" w:cs="宋体" w:eastAsia="宋体" w:hint="default"/>
                <w:sz w:val="18"/>
                <w:szCs w:val="18"/>
              </w:rPr>
            </w:pPr>
            <w:r>
              <w:rPr>
                <w:rFonts w:ascii="宋体" w:hAnsi="宋体" w:cs="宋体" w:eastAsia="宋体" w:hint="default"/>
                <w:sz w:val="18"/>
                <w:szCs w:val="18"/>
              </w:rPr>
              <w:t>其实、陶 涛、陆威、 程磊、史 佳、曹薇、 江泊、颜学 海、李增 泉、鲍一 青、叶露、 蔡玮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6"/>
              <w:jc w:val="left"/>
              <w:rPr>
                <w:rFonts w:ascii="宋体" w:hAnsi="宋体" w:cs="宋体" w:eastAsia="宋体" w:hint="default"/>
                <w:sz w:val="18"/>
                <w:szCs w:val="18"/>
              </w:rPr>
            </w:pPr>
            <w:r>
              <w:rPr>
                <w:rFonts w:ascii="宋体" w:hAnsi="宋体" w:cs="宋体" w:eastAsia="宋体" w:hint="default"/>
                <w:sz w:val="18"/>
                <w:szCs w:val="18"/>
              </w:rPr>
              <w:t>一、保证本次重组的信息披露和申请文件不 存在虚假记载、误导性陈述或者重大遗漏， 并对所披露信息和申请文件的真实性、准确 性和完整性承担个别及连带责任。二、如本 次重组因涉嫌所提供或者披露的信息存在虚 假记载、误导性陈述或者重大遗漏，被司法 机关立案侦查或者被中国证监会立案调查 的，在案件调查结论明确之前，本人承诺暂 停转让本人在东方财富拥有权益的股份（如 </w:t>
            </w:r>
            <w:r>
              <w:rPr>
                <w:rFonts w:ascii="宋体" w:hAnsi="宋体" w:cs="宋体" w:eastAsia="宋体" w:hint="default"/>
                <w:spacing w:val="-31"/>
                <w:sz w:val="18"/>
                <w:szCs w:val="18"/>
              </w:rPr>
              <w:t>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5043" w:hRule="exact"/>
        </w:trPr>
        <w:tc>
          <w:tcPr>
            <w:tcW w:w="1394"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3" w:right="68"/>
              <w:jc w:val="left"/>
              <w:rPr>
                <w:rFonts w:ascii="宋体" w:hAnsi="宋体" w:cs="宋体" w:eastAsia="宋体" w:hint="default"/>
                <w:sz w:val="18"/>
                <w:szCs w:val="18"/>
              </w:rPr>
            </w:pPr>
            <w:r>
              <w:rPr>
                <w:rFonts w:ascii="宋体" w:hAnsi="宋体" w:cs="宋体" w:eastAsia="宋体" w:hint="default"/>
                <w:sz w:val="18"/>
                <w:szCs w:val="18"/>
              </w:rPr>
              <w:t>郑州宇通集 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、东方财富收购同信证券完成后，如果同信 证券（包括同信证券自身、分支机构、其控 股公司，下同）因本次交易完成前的不合规 行为遭受损失的（包括但不限于任何罚款、 </w:t>
            </w:r>
            <w:r>
              <w:rPr>
                <w:rFonts w:ascii="宋体" w:hAnsi="宋体" w:cs="宋体" w:eastAsia="宋体" w:hint="default"/>
                <w:spacing w:val="-5"/>
                <w:sz w:val="18"/>
                <w:szCs w:val="18"/>
              </w:rPr>
              <w:t>违约金、滞纳金、赔偿），宇通集团将在收到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东方财富书面通知及能够证明已实际遭受并 承担损失的文件之日起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个工作日内以现金 </w:t>
            </w:r>
            <w:r>
              <w:rPr>
                <w:rFonts w:ascii="宋体" w:hAnsi="宋体" w:cs="宋体" w:eastAsia="宋体" w:hint="default"/>
                <w:spacing w:val="-5"/>
                <w:sz w:val="18"/>
                <w:szCs w:val="18"/>
              </w:rPr>
              <w:t>方式向东方财富进行足额补偿，包括：（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因同信证券在本次交易完成前签署的房产租 赁协议存在的法律瑕疵，而导致同信证券或 </w:t>
            </w:r>
            <w:r>
              <w:rPr>
                <w:rFonts w:ascii="宋体" w:hAnsi="宋体" w:cs="宋体" w:eastAsia="宋体" w:hint="default"/>
                <w:spacing w:val="-5"/>
                <w:sz w:val="18"/>
                <w:szCs w:val="18"/>
              </w:rPr>
              <w:t>重组完成后的上市公司遭受损失的；（</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）因</w:t>
            </w:r>
            <w:r>
              <w:rPr>
                <w:rFonts w:ascii="宋体" w:hAnsi="宋体" w:cs="宋体" w:eastAsia="宋体" w:hint="default"/>
                <w:spacing w:val="-81"/>
                <w:sz w:val="18"/>
                <w:szCs w:val="18"/>
              </w:rPr>
              <w:t> </w:t>
            </w:r>
            <w:r>
              <w:rPr>
                <w:rFonts w:ascii="宋体" w:hAnsi="宋体" w:cs="宋体" w:eastAsia="宋体" w:hint="default"/>
                <w:sz w:val="18"/>
                <w:szCs w:val="18"/>
              </w:rPr>
              <w:t>同信证券在本次交易完成前为员工缴纳社会 保险金、住房公积金方面存在瑕疵，导致同 信证券或重组完成后的上市公司遭受损失 的。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、本承诺所述的补偿金的计算方式为：（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394"/>
        <w:gridCol w:w="1004"/>
        <w:gridCol w:w="1416"/>
        <w:gridCol w:w="3642"/>
        <w:gridCol w:w="994"/>
        <w:gridCol w:w="1001"/>
        <w:gridCol w:w="953"/>
      </w:tblGrid>
      <w:tr>
        <w:trPr>
          <w:trHeight w:val="1923" w:hRule="exact"/>
        </w:trPr>
        <w:tc>
          <w:tcPr>
            <w:tcW w:w="1394" w:type="dxa"/>
            <w:vMerge w:val="restart"/>
            <w:tcBorders>
              <w:top w:val="single" w:sz="4" w:space="0" w:color="000000"/>
              <w:left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86"/>
              <w:jc w:val="left"/>
              <w:rPr>
                <w:rFonts w:ascii="宋体" w:hAnsi="宋体" w:cs="宋体" w:eastAsia="宋体" w:hint="default"/>
                <w:sz w:val="18"/>
                <w:szCs w:val="18"/>
              </w:rPr>
            </w:pPr>
            <w:r>
              <w:rPr>
                <w:rFonts w:ascii="宋体" w:hAnsi="宋体" w:cs="宋体" w:eastAsia="宋体" w:hint="default"/>
                <w:sz w:val="18"/>
                <w:szCs w:val="18"/>
              </w:rPr>
              <w:t>若遭受损失的直接主体为同信证券或重组完 成后的上市公司，则补偿金额即为其实际所 </w:t>
            </w:r>
            <w:r>
              <w:rPr>
                <w:rFonts w:ascii="宋体" w:hAnsi="宋体" w:cs="宋体" w:eastAsia="宋体" w:hint="default"/>
                <w:spacing w:val="-5"/>
                <w:sz w:val="18"/>
                <w:szCs w:val="18"/>
              </w:rPr>
              <w:t>遭受损失金额；（</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）若遭受损失的直接主体</w:t>
            </w:r>
            <w:r>
              <w:rPr>
                <w:rFonts w:ascii="宋体" w:hAnsi="宋体" w:cs="宋体" w:eastAsia="宋体" w:hint="default"/>
                <w:spacing w:val="-81"/>
                <w:sz w:val="18"/>
                <w:szCs w:val="18"/>
              </w:rPr>
              <w:t> </w:t>
            </w:r>
            <w:r>
              <w:rPr>
                <w:rFonts w:ascii="宋体" w:hAnsi="宋体" w:cs="宋体" w:eastAsia="宋体" w:hint="default"/>
                <w:sz w:val="18"/>
                <w:szCs w:val="18"/>
              </w:rPr>
              <w:t>为同信证券控股的公司，则补偿金的计算方 式为：补偿金额＝控股公司所遭受损失</w:t>
            </w:r>
            <w:r>
              <w:rPr>
                <w:rFonts w:ascii="Times New Roman" w:hAnsi="Times New Roman" w:cs="Times New Roman" w:eastAsia="Times New Roman" w:hint="default"/>
                <w:sz w:val="18"/>
                <w:szCs w:val="18"/>
              </w:rPr>
              <w:t>×</w:t>
            </w:r>
            <w:r>
              <w:rPr>
                <w:rFonts w:ascii="宋体" w:hAnsi="宋体" w:cs="宋体" w:eastAsia="宋体" w:hint="default"/>
                <w:sz w:val="18"/>
                <w:szCs w:val="18"/>
              </w:rPr>
              <w:t>同信 证券持有该公司的权益比例。</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1394" w:type="dxa"/>
            <w:vMerge/>
            <w:tcBorders>
              <w:left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68"/>
              <w:jc w:val="left"/>
              <w:rPr>
                <w:rFonts w:ascii="宋体" w:hAnsi="宋体" w:cs="宋体" w:eastAsia="宋体" w:hint="default"/>
                <w:sz w:val="18"/>
                <w:szCs w:val="18"/>
              </w:rPr>
            </w:pPr>
            <w:r>
              <w:rPr>
                <w:rFonts w:ascii="宋体" w:hAnsi="宋体" w:cs="宋体" w:eastAsia="宋体" w:hint="default"/>
                <w:sz w:val="18"/>
                <w:szCs w:val="18"/>
              </w:rPr>
              <w:t>郑州宇通集 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关于同信证券</w:t>
            </w:r>
            <w:r>
              <w:rPr>
                <w:rFonts w:ascii="Times New Roman" w:hAnsi="Times New Roman" w:cs="Times New Roman" w:eastAsia="Times New Roman" w:hint="default"/>
                <w:sz w:val="18"/>
                <w:szCs w:val="18"/>
              </w:rPr>
              <w:t>"13 </w:t>
            </w:r>
            <w:r>
              <w:rPr>
                <w:rFonts w:ascii="宋体" w:hAnsi="宋体" w:cs="宋体" w:eastAsia="宋体" w:hint="default"/>
                <w:sz w:val="18"/>
                <w:szCs w:val="18"/>
              </w:rPr>
              <w:t>天威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PPN001"</w:t>
            </w:r>
            <w:r>
              <w:rPr>
                <w:rFonts w:ascii="宋体" w:hAnsi="宋体" w:cs="宋体" w:eastAsia="宋体" w:hint="default"/>
                <w:sz w:val="18"/>
                <w:szCs w:val="18"/>
              </w:rPr>
              <w:t>相关仲裁事项 的承诺：对于同信证券以自有资金购买的天 威集团定向工具，该仲裁完成后，如果天威 集团就该部分天威集团定向工具向同信证券 偿还的金额不足人民币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58,559,940.00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元（即</w:t>
            </w:r>
          </w:p>
          <w:p>
            <w:pPr>
              <w:pStyle w:val="TableParagraph"/>
              <w:spacing w:line="309" w:lineRule="auto" w:before="1"/>
              <w:ind w:left="23" w:right="9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日天威集团定向工具账 </w:t>
            </w:r>
            <w:r>
              <w:rPr>
                <w:rFonts w:ascii="宋体" w:hAnsi="宋体" w:cs="宋体" w:eastAsia="宋体" w:hint="default"/>
                <w:spacing w:val="-5"/>
                <w:sz w:val="18"/>
                <w:szCs w:val="18"/>
              </w:rPr>
              <w:t>面价值及应收利息合计金额），宇通集团将在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收到东方财富书面付款通知之日起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 日内，以现金方式向同信证券足额补偿该等 天威集团定向工具实际偿还金额与人民币 </w:t>
            </w:r>
            <w:r>
              <w:rPr>
                <w:rFonts w:ascii="Times New Roman" w:hAnsi="Times New Roman" w:cs="Times New Roman" w:eastAsia="Times New Roman" w:hint="default"/>
                <w:sz w:val="18"/>
                <w:szCs w:val="18"/>
              </w:rPr>
              <w:t>58,559,940.00 </w:t>
            </w:r>
            <w:r>
              <w:rPr>
                <w:rFonts w:ascii="宋体" w:hAnsi="宋体" w:cs="宋体" w:eastAsia="宋体" w:hint="default"/>
                <w:sz w:val="18"/>
                <w:szCs w:val="18"/>
              </w:rPr>
              <w:t>元之间的差额，以及同信证券 承担的与该仲裁事项相关的仲裁费用。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772" w:hRule="exact"/>
        </w:trPr>
        <w:tc>
          <w:tcPr>
            <w:tcW w:w="1394"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3" w:right="68"/>
              <w:jc w:val="left"/>
              <w:rPr>
                <w:rFonts w:ascii="宋体" w:hAnsi="宋体" w:cs="宋体" w:eastAsia="宋体" w:hint="default"/>
                <w:sz w:val="18"/>
                <w:szCs w:val="18"/>
              </w:rPr>
            </w:pPr>
            <w:r>
              <w:rPr>
                <w:rFonts w:ascii="宋体" w:hAnsi="宋体" w:cs="宋体" w:eastAsia="宋体" w:hint="default"/>
                <w:sz w:val="18"/>
                <w:szCs w:val="18"/>
              </w:rPr>
              <w:t>郑州宇通集 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关于西藏东方财富证券股份有限公司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天威集 团定向工具</w:t>
            </w:r>
            <w:r>
              <w:rPr>
                <w:rFonts w:ascii="Times New Roman" w:hAnsi="Times New Roman" w:cs="Times New Roman" w:eastAsia="Times New Roman" w:hint="default"/>
                <w:sz w:val="18"/>
                <w:szCs w:val="18"/>
              </w:rPr>
              <w:t>"</w:t>
            </w:r>
            <w:r>
              <w:rPr>
                <w:rFonts w:ascii="宋体" w:hAnsi="宋体" w:cs="宋体" w:eastAsia="宋体" w:hint="default"/>
                <w:sz w:val="18"/>
                <w:szCs w:val="18"/>
              </w:rPr>
              <w:t>仲裁事项的补充承诺：</w:t>
            </w:r>
            <w:r>
              <w:rPr>
                <w:rFonts w:ascii="Times New Roman" w:hAnsi="Times New Roman" w:cs="Times New Roman" w:eastAsia="Times New Roman" w:hint="default"/>
                <w:sz w:val="18"/>
                <w:szCs w:val="18"/>
              </w:rPr>
              <w:t>1</w:t>
            </w:r>
            <w:r>
              <w:rPr>
                <w:rFonts w:ascii="宋体" w:hAnsi="宋体" w:cs="宋体" w:eastAsia="宋体" w:hint="default"/>
                <w:sz w:val="18"/>
                <w:szCs w:val="18"/>
              </w:rPr>
              <w:t>、同意东 方财富证券撤回仲裁申请，并确认东方财富 证券向天威集团破产管理人申报债权事项。 </w:t>
            </w:r>
            <w:r>
              <w:rPr>
                <w:rFonts w:ascii="Times New Roman" w:hAnsi="Times New Roman" w:cs="Times New Roman" w:eastAsia="Times New Roman" w:hint="default"/>
                <w:sz w:val="18"/>
                <w:szCs w:val="18"/>
              </w:rPr>
              <w:t>2</w:t>
            </w:r>
            <w:r>
              <w:rPr>
                <w:rFonts w:ascii="宋体" w:hAnsi="宋体" w:cs="宋体" w:eastAsia="宋体" w:hint="default"/>
                <w:sz w:val="18"/>
                <w:szCs w:val="18"/>
              </w:rPr>
              <w:t>、对于东方财富证券以自有资金购买的天威 集团定向工具，如果东方财富证券通过天威 集团本次破产程序最终获得清偿的金额不足 </w:t>
            </w:r>
            <w:r>
              <w:rPr>
                <w:rFonts w:ascii="Times New Roman" w:hAnsi="Times New Roman" w:cs="Times New Roman" w:eastAsia="Times New Roman" w:hint="default"/>
                <w:sz w:val="18"/>
                <w:szCs w:val="18"/>
              </w:rPr>
              <w:t>58,559,940.00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元（即截至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312" w:lineRule="auto" w:before="5"/>
              <w:ind w:left="23" w:right="94"/>
              <w:jc w:val="left"/>
              <w:rPr>
                <w:rFonts w:ascii="宋体" w:hAnsi="宋体" w:cs="宋体" w:eastAsia="宋体" w:hint="default"/>
                <w:sz w:val="18"/>
                <w:szCs w:val="18"/>
              </w:rPr>
            </w:pPr>
            <w:r>
              <w:rPr>
                <w:rFonts w:ascii="宋体" w:hAnsi="宋体" w:cs="宋体" w:eastAsia="宋体" w:hint="default"/>
                <w:sz w:val="18"/>
                <w:szCs w:val="18"/>
              </w:rPr>
              <w:t>定向债务融资工具账面价值及应收利息合计 </w:t>
            </w:r>
            <w:r>
              <w:rPr>
                <w:rFonts w:ascii="宋体" w:hAnsi="宋体" w:cs="宋体" w:eastAsia="宋体" w:hint="default"/>
                <w:spacing w:val="-5"/>
                <w:sz w:val="18"/>
                <w:szCs w:val="18"/>
              </w:rPr>
              <w:t>金额），宇通集团将在收到东方财富书面付款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通知之日起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个工作日内，以现金方式向东 方财富证券足额补偿该等天威集团定向工具 实际偿还金额与人民币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58,559,940.00 </w:t>
            </w:r>
            <w:r>
              <w:rPr>
                <w:rFonts w:ascii="宋体" w:hAnsi="宋体" w:cs="宋体" w:eastAsia="宋体" w:hint="default"/>
                <w:sz w:val="18"/>
                <w:szCs w:val="18"/>
              </w:rPr>
              <w:t>元之间 的差额，以及东方财富证券承担的与仲裁、 破产事项相关的费用。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71"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3" w:right="120"/>
              <w:jc w:val="both"/>
              <w:rPr>
                <w:rFonts w:ascii="宋体" w:hAnsi="宋体" w:cs="宋体" w:eastAsia="宋体" w:hint="default"/>
                <w:sz w:val="18"/>
                <w:szCs w:val="18"/>
              </w:rPr>
            </w:pPr>
            <w:r>
              <w:rPr>
                <w:rFonts w:ascii="宋体" w:hAnsi="宋体" w:cs="宋体" w:eastAsia="宋体" w:hint="default"/>
                <w:sz w:val="18"/>
                <w:szCs w:val="18"/>
              </w:rPr>
              <w:t>关于同业竞争、 关联交易、资金 占用方面的承诺</w:t>
            </w:r>
          </w:p>
        </w:tc>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为避免同业竞争，保护公司及其他股东的利 益，本公司控股股东、实际控制人其实先生 出具了避免同业竞争的承诺。</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日，本公司控股股东、实际控制人其实先生 </w:t>
            </w:r>
            <w:r>
              <w:rPr>
                <w:rFonts w:ascii="宋体" w:hAnsi="宋体" w:cs="宋体" w:eastAsia="宋体" w:hint="default"/>
                <w:spacing w:val="-5"/>
                <w:sz w:val="18"/>
                <w:szCs w:val="18"/>
              </w:rPr>
              <w:t>出具了《关于避免同业竞争承诺函》，承诺如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）本人所控制的除东方财富以外的公</w:t>
            </w:r>
            <w:r>
              <w:rPr>
                <w:rFonts w:ascii="宋体" w:hAnsi="宋体" w:cs="宋体" w:eastAsia="宋体" w:hint="default"/>
                <w:spacing w:val="-81"/>
                <w:sz w:val="18"/>
                <w:szCs w:val="18"/>
              </w:rPr>
              <w:t> </w:t>
            </w:r>
            <w:r>
              <w:rPr>
                <w:rFonts w:ascii="宋体" w:hAnsi="宋体" w:cs="宋体" w:eastAsia="宋体" w:hint="default"/>
                <w:sz w:val="18"/>
                <w:szCs w:val="18"/>
              </w:rPr>
              <w:t>司、分公司、合营或联营公司及其他任何类 型的企业现时不存在从事与东方财富有相同 或类似业务的情形，与东方财富之间不存在 </w:t>
            </w:r>
            <w:r>
              <w:rPr>
                <w:rFonts w:ascii="宋体" w:hAnsi="宋体" w:cs="宋体" w:eastAsia="宋体" w:hint="default"/>
                <w:spacing w:val="-5"/>
                <w:sz w:val="18"/>
                <w:szCs w:val="18"/>
              </w:rPr>
              <w:t>同业竞争。（</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）在作为东方财富实际控制人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394"/>
        <w:gridCol w:w="1004"/>
        <w:gridCol w:w="1416"/>
        <w:gridCol w:w="3642"/>
        <w:gridCol w:w="994"/>
        <w:gridCol w:w="1001"/>
        <w:gridCol w:w="953"/>
      </w:tblGrid>
      <w:tr>
        <w:trPr>
          <w:trHeight w:val="3795"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85"/>
              <w:jc w:val="left"/>
              <w:rPr>
                <w:rFonts w:ascii="宋体" w:hAnsi="宋体" w:cs="宋体" w:eastAsia="宋体" w:hint="default"/>
                <w:sz w:val="18"/>
                <w:szCs w:val="18"/>
              </w:rPr>
            </w:pPr>
            <w:r>
              <w:rPr>
                <w:rFonts w:ascii="宋体" w:hAnsi="宋体" w:cs="宋体" w:eastAsia="宋体" w:hint="default"/>
                <w:sz w:val="18"/>
                <w:szCs w:val="18"/>
              </w:rPr>
              <w:t>期间，将不设立从事与东方财富有相同或类 </w:t>
            </w:r>
            <w:r>
              <w:rPr>
                <w:rFonts w:ascii="宋体" w:hAnsi="宋体" w:cs="宋体" w:eastAsia="宋体" w:hint="default"/>
                <w:spacing w:val="-5"/>
                <w:sz w:val="18"/>
                <w:szCs w:val="18"/>
              </w:rPr>
              <w:t>似业务的公司。（</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）承诺不利用东方财富实</w:t>
            </w:r>
            <w:r>
              <w:rPr>
                <w:rFonts w:ascii="宋体" w:hAnsi="宋体" w:cs="宋体" w:eastAsia="宋体" w:hint="default"/>
                <w:spacing w:val="-81"/>
                <w:sz w:val="18"/>
                <w:szCs w:val="18"/>
              </w:rPr>
              <w:t> </w:t>
            </w:r>
            <w:r>
              <w:rPr>
                <w:rFonts w:ascii="宋体" w:hAnsi="宋体" w:cs="宋体" w:eastAsia="宋体" w:hint="default"/>
                <w:sz w:val="18"/>
                <w:szCs w:val="18"/>
              </w:rPr>
              <w:t>际控制人地位，损害东方财富及东方财富其 他股东的利益。如违反上述承诺，本人愿意 承担由此产生的全部责任，充分赔偿或补偿 由此给东方财富造成的所有直接或间接损 失。 上述承诺一经签署立即生效，且上述承诺在 本人对东方财富拥有由资本因素或非资本因 素形成的直接或间接的控制权或对东方财富 存在重大影响期间持续有效，且不可变更或 撤销。</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8"/>
              <w:jc w:val="both"/>
              <w:rPr>
                <w:rFonts w:ascii="宋体" w:hAnsi="宋体" w:cs="宋体" w:eastAsia="宋体" w:hint="default"/>
                <w:sz w:val="18"/>
                <w:szCs w:val="18"/>
              </w:rPr>
            </w:pPr>
            <w:r>
              <w:rPr>
                <w:rFonts w:ascii="宋体" w:hAnsi="宋体" w:cs="宋体" w:eastAsia="宋体" w:hint="default"/>
                <w:sz w:val="18"/>
                <w:szCs w:val="18"/>
              </w:rPr>
              <w:t>东方财富信 息股份有限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6"/>
              <w:jc w:val="both"/>
              <w:rPr>
                <w:rFonts w:ascii="宋体" w:hAnsi="宋体" w:cs="宋体" w:eastAsia="宋体" w:hint="default"/>
                <w:sz w:val="18"/>
                <w:szCs w:val="18"/>
              </w:rPr>
            </w:pPr>
            <w:r>
              <w:rPr>
                <w:rFonts w:ascii="宋体" w:hAnsi="宋体" w:cs="宋体" w:eastAsia="宋体" w:hint="default"/>
                <w:sz w:val="18"/>
                <w:szCs w:val="18"/>
              </w:rPr>
              <w:t>公司未来不为激励对象依股权激励计划获取 有关权益提供贷款以及其他任何形式的财务 资助，包括为其贷款提供担保。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年股票期权 激励计划有 效期内</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4"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68"/>
              <w:jc w:val="both"/>
              <w:rPr>
                <w:rFonts w:ascii="宋体" w:hAnsi="宋体" w:cs="宋体" w:eastAsia="宋体" w:hint="default"/>
                <w:sz w:val="18"/>
                <w:szCs w:val="18"/>
              </w:rPr>
            </w:pPr>
            <w:r>
              <w:rPr>
                <w:rFonts w:ascii="宋体" w:hAnsi="宋体" w:cs="宋体" w:eastAsia="宋体" w:hint="default"/>
                <w:sz w:val="18"/>
                <w:szCs w:val="18"/>
              </w:rPr>
              <w:t>东方财富信 息股份有限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6"/>
              <w:jc w:val="both"/>
              <w:rPr>
                <w:rFonts w:ascii="宋体" w:hAnsi="宋体" w:cs="宋体" w:eastAsia="宋体" w:hint="default"/>
                <w:sz w:val="18"/>
                <w:szCs w:val="18"/>
              </w:rPr>
            </w:pPr>
            <w:r>
              <w:rPr>
                <w:rFonts w:ascii="宋体" w:hAnsi="宋体" w:cs="宋体" w:eastAsia="宋体" w:hint="default"/>
                <w:sz w:val="18"/>
                <w:szCs w:val="18"/>
              </w:rPr>
              <w:t>本次发行可转换公司债券所募集资金全部到 位后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个月内，本公司将不会以自有资金 对本公司控股子公司上海徐汇东方财富小额 贷款有限公司进行直接或间接增资，亦不会 以自有资金直接或间接投资其他小额贷款公 司及类金融业务。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3"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3"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8"/>
              <w:jc w:val="both"/>
              <w:rPr>
                <w:rFonts w:ascii="宋体" w:hAnsi="宋体" w:cs="宋体" w:eastAsia="宋体" w:hint="default"/>
                <w:sz w:val="18"/>
                <w:szCs w:val="18"/>
              </w:rPr>
            </w:pPr>
            <w:r>
              <w:rPr>
                <w:rFonts w:ascii="宋体" w:hAnsi="宋体" w:cs="宋体" w:eastAsia="宋体" w:hint="default"/>
                <w:sz w:val="18"/>
                <w:szCs w:val="18"/>
              </w:rPr>
              <w:t>如承诺超期未履 行完毕的，应当 详细说明未完成 履行的具体原因 及下一步的工作 计划</w:t>
            </w:r>
          </w:p>
        </w:tc>
        <w:tc>
          <w:tcPr>
            <w:tcW w:w="900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ind w:right="1114"/>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4"/>
        </w:rPr>
        <w:t> </w:t>
      </w:r>
      <w:r>
        <w:rPr>
          <w:spacing w:val="-64"/>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14"/>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after="0" w:line="338" w:lineRule="auto"/>
        <w:jc w:val="left"/>
        <w:rPr>
          <w:rFonts w:ascii="宋体" w:hAnsi="宋体" w:cs="宋体" w:eastAsia="宋体" w:hint="default"/>
          <w:sz w:val="18"/>
          <w:szCs w:val="18"/>
        </w:rPr>
        <w:sectPr>
          <w:pgSz w:w="11910" w:h="16840"/>
          <w:pgMar w:header="852" w:footer="979" w:top="1320" w:bottom="1160" w:left="980" w:right="0"/>
        </w:sectPr>
      </w:pPr>
    </w:p>
    <w:p>
      <w:pPr>
        <w:pStyle w:val="Heading3"/>
        <w:spacing w:line="240" w:lineRule="auto" w:before="75"/>
        <w:ind w:right="1114"/>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14"/>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before="102"/>
        <w:ind w:left="513" w:right="1114" w:firstLine="0"/>
        <w:jc w:val="left"/>
        <w:rPr>
          <w:rFonts w:ascii="宋体" w:hAnsi="宋体" w:cs="宋体" w:eastAsia="宋体" w:hint="default"/>
          <w:sz w:val="18"/>
          <w:szCs w:val="18"/>
        </w:rPr>
      </w:pPr>
      <w:r>
        <w:rPr>
          <w:rFonts w:ascii="宋体" w:hAnsi="宋体" w:cs="宋体" w:eastAsia="宋体" w:hint="default"/>
          <w:sz w:val="18"/>
          <w:szCs w:val="18"/>
        </w:rPr>
        <w:t>（一）会计政策变更原因</w:t>
      </w:r>
    </w:p>
    <w:p>
      <w:pPr>
        <w:spacing w:line="300" w:lineRule="auto" w:before="117"/>
        <w:ind w:left="153" w:right="1239" w:firstLine="36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年发布了《关于修订印发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年度一般企业财务报表格式的通知》（财会</w:t>
      </w:r>
      <w:r>
        <w:rPr>
          <w:rFonts w:ascii="Times New Roman" w:hAnsi="Times New Roman" w:cs="Times New Roman" w:eastAsia="Times New Roman" w:hint="default"/>
          <w:spacing w:val="-4"/>
          <w:sz w:val="18"/>
          <w:szCs w:val="18"/>
        </w:rPr>
        <w:t>[2018]15</w:t>
      </w:r>
      <w:r>
        <w:rPr>
          <w:rFonts w:ascii="Times New Roman" w:hAnsi="Times New Roman" w:cs="Times New Roman" w:eastAsia="Times New Roman" w:hint="default"/>
          <w:spacing w:val="6"/>
          <w:sz w:val="18"/>
          <w:szCs w:val="18"/>
        </w:rPr>
        <w:t> </w:t>
      </w:r>
      <w:r>
        <w:rPr>
          <w:rFonts w:ascii="宋体" w:hAnsi="宋体" w:cs="宋体" w:eastAsia="宋体" w:hint="default"/>
          <w:spacing w:val="-11"/>
          <w:sz w:val="18"/>
          <w:szCs w:val="18"/>
        </w:rPr>
        <w:t>号），对一般企业财</w:t>
      </w:r>
      <w:r>
        <w:rPr>
          <w:rFonts w:ascii="宋体" w:hAnsi="宋体" w:cs="宋体" w:eastAsia="宋体" w:hint="default"/>
          <w:sz w:val="18"/>
          <w:szCs w:val="18"/>
        </w:rPr>
        <w:t> 务报表格式进行了修订。公司按照上述通知规定的一般企业财务报表格式编制公司的财务报表。</w:t>
      </w:r>
    </w:p>
    <w:p>
      <w:pPr>
        <w:spacing w:line="357" w:lineRule="auto" w:before="72"/>
        <w:ind w:left="513" w:right="1119" w:firstLine="0"/>
        <w:jc w:val="left"/>
        <w:rPr>
          <w:rFonts w:ascii="宋体" w:hAnsi="宋体" w:cs="宋体" w:eastAsia="宋体" w:hint="default"/>
          <w:sz w:val="18"/>
          <w:szCs w:val="18"/>
        </w:rPr>
      </w:pPr>
      <w:r>
        <w:rPr>
          <w:rFonts w:ascii="宋体" w:hAnsi="宋体" w:cs="宋体" w:eastAsia="宋体" w:hint="default"/>
          <w:sz w:val="18"/>
          <w:szCs w:val="18"/>
        </w:rPr>
        <w:t>（二）本次会计政策变更对公司的影响 本项会计政策变更对财务报表项目列示进行调整，并调整可比会计期间的比较数据，不会对公司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年年度报告所有</w:t>
      </w:r>
    </w:p>
    <w:p>
      <w:pPr>
        <w:spacing w:line="201" w:lineRule="exact"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者权益、净利润产生影响。</w:t>
      </w:r>
    </w:p>
    <w:p>
      <w:pPr>
        <w:spacing w:before="117"/>
        <w:ind w:left="513" w:right="1114" w:firstLine="0"/>
        <w:jc w:val="left"/>
        <w:rPr>
          <w:rFonts w:ascii="宋体" w:hAnsi="宋体" w:cs="宋体" w:eastAsia="宋体" w:hint="default"/>
          <w:sz w:val="18"/>
          <w:szCs w:val="18"/>
        </w:rPr>
      </w:pPr>
      <w:r>
        <w:rPr>
          <w:rFonts w:ascii="宋体" w:hAnsi="宋体" w:cs="宋体" w:eastAsia="宋体" w:hint="default"/>
          <w:sz w:val="18"/>
          <w:szCs w:val="18"/>
        </w:rPr>
        <w:t>（三）本次会计政策变更履行审批程序</w:t>
      </w:r>
    </w:p>
    <w:p>
      <w:pPr>
        <w:spacing w:line="316" w:lineRule="auto" w:before="117"/>
        <w:ind w:left="153" w:right="1213" w:firstLine="360"/>
        <w:jc w:val="left"/>
        <w:rPr>
          <w:rFonts w:ascii="宋体" w:hAnsi="宋体" w:cs="宋体" w:eastAsia="宋体" w:hint="default"/>
          <w:sz w:val="18"/>
          <w:szCs w:val="18"/>
        </w:rPr>
      </w:pPr>
      <w:r>
        <w:rPr>
          <w:rFonts w:ascii="宋体" w:hAnsi="宋体" w:cs="宋体" w:eastAsia="宋体" w:hint="default"/>
          <w:sz w:val="18"/>
          <w:szCs w:val="18"/>
        </w:rPr>
        <w:t>《关于公司会计政策变更的议案》已经公司第四届董事会第二十一次会议审议通过，公司独立董事对该议案发表了独 立意见。</w:t>
      </w:r>
    </w:p>
    <w:p>
      <w:pPr>
        <w:spacing w:line="240" w:lineRule="auto" w:before="9"/>
        <w:rPr>
          <w:rFonts w:ascii="宋体" w:hAnsi="宋体" w:cs="宋体" w:eastAsia="宋体" w:hint="default"/>
          <w:sz w:val="20"/>
          <w:szCs w:val="20"/>
        </w:rPr>
      </w:pPr>
    </w:p>
    <w:p>
      <w:pPr>
        <w:pStyle w:val="Heading3"/>
        <w:spacing w:line="240" w:lineRule="auto"/>
        <w:ind w:right="1114"/>
        <w:jc w:val="left"/>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513" w:right="121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本期合并范围增加一家子公司和一家结构化主体，主要为：</w:t>
      </w:r>
      <w:r>
        <w:rPr>
          <w:rFonts w:ascii="Times New Roman" w:hAnsi="Times New Roman" w:cs="Times New Roman" w:eastAsia="Times New Roman" w:hint="default"/>
          <w:sz w:val="18"/>
          <w:szCs w:val="18"/>
        </w:rPr>
        <w:t>1</w:t>
      </w:r>
      <w:r>
        <w:rPr>
          <w:rFonts w:ascii="宋体" w:hAnsi="宋体" w:cs="宋体" w:eastAsia="宋体" w:hint="default"/>
          <w:sz w:val="18"/>
          <w:szCs w:val="18"/>
        </w:rPr>
        <w:t>、新设东财基金。</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、本公司子公司东方财富证券以自有</w:t>
      </w:r>
    </w:p>
    <w:p>
      <w:pPr>
        <w:spacing w:line="228" w:lineRule="exact"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万元认购</w:t>
      </w:r>
      <w:r>
        <w:rPr>
          <w:rFonts w:ascii="Times New Roman" w:hAnsi="Times New Roman" w:cs="Times New Roman" w:eastAsia="Times New Roman" w:hint="default"/>
          <w:sz w:val="18"/>
          <w:szCs w:val="18"/>
        </w:rPr>
        <w:t>“</w:t>
      </w:r>
      <w:r>
        <w:rPr>
          <w:rFonts w:ascii="宋体" w:hAnsi="宋体" w:cs="宋体" w:eastAsia="宋体" w:hint="default"/>
          <w:sz w:val="18"/>
          <w:szCs w:val="18"/>
        </w:rPr>
        <w:t>爱建信托钱潮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号东方财富事务管理单一资金信托</w:t>
      </w:r>
      <w:r>
        <w:rPr>
          <w:rFonts w:ascii="Times New Roman" w:hAnsi="Times New Roman" w:cs="Times New Roman" w:eastAsia="Times New Roman" w:hint="default"/>
          <w:sz w:val="18"/>
          <w:szCs w:val="18"/>
        </w:rPr>
        <w:t>”</w:t>
      </w:r>
      <w:r>
        <w:rPr>
          <w:rFonts w:ascii="宋体" w:hAnsi="宋体" w:cs="宋体" w:eastAsia="宋体" w:hint="default"/>
          <w:sz w:val="18"/>
          <w:szCs w:val="18"/>
        </w:rPr>
        <w:t>，占比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，纳入合并范围。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3"/>
        <w:spacing w:line="240" w:lineRule="auto"/>
        <w:ind w:right="1114"/>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91"/>
        <w:gridCol w:w="4777"/>
      </w:tblGrid>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288.00</w:t>
            </w:r>
          </w:p>
        </w:tc>
      </w:tr>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姚辉、李新民</w:t>
            </w:r>
          </w:p>
        </w:tc>
      </w:tr>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姚辉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年、李新民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line="340" w:lineRule="auto" w:before="43"/>
        <w:ind w:left="153" w:right="116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报告期内，公司聘请了内部控制鉴证会计师事务所为立信会计师事务所（特殊普通合伙），内部控制鉴证费用</w:t>
      </w:r>
      <w:r>
        <w:rPr>
          <w:rFonts w:ascii="Times New Roman" w:hAnsi="Times New Roman" w:cs="Times New Roman" w:eastAsia="Times New Roman" w:hint="default"/>
          <w:sz w:val="18"/>
          <w:szCs w:val="18"/>
        </w:rPr>
        <w:t>20.00</w:t>
      </w:r>
      <w:r>
        <w:rPr>
          <w:rFonts w:ascii="宋体" w:hAnsi="宋体" w:cs="宋体" w:eastAsia="宋体" w:hint="default"/>
          <w:sz w:val="18"/>
          <w:szCs w:val="18"/>
        </w:rPr>
        <w:t>万元。</w:t>
      </w:r>
    </w:p>
    <w:p>
      <w:pPr>
        <w:spacing w:after="0" w:line="340" w:lineRule="auto"/>
        <w:jc w:val="left"/>
        <w:rPr>
          <w:rFonts w:ascii="宋体" w:hAnsi="宋体" w:cs="宋体" w:eastAsia="宋体" w:hint="default"/>
          <w:sz w:val="18"/>
          <w:szCs w:val="18"/>
        </w:rPr>
        <w:sectPr>
          <w:pgSz w:w="11910" w:h="16840"/>
          <w:pgMar w:header="852" w:footer="979" w:top="1320" w:bottom="1160" w:left="980" w:right="0"/>
        </w:sectPr>
      </w:pPr>
    </w:p>
    <w:p>
      <w:pPr>
        <w:pStyle w:val="Heading3"/>
        <w:spacing w:line="240" w:lineRule="auto" w:before="75"/>
        <w:ind w:right="1114"/>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14"/>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3"/>
        <w:spacing w:line="240" w:lineRule="auto"/>
        <w:ind w:right="1114"/>
        <w:jc w:val="left"/>
        <w:rPr>
          <w:b w:val="0"/>
          <w:bCs w:val="0"/>
        </w:rPr>
      </w:pPr>
      <w:r>
        <w:rPr/>
        <w:t>十一、重大诉讼、仲裁事项</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117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本年度公司无重大诉讼、仲裁事项。报告期内，公司未达到重大诉讼披露标准的其他诉讼的涉案总金额为 </w:t>
      </w:r>
      <w:r>
        <w:rPr>
          <w:rFonts w:ascii="Times New Roman" w:hAnsi="Times New Roman" w:cs="Times New Roman" w:eastAsia="Times New Roman" w:hint="default"/>
          <w:sz w:val="18"/>
          <w:szCs w:val="18"/>
        </w:rPr>
        <w:t>2,052.09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before="4"/>
        <w:ind w:left="153" w:right="1114" w:firstLine="0"/>
        <w:jc w:val="left"/>
        <w:rPr>
          <w:rFonts w:ascii="宋体" w:hAnsi="宋体" w:cs="宋体" w:eastAsia="宋体" w:hint="default"/>
          <w:sz w:val="18"/>
          <w:szCs w:val="18"/>
        </w:rPr>
      </w:pPr>
      <w:r>
        <w:rPr>
          <w:rFonts w:ascii="宋体" w:hAnsi="宋体" w:cs="宋体" w:eastAsia="宋体" w:hint="default"/>
          <w:sz w:val="18"/>
          <w:szCs w:val="18"/>
        </w:rPr>
        <w:t>预计总负债为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4"/>
          <w:szCs w:val="24"/>
        </w:rPr>
      </w:pPr>
    </w:p>
    <w:p>
      <w:pPr>
        <w:pStyle w:val="Heading3"/>
        <w:spacing w:line="240" w:lineRule="auto"/>
        <w:ind w:right="1114"/>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3"/>
        <w:spacing w:line="240" w:lineRule="auto"/>
        <w:ind w:right="1114"/>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14"/>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7" w:lineRule="auto" w:before="103"/>
        <w:ind w:left="153" w:right="1128" w:firstLine="48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日，公司第四届董事会第十六次会议及第四届监事会第十四次会议审议通过了《关于注销公司</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宋体" w:hAnsi="宋体" w:cs="宋体" w:eastAsia="宋体" w:hint="default"/>
          <w:sz w:val="18"/>
          <w:szCs w:val="18"/>
        </w:rPr>
        <w:t> 股票期权激励计划部分已授期权的议案》。首次授予股票期权激励对象顾昊雷等</w:t>
      </w:r>
      <w:r>
        <w:rPr>
          <w:rFonts w:ascii="Times New Roman" w:hAnsi="Times New Roman" w:cs="Times New Roman" w:eastAsia="Times New Roman" w:hint="default"/>
          <w:sz w:val="18"/>
          <w:szCs w:val="18"/>
        </w:rPr>
        <w:t>6</w:t>
      </w:r>
      <w:r>
        <w:rPr>
          <w:rFonts w:ascii="宋体" w:hAnsi="宋体" w:cs="宋体" w:eastAsia="宋体" w:hint="default"/>
          <w:sz w:val="18"/>
          <w:szCs w:val="18"/>
        </w:rPr>
        <w:t>人，及授予的预留股票期权激励对象王亮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等</w:t>
      </w:r>
      <w:r>
        <w:rPr>
          <w:rFonts w:ascii="Times New Roman" w:hAnsi="Times New Roman" w:cs="Times New Roman" w:eastAsia="Times New Roman" w:hint="default"/>
          <w:spacing w:val="-3"/>
          <w:sz w:val="18"/>
          <w:szCs w:val="18"/>
        </w:rPr>
        <w:t>46</w:t>
      </w:r>
      <w:r>
        <w:rPr>
          <w:rFonts w:ascii="宋体" w:hAnsi="宋体" w:cs="宋体" w:eastAsia="宋体" w:hint="default"/>
          <w:spacing w:val="-3"/>
          <w:sz w:val="18"/>
          <w:szCs w:val="18"/>
        </w:rPr>
        <w:t>人，因个人原因离职，所涉及未行权首次授予股票期权数量</w:t>
      </w:r>
      <w:r>
        <w:rPr>
          <w:rFonts w:ascii="Times New Roman" w:hAnsi="Times New Roman" w:cs="Times New Roman" w:eastAsia="Times New Roman" w:hint="default"/>
          <w:spacing w:val="-3"/>
          <w:sz w:val="18"/>
          <w:szCs w:val="18"/>
        </w:rPr>
        <w:t>51.408</w:t>
      </w:r>
      <w:r>
        <w:rPr>
          <w:rFonts w:ascii="宋体" w:hAnsi="宋体" w:cs="宋体" w:eastAsia="宋体" w:hint="default"/>
          <w:spacing w:val="-3"/>
          <w:sz w:val="18"/>
          <w:szCs w:val="18"/>
        </w:rPr>
        <w:t>万份及未行权预留股票期权数量</w:t>
      </w:r>
      <w:r>
        <w:rPr>
          <w:rFonts w:ascii="Times New Roman" w:hAnsi="Times New Roman" w:cs="Times New Roman" w:eastAsia="Times New Roman" w:hint="default"/>
          <w:spacing w:val="-3"/>
          <w:sz w:val="18"/>
          <w:szCs w:val="18"/>
        </w:rPr>
        <w:t>44.226</w:t>
      </w:r>
      <w:r>
        <w:rPr>
          <w:rFonts w:ascii="宋体" w:hAnsi="宋体" w:cs="宋体" w:eastAsia="宋体" w:hint="default"/>
          <w:spacing w:val="-3"/>
          <w:sz w:val="18"/>
          <w:szCs w:val="18"/>
        </w:rPr>
        <w:t>万份，根据《股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票期权激励计划》的相关规定，其已不具备激励对象资格，所授予的相关未行权股票期权将注销。注销后，首次授予股票期</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权的激励对象人数减少至</w:t>
      </w:r>
      <w:r>
        <w:rPr>
          <w:rFonts w:ascii="Times New Roman" w:hAnsi="Times New Roman" w:cs="Times New Roman" w:eastAsia="Times New Roman" w:hint="default"/>
          <w:sz w:val="18"/>
          <w:szCs w:val="18"/>
        </w:rPr>
        <w:t>150</w:t>
      </w:r>
      <w:r>
        <w:rPr>
          <w:rFonts w:ascii="宋体" w:hAnsi="宋体" w:cs="宋体" w:eastAsia="宋体" w:hint="default"/>
          <w:sz w:val="18"/>
          <w:szCs w:val="18"/>
        </w:rPr>
        <w:t>人，首次授予未行权股票期权数量减少至</w:t>
      </w:r>
      <w:r>
        <w:rPr>
          <w:rFonts w:ascii="Times New Roman" w:hAnsi="Times New Roman" w:cs="Times New Roman" w:eastAsia="Times New Roman" w:hint="default"/>
          <w:sz w:val="18"/>
          <w:szCs w:val="18"/>
        </w:rPr>
        <w:t>3,707.424</w:t>
      </w:r>
      <w:r>
        <w:rPr>
          <w:rFonts w:ascii="宋体" w:hAnsi="宋体" w:cs="宋体" w:eastAsia="宋体" w:hint="default"/>
          <w:sz w:val="18"/>
          <w:szCs w:val="18"/>
        </w:rPr>
        <w:t>万份，授予的预留股票期权激励对象人数减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少至</w:t>
      </w:r>
      <w:r>
        <w:rPr>
          <w:rFonts w:ascii="Times New Roman" w:hAnsi="Times New Roman" w:cs="Times New Roman" w:eastAsia="Times New Roman" w:hint="default"/>
          <w:spacing w:val="-4"/>
          <w:sz w:val="18"/>
          <w:szCs w:val="18"/>
        </w:rPr>
        <w:t>235</w:t>
      </w:r>
      <w:r>
        <w:rPr>
          <w:rFonts w:ascii="宋体" w:hAnsi="宋体" w:cs="宋体" w:eastAsia="宋体" w:hint="default"/>
          <w:spacing w:val="-4"/>
          <w:sz w:val="18"/>
          <w:szCs w:val="18"/>
        </w:rPr>
        <w:t>人，未行权预留股票期权数量减少至</w:t>
      </w:r>
      <w:r>
        <w:rPr>
          <w:rFonts w:ascii="Times New Roman" w:hAnsi="Times New Roman" w:cs="Times New Roman" w:eastAsia="Times New Roman" w:hint="default"/>
          <w:spacing w:val="-4"/>
          <w:sz w:val="18"/>
          <w:szCs w:val="18"/>
        </w:rPr>
        <w:t>537.678</w:t>
      </w:r>
      <w:r>
        <w:rPr>
          <w:rFonts w:ascii="宋体" w:hAnsi="宋体" w:cs="宋体" w:eastAsia="宋体" w:hint="default"/>
          <w:spacing w:val="-4"/>
          <w:sz w:val="18"/>
          <w:szCs w:val="18"/>
        </w:rPr>
        <w:t>万份。公司监事会认为此次注销符合《上市公司股权激励管理办法》（以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下简称“《管理办法》”）等法律、法规和规范性文件及《股票期权激励计划》的规定，同意按《股票期权激励计划》的相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关规定注销部分已授期权。公司独立董事对上述事项发表了独立意见。具体详见公司在中国证监会指定信息披露媒体披露的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相关公告。</w:t>
      </w:r>
    </w:p>
    <w:p>
      <w:pPr>
        <w:spacing w:line="307" w:lineRule="auto" w:before="26"/>
        <w:ind w:left="153" w:right="0" w:firstLine="4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日，公司第四届董事会第十六次会议及第四届监事会第十四次会议审议通过了《关于调整公司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 股票期权激励计划股票期权数量和行权价格的议案》。此次调整后，首次授予未行权股票期权数量为</w:t>
      </w:r>
      <w:r>
        <w:rPr>
          <w:rFonts w:ascii="Times New Roman" w:hAnsi="Times New Roman" w:cs="Times New Roman" w:eastAsia="Times New Roman" w:hint="default"/>
          <w:sz w:val="18"/>
          <w:szCs w:val="18"/>
        </w:rPr>
        <w:t>4,448.9088</w:t>
      </w:r>
      <w:r>
        <w:rPr>
          <w:rFonts w:ascii="宋体" w:hAnsi="宋体" w:cs="宋体" w:eastAsia="宋体" w:hint="default"/>
          <w:sz w:val="18"/>
          <w:szCs w:val="18"/>
        </w:rPr>
        <w:t>万份，首次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授予未行权股票期权行权价格为</w:t>
      </w:r>
      <w:r>
        <w:rPr>
          <w:rFonts w:ascii="Times New Roman" w:hAnsi="Times New Roman" w:cs="Times New Roman" w:eastAsia="Times New Roman" w:hint="default"/>
          <w:spacing w:val="-3"/>
          <w:sz w:val="18"/>
          <w:szCs w:val="18"/>
        </w:rPr>
        <w:t>3.49</w:t>
      </w:r>
      <w:r>
        <w:rPr>
          <w:rFonts w:ascii="宋体" w:hAnsi="宋体" w:cs="宋体" w:eastAsia="宋体" w:hint="default"/>
          <w:spacing w:val="-3"/>
          <w:sz w:val="18"/>
          <w:szCs w:val="18"/>
        </w:rPr>
        <w:t>元；授予的预留股票期权数量为</w:t>
      </w:r>
      <w:r>
        <w:rPr>
          <w:rFonts w:ascii="Times New Roman" w:hAnsi="Times New Roman" w:cs="Times New Roman" w:eastAsia="Times New Roman" w:hint="default"/>
          <w:spacing w:val="-3"/>
          <w:sz w:val="18"/>
          <w:szCs w:val="18"/>
        </w:rPr>
        <w:t>645.2136</w:t>
      </w:r>
      <w:r>
        <w:rPr>
          <w:rFonts w:ascii="宋体" w:hAnsi="宋体" w:cs="宋体" w:eastAsia="宋体" w:hint="default"/>
          <w:spacing w:val="-3"/>
          <w:sz w:val="18"/>
          <w:szCs w:val="18"/>
        </w:rPr>
        <w:t>万份，授予的预留股票期权行权价格为</w:t>
      </w:r>
      <w:r>
        <w:rPr>
          <w:rFonts w:ascii="Times New Roman" w:hAnsi="Times New Roman" w:cs="Times New Roman" w:eastAsia="Times New Roman" w:hint="default"/>
          <w:spacing w:val="-3"/>
          <w:sz w:val="18"/>
          <w:szCs w:val="18"/>
        </w:rPr>
        <w:t>25.07</w:t>
      </w:r>
      <w:r>
        <w:rPr>
          <w:rFonts w:ascii="宋体" w:hAnsi="宋体" w:cs="宋体" w:eastAsia="宋体" w:hint="default"/>
          <w:spacing w:val="-3"/>
          <w:sz w:val="18"/>
          <w:szCs w:val="18"/>
        </w:rPr>
        <w:t>元。</w:t>
      </w:r>
      <w:r>
        <w:rPr>
          <w:rFonts w:ascii="宋体" w:hAnsi="宋体" w:cs="宋体" w:eastAsia="宋体" w:hint="default"/>
          <w:spacing w:val="-36"/>
          <w:sz w:val="18"/>
          <w:szCs w:val="18"/>
        </w:rPr>
        <w:t> </w:t>
      </w:r>
      <w:r>
        <w:rPr>
          <w:rFonts w:ascii="宋体" w:hAnsi="宋体" w:cs="宋体" w:eastAsia="宋体" w:hint="default"/>
          <w:spacing w:val="-2"/>
          <w:sz w:val="18"/>
          <w:szCs w:val="18"/>
        </w:rPr>
        <w:t>公司监事会认为此次调整符合《管理办法》等法律、法规和规范性文件及《股票期权激励计划》的规定，同意按《股票期权</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激励计划》的相关规定进行调整。公司独立董事对上述事项发表了独立意见。具体详见公司在中国证监会指定信息披露媒体</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披露的相关公告。</w:t>
      </w:r>
    </w:p>
    <w:p>
      <w:pPr>
        <w:spacing w:line="300" w:lineRule="auto" w:before="26"/>
        <w:ind w:left="153" w:right="1114" w:firstLine="48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日，公司第四届董事会第十六次会议及第四届监事会第十四次会议审议通过了《关于公司</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年股票</w:t>
      </w:r>
      <w:r>
        <w:rPr>
          <w:rFonts w:ascii="宋体" w:hAnsi="宋体" w:cs="宋体" w:eastAsia="宋体" w:hint="default"/>
          <w:sz w:val="18"/>
          <w:szCs w:val="18"/>
        </w:rPr>
        <w:t> </w:t>
      </w:r>
      <w:r>
        <w:rPr>
          <w:rFonts w:ascii="宋体" w:hAnsi="宋体" w:cs="宋体" w:eastAsia="宋体" w:hint="default"/>
          <w:spacing w:val="-2"/>
          <w:sz w:val="18"/>
          <w:szCs w:val="18"/>
        </w:rPr>
        <w:t>期权激励计划首次授予股票期权第三个行权期及授予的预留股票期权第二个行权期可行权的议案》。公司根据《股票期权激</w:t>
      </w:r>
    </w:p>
    <w:p>
      <w:pPr>
        <w:spacing w:after="0" w:line="300" w:lineRule="auto"/>
        <w:jc w:val="left"/>
        <w:rPr>
          <w:rFonts w:ascii="宋体" w:hAnsi="宋体" w:cs="宋体" w:eastAsia="宋体" w:hint="default"/>
          <w:sz w:val="18"/>
          <w:szCs w:val="18"/>
        </w:rPr>
        <w:sectPr>
          <w:pgSz w:w="11910" w:h="16840"/>
          <w:pgMar w:header="852" w:footer="979" w:top="1320" w:bottom="1160" w:left="980" w:right="0"/>
        </w:sectPr>
      </w:pPr>
    </w:p>
    <w:p>
      <w:pPr>
        <w:spacing w:line="302" w:lineRule="auto" w:before="121"/>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励计划》及《东方财富信息股份有限公司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年股票期权激励计划实施考核管理办法》的相关规定，对</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年股票期权激励</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计划激励对象进行</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年度考核，其中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名首次授予股票期权激励对象考核结果为不合格，其获授第三个行权期未行权股票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期权</w:t>
      </w:r>
      <w:r>
        <w:rPr>
          <w:rFonts w:ascii="Times New Roman" w:hAnsi="Times New Roman" w:cs="Times New Roman" w:eastAsia="Times New Roman" w:hint="default"/>
          <w:sz w:val="18"/>
          <w:szCs w:val="18"/>
        </w:rPr>
        <w:t>63.504</w:t>
      </w:r>
      <w:r>
        <w:rPr>
          <w:rFonts w:ascii="宋体" w:hAnsi="宋体" w:cs="宋体" w:eastAsia="宋体" w:hint="default"/>
          <w:sz w:val="18"/>
          <w:szCs w:val="18"/>
        </w:rPr>
        <w:t>万份将予以注销。其余激励对象考核结果为合格。公司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年股票期权激励计划首次授予股票期权第三个行权期 </w:t>
      </w:r>
      <w:r>
        <w:rPr>
          <w:rFonts w:ascii="宋体" w:hAnsi="宋体" w:cs="宋体" w:eastAsia="宋体" w:hint="default"/>
          <w:spacing w:val="-2"/>
          <w:sz w:val="18"/>
          <w:szCs w:val="18"/>
        </w:rPr>
        <w:t>及授予的预留股票期权第二个行权期行权条件已成就，董事会同意首次授予股票期权</w:t>
      </w:r>
      <w:r>
        <w:rPr>
          <w:rFonts w:ascii="Times New Roman" w:hAnsi="Times New Roman" w:cs="Times New Roman" w:eastAsia="Times New Roman" w:hint="default"/>
          <w:spacing w:val="-2"/>
          <w:sz w:val="18"/>
          <w:szCs w:val="18"/>
        </w:rPr>
        <w:t>149</w:t>
      </w:r>
      <w:r>
        <w:rPr>
          <w:rFonts w:ascii="宋体" w:hAnsi="宋体" w:cs="宋体" w:eastAsia="宋体" w:hint="default"/>
          <w:spacing w:val="-2"/>
          <w:sz w:val="18"/>
          <w:szCs w:val="18"/>
        </w:rPr>
        <w:t>名激励对象在第三个行权期内行权，</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可行权股票期权数量为</w:t>
      </w:r>
      <w:r>
        <w:rPr>
          <w:rFonts w:ascii="Times New Roman" w:hAnsi="Times New Roman" w:cs="Times New Roman" w:eastAsia="Times New Roman" w:hint="default"/>
          <w:spacing w:val="-3"/>
          <w:sz w:val="18"/>
          <w:szCs w:val="18"/>
        </w:rPr>
        <w:t>2,160.9504</w:t>
      </w:r>
      <w:r>
        <w:rPr>
          <w:rFonts w:ascii="宋体" w:hAnsi="宋体" w:cs="宋体" w:eastAsia="宋体" w:hint="default"/>
          <w:spacing w:val="-3"/>
          <w:sz w:val="18"/>
          <w:szCs w:val="18"/>
        </w:rPr>
        <w:t>万份，行权价格为</w:t>
      </w:r>
      <w:r>
        <w:rPr>
          <w:rFonts w:ascii="Times New Roman" w:hAnsi="Times New Roman" w:cs="Times New Roman" w:eastAsia="Times New Roman" w:hint="default"/>
          <w:spacing w:val="-3"/>
          <w:sz w:val="18"/>
          <w:szCs w:val="18"/>
        </w:rPr>
        <w:t>3.49</w:t>
      </w:r>
      <w:r>
        <w:rPr>
          <w:rFonts w:ascii="宋体" w:hAnsi="宋体" w:cs="宋体" w:eastAsia="宋体" w:hint="default"/>
          <w:spacing w:val="-3"/>
          <w:sz w:val="18"/>
          <w:szCs w:val="18"/>
        </w:rPr>
        <w:t>元；同意授予的预留股票期权</w:t>
      </w:r>
      <w:r>
        <w:rPr>
          <w:rFonts w:ascii="Times New Roman" w:hAnsi="Times New Roman" w:cs="Times New Roman" w:eastAsia="Times New Roman" w:hint="default"/>
          <w:spacing w:val="-3"/>
          <w:sz w:val="18"/>
          <w:szCs w:val="18"/>
        </w:rPr>
        <w:t>235</w:t>
      </w:r>
      <w:r>
        <w:rPr>
          <w:rFonts w:ascii="宋体" w:hAnsi="宋体" w:cs="宋体" w:eastAsia="宋体" w:hint="default"/>
          <w:spacing w:val="-3"/>
          <w:sz w:val="18"/>
          <w:szCs w:val="18"/>
        </w:rPr>
        <w:t>名激励对象在第二个行权期内行权，</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可行权股票期权数量为</w:t>
      </w:r>
      <w:r>
        <w:rPr>
          <w:rFonts w:ascii="Times New Roman" w:hAnsi="Times New Roman" w:cs="Times New Roman" w:eastAsia="Times New Roman" w:hint="default"/>
          <w:sz w:val="18"/>
          <w:szCs w:val="18"/>
        </w:rPr>
        <w:t>215.0712</w:t>
      </w:r>
      <w:r>
        <w:rPr>
          <w:rFonts w:ascii="宋体" w:hAnsi="宋体" w:cs="宋体" w:eastAsia="宋体" w:hint="default"/>
          <w:sz w:val="18"/>
          <w:szCs w:val="18"/>
        </w:rPr>
        <w:t>万份，行权价格为</w:t>
      </w:r>
      <w:r>
        <w:rPr>
          <w:rFonts w:ascii="Times New Roman" w:hAnsi="Times New Roman" w:cs="Times New Roman" w:eastAsia="Times New Roman" w:hint="default"/>
          <w:sz w:val="18"/>
          <w:szCs w:val="18"/>
        </w:rPr>
        <w:t>25.07</w:t>
      </w:r>
      <w:r>
        <w:rPr>
          <w:rFonts w:ascii="宋体" w:hAnsi="宋体" w:cs="宋体" w:eastAsia="宋体" w:hint="default"/>
          <w:sz w:val="18"/>
          <w:szCs w:val="18"/>
        </w:rPr>
        <w:t>元。公司监事会认为首次授予股票期权</w:t>
      </w:r>
      <w:r>
        <w:rPr>
          <w:rFonts w:ascii="Times New Roman" w:hAnsi="Times New Roman" w:cs="Times New Roman" w:eastAsia="Times New Roman" w:hint="default"/>
          <w:sz w:val="18"/>
          <w:szCs w:val="18"/>
        </w:rPr>
        <w:t>149</w:t>
      </w:r>
      <w:r>
        <w:rPr>
          <w:rFonts w:ascii="宋体" w:hAnsi="宋体" w:cs="宋体" w:eastAsia="宋体" w:hint="default"/>
          <w:sz w:val="18"/>
          <w:szCs w:val="18"/>
        </w:rPr>
        <w:t>名激励对象和授予的预留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股票期权</w:t>
      </w:r>
      <w:r>
        <w:rPr>
          <w:rFonts w:ascii="Times New Roman" w:hAnsi="Times New Roman" w:cs="Times New Roman" w:eastAsia="Times New Roman" w:hint="default"/>
          <w:sz w:val="18"/>
          <w:szCs w:val="18"/>
        </w:rPr>
        <w:t>235</w:t>
      </w:r>
      <w:r>
        <w:rPr>
          <w:rFonts w:ascii="宋体" w:hAnsi="宋体" w:cs="宋体" w:eastAsia="宋体" w:hint="default"/>
          <w:sz w:val="18"/>
          <w:szCs w:val="18"/>
        </w:rPr>
        <w:t>名激励对象行权资格合法、有效，满足公司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年股票期权激励计划首次授予股票期权第三个行权期及授予的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预留股票期权第二个行权期的行权条件，同意上述激励对象在规定的行权期内行权。公司独立董事对上述事项发表了独立意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见。经公司董事会申请、深交所确认及中国证券登记结算有限责任公司深圳分公司核准登记，本次行权的股份于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日进行上市流通。具体详见公司在中国证监会指定信息披露媒体披露的相关公告。</w:t>
      </w:r>
    </w:p>
    <w:p>
      <w:pPr>
        <w:spacing w:line="304" w:lineRule="auto" w:before="11"/>
        <w:ind w:left="153" w:right="1128" w:firstLine="48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日，公司第四届董事会第十八次会议及第四届监事会第十六次会议审议通过了《关于注销公司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年股</w:t>
      </w:r>
      <w:r>
        <w:rPr>
          <w:rFonts w:ascii="宋体" w:hAnsi="宋体" w:cs="宋体" w:eastAsia="宋体" w:hint="default"/>
          <w:sz w:val="18"/>
          <w:szCs w:val="18"/>
        </w:rPr>
        <w:t> </w:t>
      </w:r>
      <w:r>
        <w:rPr>
          <w:rFonts w:ascii="宋体" w:hAnsi="宋体" w:cs="宋体" w:eastAsia="宋体" w:hint="default"/>
          <w:spacing w:val="-2"/>
          <w:sz w:val="18"/>
          <w:szCs w:val="18"/>
        </w:rPr>
        <w:t>票期权激励计划授予的预留股票期权第二个行权期未行权股票期权的议案》，公司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年股票期权激励计划授予的预留股票</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期权第二个行权期于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日结束，该行权期可行权股票期权数量为</w:t>
      </w:r>
      <w:r>
        <w:rPr>
          <w:rFonts w:ascii="Times New Roman" w:hAnsi="Times New Roman" w:cs="Times New Roman" w:eastAsia="Times New Roman" w:hint="default"/>
          <w:sz w:val="18"/>
          <w:szCs w:val="18"/>
        </w:rPr>
        <w:t>215.0712</w:t>
      </w:r>
      <w:r>
        <w:rPr>
          <w:rFonts w:ascii="宋体" w:hAnsi="宋体" w:cs="宋体" w:eastAsia="宋体" w:hint="default"/>
          <w:sz w:val="18"/>
          <w:szCs w:val="18"/>
        </w:rPr>
        <w:t>万份，激励对象的实际行权股票期权数</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量为</w:t>
      </w:r>
      <w:r>
        <w:rPr>
          <w:rFonts w:ascii="Times New Roman" w:hAnsi="Times New Roman" w:cs="Times New Roman" w:eastAsia="Times New Roman" w:hint="default"/>
          <w:spacing w:val="-3"/>
          <w:sz w:val="18"/>
          <w:szCs w:val="18"/>
        </w:rPr>
        <w:t>0</w:t>
      </w:r>
      <w:r>
        <w:rPr>
          <w:rFonts w:ascii="宋体" w:hAnsi="宋体" w:cs="宋体" w:eastAsia="宋体" w:hint="default"/>
          <w:spacing w:val="-3"/>
          <w:sz w:val="18"/>
          <w:szCs w:val="18"/>
        </w:rPr>
        <w:t>份，未行权股票期权数量为</w:t>
      </w:r>
      <w:r>
        <w:rPr>
          <w:rFonts w:ascii="Times New Roman" w:hAnsi="Times New Roman" w:cs="Times New Roman" w:eastAsia="Times New Roman" w:hint="default"/>
          <w:spacing w:val="-3"/>
          <w:sz w:val="18"/>
          <w:szCs w:val="18"/>
        </w:rPr>
        <w:t>215.0712</w:t>
      </w:r>
      <w:r>
        <w:rPr>
          <w:rFonts w:ascii="宋体" w:hAnsi="宋体" w:cs="宋体" w:eastAsia="宋体" w:hint="default"/>
          <w:spacing w:val="-3"/>
          <w:sz w:val="18"/>
          <w:szCs w:val="18"/>
        </w:rPr>
        <w:t>万份。公司将按照《管理办法》、《股票期权激励计划》等相关规定，注销上述未</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行权的股票期权。公司独立董事对上述事项发表了独立意见。具体详见公司在中国证监会指定信息披露媒体披露的相关公</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告。</w:t>
      </w:r>
    </w:p>
    <w:p>
      <w:pPr>
        <w:spacing w:line="240" w:lineRule="auto" w:before="7"/>
        <w:rPr>
          <w:rFonts w:ascii="宋体" w:hAnsi="宋体" w:cs="宋体" w:eastAsia="宋体" w:hint="default"/>
          <w:sz w:val="21"/>
          <w:szCs w:val="21"/>
        </w:rPr>
      </w:pPr>
    </w:p>
    <w:p>
      <w:pPr>
        <w:pStyle w:val="Heading3"/>
        <w:spacing w:line="240" w:lineRule="auto"/>
        <w:ind w:right="1114"/>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公司报告期未发生与日常经营相关的重大关联交易。</w:t>
      </w:r>
    </w:p>
    <w:p>
      <w:pPr>
        <w:spacing w:line="240" w:lineRule="auto" w:before="3"/>
        <w:rPr>
          <w:rFonts w:ascii="宋体" w:hAnsi="宋体" w:cs="宋体" w:eastAsia="宋体" w:hint="default"/>
          <w:sz w:val="21"/>
          <w:szCs w:val="21"/>
        </w:rPr>
      </w:pPr>
    </w:p>
    <w:p>
      <w:pPr>
        <w:pStyle w:val="Heading5"/>
        <w:spacing w:line="240" w:lineRule="auto" w:before="0"/>
        <w:ind w:right="1114"/>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6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公司报告期未发生资产或股权收购、出售的重大关联交易。</w:t>
      </w:r>
    </w:p>
    <w:p>
      <w:pPr>
        <w:spacing w:line="240" w:lineRule="auto" w:before="5"/>
        <w:rPr>
          <w:rFonts w:ascii="宋体" w:hAnsi="宋体" w:cs="宋体" w:eastAsia="宋体" w:hint="default"/>
          <w:sz w:val="21"/>
          <w:szCs w:val="21"/>
        </w:rPr>
      </w:pPr>
    </w:p>
    <w:p>
      <w:pPr>
        <w:pStyle w:val="Heading5"/>
        <w:spacing w:line="240" w:lineRule="auto" w:before="0"/>
        <w:ind w:right="1114"/>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公司报告期未发生共同对外投资的重大关联交易。</w:t>
      </w:r>
    </w:p>
    <w:p>
      <w:pPr>
        <w:spacing w:line="240" w:lineRule="auto" w:before="6"/>
        <w:rPr>
          <w:rFonts w:ascii="宋体" w:hAnsi="宋体" w:cs="宋体" w:eastAsia="宋体" w:hint="default"/>
          <w:sz w:val="21"/>
          <w:szCs w:val="21"/>
        </w:rPr>
      </w:pPr>
    </w:p>
    <w:p>
      <w:pPr>
        <w:pStyle w:val="Heading5"/>
        <w:spacing w:line="240" w:lineRule="auto" w:before="0"/>
        <w:ind w:right="1114"/>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38"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公司报告期不存在重大关联债权债务往来。</w:t>
      </w:r>
    </w:p>
    <w:p>
      <w:pPr>
        <w:spacing w:line="240" w:lineRule="auto" w:before="7"/>
        <w:rPr>
          <w:rFonts w:ascii="宋体" w:hAnsi="宋体" w:cs="宋体" w:eastAsia="宋体" w:hint="default"/>
          <w:sz w:val="21"/>
          <w:szCs w:val="21"/>
        </w:rPr>
      </w:pPr>
    </w:p>
    <w:p>
      <w:pPr>
        <w:pStyle w:val="Heading5"/>
        <w:spacing w:line="240" w:lineRule="auto" w:before="0"/>
        <w:ind w:right="1114"/>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after="0" w:line="340" w:lineRule="auto"/>
        <w:jc w:val="left"/>
        <w:rPr>
          <w:rFonts w:ascii="宋体" w:hAnsi="宋体" w:cs="宋体" w:eastAsia="宋体" w:hint="default"/>
          <w:sz w:val="18"/>
          <w:szCs w:val="18"/>
        </w:rPr>
        <w:sectPr>
          <w:pgSz w:w="11910" w:h="16840"/>
          <w:pgMar w:header="852" w:footer="979" w:top="1320" w:bottom="1160" w:left="980" w:right="0"/>
        </w:sectPr>
      </w:pPr>
    </w:p>
    <w:p>
      <w:pPr>
        <w:pStyle w:val="Heading3"/>
        <w:spacing w:line="240" w:lineRule="auto" w:before="75"/>
        <w:ind w:right="1114"/>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3"/>
        <w:rPr>
          <w:rFonts w:ascii="宋体" w:hAnsi="宋体" w:cs="宋体" w:eastAsia="宋体" w:hint="default"/>
          <w:sz w:val="21"/>
          <w:szCs w:val="21"/>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2"/>
        <w:rPr>
          <w:rFonts w:ascii="宋体" w:hAnsi="宋体" w:cs="宋体" w:eastAsia="宋体" w:hint="default"/>
          <w:sz w:val="26"/>
          <w:szCs w:val="26"/>
        </w:rPr>
      </w:pPr>
    </w:p>
    <w:p>
      <w:pPr>
        <w:pStyle w:val="Heading5"/>
        <w:spacing w:line="240" w:lineRule="auto" w:before="0"/>
        <w:ind w:right="1114"/>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77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818"/>
        <w:gridCol w:w="1694"/>
        <w:gridCol w:w="1047"/>
        <w:gridCol w:w="1587"/>
        <w:gridCol w:w="847"/>
        <w:gridCol w:w="1188"/>
        <w:gridCol w:w="1388"/>
        <w:gridCol w:w="682"/>
        <w:gridCol w:w="780"/>
      </w:tblGrid>
      <w:tr>
        <w:trPr>
          <w:trHeight w:val="401" w:hRule="exact"/>
        </w:trPr>
        <w:tc>
          <w:tcPr>
            <w:tcW w:w="1003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49" w:hRule="exact"/>
        </w:trPr>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25" w:right="41"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304" w:right="297"/>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39" w:right="55"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415"/>
              <w:jc w:val="right"/>
              <w:rPr>
                <w:rFonts w:ascii="宋体" w:hAnsi="宋体" w:cs="宋体" w:eastAsia="宋体" w:hint="default"/>
                <w:sz w:val="18"/>
                <w:szCs w:val="18"/>
              </w:rPr>
            </w:pPr>
            <w:r>
              <w:rPr>
                <w:rFonts w:ascii="宋体" w:hAnsi="宋体" w:cs="宋体" w:eastAsia="宋体" w:hint="default"/>
                <w:sz w:val="18"/>
                <w:szCs w:val="18"/>
              </w:rPr>
              <w:t>担保期</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64" w:right="65"/>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4"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20" w:hRule="exact"/>
        </w:trPr>
        <w:tc>
          <w:tcPr>
            <w:tcW w:w="25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37"/>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634" w:type="dxa"/>
            <w:gridSpan w:val="2"/>
            <w:tcBorders>
              <w:top w:val="single" w:sz="4" w:space="0" w:color="000000"/>
              <w:left w:val="single" w:sz="10" w:space="0" w:color="D2D2D2"/>
              <w:bottom w:val="single" w:sz="4" w:space="0" w:color="000000"/>
              <w:right w:val="single" w:sz="4" w:space="0" w:color="000000"/>
            </w:tcBorders>
          </w:tcPr>
          <w:p>
            <w:pPr/>
          </w:p>
        </w:tc>
        <w:tc>
          <w:tcPr>
            <w:tcW w:w="20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199"/>
              <w:jc w:val="left"/>
              <w:rPr>
                <w:rFonts w:ascii="宋体" w:hAnsi="宋体" w:cs="宋体" w:eastAsia="宋体" w:hint="default"/>
                <w:sz w:val="18"/>
                <w:szCs w:val="18"/>
              </w:rPr>
            </w:pPr>
            <w:r>
              <w:rPr>
                <w:rFonts w:ascii="宋体" w:hAnsi="宋体" w:cs="宋体" w:eastAsia="宋体" w:hint="default"/>
                <w:sz w:val="18"/>
                <w:szCs w:val="18"/>
              </w:rPr>
              <w:t>报告期内对外担保实际 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850" w:type="dxa"/>
            <w:gridSpan w:val="3"/>
            <w:tcBorders>
              <w:top w:val="single" w:sz="4" w:space="0" w:color="000000"/>
              <w:left w:val="single" w:sz="4" w:space="0" w:color="000000"/>
              <w:bottom w:val="single" w:sz="4" w:space="0" w:color="000000"/>
              <w:right w:val="single" w:sz="4" w:space="0" w:color="000000"/>
            </w:tcBorders>
          </w:tcPr>
          <w:p>
            <w:pPr/>
          </w:p>
        </w:tc>
      </w:tr>
      <w:tr>
        <w:trPr>
          <w:trHeight w:val="718" w:hRule="exact"/>
        </w:trPr>
        <w:tc>
          <w:tcPr>
            <w:tcW w:w="25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634" w:type="dxa"/>
            <w:gridSpan w:val="2"/>
            <w:tcBorders>
              <w:top w:val="single" w:sz="4" w:space="0" w:color="000000"/>
              <w:left w:val="single" w:sz="10" w:space="0" w:color="D2D2D2"/>
              <w:bottom w:val="single" w:sz="4" w:space="0" w:color="000000"/>
              <w:right w:val="single" w:sz="4" w:space="0" w:color="000000"/>
            </w:tcBorders>
          </w:tcPr>
          <w:p>
            <w:pPr/>
          </w:p>
        </w:tc>
        <w:tc>
          <w:tcPr>
            <w:tcW w:w="20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99"/>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850" w:type="dxa"/>
            <w:gridSpan w:val="3"/>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003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54" w:hRule="exact"/>
        </w:trPr>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25" w:right="41"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304" w:right="297"/>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48" w:right="146"/>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15"/>
              <w:jc w:val="right"/>
              <w:rPr>
                <w:rFonts w:ascii="宋体" w:hAnsi="宋体" w:cs="宋体" w:eastAsia="宋体" w:hint="default"/>
                <w:sz w:val="18"/>
                <w:szCs w:val="18"/>
              </w:rPr>
            </w:pPr>
            <w:r>
              <w:rPr>
                <w:rFonts w:ascii="宋体" w:hAnsi="宋体" w:cs="宋体" w:eastAsia="宋体" w:hint="default"/>
                <w:sz w:val="18"/>
                <w:szCs w:val="18"/>
              </w:rPr>
              <w:t>担保期</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4" w:right="65"/>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4"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7"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天天基金</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200,000.00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自本年度首份授 信协议签署之日 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 东大会召开之日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天天基金</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2" w:right="0"/>
              <w:jc w:val="left"/>
              <w:rPr>
                <w:rFonts w:ascii="Times New Roman" w:hAnsi="Times New Roman" w:cs="Times New Roman" w:eastAsia="Times New Roman" w:hint="default"/>
                <w:sz w:val="18"/>
                <w:szCs w:val="18"/>
              </w:rPr>
            </w:pPr>
            <w:r>
              <w:rPr>
                <w:rFonts w:ascii="Times New Roman"/>
                <w:sz w:val="18"/>
              </w:rPr>
              <w:t>100,000.00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8"/>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818"/>
        <w:gridCol w:w="1692"/>
        <w:gridCol w:w="1032"/>
        <w:gridCol w:w="1604"/>
        <w:gridCol w:w="828"/>
        <w:gridCol w:w="1207"/>
        <w:gridCol w:w="1388"/>
        <w:gridCol w:w="672"/>
        <w:gridCol w:w="790"/>
      </w:tblGrid>
      <w:tr>
        <w:trPr>
          <w:trHeight w:val="713" w:hRule="exact"/>
        </w:trPr>
        <w:tc>
          <w:tcPr>
            <w:tcW w:w="25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63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20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68"/>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0" w:right="0"/>
              <w:jc w:val="left"/>
              <w:rPr>
                <w:rFonts w:ascii="Times New Roman" w:hAnsi="Times New Roman" w:cs="Times New Roman" w:eastAsia="Times New Roman" w:hint="default"/>
                <w:sz w:val="18"/>
                <w:szCs w:val="18"/>
              </w:rPr>
            </w:pPr>
            <w:r>
              <w:rPr>
                <w:rFonts w:ascii="Times New Roman"/>
                <w:sz w:val="18"/>
              </w:rPr>
              <w:t>6,129,848.76</w:t>
            </w:r>
          </w:p>
        </w:tc>
      </w:tr>
      <w:tr>
        <w:trPr>
          <w:trHeight w:val="720" w:hRule="exact"/>
        </w:trPr>
        <w:tc>
          <w:tcPr>
            <w:tcW w:w="25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3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63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20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99"/>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7" w:hRule="exact"/>
        </w:trPr>
        <w:tc>
          <w:tcPr>
            <w:tcW w:w="1003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750" w:hRule="exact"/>
        </w:trPr>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225" w:right="41"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0"/>
              <w:ind w:left="304" w:right="296"/>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230" w:right="47"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60" w:right="60"/>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8" w:hRule="exact"/>
        </w:trPr>
        <w:tc>
          <w:tcPr>
            <w:tcW w:w="25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3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636" w:type="dxa"/>
            <w:gridSpan w:val="2"/>
            <w:tcBorders>
              <w:top w:val="single" w:sz="4" w:space="0" w:color="000000"/>
              <w:left w:val="single" w:sz="10" w:space="0" w:color="D2D2D2"/>
              <w:bottom w:val="single" w:sz="4" w:space="0" w:color="000000"/>
              <w:right w:val="single" w:sz="4" w:space="0" w:color="000000"/>
            </w:tcBorders>
          </w:tcPr>
          <w:p>
            <w:pPr/>
          </w:p>
        </w:tc>
        <w:tc>
          <w:tcPr>
            <w:tcW w:w="20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3" w:right="168"/>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850" w:type="dxa"/>
            <w:gridSpan w:val="3"/>
            <w:tcBorders>
              <w:top w:val="single" w:sz="4" w:space="0" w:color="000000"/>
              <w:left w:val="single" w:sz="4" w:space="0" w:color="000000"/>
              <w:bottom w:val="single" w:sz="4" w:space="0" w:color="000000"/>
              <w:right w:val="single" w:sz="4" w:space="0" w:color="000000"/>
            </w:tcBorders>
          </w:tcPr>
          <w:p>
            <w:pPr/>
          </w:p>
        </w:tc>
      </w:tr>
      <w:tr>
        <w:trPr>
          <w:trHeight w:val="721" w:hRule="exact"/>
        </w:trPr>
        <w:tc>
          <w:tcPr>
            <w:tcW w:w="25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3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636" w:type="dxa"/>
            <w:gridSpan w:val="2"/>
            <w:tcBorders>
              <w:top w:val="single" w:sz="4" w:space="0" w:color="000000"/>
              <w:left w:val="single" w:sz="10" w:space="0" w:color="D2D2D2"/>
              <w:bottom w:val="single" w:sz="4" w:space="0" w:color="000000"/>
              <w:right w:val="single" w:sz="4" w:space="0" w:color="000000"/>
            </w:tcBorders>
          </w:tcPr>
          <w:p>
            <w:pPr/>
          </w:p>
        </w:tc>
        <w:tc>
          <w:tcPr>
            <w:tcW w:w="20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99"/>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850" w:type="dxa"/>
            <w:gridSpan w:val="3"/>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1003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0" w:hRule="exact"/>
        </w:trPr>
        <w:tc>
          <w:tcPr>
            <w:tcW w:w="25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63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20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199"/>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70" w:right="0"/>
              <w:jc w:val="left"/>
              <w:rPr>
                <w:rFonts w:ascii="Times New Roman" w:hAnsi="Times New Roman" w:cs="Times New Roman" w:eastAsia="Times New Roman" w:hint="default"/>
                <w:sz w:val="18"/>
                <w:szCs w:val="18"/>
              </w:rPr>
            </w:pPr>
            <w:r>
              <w:rPr>
                <w:rFonts w:ascii="Times New Roman"/>
                <w:sz w:val="18"/>
              </w:rPr>
              <w:t>6,129,848.76</w:t>
            </w:r>
          </w:p>
        </w:tc>
      </w:tr>
      <w:tr>
        <w:trPr>
          <w:trHeight w:val="713" w:hRule="exact"/>
        </w:trPr>
        <w:tc>
          <w:tcPr>
            <w:tcW w:w="25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3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63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20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199"/>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8" w:hRule="exact"/>
        </w:trPr>
        <w:tc>
          <w:tcPr>
            <w:tcW w:w="51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8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003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51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51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 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85"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1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8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1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8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51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对未到期担保，报告期内已发生担保责任或可能承担连带清偿责 任的情况说明（如有）</w:t>
            </w:r>
          </w:p>
        </w:tc>
        <w:tc>
          <w:tcPr>
            <w:tcW w:w="4885"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51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3"/>
        <w:rPr>
          <w:rFonts w:ascii="宋体" w:hAnsi="宋体" w:cs="宋体" w:eastAsia="宋体" w:hint="default"/>
          <w:sz w:val="21"/>
          <w:szCs w:val="21"/>
        </w:rPr>
      </w:pPr>
    </w:p>
    <w:p>
      <w:pPr>
        <w:pStyle w:val="Heading5"/>
        <w:spacing w:line="240" w:lineRule="auto" w:before="0"/>
        <w:ind w:right="1114"/>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52" w:footer="979" w:top="1320" w:bottom="1160" w:left="980" w:right="0"/>
        </w:sectPr>
      </w:pPr>
    </w:p>
    <w:p>
      <w:pPr>
        <w:spacing w:line="338" w:lineRule="auto" w:before="44"/>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954" w:space="6786"/>
            <w:col w:w="2190"/>
          </w:cols>
        </w:sectPr>
      </w:pPr>
    </w:p>
    <w:p>
      <w:pPr>
        <w:spacing w:line="240" w:lineRule="auto" w:before="8"/>
        <w:rPr>
          <w:rFonts w:ascii="宋体" w:hAnsi="宋体" w:cs="宋体" w:eastAsia="宋体" w:hint="default"/>
          <w:sz w:val="8"/>
          <w:szCs w:val="8"/>
        </w:rPr>
      </w:pPr>
    </w:p>
    <w:tbl>
      <w:tblPr>
        <w:tblW w:w="0" w:type="auto"/>
        <w:jc w:val="left"/>
        <w:tblInd w:w="602" w:type="dxa"/>
        <w:tblLayout w:type="fixed"/>
        <w:tblCellMar>
          <w:top w:w="0" w:type="dxa"/>
          <w:left w:w="0" w:type="dxa"/>
          <w:bottom w:w="0" w:type="dxa"/>
          <w:right w:w="0" w:type="dxa"/>
        </w:tblCellMar>
        <w:tblLook w:val="01E0"/>
      </w:tblPr>
      <w:tblGrid>
        <w:gridCol w:w="1867"/>
        <w:gridCol w:w="1964"/>
        <w:gridCol w:w="1980"/>
        <w:gridCol w:w="1909"/>
        <w:gridCol w:w="1848"/>
      </w:tblGrid>
      <w:tr>
        <w:trPr>
          <w:trHeight w:val="401" w:hRule="exact"/>
        </w:trPr>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111,640.00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81,785.00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47,300.30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47,300.20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182,840.30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129,085.20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20" w:bottom="1160" w:left="560" w:right="0"/>
        </w:sectPr>
      </w:pPr>
    </w:p>
    <w:p>
      <w:pPr>
        <w:spacing w:before="49"/>
        <w:ind w:left="573" w:right="-2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before="115"/>
        <w:ind w:left="57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580" w:bottom="700" w:left="560" w:right="0"/>
          <w:cols w:num="2" w:equalWidth="0">
            <w:col w:w="6694" w:space="2406"/>
            <w:col w:w="2250"/>
          </w:cols>
        </w:sectPr>
      </w:pP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848"/>
        <w:gridCol w:w="763"/>
        <w:gridCol w:w="576"/>
        <w:gridCol w:w="869"/>
        <w:gridCol w:w="523"/>
        <w:gridCol w:w="665"/>
        <w:gridCol w:w="667"/>
        <w:gridCol w:w="1352"/>
        <w:gridCol w:w="521"/>
        <w:gridCol w:w="521"/>
        <w:gridCol w:w="517"/>
        <w:gridCol w:w="691"/>
        <w:gridCol w:w="518"/>
        <w:gridCol w:w="506"/>
        <w:gridCol w:w="504"/>
        <w:gridCol w:w="502"/>
      </w:tblGrid>
      <w:tr>
        <w:trPr>
          <w:trHeight w:val="1964" w:hRule="exact"/>
        </w:trPr>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0" w:right="56" w:hanging="180"/>
              <w:jc w:val="left"/>
              <w:rPr>
                <w:rFonts w:ascii="宋体" w:hAnsi="宋体" w:cs="宋体" w:eastAsia="宋体" w:hint="default"/>
                <w:sz w:val="18"/>
                <w:szCs w:val="18"/>
              </w:rPr>
            </w:pPr>
            <w:r>
              <w:rPr>
                <w:rFonts w:ascii="宋体" w:hAnsi="宋体" w:cs="宋体" w:eastAsia="宋体" w:hint="default"/>
                <w:sz w:val="18"/>
                <w:szCs w:val="18"/>
              </w:rPr>
              <w:t>受托机构 名称</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受托机 构类型</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57" w:lineRule="auto"/>
              <w:ind w:left="146" w:right="146"/>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57" w:lineRule="auto"/>
              <w:ind w:left="148" w:right="146"/>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09"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4" w:right="74"/>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4" w:right="74"/>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4" w:right="70"/>
              <w:jc w:val="left"/>
              <w:rPr>
                <w:rFonts w:ascii="宋体" w:hAnsi="宋体" w:cs="宋体" w:eastAsia="宋体" w:hint="default"/>
                <w:sz w:val="18"/>
                <w:szCs w:val="18"/>
              </w:rPr>
            </w:pPr>
            <w:r>
              <w:rPr>
                <w:rFonts w:ascii="宋体" w:hAnsi="宋体" w:cs="宋体" w:eastAsia="宋体" w:hint="default"/>
                <w:sz w:val="18"/>
                <w:szCs w:val="18"/>
              </w:rPr>
              <w:t>预期 收益</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4" w:right="72"/>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9" w:right="65"/>
              <w:jc w:val="both"/>
              <w:rPr>
                <w:rFonts w:ascii="宋体" w:hAnsi="宋体" w:cs="宋体" w:eastAsia="宋体" w:hint="default"/>
                <w:sz w:val="18"/>
                <w:szCs w:val="18"/>
              </w:rPr>
            </w:pPr>
            <w:r>
              <w:rPr>
                <w:rFonts w:ascii="宋体" w:hAnsi="宋体" w:cs="宋体" w:eastAsia="宋体" w:hint="default"/>
                <w:sz w:val="18"/>
                <w:szCs w:val="18"/>
              </w:rPr>
              <w:t>计提 减值 准备 金额</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7" w:right="65"/>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r>
      <w:tr>
        <w:trPr>
          <w:trHeight w:val="1025"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both"/>
              <w:rPr>
                <w:rFonts w:ascii="宋体" w:hAnsi="宋体" w:cs="宋体" w:eastAsia="宋体" w:hint="default"/>
                <w:sz w:val="18"/>
                <w:szCs w:val="18"/>
              </w:rPr>
            </w:pPr>
            <w:r>
              <w:rPr>
                <w:rFonts w:ascii="宋体" w:hAnsi="宋体" w:cs="宋体" w:eastAsia="宋体" w:hint="default"/>
                <w:sz w:val="18"/>
                <w:szCs w:val="18"/>
              </w:rPr>
              <w:t>招商银行 上海分行 杨思支行</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0"/>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23,900.00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挂钩伦敦黄金</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合同 约定</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4.50%</w:t>
            </w:r>
          </w:p>
        </w:tc>
        <w:tc>
          <w:tcPr>
            <w:tcW w:w="51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268.14</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收回</w:t>
            </w:r>
          </w:p>
        </w:tc>
        <w:tc>
          <w:tcPr>
            <w:tcW w:w="50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both"/>
              <w:rPr>
                <w:rFonts w:ascii="宋体" w:hAnsi="宋体" w:cs="宋体" w:eastAsia="宋体" w:hint="default"/>
                <w:sz w:val="18"/>
                <w:szCs w:val="18"/>
              </w:rPr>
            </w:pPr>
            <w:r>
              <w:rPr>
                <w:rFonts w:ascii="宋体" w:hAnsi="宋体" w:cs="宋体" w:eastAsia="宋体" w:hint="default"/>
                <w:sz w:val="18"/>
                <w:szCs w:val="18"/>
              </w:rPr>
              <w:t>招商银行 上海分行 杨思支行</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0"/>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23,700.00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挂钩伦敦黄金</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合同 约定</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4.20%</w:t>
            </w:r>
          </w:p>
        </w:tc>
        <w:tc>
          <w:tcPr>
            <w:tcW w:w="51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248.17</w:t>
            </w:r>
            <w:r>
              <w:rPr>
                <w:rFonts w:ascii="Times New Roman"/>
                <w:sz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收回</w:t>
            </w:r>
          </w:p>
        </w:tc>
        <w:tc>
          <w:tcPr>
            <w:tcW w:w="50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both"/>
              <w:rPr>
                <w:rFonts w:ascii="宋体" w:hAnsi="宋体" w:cs="宋体" w:eastAsia="宋体" w:hint="default"/>
                <w:sz w:val="18"/>
                <w:szCs w:val="18"/>
              </w:rPr>
            </w:pPr>
            <w:r>
              <w:rPr>
                <w:rFonts w:ascii="宋体" w:hAnsi="宋体" w:cs="宋体" w:eastAsia="宋体" w:hint="default"/>
                <w:sz w:val="18"/>
                <w:szCs w:val="18"/>
              </w:rPr>
              <w:t>招商银行 上海分行 杨思支行</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0"/>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23,500.00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挂钩伦敦黄金</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合同 约定</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4.30%</w:t>
            </w:r>
          </w:p>
        </w:tc>
        <w:tc>
          <w:tcPr>
            <w:tcW w:w="51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254.70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收回</w:t>
            </w:r>
          </w:p>
        </w:tc>
        <w:tc>
          <w:tcPr>
            <w:tcW w:w="50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both"/>
              <w:rPr>
                <w:rFonts w:ascii="宋体" w:hAnsi="宋体" w:cs="宋体" w:eastAsia="宋体" w:hint="default"/>
                <w:sz w:val="18"/>
                <w:szCs w:val="18"/>
              </w:rPr>
            </w:pPr>
            <w:r>
              <w:rPr>
                <w:rFonts w:ascii="宋体" w:hAnsi="宋体" w:cs="宋体" w:eastAsia="宋体" w:hint="default"/>
                <w:sz w:val="18"/>
                <w:szCs w:val="18"/>
              </w:rPr>
              <w:t>招商银行 上海分行 营业部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22,000.00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8"/>
              <w:jc w:val="both"/>
              <w:rPr>
                <w:rFonts w:ascii="宋体" w:hAnsi="宋体" w:cs="宋体" w:eastAsia="宋体" w:hint="default"/>
                <w:sz w:val="18"/>
                <w:szCs w:val="18"/>
              </w:rPr>
            </w:pPr>
            <w:r>
              <w:rPr>
                <w:rFonts w:ascii="宋体" w:hAnsi="宋体" w:cs="宋体" w:eastAsia="宋体" w:hint="default"/>
                <w:sz w:val="18"/>
                <w:szCs w:val="18"/>
              </w:rPr>
              <w:t>银行存款、债券 逆回购、债券资 产等</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合同 约定</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4.70%</w:t>
            </w:r>
          </w:p>
        </w:tc>
        <w:tc>
          <w:tcPr>
            <w:tcW w:w="51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未到 期</w:t>
            </w:r>
          </w:p>
        </w:tc>
        <w:tc>
          <w:tcPr>
            <w:tcW w:w="50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both"/>
              <w:rPr>
                <w:rFonts w:ascii="宋体" w:hAnsi="宋体" w:cs="宋体" w:eastAsia="宋体" w:hint="default"/>
                <w:sz w:val="18"/>
                <w:szCs w:val="18"/>
              </w:rPr>
            </w:pPr>
            <w:r>
              <w:rPr>
                <w:rFonts w:ascii="宋体" w:hAnsi="宋体" w:cs="宋体" w:eastAsia="宋体" w:hint="default"/>
                <w:sz w:val="18"/>
                <w:szCs w:val="18"/>
              </w:rPr>
              <w:t>民生银行 上海普陀 支行</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20,000.00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58"/>
              <w:jc w:val="left"/>
              <w:rPr>
                <w:rFonts w:ascii="宋体" w:hAnsi="宋体" w:cs="宋体" w:eastAsia="宋体" w:hint="default"/>
                <w:sz w:val="18"/>
                <w:szCs w:val="18"/>
              </w:rPr>
            </w:pPr>
            <w:r>
              <w:rPr>
                <w:rFonts w:ascii="宋体" w:hAnsi="宋体" w:cs="宋体" w:eastAsia="宋体" w:hint="default"/>
                <w:sz w:val="18"/>
                <w:szCs w:val="18"/>
              </w:rPr>
              <w:t>存款、债券回购 等</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合同 约定</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4.90%</w:t>
            </w:r>
          </w:p>
        </w:tc>
        <w:tc>
          <w:tcPr>
            <w:tcW w:w="51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244.33</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收回</w:t>
            </w:r>
          </w:p>
        </w:tc>
        <w:tc>
          <w:tcPr>
            <w:tcW w:w="50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2"/>
              <w:jc w:val="both"/>
              <w:rPr>
                <w:rFonts w:ascii="宋体" w:hAnsi="宋体" w:cs="宋体" w:eastAsia="宋体" w:hint="default"/>
                <w:sz w:val="18"/>
                <w:szCs w:val="18"/>
              </w:rPr>
            </w:pPr>
            <w:r>
              <w:rPr>
                <w:rFonts w:ascii="宋体" w:hAnsi="宋体" w:cs="宋体" w:eastAsia="宋体" w:hint="default"/>
                <w:sz w:val="18"/>
                <w:szCs w:val="18"/>
              </w:rPr>
              <w:t>民生银行 上海普陀 支行</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20,000.00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58"/>
              <w:jc w:val="left"/>
              <w:rPr>
                <w:rFonts w:ascii="宋体" w:hAnsi="宋体" w:cs="宋体" w:eastAsia="宋体" w:hint="default"/>
                <w:sz w:val="18"/>
                <w:szCs w:val="18"/>
              </w:rPr>
            </w:pPr>
            <w:r>
              <w:rPr>
                <w:rFonts w:ascii="宋体" w:hAnsi="宋体" w:cs="宋体" w:eastAsia="宋体" w:hint="default"/>
                <w:sz w:val="18"/>
                <w:szCs w:val="18"/>
              </w:rPr>
              <w:t>存款、债券回购 等</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合同 约定</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3.95%</w:t>
            </w:r>
          </w:p>
        </w:tc>
        <w:tc>
          <w:tcPr>
            <w:tcW w:w="51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未到 期</w:t>
            </w:r>
          </w:p>
        </w:tc>
        <w:tc>
          <w:tcPr>
            <w:tcW w:w="50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both"/>
              <w:rPr>
                <w:rFonts w:ascii="宋体" w:hAnsi="宋体" w:cs="宋体" w:eastAsia="宋体" w:hint="default"/>
                <w:sz w:val="18"/>
                <w:szCs w:val="18"/>
              </w:rPr>
            </w:pPr>
            <w:r>
              <w:rPr>
                <w:rFonts w:ascii="宋体" w:hAnsi="宋体" w:cs="宋体" w:eastAsia="宋体" w:hint="default"/>
                <w:sz w:val="18"/>
                <w:szCs w:val="18"/>
              </w:rPr>
              <w:t>招商银行 上海分行 杨思支行</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0"/>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23,900.00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挂钩伦敦黄金</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合同 约定</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3.40%</w:t>
            </w:r>
          </w:p>
        </w:tc>
        <w:tc>
          <w:tcPr>
            <w:tcW w:w="51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104.84</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收回</w:t>
            </w:r>
          </w:p>
        </w:tc>
        <w:tc>
          <w:tcPr>
            <w:tcW w:w="50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both"/>
              <w:rPr>
                <w:rFonts w:ascii="宋体" w:hAnsi="宋体" w:cs="宋体" w:eastAsia="宋体" w:hint="default"/>
                <w:sz w:val="18"/>
                <w:szCs w:val="18"/>
              </w:rPr>
            </w:pPr>
            <w:r>
              <w:rPr>
                <w:rFonts w:ascii="宋体" w:hAnsi="宋体" w:cs="宋体" w:eastAsia="宋体" w:hint="default"/>
                <w:sz w:val="18"/>
                <w:szCs w:val="18"/>
              </w:rPr>
              <w:t>农银汇理 基金管理 有限公司</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23" w:right="367"/>
              <w:jc w:val="left"/>
              <w:rPr>
                <w:rFonts w:ascii="宋体" w:hAnsi="宋体" w:cs="宋体" w:eastAsia="宋体" w:hint="default"/>
                <w:sz w:val="18"/>
                <w:szCs w:val="18"/>
              </w:rPr>
            </w:pPr>
            <w:r>
              <w:rPr>
                <w:rFonts w:ascii="宋体" w:hAnsi="宋体" w:cs="宋体" w:eastAsia="宋体" w:hint="default"/>
                <w:sz w:val="18"/>
                <w:szCs w:val="18"/>
              </w:rPr>
              <w:t>公募 基金</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0"/>
              <w:jc w:val="left"/>
              <w:rPr>
                <w:rFonts w:ascii="宋体" w:hAnsi="宋体" w:cs="宋体" w:eastAsia="宋体" w:hint="default"/>
                <w:sz w:val="18"/>
                <w:szCs w:val="18"/>
              </w:rPr>
            </w:pPr>
            <w:r>
              <w:rPr>
                <w:rFonts w:ascii="宋体" w:hAnsi="宋体" w:cs="宋体" w:eastAsia="宋体" w:hint="default"/>
                <w:sz w:val="18"/>
                <w:szCs w:val="18"/>
              </w:rPr>
              <w:t>货币 基金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40,000.00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58"/>
              <w:jc w:val="left"/>
              <w:rPr>
                <w:rFonts w:ascii="宋体" w:hAnsi="宋体" w:cs="宋体" w:eastAsia="宋体" w:hint="default"/>
                <w:sz w:val="18"/>
                <w:szCs w:val="18"/>
              </w:rPr>
            </w:pPr>
            <w:r>
              <w:rPr>
                <w:rFonts w:ascii="宋体" w:hAnsi="宋体" w:cs="宋体" w:eastAsia="宋体" w:hint="default"/>
                <w:sz w:val="18"/>
                <w:szCs w:val="18"/>
              </w:rPr>
              <w:t>固定收益投资、 银行存款等</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基金 分红</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3.49%</w:t>
            </w:r>
          </w:p>
        </w:tc>
        <w:tc>
          <w:tcPr>
            <w:tcW w:w="51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未赎 回</w:t>
            </w:r>
          </w:p>
        </w:tc>
        <w:tc>
          <w:tcPr>
            <w:tcW w:w="50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天弘基金</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公募</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20,000.00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固定收益投资、</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3.78%</w:t>
            </w:r>
          </w:p>
        </w:tc>
        <w:tc>
          <w:tcPr>
            <w:tcW w:w="51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84.92</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赎回</w:t>
            </w:r>
          </w:p>
        </w:tc>
        <w:tc>
          <w:tcPr>
            <w:tcW w:w="50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type w:val="continuous"/>
          <w:pgSz w:w="11910" w:h="16840"/>
          <w:pgMar w:top="1580" w:bottom="700" w:left="560" w:right="0"/>
        </w:sectPr>
      </w:pPr>
    </w:p>
    <w:p>
      <w:pPr>
        <w:spacing w:line="240" w:lineRule="auto" w:before="8"/>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848"/>
        <w:gridCol w:w="763"/>
        <w:gridCol w:w="576"/>
        <w:gridCol w:w="869"/>
        <w:gridCol w:w="523"/>
        <w:gridCol w:w="665"/>
        <w:gridCol w:w="667"/>
        <w:gridCol w:w="1352"/>
        <w:gridCol w:w="521"/>
        <w:gridCol w:w="521"/>
        <w:gridCol w:w="517"/>
        <w:gridCol w:w="691"/>
        <w:gridCol w:w="518"/>
        <w:gridCol w:w="506"/>
        <w:gridCol w:w="504"/>
        <w:gridCol w:w="502"/>
      </w:tblGrid>
      <w:tr>
        <w:trPr>
          <w:trHeight w:val="675"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2"/>
              <w:jc w:val="left"/>
              <w:rPr>
                <w:rFonts w:ascii="宋体" w:hAnsi="宋体" w:cs="宋体" w:eastAsia="宋体" w:hint="default"/>
                <w:sz w:val="18"/>
                <w:szCs w:val="18"/>
              </w:rPr>
            </w:pPr>
            <w:r>
              <w:rPr>
                <w:rFonts w:ascii="宋体" w:hAnsi="宋体" w:cs="宋体" w:eastAsia="宋体" w:hint="default"/>
                <w:sz w:val="18"/>
                <w:szCs w:val="18"/>
              </w:rPr>
              <w:t>管理有限 公司</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6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z w:val="18"/>
                <w:szCs w:val="18"/>
              </w:rPr>
              <w:t>资金</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58"/>
              <w:jc w:val="left"/>
              <w:rPr>
                <w:rFonts w:ascii="宋体" w:hAnsi="宋体" w:cs="宋体" w:eastAsia="宋体" w:hint="default"/>
                <w:sz w:val="18"/>
                <w:szCs w:val="18"/>
              </w:rPr>
            </w:pPr>
            <w:r>
              <w:rPr>
                <w:rFonts w:ascii="宋体" w:hAnsi="宋体" w:cs="宋体" w:eastAsia="宋体" w:hint="default"/>
                <w:sz w:val="18"/>
                <w:szCs w:val="18"/>
              </w:rPr>
              <w:t>银行存款和结算 备付金等</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分红</w:t>
            </w:r>
          </w:p>
        </w:tc>
        <w:tc>
          <w:tcPr>
            <w:tcW w:w="521"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both"/>
              <w:rPr>
                <w:rFonts w:ascii="宋体" w:hAnsi="宋体" w:cs="宋体" w:eastAsia="宋体" w:hint="default"/>
                <w:sz w:val="18"/>
                <w:szCs w:val="18"/>
              </w:rPr>
            </w:pPr>
            <w:r>
              <w:rPr>
                <w:rFonts w:ascii="宋体" w:hAnsi="宋体" w:cs="宋体" w:eastAsia="宋体" w:hint="default"/>
                <w:sz w:val="18"/>
                <w:szCs w:val="18"/>
              </w:rPr>
              <w:t>汇添富基 金管理股 份有限公 司</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57" w:lineRule="auto"/>
              <w:ind w:left="23" w:right="367"/>
              <w:jc w:val="left"/>
              <w:rPr>
                <w:rFonts w:ascii="宋体" w:hAnsi="宋体" w:cs="宋体" w:eastAsia="宋体" w:hint="default"/>
                <w:sz w:val="18"/>
                <w:szCs w:val="18"/>
              </w:rPr>
            </w:pPr>
            <w:r>
              <w:rPr>
                <w:rFonts w:ascii="宋体" w:hAnsi="宋体" w:cs="宋体" w:eastAsia="宋体" w:hint="default"/>
                <w:sz w:val="18"/>
                <w:szCs w:val="18"/>
              </w:rPr>
              <w:t>公募 基金</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0"/>
              <w:jc w:val="left"/>
              <w:rPr>
                <w:rFonts w:ascii="宋体" w:hAnsi="宋体" w:cs="宋体" w:eastAsia="宋体" w:hint="default"/>
                <w:sz w:val="18"/>
                <w:szCs w:val="18"/>
              </w:rPr>
            </w:pPr>
            <w:r>
              <w:rPr>
                <w:rFonts w:ascii="宋体" w:hAnsi="宋体" w:cs="宋体" w:eastAsia="宋体" w:hint="default"/>
                <w:sz w:val="18"/>
                <w:szCs w:val="18"/>
              </w:rPr>
              <w:t>货币 基金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58"/>
              <w:jc w:val="both"/>
              <w:rPr>
                <w:rFonts w:ascii="宋体" w:hAnsi="宋体" w:cs="宋体" w:eastAsia="宋体" w:hint="default"/>
                <w:sz w:val="18"/>
                <w:szCs w:val="18"/>
              </w:rPr>
            </w:pPr>
            <w:r>
              <w:rPr>
                <w:rFonts w:ascii="宋体" w:hAnsi="宋体" w:cs="宋体" w:eastAsia="宋体" w:hint="default"/>
                <w:sz w:val="18"/>
                <w:szCs w:val="18"/>
              </w:rPr>
              <w:t>固定收益投资、 银行存款和结算 备付金等</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5"/>
              <w:jc w:val="left"/>
              <w:rPr>
                <w:rFonts w:ascii="宋体" w:hAnsi="宋体" w:cs="宋体" w:eastAsia="宋体" w:hint="default"/>
                <w:sz w:val="18"/>
                <w:szCs w:val="18"/>
              </w:rPr>
            </w:pPr>
            <w:r>
              <w:rPr>
                <w:rFonts w:ascii="宋体" w:hAnsi="宋体" w:cs="宋体" w:eastAsia="宋体" w:hint="default"/>
                <w:sz w:val="18"/>
                <w:szCs w:val="18"/>
              </w:rPr>
              <w:t>基金 分红</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3.67%</w:t>
            </w:r>
          </w:p>
        </w:tc>
        <w:tc>
          <w:tcPr>
            <w:tcW w:w="51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84.35</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赎回</w:t>
            </w:r>
          </w:p>
        </w:tc>
        <w:tc>
          <w:tcPr>
            <w:tcW w:w="50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1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237,000.00</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1,289.45</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573" w:right="273"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115"/>
        <w:ind w:left="573" w:right="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5"/>
        <w:spacing w:line="240" w:lineRule="auto" w:before="0"/>
        <w:ind w:left="573" w:right="27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57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pStyle w:val="Heading5"/>
        <w:spacing w:line="240" w:lineRule="auto" w:before="0"/>
        <w:ind w:left="573" w:right="27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40" w:lineRule="auto" w:before="0"/>
        <w:ind w:left="57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3"/>
        <w:spacing w:line="240" w:lineRule="auto"/>
        <w:ind w:left="573" w:right="273"/>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spacing w:line="506" w:lineRule="auto" w:before="0"/>
        <w:ind w:left="573"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公司于</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日在中国证监会指定信息披露媒体发布了《公司</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年度社会责任报告》。</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pStyle w:val="Heading5"/>
        <w:spacing w:line="240" w:lineRule="auto" w:before="63"/>
        <w:ind w:left="573" w:right="273"/>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13"/>
        <w:rPr>
          <w:rFonts w:ascii="宋体" w:hAnsi="宋体" w:cs="宋体" w:eastAsia="宋体" w:hint="default"/>
          <w:b/>
          <w:bCs/>
          <w:sz w:val="19"/>
          <w:szCs w:val="19"/>
        </w:rPr>
      </w:pPr>
    </w:p>
    <w:p>
      <w:pPr>
        <w:pStyle w:val="BodyText"/>
        <w:spacing w:line="273" w:lineRule="auto"/>
        <w:ind w:left="993" w:right="273"/>
        <w:jc w:val="left"/>
      </w:pPr>
      <w:r>
        <w:rPr/>
        <w:t>基本方略：认真响应国家号召，充分发挥行业和自身优势，积极开展精准扶贫工作。</w:t>
      </w:r>
      <w:r>
        <w:rPr>
          <w:w w:val="100"/>
        </w:rPr>
        <w:t> </w:t>
      </w:r>
      <w:r>
        <w:rPr>
          <w:spacing w:val="-2"/>
        </w:rPr>
        <w:t>总体目标：公司通过全资子公司东方财富证券、孙公司东方财富期货重点实施，支持西藏地区扶贫对</w:t>
      </w:r>
    </w:p>
    <w:p>
      <w:pPr>
        <w:pStyle w:val="BodyText"/>
        <w:spacing w:line="273" w:lineRule="auto" w:before="7"/>
        <w:ind w:left="993" w:right="3711" w:hanging="420"/>
        <w:jc w:val="left"/>
      </w:pPr>
      <w:r>
        <w:rPr>
          <w:spacing w:val="-2"/>
        </w:rPr>
        <w:t>象，侧重对口扶贫县，努力推动贫困地区经济社会更好更快发展。</w:t>
      </w:r>
      <w:r>
        <w:rPr>
          <w:spacing w:val="-49"/>
        </w:rPr>
        <w:t> </w:t>
      </w:r>
      <w:r>
        <w:rPr>
          <w:spacing w:val="-49"/>
        </w:rPr>
      </w:r>
      <w:r>
        <w:rPr/>
        <w:t>主要任务：</w:t>
      </w:r>
    </w:p>
    <w:p>
      <w:pPr>
        <w:pStyle w:val="BodyText"/>
        <w:spacing w:line="256" w:lineRule="auto" w:before="7"/>
        <w:ind w:left="573" w:right="273" w:firstLine="420"/>
        <w:jc w:val="left"/>
      </w:pPr>
      <w:r>
        <w:rPr>
          <w:rFonts w:ascii="Times New Roman" w:hAnsi="Times New Roman" w:cs="Times New Roman" w:eastAsia="Times New Roman" w:hint="default"/>
          <w:spacing w:val="-5"/>
        </w:rPr>
        <w:t>1</w:t>
      </w:r>
      <w:r>
        <w:rPr>
          <w:spacing w:val="-5"/>
        </w:rPr>
        <w:t>）充分发挥专业优势，在贫困地区挖掘和培育适于当地的产业项目，引进资源，协助宣传，促进贫困</w:t>
      </w:r>
      <w:r>
        <w:rPr>
          <w:w w:val="100"/>
        </w:rPr>
        <w:t> </w:t>
      </w:r>
      <w:r>
        <w:rPr/>
        <w:t>地区经济发展。</w:t>
      </w:r>
    </w:p>
    <w:p>
      <w:pPr>
        <w:pStyle w:val="BodyText"/>
        <w:spacing w:line="256" w:lineRule="auto" w:before="22"/>
        <w:ind w:left="573" w:right="273" w:firstLine="420"/>
        <w:jc w:val="left"/>
      </w:pPr>
      <w:r>
        <w:rPr>
          <w:rFonts w:ascii="Times New Roman" w:hAnsi="Times New Roman" w:cs="Times New Roman" w:eastAsia="Times New Roman" w:hint="default"/>
          <w:spacing w:val="-4"/>
        </w:rPr>
        <w:t>2</w:t>
      </w:r>
      <w:r>
        <w:rPr>
          <w:spacing w:val="-4"/>
        </w:rPr>
        <w:t>）开展智力扶贫，培育</w:t>
      </w:r>
      <w:r>
        <w:rPr>
          <w:rFonts w:ascii="Times New Roman" w:hAnsi="Times New Roman" w:cs="Times New Roman" w:eastAsia="Times New Roman" w:hint="default"/>
          <w:spacing w:val="-4"/>
        </w:rPr>
        <w:t>“</w:t>
      </w:r>
      <w:r>
        <w:rPr>
          <w:spacing w:val="-4"/>
        </w:rPr>
        <w:t>发展新理念</w:t>
      </w:r>
      <w:r>
        <w:rPr>
          <w:rFonts w:ascii="Times New Roman" w:hAnsi="Times New Roman" w:cs="Times New Roman" w:eastAsia="Times New Roman" w:hint="default"/>
          <w:spacing w:val="-4"/>
        </w:rPr>
        <w:t>”</w:t>
      </w:r>
      <w:r>
        <w:rPr>
          <w:spacing w:val="-4"/>
        </w:rPr>
        <w:t>，进一步提升结对县干部及国有企业骨干推动和引领当地精准脱</w:t>
      </w:r>
      <w:r>
        <w:rPr>
          <w:w w:val="100"/>
        </w:rPr>
        <w:t> </w:t>
      </w:r>
      <w:r>
        <w:rPr/>
        <w:t>贫的能力和水平，建立</w:t>
      </w:r>
      <w:r>
        <w:rPr>
          <w:rFonts w:ascii="Times New Roman" w:hAnsi="Times New Roman" w:cs="Times New Roman" w:eastAsia="Times New Roman" w:hint="default"/>
        </w:rPr>
        <w:t>“</w:t>
      </w:r>
      <w:r>
        <w:rPr/>
        <w:t>造血</w:t>
      </w:r>
      <w:r>
        <w:rPr>
          <w:rFonts w:ascii="Times New Roman" w:hAnsi="Times New Roman" w:cs="Times New Roman" w:eastAsia="Times New Roman" w:hint="default"/>
        </w:rPr>
        <w:t>”</w:t>
      </w:r>
      <w:r>
        <w:rPr/>
        <w:t>式扶贫长效机制。</w:t>
      </w:r>
    </w:p>
    <w:p>
      <w:pPr>
        <w:pStyle w:val="BodyText"/>
        <w:spacing w:line="240" w:lineRule="auto" w:before="5"/>
        <w:ind w:left="993" w:right="273"/>
        <w:jc w:val="left"/>
      </w:pPr>
      <w:r>
        <w:rPr>
          <w:rFonts w:ascii="Times New Roman" w:hAnsi="Times New Roman" w:cs="Times New Roman" w:eastAsia="Times New Roman" w:hint="default"/>
        </w:rPr>
        <w:t>3</w:t>
      </w:r>
      <w:r>
        <w:rPr/>
        <w:t>）提供扶贫教育奖学金，帮助贫困学生解决读书难问题，推进教育扶贫。</w:t>
      </w:r>
    </w:p>
    <w:p>
      <w:pPr>
        <w:pStyle w:val="BodyText"/>
        <w:spacing w:line="256" w:lineRule="auto" w:before="21"/>
        <w:ind w:left="573" w:right="273" w:firstLine="420"/>
        <w:jc w:val="left"/>
      </w:pPr>
      <w:r>
        <w:rPr>
          <w:rFonts w:ascii="Times New Roman" w:hAnsi="Times New Roman" w:cs="Times New Roman" w:eastAsia="Times New Roman" w:hint="default"/>
          <w:spacing w:val="-2"/>
        </w:rPr>
        <w:t>4</w:t>
      </w:r>
      <w:r>
        <w:rPr>
          <w:spacing w:val="-2"/>
        </w:rPr>
        <w:t>）以西藏自治区生态产品为基础，结合</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模式，拓宽西藏特色农产品的推介、销售渠道，通</w:t>
      </w:r>
      <w:r>
        <w:rPr>
          <w:w w:val="100"/>
        </w:rPr>
        <w:t> </w:t>
      </w:r>
      <w:r>
        <w:rPr/>
        <w:t>过消费扶贫，实现扶贫地区人口稳定就业。</w:t>
      </w:r>
    </w:p>
    <w:p>
      <w:pPr>
        <w:pStyle w:val="BodyText"/>
        <w:spacing w:line="240" w:lineRule="auto" w:before="22"/>
        <w:ind w:left="993" w:right="273"/>
        <w:jc w:val="left"/>
      </w:pPr>
      <w:r>
        <w:rPr/>
        <w:t>保障措施：</w:t>
      </w:r>
    </w:p>
    <w:p>
      <w:pPr>
        <w:pStyle w:val="BodyText"/>
        <w:spacing w:line="240" w:lineRule="auto" w:before="37"/>
        <w:ind w:left="993" w:right="273"/>
        <w:jc w:val="left"/>
      </w:pPr>
      <w:r>
        <w:rPr>
          <w:rFonts w:ascii="Times New Roman" w:hAnsi="Times New Roman" w:cs="Times New Roman" w:eastAsia="Times New Roman" w:hint="default"/>
        </w:rPr>
        <w:t>1</w:t>
      </w:r>
      <w:r>
        <w:rPr/>
        <w:t>）成立精准扶贫工作小组，扎实做好精准扶贫工作。</w:t>
      </w:r>
    </w:p>
    <w:p>
      <w:pPr>
        <w:pStyle w:val="BodyText"/>
        <w:spacing w:line="240" w:lineRule="auto" w:before="21"/>
        <w:ind w:left="993" w:right="273"/>
        <w:jc w:val="left"/>
      </w:pPr>
      <w:r>
        <w:rPr>
          <w:rFonts w:ascii="Times New Roman" w:hAnsi="Times New Roman" w:cs="Times New Roman" w:eastAsia="Times New Roman" w:hint="default"/>
          <w:w w:val="100"/>
        </w:rPr>
        <w:t>2</w:t>
      </w:r>
      <w:r>
        <w:rPr>
          <w:spacing w:val="-85"/>
          <w:w w:val="100"/>
        </w:rPr>
        <w:t>）</w:t>
      </w:r>
      <w:r>
        <w:rPr>
          <w:spacing w:val="-3"/>
          <w:w w:val="100"/>
        </w:rPr>
        <w:t>建</w:t>
      </w:r>
      <w:r>
        <w:rPr>
          <w:spacing w:val="-1"/>
          <w:w w:val="100"/>
        </w:rPr>
        <w:t>立</w:t>
      </w:r>
      <w:r>
        <w:rPr>
          <w:spacing w:val="-3"/>
          <w:w w:val="100"/>
        </w:rPr>
        <w:t>健</w:t>
      </w:r>
      <w:r>
        <w:rPr>
          <w:w w:val="100"/>
        </w:rPr>
        <w:t>全</w:t>
      </w:r>
      <w:r>
        <w:rPr>
          <w:spacing w:val="-3"/>
          <w:w w:val="100"/>
        </w:rPr>
        <w:t>对</w:t>
      </w:r>
      <w:r>
        <w:rPr>
          <w:w w:val="100"/>
        </w:rPr>
        <w:t>接</w:t>
      </w:r>
      <w:r>
        <w:rPr>
          <w:spacing w:val="-3"/>
          <w:w w:val="100"/>
        </w:rPr>
        <w:t>部</w:t>
      </w:r>
      <w:r>
        <w:rPr>
          <w:w w:val="100"/>
        </w:rPr>
        <w:t>门</w:t>
      </w:r>
      <w:r>
        <w:rPr>
          <w:spacing w:val="-3"/>
          <w:w w:val="100"/>
        </w:rPr>
        <w:t>工作</w:t>
      </w:r>
      <w:r>
        <w:rPr>
          <w:w w:val="100"/>
        </w:rPr>
        <w:t>联系</w:t>
      </w:r>
      <w:r>
        <w:rPr>
          <w:spacing w:val="-3"/>
          <w:w w:val="100"/>
        </w:rPr>
        <w:t>机制</w:t>
      </w:r>
      <w:r>
        <w:rPr>
          <w:spacing w:val="-85"/>
          <w:w w:val="100"/>
        </w:rPr>
        <w:t>，</w:t>
      </w:r>
      <w:r>
        <w:rPr>
          <w:spacing w:val="-3"/>
          <w:w w:val="100"/>
        </w:rPr>
        <w:t>做</w:t>
      </w:r>
      <w:r>
        <w:rPr>
          <w:w w:val="100"/>
        </w:rPr>
        <w:t>好</w:t>
      </w:r>
      <w:r>
        <w:rPr>
          <w:spacing w:val="-3"/>
          <w:w w:val="100"/>
        </w:rPr>
        <w:t>日</w:t>
      </w:r>
      <w:r>
        <w:rPr>
          <w:w w:val="100"/>
        </w:rPr>
        <w:t>常</w:t>
      </w:r>
      <w:r>
        <w:rPr>
          <w:spacing w:val="-3"/>
          <w:w w:val="100"/>
        </w:rPr>
        <w:t>沟</w:t>
      </w:r>
      <w:r>
        <w:rPr>
          <w:w w:val="100"/>
        </w:rPr>
        <w:t>通</w:t>
      </w:r>
      <w:r>
        <w:rPr>
          <w:spacing w:val="-3"/>
          <w:w w:val="100"/>
        </w:rPr>
        <w:t>协</w:t>
      </w:r>
      <w:r>
        <w:rPr>
          <w:w w:val="100"/>
        </w:rPr>
        <w:t>调等</w:t>
      </w:r>
      <w:r>
        <w:rPr>
          <w:spacing w:val="-3"/>
          <w:w w:val="100"/>
        </w:rPr>
        <w:t>工作</w:t>
      </w:r>
      <w:r>
        <w:rPr>
          <w:spacing w:val="-85"/>
          <w:w w:val="100"/>
        </w:rPr>
        <w:t>，</w:t>
      </w:r>
      <w:r>
        <w:rPr>
          <w:spacing w:val="-3"/>
          <w:w w:val="100"/>
        </w:rPr>
        <w:t>保</w:t>
      </w:r>
      <w:r>
        <w:rPr>
          <w:w w:val="100"/>
        </w:rPr>
        <w:t>障</w:t>
      </w:r>
      <w:r>
        <w:rPr>
          <w:spacing w:val="-3"/>
          <w:w w:val="100"/>
        </w:rPr>
        <w:t>各</w:t>
      </w:r>
      <w:r>
        <w:rPr>
          <w:w w:val="100"/>
        </w:rPr>
        <w:t>扶</w:t>
      </w:r>
      <w:r>
        <w:rPr>
          <w:spacing w:val="-3"/>
          <w:w w:val="100"/>
        </w:rPr>
        <w:t>贫</w:t>
      </w:r>
      <w:r>
        <w:rPr>
          <w:w w:val="100"/>
        </w:rPr>
        <w:t>项</w:t>
      </w:r>
      <w:r>
        <w:rPr>
          <w:spacing w:val="-3"/>
          <w:w w:val="100"/>
        </w:rPr>
        <w:t>目</w:t>
      </w:r>
      <w:r>
        <w:rPr>
          <w:w w:val="100"/>
        </w:rPr>
        <w:t>顺利</w:t>
      </w:r>
      <w:r>
        <w:rPr>
          <w:spacing w:val="-3"/>
          <w:w w:val="100"/>
        </w:rPr>
        <w:t>开展</w:t>
      </w:r>
      <w:r>
        <w:rPr>
          <w:spacing w:val="-85"/>
          <w:w w:val="100"/>
        </w:rPr>
        <w:t>，</w:t>
      </w:r>
      <w:r>
        <w:rPr>
          <w:spacing w:val="-3"/>
          <w:w w:val="100"/>
        </w:rPr>
        <w:t>取</w:t>
      </w:r>
      <w:r>
        <w:rPr>
          <w:w w:val="100"/>
        </w:rPr>
        <w:t>得</w:t>
      </w:r>
      <w:r>
        <w:rPr>
          <w:spacing w:val="-3"/>
          <w:w w:val="100"/>
        </w:rPr>
        <w:t>成</w:t>
      </w:r>
      <w:r>
        <w:rPr>
          <w:w w:val="100"/>
        </w:rPr>
        <w:t>效。</w:t>
      </w:r>
    </w:p>
    <w:p>
      <w:pPr>
        <w:spacing w:after="0" w:line="240" w:lineRule="auto"/>
        <w:jc w:val="left"/>
        <w:sectPr>
          <w:pgSz w:w="11910" w:h="16840"/>
          <w:pgMar w:header="852" w:footer="979" w:top="1320" w:bottom="1160" w:left="560" w:right="0"/>
        </w:sectPr>
      </w:pPr>
    </w:p>
    <w:p>
      <w:pPr>
        <w:pStyle w:val="Heading5"/>
        <w:spacing w:line="240" w:lineRule="auto" w:before="100"/>
        <w:ind w:right="1114"/>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13"/>
        <w:rPr>
          <w:rFonts w:ascii="宋体" w:hAnsi="宋体" w:cs="宋体" w:eastAsia="宋体" w:hint="default"/>
          <w:b/>
          <w:bCs/>
          <w:sz w:val="19"/>
          <w:szCs w:val="19"/>
        </w:rPr>
      </w:pPr>
    </w:p>
    <w:p>
      <w:pPr>
        <w:pStyle w:val="BodyText"/>
        <w:spacing w:line="273" w:lineRule="auto"/>
        <w:ind w:right="1114" w:firstLine="420"/>
        <w:jc w:val="left"/>
      </w:pPr>
      <w:r>
        <w:rPr>
          <w:spacing w:val="-2"/>
        </w:rPr>
        <w:t>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月，公司全资子公司东方财富证券严格贯彻《中国证监会关于发挥资本市场作用服务</w:t>
      </w:r>
      <w:r>
        <w:rPr>
          <w:w w:val="100"/>
        </w:rPr>
        <w:t> </w:t>
      </w:r>
      <w:r>
        <w:rPr/>
        <w:t>国家脱贫攻坚战略的意见》，以及中国证券业协会《关于证券公司落实精准扶贫工作有关事项的通</w:t>
      </w:r>
      <w:r>
        <w:rPr>
          <w:w w:val="100"/>
        </w:rPr>
        <w:t> </w:t>
      </w:r>
      <w:r>
        <w:rPr>
          <w:spacing w:val="-2"/>
        </w:rPr>
        <w:t>知》、《证券公司“一司一县”结对帮扶贫困县行动倡议书》等相关意见通知精神，遵照“密切合作、</w:t>
      </w:r>
      <w:r>
        <w:rPr>
          <w:spacing w:val="-22"/>
        </w:rPr>
        <w:t> </w:t>
      </w:r>
      <w:r>
        <w:rPr>
          <w:spacing w:val="-22"/>
        </w:rPr>
      </w:r>
      <w:r>
        <w:rPr>
          <w:spacing w:val="-2"/>
        </w:rPr>
        <w:t>共同探索、全力推进、长期增效”的原则，继续执行与拉萨市曲水县、那曲市嘉黎县、林芝市墨脱县、</w:t>
      </w:r>
      <w:r>
        <w:rPr>
          <w:spacing w:val="-21"/>
        </w:rPr>
        <w:t> </w:t>
      </w:r>
      <w:r>
        <w:rPr>
          <w:spacing w:val="-21"/>
        </w:rPr>
      </w:r>
      <w:r>
        <w:rPr>
          <w:spacing w:val="-2"/>
        </w:rPr>
        <w:t>山南市措美县签订的精准扶贫协议，孙公司东方财富期货继续执行与林芝市朗县签订的精准扶贫协议，</w:t>
      </w:r>
      <w:r>
        <w:rPr>
          <w:spacing w:val="-21"/>
        </w:rPr>
        <w:t> </w:t>
      </w:r>
      <w:r>
        <w:rPr>
          <w:spacing w:val="-21"/>
        </w:rPr>
      </w:r>
      <w:r>
        <w:rPr>
          <w:spacing w:val="-2"/>
        </w:rPr>
        <w:t>在公益扶贫、智力扶贫、产业扶贫等领域对曲水县、嘉黎县、墨脱县、朗县、措美县开展结对扶贫合作</w:t>
      </w:r>
      <w:r>
        <w:rPr>
          <w:spacing w:val="-21"/>
        </w:rPr>
        <w:t> </w:t>
      </w:r>
      <w:r>
        <w:rPr>
          <w:spacing w:val="-21"/>
        </w:rPr>
      </w:r>
      <w:r>
        <w:rPr/>
        <w:t>探索，</w:t>
      </w:r>
      <w:r>
        <w:rPr>
          <w:rFonts w:ascii="宋体" w:hAnsi="宋体" w:cs="宋体" w:eastAsia="宋体" w:hint="default"/>
        </w:rPr>
        <w:t>2018</w:t>
      </w:r>
      <w:r>
        <w:rPr/>
        <w:t>年累计投入资金近</w:t>
      </w:r>
      <w:r>
        <w:rPr>
          <w:rFonts w:ascii="宋体" w:hAnsi="宋体" w:cs="宋体" w:eastAsia="宋体" w:hint="default"/>
        </w:rPr>
        <w:t>650</w:t>
      </w:r>
      <w:r>
        <w:rPr/>
        <w:t>万元，取得了良好的社会效益，精准扶贫成效显著。</w:t>
      </w:r>
    </w:p>
    <w:p>
      <w:pPr>
        <w:pStyle w:val="BodyText"/>
        <w:spacing w:line="307" w:lineRule="auto" w:before="48"/>
        <w:ind w:left="575" w:right="1114" w:hanging="3"/>
        <w:jc w:val="left"/>
      </w:pPr>
      <w:r>
        <w:rPr/>
        <w:t>公司</w:t>
      </w:r>
      <w:r>
        <w:rPr>
          <w:rFonts w:ascii="宋体" w:hAnsi="宋体" w:cs="宋体" w:eastAsia="宋体" w:hint="default"/>
        </w:rPr>
        <w:t>2018</w:t>
      </w:r>
      <w:r>
        <w:rPr/>
        <w:t>年具体扶贫落实情况如下：</w:t>
      </w:r>
      <w:r>
        <w:rPr>
          <w:w w:val="100"/>
        </w:rPr>
        <w:t> </w:t>
      </w:r>
      <w:r>
        <w:rPr>
          <w:rFonts w:ascii="宋体" w:hAnsi="宋体" w:cs="宋体" w:eastAsia="宋体" w:hint="default"/>
          <w:b/>
          <w:bCs/>
          <w:spacing w:val="-2"/>
        </w:rPr>
        <w:t>公益扶贫：</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月，东方财富证券对援助第</w:t>
      </w:r>
      <w:r>
        <w:rPr>
          <w:rFonts w:ascii="宋体" w:hAnsi="宋体" w:cs="宋体" w:eastAsia="宋体" w:hint="default"/>
          <w:spacing w:val="-2"/>
        </w:rPr>
        <w:t>10</w:t>
      </w:r>
      <w:r>
        <w:rPr>
          <w:spacing w:val="-2"/>
        </w:rPr>
        <w:t>年的四川彭州市龙门山镇九年制学校</w:t>
      </w:r>
      <w:r>
        <w:rPr>
          <w:rFonts w:ascii="宋体" w:hAnsi="宋体" w:cs="宋体" w:eastAsia="宋体" w:hint="default"/>
          <w:spacing w:val="-2"/>
        </w:rPr>
        <w:t>2017</w:t>
      </w:r>
      <w:r>
        <w:rPr>
          <w:spacing w:val="-2"/>
        </w:rPr>
        <w:t>年度优秀</w:t>
      </w:r>
    </w:p>
    <w:p>
      <w:pPr>
        <w:pStyle w:val="BodyText"/>
        <w:spacing w:line="254" w:lineRule="exact"/>
        <w:ind w:right="1114"/>
        <w:jc w:val="left"/>
      </w:pPr>
      <w:r>
        <w:rPr/>
        <w:t>女教师和学生进行慰问和奖励，总计</w:t>
      </w:r>
      <w:r>
        <w:rPr>
          <w:rFonts w:ascii="宋体" w:hAnsi="宋体" w:cs="宋体" w:eastAsia="宋体" w:hint="default"/>
        </w:rPr>
        <w:t>3.32</w:t>
      </w:r>
      <w:r>
        <w:rPr/>
        <w:t>万元；同时投入</w:t>
      </w:r>
      <w:r>
        <w:rPr>
          <w:rFonts w:ascii="宋体" w:hAnsi="宋体" w:cs="宋体" w:eastAsia="宋体" w:hint="default"/>
        </w:rPr>
        <w:t>6900</w:t>
      </w:r>
      <w:r>
        <w:rPr/>
        <w:t>元支持该校的“快乐阅读”项目。在公司</w:t>
      </w:r>
    </w:p>
    <w:p>
      <w:pPr>
        <w:pStyle w:val="BodyText"/>
        <w:spacing w:line="273" w:lineRule="auto" w:before="37"/>
        <w:ind w:right="1114"/>
        <w:jc w:val="left"/>
      </w:pPr>
      <w:r>
        <w:rPr>
          <w:spacing w:val="-2"/>
        </w:rPr>
        <w:t>的鼓励和大力支持下，该校初中部和小学部均获得</w:t>
      </w:r>
      <w:r>
        <w:rPr>
          <w:rFonts w:ascii="宋体" w:hAnsi="宋体" w:cs="宋体" w:eastAsia="宋体" w:hint="default"/>
          <w:spacing w:val="-2"/>
        </w:rPr>
        <w:t>2017-2018</w:t>
      </w:r>
      <w:r>
        <w:rPr>
          <w:spacing w:val="-2"/>
        </w:rPr>
        <w:t>年度教育教学质量“优秀学校”和“进步最</w:t>
      </w:r>
      <w:r>
        <w:rPr>
          <w:spacing w:val="-16"/>
        </w:rPr>
        <w:t> </w:t>
      </w:r>
      <w:r>
        <w:rPr>
          <w:spacing w:val="-16"/>
        </w:rPr>
      </w:r>
      <w:r>
        <w:rPr/>
        <w:t>快学校”。</w:t>
      </w:r>
      <w:r>
        <w:rPr>
          <w:rFonts w:ascii="宋体" w:hAnsi="宋体" w:cs="宋体" w:eastAsia="宋体" w:hint="default"/>
        </w:rPr>
        <w:t>2018</w:t>
      </w:r>
      <w:r>
        <w:rPr/>
        <w:t>年</w:t>
      </w:r>
      <w:r>
        <w:rPr>
          <w:rFonts w:ascii="宋体" w:hAnsi="宋体" w:cs="宋体" w:eastAsia="宋体" w:hint="default"/>
        </w:rPr>
        <w:t>10</w:t>
      </w:r>
      <w:r>
        <w:rPr/>
        <w:t>月，东方财富期货参加在林芝市朗县以“群策群力扶贫济困，同心同德共迈小康”</w:t>
      </w:r>
      <w:r>
        <w:rPr>
          <w:w w:val="100"/>
        </w:rPr>
        <w:t> </w:t>
      </w:r>
      <w:r>
        <w:rPr>
          <w:spacing w:val="-2"/>
        </w:rPr>
        <w:t>为主题的全国“扶贫日”宣传活动，帮扶慰问朗县</w:t>
      </w:r>
      <w:r>
        <w:rPr>
          <w:rFonts w:ascii="宋体" w:hAnsi="宋体" w:cs="宋体" w:eastAsia="宋体" w:hint="default"/>
          <w:spacing w:val="-2"/>
        </w:rPr>
        <w:t>10</w:t>
      </w:r>
      <w:r>
        <w:rPr>
          <w:spacing w:val="-2"/>
        </w:rPr>
        <w:t>户特困大学生，每人发放帮扶资金</w:t>
      </w:r>
      <w:r>
        <w:rPr>
          <w:rFonts w:ascii="宋体" w:hAnsi="宋体" w:cs="宋体" w:eastAsia="宋体" w:hint="default"/>
          <w:spacing w:val="-2"/>
        </w:rPr>
        <w:t>3000</w:t>
      </w:r>
      <w:r>
        <w:rPr>
          <w:spacing w:val="-2"/>
        </w:rPr>
        <w:t>元，共计</w:t>
      </w:r>
      <w:r>
        <w:rPr>
          <w:rFonts w:ascii="宋体" w:hAnsi="宋体" w:cs="宋体" w:eastAsia="宋体" w:hint="default"/>
          <w:spacing w:val="-2"/>
        </w:rPr>
        <w:t>3</w:t>
      </w:r>
      <w:r>
        <w:rPr>
          <w:spacing w:val="-2"/>
        </w:rPr>
        <w:t>万</w:t>
      </w:r>
      <w:r>
        <w:rPr>
          <w:spacing w:val="-23"/>
        </w:rPr>
        <w:t> </w:t>
      </w:r>
      <w:r>
        <w:rPr/>
        <w:t>元。</w:t>
      </w:r>
      <w:r>
        <w:rPr>
          <w:rFonts w:ascii="宋体" w:hAnsi="宋体" w:cs="宋体" w:eastAsia="宋体" w:hint="default"/>
        </w:rPr>
        <w:t>2018</w:t>
      </w:r>
      <w:r>
        <w:rPr/>
        <w:t>年度，东方财富证券针对西藏结对扶助的嘉黎县、曲水县、墨脱县、措美县设立了扶贫教育奖</w:t>
      </w:r>
      <w:r>
        <w:rPr>
          <w:w w:val="100"/>
        </w:rPr>
        <w:t> </w:t>
      </w:r>
      <w:r>
        <w:rPr/>
        <w:t>学金，每县给予</w:t>
      </w:r>
      <w:r>
        <w:rPr>
          <w:rFonts w:ascii="宋体" w:hAnsi="宋体" w:cs="宋体" w:eastAsia="宋体" w:hint="default"/>
        </w:rPr>
        <w:t>3</w:t>
      </w:r>
      <w:r>
        <w:rPr/>
        <w:t>万元奖学金额；对拉萨市柳梧新区教育基金捐赠善款</w:t>
      </w:r>
      <w:r>
        <w:rPr>
          <w:rFonts w:ascii="宋体" w:hAnsi="宋体" w:cs="宋体" w:eastAsia="宋体" w:hint="default"/>
        </w:rPr>
        <w:t>10</w:t>
      </w:r>
      <w:r>
        <w:rPr/>
        <w:t>万元，不断推进教育扶贫。自</w:t>
      </w:r>
      <w:r>
        <w:rPr>
          <w:w w:val="100"/>
        </w:rPr>
        <w:t> </w:t>
      </w:r>
      <w:r>
        <w:rPr>
          <w:rFonts w:ascii="宋体" w:hAnsi="宋体" w:cs="宋体" w:eastAsia="宋体" w:hint="default"/>
        </w:rPr>
        <w:t>2011</w:t>
      </w:r>
      <w:r>
        <w:rPr/>
        <w:t>年以来，东方财富证券对“西藏那曲地区嘉黎县鸽群乡”进行对口扶助，</w:t>
      </w:r>
      <w:r>
        <w:rPr>
          <w:rFonts w:ascii="宋体" w:hAnsi="宋体" w:cs="宋体" w:eastAsia="宋体" w:hint="default"/>
        </w:rPr>
        <w:t>2018</w:t>
      </w:r>
      <w:r>
        <w:rPr/>
        <w:t>年已派驻第八批人员</w:t>
      </w:r>
      <w:r>
        <w:rPr>
          <w:w w:val="100"/>
        </w:rPr>
        <w:t> </w:t>
      </w:r>
      <w:r>
        <w:rPr/>
        <w:t>转驻点至西藏那曲县色雄乡巴热村，与当地农牧民群众同吃、同住、同劳动，帮助改善当地落后的基础</w:t>
      </w:r>
      <w:r>
        <w:rPr>
          <w:w w:val="100"/>
        </w:rPr>
        <w:t> </w:t>
      </w:r>
      <w:r>
        <w:rPr>
          <w:spacing w:val="-2"/>
        </w:rPr>
        <w:t>设施</w:t>
      </w:r>
      <w:r>
        <w:rPr>
          <w:rFonts w:ascii="宋体" w:hAnsi="宋体" w:cs="宋体" w:eastAsia="宋体" w:hint="default"/>
          <w:spacing w:val="-2"/>
        </w:rPr>
        <w:t>,</w:t>
      </w:r>
      <w:r>
        <w:rPr>
          <w:spacing w:val="-2"/>
        </w:rPr>
        <w:t>促进生产、生活水平提升。</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月，东方财富证券向援助西藏发展基金会捐赠“光明行”公益</w:t>
      </w:r>
      <w:r>
        <w:rPr>
          <w:spacing w:val="-18"/>
        </w:rPr>
        <w:t> </w:t>
      </w:r>
      <w:r>
        <w:rPr>
          <w:spacing w:val="-18"/>
        </w:rPr>
      </w:r>
      <w:r>
        <w:rPr/>
        <w:t>款</w:t>
      </w:r>
      <w:r>
        <w:rPr>
          <w:rFonts w:ascii="宋体" w:hAnsi="宋体" w:cs="宋体" w:eastAsia="宋体" w:hint="default"/>
        </w:rPr>
        <w:t>500</w:t>
      </w:r>
      <w:r>
        <w:rPr/>
        <w:t>万元。</w:t>
      </w:r>
    </w:p>
    <w:p>
      <w:pPr>
        <w:pStyle w:val="BodyText"/>
        <w:spacing w:line="273" w:lineRule="auto" w:before="48"/>
        <w:ind w:right="1114" w:firstLine="422"/>
        <w:jc w:val="left"/>
      </w:pPr>
      <w:r>
        <w:rPr>
          <w:rFonts w:ascii="宋体" w:hAnsi="宋体" w:cs="宋体" w:eastAsia="宋体" w:hint="default"/>
          <w:b/>
          <w:bCs/>
          <w:spacing w:val="-2"/>
        </w:rPr>
        <w:t>智力扶贫</w:t>
      </w:r>
      <w:r>
        <w:rPr>
          <w:spacing w:val="-2"/>
        </w:rPr>
        <w:t>：为推动和引领当地金融精准脱贫的能力和水平，建立“造血”式扶贫长效机制，</w:t>
      </w:r>
      <w:r>
        <w:rPr>
          <w:rFonts w:ascii="宋体" w:hAnsi="宋体" w:cs="宋体" w:eastAsia="宋体" w:hint="default"/>
          <w:spacing w:val="-2"/>
        </w:rPr>
        <w:t>2018</w:t>
      </w:r>
      <w:r>
        <w:rPr>
          <w:spacing w:val="-2"/>
        </w:rPr>
        <w:t>年</w:t>
      </w:r>
      <w:r>
        <w:rPr>
          <w:rFonts w:ascii="宋体" w:hAnsi="宋体" w:cs="宋体" w:eastAsia="宋体" w:hint="default"/>
          <w:spacing w:val="-2"/>
        </w:rPr>
        <w:t>1</w:t>
      </w:r>
      <w:r>
        <w:rPr>
          <w:rFonts w:ascii="宋体" w:hAnsi="宋体" w:cs="宋体" w:eastAsia="宋体" w:hint="default"/>
          <w:w w:val="100"/>
        </w:rPr>
        <w:t> </w:t>
      </w:r>
      <w:r>
        <w:rPr/>
        <w:t>月</w:t>
      </w:r>
      <w:r>
        <w:rPr>
          <w:rFonts w:ascii="宋体" w:hAnsi="宋体" w:cs="宋体" w:eastAsia="宋体" w:hint="default"/>
        </w:rPr>
        <w:t>8</w:t>
      </w:r>
      <w:r>
        <w:rPr/>
        <w:t>日至</w:t>
      </w:r>
      <w:r>
        <w:rPr>
          <w:rFonts w:ascii="宋体" w:hAnsi="宋体" w:cs="宋体" w:eastAsia="宋体" w:hint="default"/>
        </w:rPr>
        <w:t>1</w:t>
      </w:r>
      <w:r>
        <w:rPr/>
        <w:t>月</w:t>
      </w:r>
      <w:r>
        <w:rPr>
          <w:rFonts w:ascii="宋体" w:hAnsi="宋体" w:cs="宋体" w:eastAsia="宋体" w:hint="default"/>
        </w:rPr>
        <w:t>11</w:t>
      </w:r>
      <w:r>
        <w:rPr/>
        <w:t>日，东方财富证券在上海举办了“东方财富西藏扶贫县国有企业骨干研修班”，邀请来自</w:t>
      </w:r>
      <w:r>
        <w:rPr>
          <w:w w:val="100"/>
        </w:rPr>
        <w:t> </w:t>
      </w:r>
      <w:r>
        <w:rPr>
          <w:spacing w:val="-2"/>
        </w:rPr>
        <w:t>拉萨、日喀则、林芝、山南、那曲等地区贫困县近</w:t>
      </w:r>
      <w:r>
        <w:rPr>
          <w:rFonts w:ascii="宋体" w:hAnsi="宋体" w:cs="宋体" w:eastAsia="宋体" w:hint="default"/>
          <w:spacing w:val="-2"/>
        </w:rPr>
        <w:t>20</w:t>
      </w:r>
      <w:r>
        <w:rPr>
          <w:spacing w:val="-2"/>
        </w:rPr>
        <w:t>名国有企业金融骨干进行培训。</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16</w:t>
      </w:r>
      <w:r>
        <w:rPr>
          <w:spacing w:val="-2"/>
        </w:rPr>
        <w:t>日，东</w:t>
      </w:r>
      <w:r>
        <w:rPr>
          <w:spacing w:val="-17"/>
        </w:rPr>
        <w:t> </w:t>
      </w:r>
      <w:r>
        <w:rPr>
          <w:spacing w:val="-17"/>
        </w:rPr>
      </w:r>
      <w:r>
        <w:rPr/>
        <w:t>方财富期货根据与朗县签订的结对帮扶协议，举办了“金融知识援助精准扶贫”主题培训，参与人数</w:t>
      </w:r>
      <w:r>
        <w:rPr>
          <w:rFonts w:ascii="宋体" w:hAnsi="宋体" w:cs="宋体" w:eastAsia="宋体" w:hint="default"/>
        </w:rPr>
        <w:t>50</w:t>
      </w:r>
      <w:r>
        <w:rPr>
          <w:rFonts w:ascii="宋体" w:hAnsi="宋体" w:cs="宋体" w:eastAsia="宋体" w:hint="default"/>
          <w:spacing w:val="-3"/>
          <w:w w:val="100"/>
        </w:rPr>
        <w:t> </w:t>
      </w:r>
      <w:r>
        <w:rPr/>
        <w:t>余人。</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17</w:t>
      </w:r>
      <w:r>
        <w:rPr/>
        <w:t>日，东方财富期货联合朗县人民政府举办了“东方财富期货第二期金融知识援助精</w:t>
      </w:r>
      <w:r>
        <w:rPr>
          <w:w w:val="100"/>
        </w:rPr>
        <w:t> </w:t>
      </w:r>
      <w:r>
        <w:rPr/>
        <w:t>准扶贫”主题培训。</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26</w:t>
      </w:r>
      <w:r>
        <w:rPr/>
        <w:t>日，东方财富证券在措美县举行了“金融知识援助精准智力扶贫主题</w:t>
      </w:r>
      <w:r>
        <w:rPr>
          <w:w w:val="100"/>
        </w:rPr>
        <w:t> </w:t>
      </w:r>
      <w:r>
        <w:rPr/>
        <w:t>培训”。</w:t>
      </w:r>
    </w:p>
    <w:p>
      <w:pPr>
        <w:pStyle w:val="BodyText"/>
        <w:spacing w:line="273" w:lineRule="auto" w:before="48"/>
        <w:ind w:right="1310" w:firstLine="422"/>
        <w:jc w:val="both"/>
      </w:pPr>
      <w:r>
        <w:rPr>
          <w:rFonts w:ascii="宋体" w:hAnsi="宋体" w:cs="宋体" w:eastAsia="宋体" w:hint="default"/>
          <w:b/>
          <w:bCs/>
          <w:spacing w:val="-2"/>
        </w:rPr>
        <w:t>产业扶贫：</w:t>
      </w:r>
      <w:r>
        <w:rPr>
          <w:rFonts w:ascii="宋体" w:hAnsi="宋体" w:cs="宋体" w:eastAsia="宋体" w:hint="default"/>
          <w:spacing w:val="-2"/>
        </w:rPr>
        <w:t>2018</w:t>
      </w:r>
      <w:r>
        <w:rPr>
          <w:spacing w:val="-2"/>
        </w:rPr>
        <w:t>年度，东方财富证券向措美县捐赠</w:t>
      </w:r>
      <w:r>
        <w:rPr>
          <w:rFonts w:ascii="宋体" w:hAnsi="宋体" w:cs="宋体" w:eastAsia="宋体" w:hint="default"/>
          <w:spacing w:val="-2"/>
        </w:rPr>
        <w:t>25</w:t>
      </w:r>
      <w:r>
        <w:rPr>
          <w:spacing w:val="-2"/>
        </w:rPr>
        <w:t>万元，修建乃西村藏鸡养鸡场，积极采购扶贫</w:t>
      </w:r>
      <w:r>
        <w:rPr>
          <w:w w:val="100"/>
        </w:rPr>
        <w:t> </w:t>
      </w:r>
      <w:r>
        <w:rPr>
          <w:spacing w:val="-2"/>
        </w:rPr>
        <w:t>县具有雪域高原特色的特产合计</w:t>
      </w:r>
      <w:r>
        <w:rPr>
          <w:rFonts w:ascii="宋体" w:hAnsi="宋体" w:cs="宋体" w:eastAsia="宋体" w:hint="default"/>
          <w:spacing w:val="-2"/>
        </w:rPr>
        <w:t>48.8</w:t>
      </w:r>
      <w:r>
        <w:rPr>
          <w:spacing w:val="-2"/>
        </w:rPr>
        <w:t>万元，进一步拓宽西藏特色农产品的推广、销售渠道，支持当地产</w:t>
      </w:r>
      <w:r>
        <w:rPr>
          <w:spacing w:val="-17"/>
        </w:rPr>
        <w:t> </w:t>
      </w:r>
      <w:r>
        <w:rPr>
          <w:spacing w:val="-17"/>
        </w:rPr>
      </w:r>
      <w:r>
        <w:rPr/>
        <w:t>业发展。</w:t>
      </w:r>
    </w:p>
    <w:p>
      <w:pPr>
        <w:spacing w:line="240" w:lineRule="auto" w:before="12"/>
        <w:rPr>
          <w:rFonts w:ascii="宋体" w:hAnsi="宋体" w:cs="宋体" w:eastAsia="宋体" w:hint="default"/>
          <w:sz w:val="18"/>
          <w:szCs w:val="18"/>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13"/>
        <w:rPr>
          <w:rFonts w:ascii="宋体" w:hAnsi="宋体" w:cs="宋体" w:eastAsia="宋体" w:hint="default"/>
          <w:b/>
          <w:bCs/>
          <w:sz w:val="20"/>
          <w:szCs w:val="20"/>
        </w:rPr>
      </w:pPr>
    </w:p>
    <w:tbl>
      <w:tblPr>
        <w:tblW w:w="0" w:type="auto"/>
        <w:jc w:val="left"/>
        <w:tblInd w:w="182" w:type="dxa"/>
        <w:tblLayout w:type="fixed"/>
        <w:tblCellMar>
          <w:top w:w="0" w:type="dxa"/>
          <w:left w:w="0" w:type="dxa"/>
          <w:bottom w:w="0" w:type="dxa"/>
          <w:right w:w="0" w:type="dxa"/>
        </w:tblCellMar>
        <w:tblLook w:val="01E0"/>
      </w:tblPr>
      <w:tblGrid>
        <w:gridCol w:w="3625"/>
        <w:gridCol w:w="1553"/>
        <w:gridCol w:w="4390"/>
      </w:tblGrid>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649.64</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帮助建档立卡贫困人口脱贫数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产业发展脱贫项目个数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20" w:bottom="1160" w:left="980" w:right="0"/>
        </w:sectPr>
      </w:pPr>
    </w:p>
    <w:p>
      <w:pPr>
        <w:spacing w:line="240" w:lineRule="auto" w:before="8"/>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625"/>
        <w:gridCol w:w="1553"/>
        <w:gridCol w:w="4390"/>
      </w:tblGrid>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产业发展脱贫项目投入金额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帮助建档立卡贫困人口脱贫数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23" w:val="left" w:leader="none"/>
              </w:tabs>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 </w:t>
            </w:r>
            <w:r>
              <w:rPr>
                <w:rFonts w:ascii="宋体" w:hAnsi="宋体" w:cs="宋体" w:eastAsia="宋体" w:hint="default"/>
                <w:sz w:val="18"/>
                <w:szCs w:val="18"/>
              </w:rPr>
              <w:t>资助贫困学生投入金额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12.00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 </w:t>
            </w:r>
            <w:r>
              <w:rPr>
                <w:rFonts w:ascii="宋体" w:hAnsi="宋体" w:cs="宋体" w:eastAsia="宋体" w:hint="default"/>
                <w:sz w:val="18"/>
                <w:szCs w:val="18"/>
              </w:rPr>
              <w:t>资助贫困学生人数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r>
      <w:tr>
        <w:trPr>
          <w:trHeight w:val="397"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719"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103" w:val="left" w:leader="none"/>
              </w:tabs>
              <w:spacing w:line="300"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5.1 </w:t>
            </w:r>
            <w:r>
              <w:rPr>
                <w:rFonts w:ascii="宋体" w:hAnsi="宋体" w:cs="宋体" w:eastAsia="宋体" w:hint="default"/>
                <w:sz w:val="18"/>
                <w:szCs w:val="18"/>
              </w:rPr>
              <w:t>贫困地区医疗卫生资源投入 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 </w:t>
            </w:r>
            <w:r>
              <w:rPr>
                <w:rFonts w:ascii="宋体" w:hAnsi="宋体" w:cs="宋体" w:eastAsia="宋体" w:hint="default"/>
                <w:sz w:val="18"/>
                <w:szCs w:val="18"/>
              </w:rPr>
              <w:t>定点扶贫工作投入金额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38.80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 </w:t>
            </w:r>
            <w:r>
              <w:rPr>
                <w:rFonts w:ascii="宋体" w:hAnsi="宋体" w:cs="宋体" w:eastAsia="宋体" w:hint="default"/>
                <w:sz w:val="18"/>
                <w:szCs w:val="18"/>
              </w:rPr>
              <w:t>扶贫公益基金投入金额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23" w:val="left" w:leader="none"/>
              </w:tabs>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9.1.</w:t>
            </w:r>
            <w:r>
              <w:rPr>
                <w:rFonts w:ascii="宋体" w:hAnsi="宋体" w:cs="宋体" w:eastAsia="宋体" w:hint="default"/>
                <w:sz w:val="18"/>
                <w:szCs w:val="18"/>
              </w:rPr>
              <w:t>项目个数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60.84</w:t>
            </w:r>
          </w:p>
        </w:tc>
      </w:tr>
    </w:tbl>
    <w:p>
      <w:pPr>
        <w:spacing w:line="240" w:lineRule="auto" w:before="8"/>
        <w:rPr>
          <w:rFonts w:ascii="宋体" w:hAnsi="宋体" w:cs="宋体" w:eastAsia="宋体" w:hint="default"/>
          <w:b/>
          <w:bCs/>
          <w:sz w:val="14"/>
          <w:szCs w:val="14"/>
        </w:rPr>
      </w:pPr>
    </w:p>
    <w:p>
      <w:pPr>
        <w:pStyle w:val="Heading5"/>
        <w:spacing w:line="240" w:lineRule="auto"/>
        <w:ind w:right="1114"/>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13"/>
        <w:rPr>
          <w:rFonts w:ascii="宋体" w:hAnsi="宋体" w:cs="宋体" w:eastAsia="宋体" w:hint="default"/>
          <w:b/>
          <w:bCs/>
          <w:sz w:val="19"/>
          <w:szCs w:val="19"/>
        </w:rPr>
      </w:pPr>
    </w:p>
    <w:p>
      <w:pPr>
        <w:pStyle w:val="BodyText"/>
        <w:spacing w:line="273" w:lineRule="auto"/>
        <w:ind w:right="1114" w:firstLine="420"/>
        <w:jc w:val="left"/>
      </w:pPr>
      <w:r>
        <w:rPr>
          <w:spacing w:val="-2"/>
        </w:rPr>
        <w:t>围绕精准扶贫总体目标，充分发挥行业和自身优势，积极开展</w:t>
      </w:r>
      <w:r>
        <w:rPr>
          <w:rFonts w:ascii="宋体" w:hAnsi="宋体" w:cs="宋体" w:eastAsia="宋体" w:hint="default"/>
          <w:spacing w:val="-2"/>
        </w:rPr>
        <w:t>2019</w:t>
      </w:r>
      <w:r>
        <w:rPr>
          <w:spacing w:val="-2"/>
        </w:rPr>
        <w:t>年度精准扶贫工作，主要工作计划</w:t>
      </w:r>
      <w:r>
        <w:rPr>
          <w:w w:val="100"/>
        </w:rPr>
        <w:t> </w:t>
      </w:r>
      <w:r>
        <w:rPr/>
        <w:t>如下：</w:t>
      </w:r>
    </w:p>
    <w:p>
      <w:pPr>
        <w:pStyle w:val="BodyText"/>
        <w:spacing w:line="273" w:lineRule="auto" w:before="7"/>
        <w:ind w:right="1114" w:firstLine="420"/>
        <w:jc w:val="left"/>
      </w:pPr>
      <w:r>
        <w:rPr>
          <w:rFonts w:ascii="宋体" w:hAnsi="宋体" w:cs="宋体" w:eastAsia="宋体" w:hint="default"/>
          <w:spacing w:val="-5"/>
        </w:rPr>
        <w:t>1</w:t>
      </w:r>
      <w:r>
        <w:rPr>
          <w:spacing w:val="-5"/>
        </w:rPr>
        <w:t>）进一步健全扶贫档案。不断完备的扶贫县域联系人目录，进一步建立健全扶贫县特色产品目录、产</w:t>
      </w:r>
      <w:r>
        <w:rPr>
          <w:w w:val="100"/>
        </w:rPr>
        <w:t> </w:t>
      </w:r>
      <w:r>
        <w:rPr/>
        <w:t>业扶贫项目、扶贫及驻村人员等档案。</w:t>
      </w:r>
    </w:p>
    <w:p>
      <w:pPr>
        <w:pStyle w:val="BodyText"/>
        <w:spacing w:line="273" w:lineRule="auto" w:before="7"/>
        <w:ind w:right="1114" w:firstLine="420"/>
        <w:jc w:val="left"/>
      </w:pPr>
      <w:r>
        <w:rPr>
          <w:rFonts w:ascii="宋体" w:hAnsi="宋体" w:cs="宋体" w:eastAsia="宋体" w:hint="default"/>
          <w:spacing w:val="-4"/>
        </w:rPr>
        <w:t>2</w:t>
      </w:r>
      <w:r>
        <w:rPr>
          <w:spacing w:val="-4"/>
        </w:rPr>
        <w:t>）落实医疗扶贫白内障·光明工程项目落地，将捐赠的</w:t>
      </w:r>
      <w:r>
        <w:rPr>
          <w:rFonts w:ascii="宋体" w:hAnsi="宋体" w:cs="宋体" w:eastAsia="宋体" w:hint="default"/>
          <w:spacing w:val="-4"/>
        </w:rPr>
        <w:t>500.00</w:t>
      </w:r>
      <w:r>
        <w:rPr>
          <w:spacing w:val="-4"/>
        </w:rPr>
        <w:t>万元公益扶贫落实至需要的白内障病人</w:t>
      </w:r>
      <w:r>
        <w:rPr>
          <w:w w:val="100"/>
        </w:rPr>
        <w:t> </w:t>
      </w:r>
      <w:r>
        <w:rPr/>
        <w:t>手中。</w:t>
      </w:r>
    </w:p>
    <w:p>
      <w:pPr>
        <w:pStyle w:val="BodyText"/>
        <w:spacing w:line="240" w:lineRule="auto" w:before="7"/>
        <w:ind w:left="573" w:right="1114"/>
        <w:jc w:val="left"/>
      </w:pPr>
      <w:r>
        <w:rPr>
          <w:rFonts w:ascii="宋体" w:hAnsi="宋体" w:cs="宋体" w:eastAsia="宋体" w:hint="default"/>
        </w:rPr>
        <w:t>3</w:t>
      </w:r>
      <w:r>
        <w:rPr/>
        <w:t>）组织举办第二届西藏扶贫县国有企业金融业务骨干研修班。</w:t>
      </w:r>
    </w:p>
    <w:p>
      <w:pPr>
        <w:spacing w:line="240" w:lineRule="auto" w:before="3"/>
        <w:rPr>
          <w:rFonts w:ascii="宋体" w:hAnsi="宋体" w:cs="宋体" w:eastAsia="宋体" w:hint="default"/>
          <w:sz w:val="21"/>
          <w:szCs w:val="21"/>
        </w:rPr>
      </w:pPr>
    </w:p>
    <w:p>
      <w:pPr>
        <w:pStyle w:val="Heading5"/>
        <w:spacing w:line="240" w:lineRule="auto" w:before="0"/>
        <w:ind w:right="111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1"/>
          <w:szCs w:val="21"/>
        </w:rPr>
      </w:pPr>
    </w:p>
    <w:p>
      <w:pPr>
        <w:spacing w:line="357" w:lineRule="auto" w:before="0"/>
        <w:ind w:left="153" w:right="5713"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before="29"/>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公司及子公司不属于环境保护部门公布的重点排污单位。</w:t>
      </w:r>
    </w:p>
    <w:p>
      <w:pPr>
        <w:spacing w:line="240" w:lineRule="auto" w:before="3"/>
        <w:rPr>
          <w:rFonts w:ascii="宋体" w:hAnsi="宋体" w:cs="宋体" w:eastAsia="宋体" w:hint="default"/>
          <w:sz w:val="25"/>
          <w:szCs w:val="25"/>
        </w:rPr>
      </w:pPr>
    </w:p>
    <w:p>
      <w:pPr>
        <w:pStyle w:val="Heading3"/>
        <w:spacing w:line="240" w:lineRule="auto"/>
        <w:ind w:right="1114"/>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73" w:lineRule="auto" w:before="80"/>
        <w:ind w:right="1114" w:firstLine="420"/>
        <w:jc w:val="left"/>
      </w:pP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27</w:t>
      </w:r>
      <w:r>
        <w:rPr>
          <w:spacing w:val="-2"/>
        </w:rPr>
        <w:t>日召开了第四届董事会第十一次会议，审议通过《关于授权公司管理层使用部分</w:t>
      </w:r>
      <w:r>
        <w:rPr>
          <w:w w:val="100"/>
        </w:rPr>
        <w:t> </w:t>
      </w:r>
      <w:r>
        <w:rPr>
          <w:spacing w:val="-2"/>
        </w:rPr>
        <w:t>募集资金进行现金管理的议案》，在保证公司正常经营资金需求和资金安全的前提下，公司授权管理层使</w:t>
      </w:r>
    </w:p>
    <w:p>
      <w:pPr>
        <w:spacing w:after="0" w:line="273" w:lineRule="auto"/>
        <w:jc w:val="left"/>
        <w:sectPr>
          <w:pgSz w:w="11910" w:h="16840"/>
          <w:pgMar w:header="852" w:footer="979" w:top="1320" w:bottom="1160" w:left="980" w:right="0"/>
        </w:sectPr>
      </w:pPr>
    </w:p>
    <w:p>
      <w:pPr>
        <w:pStyle w:val="BodyText"/>
        <w:spacing w:line="273" w:lineRule="auto" w:before="100"/>
        <w:ind w:right="1114"/>
        <w:jc w:val="left"/>
      </w:pPr>
      <w:r>
        <w:rPr>
          <w:spacing w:val="-4"/>
        </w:rPr>
        <w:t>用不超过</w:t>
      </w:r>
      <w:r>
        <w:rPr>
          <w:rFonts w:ascii="宋体" w:hAnsi="宋体" w:cs="宋体" w:eastAsia="宋体" w:hint="default"/>
          <w:spacing w:val="-4"/>
        </w:rPr>
        <w:t>24,000.00</w:t>
      </w:r>
      <w:r>
        <w:rPr>
          <w:spacing w:val="-4"/>
        </w:rPr>
        <w:t>万元募集资金进行现金管理，在上述额度内，资金可以滚动使用。报告期内购买的银行</w:t>
      </w:r>
      <w:r>
        <w:rPr>
          <w:spacing w:val="-41"/>
        </w:rPr>
        <w:t> </w:t>
      </w:r>
      <w:r>
        <w:rPr>
          <w:spacing w:val="-41"/>
        </w:rPr>
      </w:r>
      <w:r>
        <w:rPr/>
        <w:t>结构性存款，期末已全部赎回。</w:t>
      </w:r>
    </w:p>
    <w:p>
      <w:pPr>
        <w:spacing w:line="240" w:lineRule="auto" w:before="8"/>
        <w:rPr>
          <w:rFonts w:ascii="宋体" w:hAnsi="宋体" w:cs="宋体" w:eastAsia="宋体" w:hint="default"/>
          <w:sz w:val="21"/>
          <w:szCs w:val="21"/>
        </w:rPr>
      </w:pPr>
    </w:p>
    <w:p>
      <w:pPr>
        <w:pStyle w:val="Heading3"/>
        <w:spacing w:line="240" w:lineRule="auto"/>
        <w:ind w:right="1114"/>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73" w:lineRule="auto" w:before="80"/>
        <w:ind w:right="1128" w:firstLine="420"/>
        <w:jc w:val="both"/>
      </w:pPr>
      <w:r>
        <w:rPr>
          <w:spacing w:val="-4"/>
        </w:rPr>
        <w:t>报告期内，东方财富证券召开临时股东大会，审议通过利润分配方案，以总股本</w:t>
      </w:r>
      <w:r>
        <w:rPr>
          <w:rFonts w:ascii="宋体" w:hAnsi="宋体" w:cs="宋体" w:eastAsia="宋体" w:hint="default"/>
          <w:spacing w:val="-4"/>
        </w:rPr>
        <w:t>540,000</w:t>
      </w:r>
      <w:r>
        <w:rPr>
          <w:spacing w:val="-4"/>
        </w:rPr>
        <w:t>万股为基数，</w:t>
      </w:r>
      <w:r>
        <w:rPr>
          <w:w w:val="100"/>
        </w:rPr>
        <w:t> </w:t>
      </w:r>
      <w:r>
        <w:rPr>
          <w:spacing w:val="-2"/>
        </w:rPr>
        <w:t>每</w:t>
      </w:r>
      <w:r>
        <w:rPr>
          <w:rFonts w:ascii="宋体" w:hAnsi="宋体" w:cs="宋体" w:eastAsia="宋体" w:hint="default"/>
          <w:spacing w:val="-2"/>
        </w:rPr>
        <w:t>10</w:t>
      </w:r>
      <w:r>
        <w:rPr>
          <w:spacing w:val="-2"/>
        </w:rPr>
        <w:t>股派现</w:t>
      </w:r>
      <w:r>
        <w:rPr>
          <w:rFonts w:ascii="宋体" w:hAnsi="宋体" w:cs="宋体" w:eastAsia="宋体" w:hint="default"/>
          <w:spacing w:val="-2"/>
        </w:rPr>
        <w:t>0.90</w:t>
      </w:r>
      <w:r>
        <w:rPr>
          <w:spacing w:val="-2"/>
        </w:rPr>
        <w:t>元，分别向股东东方财富、东财研究所派发现金分红款</w:t>
      </w:r>
      <w:r>
        <w:rPr>
          <w:rFonts w:ascii="宋体" w:hAnsi="宋体" w:cs="宋体" w:eastAsia="宋体" w:hint="default"/>
          <w:spacing w:val="-2"/>
        </w:rPr>
        <w:t>48,546.00</w:t>
      </w:r>
      <w:r>
        <w:rPr>
          <w:spacing w:val="-2"/>
        </w:rPr>
        <w:t>万元、</w:t>
      </w:r>
      <w:r>
        <w:rPr>
          <w:rFonts w:ascii="宋体" w:hAnsi="宋体" w:cs="宋体" w:eastAsia="宋体" w:hint="default"/>
          <w:spacing w:val="-2"/>
        </w:rPr>
        <w:t>54.00</w:t>
      </w:r>
      <w:r>
        <w:rPr>
          <w:spacing w:val="-2"/>
        </w:rPr>
        <w:t>万元。东方</w:t>
      </w:r>
      <w:r>
        <w:rPr>
          <w:spacing w:val="-31"/>
        </w:rPr>
        <w:t> </w:t>
      </w:r>
      <w:r>
        <w:rPr>
          <w:spacing w:val="-31"/>
        </w:rPr>
      </w:r>
      <w:r>
        <w:rPr/>
        <w:t>财富证券本次派发现金红利，对公司合并报表不产生影响。</w:t>
      </w:r>
    </w:p>
    <w:p>
      <w:pPr>
        <w:spacing w:after="0" w:line="273" w:lineRule="auto"/>
        <w:jc w:val="both"/>
        <w:sectPr>
          <w:pgSz w:w="11910" w:h="16840"/>
          <w:pgMar w:header="852" w:footer="979" w:top="132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1"/>
        <w:spacing w:line="240" w:lineRule="auto"/>
        <w:ind w:right="1114"/>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114"/>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9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810"/>
        <w:gridCol w:w="1133"/>
        <w:gridCol w:w="710"/>
        <w:gridCol w:w="991"/>
        <w:gridCol w:w="994"/>
        <w:gridCol w:w="1022"/>
        <w:gridCol w:w="1136"/>
        <w:gridCol w:w="1272"/>
        <w:gridCol w:w="795"/>
      </w:tblGrid>
      <w:tr>
        <w:trPr>
          <w:trHeight w:val="402" w:hRule="exact"/>
        </w:trPr>
        <w:tc>
          <w:tcPr>
            <w:tcW w:w="1810" w:type="dxa"/>
            <w:vMerge w:val="restart"/>
            <w:tcBorders>
              <w:top w:val="single" w:sz="4" w:space="0" w:color="000000"/>
              <w:left w:val="single" w:sz="4" w:space="0" w:color="000000"/>
              <w:right w:val="single" w:sz="4" w:space="0" w:color="000000"/>
            </w:tcBorders>
            <w:shd w:val="clear" w:color="auto" w:fill="D2D2D2"/>
          </w:tcPr>
          <w:p>
            <w:pP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4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3" w:hRule="exact"/>
        </w:trPr>
        <w:tc>
          <w:tcPr>
            <w:tcW w:w="1810"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可转债转股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843,941,129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168,788,227</w:t>
            </w:r>
          </w:p>
        </w:tc>
        <w:tc>
          <w:tcPr>
            <w:tcW w:w="102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170,829,427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1,014,770,556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19.63%</w:t>
            </w: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843,941,129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2,041,200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168,788,227</w:t>
            </w:r>
          </w:p>
        </w:tc>
        <w:tc>
          <w:tcPr>
            <w:tcW w:w="102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170,829,427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1,014,770,556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19.63%</w:t>
            </w:r>
          </w:p>
        </w:tc>
      </w:tr>
      <w:tr>
        <w:trPr>
          <w:trHeight w:val="401"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843,941,129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168,788,227</w:t>
            </w:r>
          </w:p>
        </w:tc>
        <w:tc>
          <w:tcPr>
            <w:tcW w:w="102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170,829,427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1,014,770,556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19.63%</w:t>
            </w: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3,444,838,589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19,568,304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688,967,716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139,861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708,675,881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4,153,514,470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80.37%</w:t>
            </w:r>
          </w:p>
        </w:tc>
      </w:tr>
      <w:tr>
        <w:trPr>
          <w:trHeight w:val="401"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3,444,838,589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19,568,304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688,967,716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139,861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708,675,881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4,153,514,470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80.37%</w:t>
            </w: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4,288,779,718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21,609,504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857,755,943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139,861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879,505,308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5,168,285,026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3" w:right="0" w:firstLine="0"/>
        <w:jc w:val="both"/>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3"/>
        <w:ind w:right="1114"/>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18</w:t>
      </w:r>
      <w:r>
        <w:rPr>
          <w:spacing w:val="-1"/>
        </w:rPr>
        <w:t>日，公司实施完成了</w:t>
      </w:r>
      <w:r>
        <w:rPr>
          <w:rFonts w:ascii="Times New Roman" w:hAnsi="Times New Roman" w:cs="Times New Roman" w:eastAsia="Times New Roman" w:hint="default"/>
          <w:spacing w:val="-1"/>
        </w:rPr>
        <w:t>2017</w:t>
      </w:r>
      <w:r>
        <w:rPr>
          <w:spacing w:val="-1"/>
        </w:rPr>
        <w:t>年度权益分派，即以总股本</w:t>
      </w:r>
      <w:r>
        <w:rPr>
          <w:rFonts w:ascii="Times New Roman" w:hAnsi="Times New Roman" w:cs="Times New Roman" w:eastAsia="Times New Roman" w:hint="default"/>
          <w:spacing w:val="-1"/>
        </w:rPr>
        <w:t>4,288,779,718</w:t>
      </w:r>
      <w:r>
        <w:rPr>
          <w:spacing w:val="-1"/>
        </w:rPr>
        <w:t>股为基数，用资本公</w:t>
      </w:r>
      <w:r>
        <w:rPr>
          <w:spacing w:val="-23"/>
        </w:rPr>
        <w:t> </w:t>
      </w:r>
      <w:r>
        <w:rPr>
          <w:spacing w:val="-23"/>
        </w:rPr>
      </w:r>
      <w:r>
        <w:rPr/>
        <w:t>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股，共转增</w:t>
      </w:r>
      <w:r>
        <w:rPr>
          <w:rFonts w:ascii="Times New Roman" w:hAnsi="Times New Roman" w:cs="Times New Roman" w:eastAsia="Times New Roman" w:hint="default"/>
        </w:rPr>
        <w:t>857,755,943</w:t>
      </w:r>
      <w:r>
        <w:rPr/>
        <w:t>股，转增后公司总股本变更为</w:t>
      </w:r>
      <w:r>
        <w:rPr>
          <w:rFonts w:ascii="Times New Roman" w:hAnsi="Times New Roman" w:cs="Times New Roman" w:eastAsia="Times New Roman" w:hint="default"/>
        </w:rPr>
        <w:t>5,146,535,661</w:t>
      </w:r>
      <w:r>
        <w:rPr/>
        <w:t>股。</w:t>
      </w:r>
    </w:p>
    <w:p>
      <w:pPr>
        <w:pStyle w:val="BodyText"/>
        <w:spacing w:line="256" w:lineRule="auto" w:before="46"/>
        <w:ind w:right="1114"/>
        <w:jc w:val="left"/>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5</w:t>
      </w:r>
      <w:r>
        <w:rPr>
          <w:spacing w:val="-4"/>
        </w:rPr>
        <w:t>日，公司完成了</w:t>
      </w:r>
      <w:r>
        <w:rPr>
          <w:rFonts w:ascii="Times New Roman" w:hAnsi="Times New Roman" w:cs="Times New Roman" w:eastAsia="Times New Roman" w:hint="default"/>
          <w:spacing w:val="-4"/>
        </w:rPr>
        <w:t>2014</w:t>
      </w:r>
      <w:r>
        <w:rPr>
          <w:spacing w:val="-4"/>
        </w:rPr>
        <w:t>年股票期权激励计划首次授予股票期权第三个行权期的行权工作，向</w:t>
      </w:r>
      <w:r>
        <w:rPr>
          <w:spacing w:val="-33"/>
        </w:rPr>
        <w:t> </w:t>
      </w:r>
      <w:r>
        <w:rPr>
          <w:spacing w:val="-33"/>
        </w:rPr>
      </w:r>
      <w:r>
        <w:rPr/>
        <w:t>激励对象定向增发了</w:t>
      </w:r>
      <w:r>
        <w:rPr>
          <w:rFonts w:ascii="Times New Roman" w:hAnsi="Times New Roman" w:cs="Times New Roman" w:eastAsia="Times New Roman" w:hint="default"/>
        </w:rPr>
        <w:t>21,609,504</w:t>
      </w:r>
      <w:r>
        <w:rPr/>
        <w:t>股，发行后公司总股本变更为</w:t>
      </w:r>
      <w:r>
        <w:rPr>
          <w:rFonts w:ascii="Times New Roman" w:hAnsi="Times New Roman" w:cs="Times New Roman" w:eastAsia="Times New Roman" w:hint="default"/>
        </w:rPr>
        <w:t>5,168,145,165</w:t>
      </w:r>
      <w:r>
        <w:rPr/>
        <w:t>股。</w:t>
      </w:r>
    </w:p>
    <w:p>
      <w:pPr>
        <w:pStyle w:val="BodyText"/>
        <w:spacing w:line="256" w:lineRule="auto" w:before="43"/>
        <w:ind w:right="1114"/>
        <w:jc w:val="left"/>
      </w:pPr>
      <w:r>
        <w:rPr>
          <w:spacing w:val="-2"/>
        </w:rPr>
        <w:t>（</w:t>
      </w:r>
      <w:r>
        <w:rPr>
          <w:rFonts w:ascii="Times New Roman" w:hAnsi="Times New Roman" w:cs="Times New Roman" w:eastAsia="Times New Roman" w:hint="default"/>
          <w:spacing w:val="-2"/>
        </w:rPr>
        <w:t>3</w:t>
      </w:r>
      <w:r>
        <w:rPr>
          <w:spacing w:val="-2"/>
        </w:rPr>
        <w:t>）根据《募集说明书》的相关规定，公司可转债自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日起可转换为公司股份。截至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3"/>
        </w:rPr>
        <w:t> </w:t>
      </w:r>
      <w:r>
        <w:rPr/>
        <w:t>月</w:t>
      </w:r>
      <w:r>
        <w:rPr>
          <w:rFonts w:ascii="Times New Roman" w:hAnsi="Times New Roman" w:cs="Times New Roman" w:eastAsia="Times New Roman" w:hint="default"/>
        </w:rPr>
        <w:t>31</w:t>
      </w:r>
      <w:r>
        <w:rPr/>
        <w:t>日，累计转股</w:t>
      </w:r>
      <w:r>
        <w:rPr>
          <w:rFonts w:ascii="Times New Roman" w:hAnsi="Times New Roman" w:cs="Times New Roman" w:eastAsia="Times New Roman" w:hint="default"/>
        </w:rPr>
        <w:t>139,861</w:t>
      </w:r>
      <w:r>
        <w:rPr/>
        <w:t>股，公司总股本变更为</w:t>
      </w:r>
      <w:r>
        <w:rPr>
          <w:rFonts w:ascii="Times New Roman" w:hAnsi="Times New Roman" w:cs="Times New Roman" w:eastAsia="Times New Roman" w:hint="default"/>
        </w:rPr>
        <w:t>5,168,285,026</w:t>
      </w:r>
      <w:r>
        <w:rPr/>
        <w:t>股。</w:t>
      </w:r>
    </w:p>
    <w:p>
      <w:pPr>
        <w:spacing w:before="66"/>
        <w:ind w:left="153" w:right="0" w:firstLine="0"/>
        <w:jc w:val="both"/>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0"/>
        <w:ind w:right="1114"/>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日，公司</w:t>
      </w:r>
      <w:r>
        <w:rPr>
          <w:rFonts w:ascii="Times New Roman" w:hAnsi="Times New Roman" w:cs="Times New Roman" w:eastAsia="Times New Roman" w:hint="default"/>
          <w:spacing w:val="-2"/>
        </w:rPr>
        <w:t>2016</w:t>
      </w:r>
      <w:r>
        <w:rPr>
          <w:spacing w:val="-2"/>
        </w:rPr>
        <w:t>年年度股东大会审议通过《关于公司公开发行可转换公司债券并上市方案</w:t>
      </w:r>
      <w:r>
        <w:rPr>
          <w:spacing w:val="-30"/>
        </w:rPr>
        <w:t> </w:t>
      </w:r>
      <w:r>
        <w:rPr>
          <w:spacing w:val="-30"/>
        </w:rPr>
      </w:r>
      <w:r>
        <w:rPr/>
        <w:t>的议案》等议案。</w:t>
      </w:r>
    </w:p>
    <w:p>
      <w:pPr>
        <w:pStyle w:val="BodyText"/>
        <w:spacing w:line="240" w:lineRule="auto" w:before="64"/>
        <w:ind w:right="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w:t>
      </w:r>
      <w:r>
        <w:rPr>
          <w:rFonts w:ascii="Times New Roman" w:hAnsi="Times New Roman" w:cs="Times New Roman" w:eastAsia="Times New Roman" w:hint="default"/>
        </w:rPr>
        <w:t>2017</w:t>
      </w:r>
      <w:r>
        <w:rPr/>
        <w:t>年年度股东大会审议通过</w:t>
      </w:r>
      <w:r>
        <w:rPr>
          <w:rFonts w:ascii="Times New Roman" w:hAnsi="Times New Roman" w:cs="Times New Roman" w:eastAsia="Times New Roman" w:hint="default"/>
        </w:rPr>
        <w:t>2017</w:t>
      </w:r>
      <w:r>
        <w:rPr/>
        <w:t>年度权益分派方案。</w:t>
      </w:r>
    </w:p>
    <w:p>
      <w:pPr>
        <w:pStyle w:val="BodyText"/>
        <w:spacing w:line="256" w:lineRule="auto" w:before="62"/>
        <w:ind w:right="1126"/>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12</w:t>
      </w:r>
      <w:r>
        <w:rPr>
          <w:spacing w:val="-2"/>
        </w:rPr>
        <w:t>日，根据公司</w:t>
      </w:r>
      <w:r>
        <w:rPr>
          <w:rFonts w:ascii="Times New Roman" w:hAnsi="Times New Roman" w:cs="Times New Roman" w:eastAsia="Times New Roman" w:hint="default"/>
          <w:spacing w:val="-2"/>
        </w:rPr>
        <w:t>2014</w:t>
      </w:r>
      <w:r>
        <w:rPr>
          <w:spacing w:val="-2"/>
        </w:rPr>
        <w:t>年第二次临时股东大会的授权，公司召开第四届董事会第十六次会议</w:t>
      </w:r>
      <w:r>
        <w:rPr>
          <w:spacing w:val="-31"/>
        </w:rPr>
        <w:t> </w:t>
      </w:r>
      <w:r>
        <w:rPr>
          <w:spacing w:val="-31"/>
        </w:rPr>
      </w:r>
      <w:r>
        <w:rPr>
          <w:spacing w:val="-2"/>
        </w:rPr>
        <w:t>审议通过了《关于公司</w:t>
      </w:r>
      <w:r>
        <w:rPr>
          <w:rFonts w:ascii="Times New Roman" w:hAnsi="Times New Roman" w:cs="Times New Roman" w:eastAsia="Times New Roman" w:hint="default"/>
          <w:spacing w:val="-2"/>
        </w:rPr>
        <w:t>2014</w:t>
      </w:r>
      <w:r>
        <w:rPr>
          <w:spacing w:val="-2"/>
        </w:rPr>
        <w:t>年股票期权激励计划首次授予股票期权第三个行权期及授予的预留股票期权第</w:t>
      </w:r>
      <w:r>
        <w:rPr>
          <w:spacing w:val="-43"/>
        </w:rPr>
        <w:t> </w:t>
      </w:r>
      <w:r>
        <w:rPr>
          <w:spacing w:val="-43"/>
        </w:rPr>
      </w:r>
      <w:r>
        <w:rPr>
          <w:spacing w:val="-5"/>
        </w:rPr>
        <w:t>二个行权期可行权的议案》，董事会同意首次授予股票期权</w:t>
      </w:r>
      <w:r>
        <w:rPr>
          <w:rFonts w:ascii="Times New Roman" w:hAnsi="Times New Roman" w:cs="Times New Roman" w:eastAsia="Times New Roman" w:hint="default"/>
          <w:spacing w:val="-5"/>
        </w:rPr>
        <w:t>149</w:t>
      </w:r>
      <w:r>
        <w:rPr>
          <w:spacing w:val="-5"/>
        </w:rPr>
        <w:t>名激励对象在第三个行权期内行权，可行权</w:t>
      </w:r>
      <w:r>
        <w:rPr>
          <w:spacing w:val="-3"/>
        </w:rPr>
        <w:t> </w:t>
      </w:r>
      <w:r>
        <w:rPr>
          <w:spacing w:val="-3"/>
        </w:rPr>
      </w:r>
      <w:r>
        <w:rPr/>
        <w:t>股票期权数量为</w:t>
      </w:r>
      <w:r>
        <w:rPr>
          <w:rFonts w:ascii="Times New Roman" w:hAnsi="Times New Roman" w:cs="Times New Roman" w:eastAsia="Times New Roman" w:hint="default"/>
        </w:rPr>
        <w:t>2,160.9504</w:t>
      </w:r>
      <w:r>
        <w:rPr/>
        <w:t>万份，行权价格为</w:t>
      </w:r>
      <w:r>
        <w:rPr>
          <w:rFonts w:ascii="Times New Roman" w:hAnsi="Times New Roman" w:cs="Times New Roman" w:eastAsia="Times New Roman" w:hint="default"/>
        </w:rPr>
        <w:t>3.49</w:t>
      </w:r>
      <w:r>
        <w:rPr/>
        <w:t>元。</w:t>
      </w:r>
    </w:p>
    <w:p>
      <w:pPr>
        <w:spacing w:before="64"/>
        <w:ind w:left="153" w:right="0" w:firstLine="0"/>
        <w:jc w:val="both"/>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right="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日，公司完成了</w:t>
      </w:r>
      <w:r>
        <w:rPr>
          <w:rFonts w:ascii="Times New Roman" w:hAnsi="Times New Roman" w:cs="Times New Roman" w:eastAsia="Times New Roman" w:hint="default"/>
        </w:rPr>
        <w:t>2017</w:t>
      </w:r>
      <w:r>
        <w:rPr/>
        <w:t>年度权益分派。</w:t>
      </w:r>
    </w:p>
    <w:p>
      <w:pPr>
        <w:pStyle w:val="BodyText"/>
        <w:spacing w:line="240" w:lineRule="auto" w:before="59"/>
        <w:ind w:right="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日，公司完成了</w:t>
      </w:r>
      <w:r>
        <w:rPr>
          <w:rFonts w:ascii="Times New Roman" w:hAnsi="Times New Roman" w:cs="Times New Roman" w:eastAsia="Times New Roman" w:hint="default"/>
        </w:rPr>
        <w:t>2014</w:t>
      </w:r>
      <w:r>
        <w:rPr/>
        <w:t>年股票期权激励计划首次授予股票期权第三个行权期行权工作。</w:t>
      </w:r>
    </w:p>
    <w:p>
      <w:pPr>
        <w:pStyle w:val="BodyText"/>
        <w:spacing w:line="240" w:lineRule="auto" w:before="62"/>
        <w:ind w:right="0"/>
        <w:jc w:val="both"/>
      </w:pPr>
      <w:r>
        <w:rPr/>
        <w:t>（</w:t>
      </w:r>
      <w:r>
        <w:rPr>
          <w:rFonts w:ascii="Times New Roman" w:hAnsi="Times New Roman" w:cs="Times New Roman" w:eastAsia="Times New Roman" w:hint="default"/>
        </w:rPr>
        <w:t>3</w:t>
      </w:r>
      <w:r>
        <w:rPr/>
        <w:t>）转股期（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日）内，公司可转债可转换为公司股份。</w:t>
      </w:r>
    </w:p>
    <w:p>
      <w:pPr>
        <w:spacing w:after="0" w:line="240" w:lineRule="auto"/>
        <w:jc w:val="both"/>
        <w:sectPr>
          <w:pgSz w:w="11910" w:h="16840"/>
          <w:pgMar w:header="852" w:footer="979" w:top="1320" w:bottom="1160" w:left="980" w:right="0"/>
        </w:sectPr>
      </w:pPr>
    </w:p>
    <w:p>
      <w:pPr>
        <w:spacing w:before="121"/>
        <w:ind w:left="153" w:right="1114"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line="338" w:lineRule="auto" w:before="117"/>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40" w:lineRule="auto" w:before="43"/>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39"/>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3"/>
        <w:ind w:right="1114"/>
        <w:jc w:val="left"/>
      </w:pPr>
      <w:r>
        <w:rPr>
          <w:spacing w:val="-5"/>
        </w:rPr>
        <w:t>（</w:t>
      </w:r>
      <w:r>
        <w:rPr>
          <w:rFonts w:ascii="Times New Roman" w:hAnsi="Times New Roman" w:cs="Times New Roman" w:eastAsia="Times New Roman" w:hint="default"/>
          <w:spacing w:val="-5"/>
        </w:rPr>
        <w:t>1</w:t>
      </w:r>
      <w:r>
        <w:rPr>
          <w:spacing w:val="-5"/>
        </w:rPr>
        <w:t>）公司使用资本公积金转增股本，会引起基本每股收益、稀释每股收益、归属于公司普通股股东的每股</w:t>
      </w:r>
      <w:r>
        <w:rPr>
          <w:spacing w:val="-8"/>
        </w:rPr>
        <w:t> </w:t>
      </w:r>
      <w:r>
        <w:rPr>
          <w:spacing w:val="-8"/>
        </w:rPr>
      </w:r>
      <w:r>
        <w:rPr/>
        <w:t>净资产下降。</w:t>
      </w:r>
    </w:p>
    <w:p>
      <w:pPr>
        <w:pStyle w:val="BodyText"/>
        <w:spacing w:line="256" w:lineRule="auto" w:before="63"/>
        <w:ind w:right="1114"/>
        <w:jc w:val="left"/>
      </w:pPr>
      <w:r>
        <w:rPr>
          <w:spacing w:val="-5"/>
        </w:rPr>
        <w:t>（</w:t>
      </w:r>
      <w:r>
        <w:rPr>
          <w:rFonts w:ascii="Times New Roman" w:hAnsi="Times New Roman" w:cs="Times New Roman" w:eastAsia="Times New Roman" w:hint="default"/>
          <w:spacing w:val="-5"/>
        </w:rPr>
        <w:t>2</w:t>
      </w:r>
      <w:r>
        <w:rPr>
          <w:spacing w:val="-5"/>
        </w:rPr>
        <w:t>）公司实施股票期权行权，会引起基本每股收益和稀释每股收益下降，归属于公司普通股股东的每股净</w:t>
      </w:r>
      <w:r>
        <w:rPr>
          <w:spacing w:val="-6"/>
        </w:rPr>
        <w:t> </w:t>
      </w:r>
      <w:r>
        <w:rPr>
          <w:spacing w:val="-6"/>
        </w:rPr>
      </w:r>
      <w:r>
        <w:rPr/>
        <w:t>资产增加。</w:t>
      </w:r>
    </w:p>
    <w:p>
      <w:pPr>
        <w:pStyle w:val="BodyText"/>
        <w:spacing w:line="256" w:lineRule="auto" w:before="61"/>
        <w:ind w:right="1114"/>
        <w:jc w:val="left"/>
      </w:pPr>
      <w:r>
        <w:rPr>
          <w:spacing w:val="-5"/>
        </w:rPr>
        <w:t>（</w:t>
      </w:r>
      <w:r>
        <w:rPr>
          <w:rFonts w:ascii="Times New Roman" w:hAnsi="Times New Roman" w:cs="Times New Roman" w:eastAsia="Times New Roman" w:hint="default"/>
          <w:spacing w:val="-5"/>
        </w:rPr>
        <w:t>3</w:t>
      </w:r>
      <w:r>
        <w:rPr>
          <w:spacing w:val="-5"/>
        </w:rPr>
        <w:t>）公司可转债转为股份，会引起基本每股收益和稀释每股收益下降，归属于公司普通股股东的每股净资</w:t>
      </w:r>
      <w:r>
        <w:rPr>
          <w:spacing w:val="-6"/>
        </w:rPr>
        <w:t> </w:t>
      </w:r>
      <w:r>
        <w:rPr>
          <w:spacing w:val="-6"/>
        </w:rPr>
      </w:r>
      <w:r>
        <w:rPr/>
        <w:t>产增加。</w:t>
      </w:r>
    </w:p>
    <w:p>
      <w:pPr>
        <w:spacing w:before="84"/>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before="0"/>
        <w:ind w:right="111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818"/>
        <w:gridCol w:w="1274"/>
        <w:gridCol w:w="850"/>
        <w:gridCol w:w="994"/>
        <w:gridCol w:w="1275"/>
        <w:gridCol w:w="1560"/>
        <w:gridCol w:w="2799"/>
      </w:tblGrid>
      <w:tr>
        <w:trPr>
          <w:trHeight w:val="754" w:hRule="exact"/>
        </w:trPr>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59" w:right="58"/>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34" w:right="127"/>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66"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1"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769,137,575</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153,827,515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922,965,090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董监高股份限售</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3"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22,253,597</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4,450,720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26,704,317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董监高股份限售</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1"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39,242,271</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7,848,455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47,090,726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董监高股份限售</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3"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4,957,475</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2,352,295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7,309,770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董监高股份限售</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1"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8,350,211</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2,350,442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10,700,653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董监高股份限售</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3" w:hRule="exact"/>
        </w:trPr>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843,941,129</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170,829,427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1,014,770,556</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1114"/>
        <w:jc w:val="left"/>
        <w:rPr>
          <w:b w:val="0"/>
          <w:bCs w:val="0"/>
        </w:rPr>
      </w:pPr>
      <w:r>
        <w:rPr/>
        <w:t>二、证券发行与上市情况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243"/>
        <w:gridCol w:w="1700"/>
        <w:gridCol w:w="1135"/>
        <w:gridCol w:w="992"/>
        <w:gridCol w:w="1843"/>
        <w:gridCol w:w="994"/>
        <w:gridCol w:w="1663"/>
      </w:tblGrid>
      <w:tr>
        <w:trPr>
          <w:trHeight w:val="754" w:hRule="exact"/>
        </w:trPr>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56" w:right="74"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发行价格</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32" w:right="130"/>
              <w:jc w:val="left"/>
              <w:rPr>
                <w:rFonts w:ascii="宋体" w:hAnsi="宋体" w:cs="宋体" w:eastAsia="宋体" w:hint="default"/>
                <w:sz w:val="18"/>
                <w:szCs w:val="18"/>
              </w:rPr>
            </w:pPr>
            <w:r>
              <w:rPr>
                <w:rFonts w:ascii="宋体" w:hAnsi="宋体" w:cs="宋体" w:eastAsia="宋体" w:hint="default"/>
                <w:sz w:val="18"/>
                <w:szCs w:val="18"/>
              </w:rPr>
              <w:t>获准上市 交易数量</w:t>
            </w: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21,609,504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21,609,504</w:t>
            </w: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东财转债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46,500,000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46,500,000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52" w:footer="979" w:top="1320" w:bottom="1160" w:left="980" w:right="0"/>
        </w:sectPr>
      </w:pPr>
    </w:p>
    <w:p>
      <w:pPr>
        <w:spacing w:before="121"/>
        <w:ind w:left="153" w:right="0" w:firstLine="0"/>
        <w:jc w:val="both"/>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pStyle w:val="BodyText"/>
        <w:spacing w:line="256" w:lineRule="auto" w:before="96"/>
        <w:ind w:right="1114"/>
        <w:jc w:val="left"/>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5</w:t>
      </w:r>
      <w:r>
        <w:rPr>
          <w:spacing w:val="-4"/>
        </w:rPr>
        <w:t>日，公司完成了</w:t>
      </w:r>
      <w:r>
        <w:rPr>
          <w:rFonts w:ascii="Times New Roman" w:hAnsi="Times New Roman" w:cs="Times New Roman" w:eastAsia="Times New Roman" w:hint="default"/>
          <w:spacing w:val="-4"/>
        </w:rPr>
        <w:t>2014</w:t>
      </w:r>
      <w:r>
        <w:rPr>
          <w:spacing w:val="-4"/>
        </w:rPr>
        <w:t>年股票期权激励计划首次授予股票期权第三个行权期的行权工作，向</w:t>
      </w:r>
      <w:r>
        <w:rPr>
          <w:spacing w:val="-33"/>
        </w:rPr>
        <w:t> </w:t>
      </w:r>
      <w:r>
        <w:rPr>
          <w:spacing w:val="-33"/>
        </w:rPr>
      </w:r>
      <w:r>
        <w:rPr/>
        <w:t>激励对象定向增发了</w:t>
      </w:r>
      <w:r>
        <w:rPr>
          <w:rFonts w:ascii="Times New Roman" w:hAnsi="Times New Roman" w:cs="Times New Roman" w:eastAsia="Times New Roman" w:hint="default"/>
        </w:rPr>
        <w:t>21,609,504</w:t>
      </w:r>
      <w:r>
        <w:rPr/>
        <w:t>股，发行后公司总股本变更为</w:t>
      </w:r>
      <w:r>
        <w:rPr>
          <w:rFonts w:ascii="Times New Roman" w:hAnsi="Times New Roman" w:cs="Times New Roman" w:eastAsia="Times New Roman" w:hint="default"/>
        </w:rPr>
        <w:t>5,168,145,165</w:t>
      </w:r>
      <w:r>
        <w:rPr/>
        <w:t>股。</w:t>
      </w:r>
    </w:p>
    <w:p>
      <w:pPr>
        <w:pStyle w:val="BodyText"/>
        <w:spacing w:line="256" w:lineRule="auto" w:before="43"/>
        <w:ind w:right="1114"/>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日，公司公开发行了</w:t>
      </w:r>
      <w:r>
        <w:rPr>
          <w:rFonts w:ascii="Times New Roman" w:hAnsi="Times New Roman" w:cs="Times New Roman" w:eastAsia="Times New Roman" w:hint="default"/>
          <w:spacing w:val="-2"/>
        </w:rPr>
        <w:t>4,650.00</w:t>
      </w:r>
      <w:r>
        <w:rPr>
          <w:spacing w:val="-2"/>
        </w:rPr>
        <w:t>万张可转换公司债券，每张面值</w:t>
      </w:r>
      <w:r>
        <w:rPr>
          <w:rFonts w:ascii="Times New Roman" w:hAnsi="Times New Roman" w:cs="Times New Roman" w:eastAsia="Times New Roman" w:hint="default"/>
          <w:spacing w:val="-2"/>
        </w:rPr>
        <w:t>100.00</w:t>
      </w:r>
      <w:r>
        <w:rPr>
          <w:spacing w:val="-2"/>
        </w:rPr>
        <w:t>元，发行总额</w:t>
      </w:r>
      <w:r>
        <w:rPr>
          <w:rFonts w:ascii="Times New Roman" w:hAnsi="Times New Roman" w:cs="Times New Roman" w:eastAsia="Times New Roman" w:hint="default"/>
          <w:spacing w:val="-2"/>
        </w:rPr>
        <w:t>46.50</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亿元。</w:t>
      </w:r>
    </w:p>
    <w:p>
      <w:pPr>
        <w:spacing w:line="240" w:lineRule="auto" w:before="8"/>
        <w:rPr>
          <w:rFonts w:ascii="宋体" w:hAnsi="宋体" w:cs="宋体" w:eastAsia="宋体" w:hint="default"/>
          <w:sz w:val="24"/>
          <w:szCs w:val="24"/>
        </w:rPr>
      </w:pPr>
    </w:p>
    <w:p>
      <w:pPr>
        <w:pStyle w:val="Heading5"/>
        <w:spacing w:line="240" w:lineRule="auto" w:before="0"/>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3"/>
        <w:ind w:right="1128"/>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18</w:t>
      </w:r>
      <w:r>
        <w:rPr>
          <w:spacing w:val="-1"/>
        </w:rPr>
        <w:t>日，公司实施完成了</w:t>
      </w:r>
      <w:r>
        <w:rPr>
          <w:rFonts w:ascii="Times New Roman" w:hAnsi="Times New Roman" w:cs="Times New Roman" w:eastAsia="Times New Roman" w:hint="default"/>
          <w:spacing w:val="-1"/>
        </w:rPr>
        <w:t>2017</w:t>
      </w:r>
      <w:r>
        <w:rPr>
          <w:spacing w:val="-1"/>
        </w:rPr>
        <w:t>年度权益分派，即以总股本</w:t>
      </w:r>
      <w:r>
        <w:rPr>
          <w:rFonts w:ascii="Times New Roman" w:hAnsi="Times New Roman" w:cs="Times New Roman" w:eastAsia="Times New Roman" w:hint="default"/>
          <w:spacing w:val="-1"/>
        </w:rPr>
        <w:t>4,288,779,718</w:t>
      </w:r>
      <w:r>
        <w:rPr>
          <w:spacing w:val="-1"/>
        </w:rPr>
        <w:t>股为基数，用资本公</w:t>
      </w:r>
      <w:r>
        <w:rPr>
          <w:spacing w:val="-23"/>
        </w:rPr>
        <w:t> </w:t>
      </w:r>
      <w:r>
        <w:rPr>
          <w:spacing w:val="-23"/>
        </w:rPr>
      </w:r>
      <w:r>
        <w:rPr>
          <w:spacing w:val="-3"/>
        </w:rPr>
        <w:t>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2</w:t>
      </w:r>
      <w:r>
        <w:rPr>
          <w:spacing w:val="-3"/>
        </w:rPr>
        <w:t>股，共转增</w:t>
      </w:r>
      <w:r>
        <w:rPr>
          <w:rFonts w:ascii="Times New Roman" w:hAnsi="Times New Roman" w:cs="Times New Roman" w:eastAsia="Times New Roman" w:hint="default"/>
          <w:spacing w:val="-3"/>
        </w:rPr>
        <w:t>857,755,943</w:t>
      </w:r>
      <w:r>
        <w:rPr>
          <w:spacing w:val="-3"/>
        </w:rPr>
        <w:t>股，转增后公司总股本变更为</w:t>
      </w:r>
      <w:r>
        <w:rPr>
          <w:rFonts w:ascii="Times New Roman" w:hAnsi="Times New Roman" w:cs="Times New Roman" w:eastAsia="Times New Roman" w:hint="default"/>
          <w:spacing w:val="-3"/>
        </w:rPr>
        <w:t>5,146,535,661</w:t>
      </w:r>
      <w:r>
        <w:rPr>
          <w:spacing w:val="-3"/>
        </w:rPr>
        <w:t>股；向全体</w:t>
      </w:r>
      <w:r>
        <w:rPr>
          <w:spacing w:val="-11"/>
        </w:rPr>
        <w:t> </w:t>
      </w:r>
      <w:r>
        <w:rPr>
          <w:spacing w:val="-11"/>
        </w:rPr>
      </w:r>
      <w:r>
        <w:rPr/>
        <w:t>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0.20</w:t>
      </w:r>
      <w:r>
        <w:rPr/>
        <w:t>元（含税），合计派发</w:t>
      </w:r>
      <w:r>
        <w:rPr>
          <w:rFonts w:ascii="Times New Roman" w:hAnsi="Times New Roman" w:cs="Times New Roman" w:eastAsia="Times New Roman" w:hint="default"/>
        </w:rPr>
        <w:t>85,775,594.36</w:t>
      </w:r>
      <w:r>
        <w:rPr/>
        <w:t>元，公司总资产减少</w:t>
      </w:r>
      <w:r>
        <w:rPr>
          <w:rFonts w:ascii="Times New Roman" w:hAnsi="Times New Roman" w:cs="Times New Roman" w:eastAsia="Times New Roman" w:hint="default"/>
        </w:rPr>
        <w:t>85,775,594.36</w:t>
      </w:r>
      <w:r>
        <w:rPr/>
        <w:t>元。</w:t>
      </w:r>
    </w:p>
    <w:p>
      <w:pPr>
        <w:pStyle w:val="BodyText"/>
        <w:spacing w:line="256" w:lineRule="auto" w:before="43"/>
        <w:ind w:right="1114"/>
        <w:jc w:val="left"/>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5</w:t>
      </w:r>
      <w:r>
        <w:rPr>
          <w:spacing w:val="-4"/>
        </w:rPr>
        <w:t>日，公司完成了</w:t>
      </w:r>
      <w:r>
        <w:rPr>
          <w:rFonts w:ascii="Times New Roman" w:hAnsi="Times New Roman" w:cs="Times New Roman" w:eastAsia="Times New Roman" w:hint="default"/>
          <w:spacing w:val="-4"/>
        </w:rPr>
        <w:t>2014</w:t>
      </w:r>
      <w:r>
        <w:rPr>
          <w:spacing w:val="-4"/>
        </w:rPr>
        <w:t>年股票期权激励计划首次授予股票期权第三个行权期的行权工作，向</w:t>
      </w:r>
      <w:r>
        <w:rPr>
          <w:spacing w:val="-33"/>
        </w:rPr>
        <w:t> </w:t>
      </w:r>
      <w:r>
        <w:rPr>
          <w:spacing w:val="-33"/>
        </w:rPr>
      </w:r>
      <w:r>
        <w:rPr/>
        <w:t>激励对象定向增发了</w:t>
      </w:r>
      <w:r>
        <w:rPr>
          <w:rFonts w:ascii="Times New Roman" w:hAnsi="Times New Roman" w:cs="Times New Roman" w:eastAsia="Times New Roman" w:hint="default"/>
        </w:rPr>
        <w:t>21,609,504</w:t>
      </w:r>
      <w:r>
        <w:rPr/>
        <w:t>股，发行后公司总股本变更为</w:t>
      </w:r>
      <w:r>
        <w:rPr>
          <w:rFonts w:ascii="Times New Roman" w:hAnsi="Times New Roman" w:cs="Times New Roman" w:eastAsia="Times New Roman" w:hint="default"/>
        </w:rPr>
        <w:t>5,168,145,165</w:t>
      </w:r>
      <w:r>
        <w:rPr/>
        <w:t>股。</w:t>
      </w:r>
    </w:p>
    <w:p>
      <w:pPr>
        <w:pStyle w:val="BodyText"/>
        <w:spacing w:line="256" w:lineRule="auto" w:before="46"/>
        <w:ind w:right="1114"/>
        <w:jc w:val="left"/>
      </w:pPr>
      <w:r>
        <w:rPr>
          <w:spacing w:val="-2"/>
        </w:rPr>
        <w:t>（</w:t>
      </w:r>
      <w:r>
        <w:rPr>
          <w:rFonts w:ascii="Times New Roman" w:hAnsi="Times New Roman" w:cs="Times New Roman" w:eastAsia="Times New Roman" w:hint="default"/>
          <w:spacing w:val="-2"/>
        </w:rPr>
        <w:t>3</w:t>
      </w:r>
      <w:r>
        <w:rPr>
          <w:spacing w:val="-2"/>
        </w:rPr>
        <w:t>）根据《募集说明书》的相关规定，公司可转债自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日起可转换为公司股份。截至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3"/>
        </w:rPr>
        <w:t> </w:t>
      </w:r>
      <w:r>
        <w:rPr/>
        <w:t>月</w:t>
      </w:r>
      <w:r>
        <w:rPr>
          <w:rFonts w:ascii="Times New Roman" w:hAnsi="Times New Roman" w:cs="Times New Roman" w:eastAsia="Times New Roman" w:hint="default"/>
        </w:rPr>
        <w:t>31</w:t>
      </w:r>
      <w:r>
        <w:rPr/>
        <w:t>日，累计转股</w:t>
      </w:r>
      <w:r>
        <w:rPr>
          <w:rFonts w:ascii="Times New Roman" w:hAnsi="Times New Roman" w:cs="Times New Roman" w:eastAsia="Times New Roman" w:hint="default"/>
        </w:rPr>
        <w:t>139,861</w:t>
      </w:r>
      <w:r>
        <w:rPr/>
        <w:t>股，公司总股本变更为</w:t>
      </w:r>
      <w:r>
        <w:rPr>
          <w:rFonts w:ascii="Times New Roman" w:hAnsi="Times New Roman" w:cs="Times New Roman" w:eastAsia="Times New Roman" w:hint="default"/>
        </w:rPr>
        <w:t>5,168,285,026</w:t>
      </w:r>
      <w:r>
        <w:rPr/>
        <w:t>股。</w:t>
      </w:r>
    </w:p>
    <w:p>
      <w:pPr>
        <w:spacing w:line="240" w:lineRule="auto" w:before="4"/>
        <w:rPr>
          <w:rFonts w:ascii="宋体" w:hAnsi="宋体" w:cs="宋体" w:eastAsia="宋体" w:hint="default"/>
          <w:sz w:val="23"/>
          <w:szCs w:val="23"/>
        </w:rPr>
      </w:pPr>
    </w:p>
    <w:p>
      <w:pPr>
        <w:pStyle w:val="Heading5"/>
        <w:spacing w:line="240" w:lineRule="auto" w:before="0"/>
        <w:ind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spacing w:before="0"/>
        <w:ind w:left="0" w:right="50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243"/>
        <w:gridCol w:w="992"/>
        <w:gridCol w:w="1034"/>
        <w:gridCol w:w="688"/>
        <w:gridCol w:w="1207"/>
        <w:gridCol w:w="1159"/>
        <w:gridCol w:w="987"/>
        <w:gridCol w:w="556"/>
        <w:gridCol w:w="443"/>
        <w:gridCol w:w="868"/>
        <w:gridCol w:w="1077"/>
      </w:tblGrid>
      <w:tr>
        <w:trPr>
          <w:trHeight w:val="1344" w:hRule="exact"/>
        </w:trPr>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2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231,860</w:t>
            </w:r>
          </w:p>
        </w:tc>
        <w:tc>
          <w:tcPr>
            <w:tcW w:w="17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6"/>
              <w:jc w:val="both"/>
              <w:rPr>
                <w:rFonts w:ascii="宋体" w:hAnsi="宋体" w:cs="宋体" w:eastAsia="宋体" w:hint="default"/>
                <w:sz w:val="18"/>
                <w:szCs w:val="18"/>
              </w:rPr>
            </w:pPr>
            <w:r>
              <w:rPr>
                <w:rFonts w:ascii="宋体" w:hAnsi="宋体" w:cs="宋体" w:eastAsia="宋体" w:hint="default"/>
                <w:sz w:val="18"/>
                <w:szCs w:val="18"/>
              </w:rPr>
              <w:t>年度报告披露日前上 一月末普通股股东总 数</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3" w:right="-2"/>
              <w:jc w:val="left"/>
              <w:rPr>
                <w:rFonts w:ascii="Times New Roman" w:hAnsi="Times New Roman" w:cs="Times New Roman" w:eastAsia="Times New Roman" w:hint="default"/>
                <w:sz w:val="18"/>
                <w:szCs w:val="18"/>
              </w:rPr>
            </w:pPr>
            <w:r>
              <w:rPr>
                <w:rFonts w:ascii="Times New Roman"/>
                <w:sz w:val="18"/>
              </w:rPr>
              <w:t>265,006</w:t>
            </w:r>
          </w:p>
        </w:tc>
        <w:tc>
          <w:tcPr>
            <w:tcW w:w="21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7" w:right="106"/>
              <w:jc w:val="left"/>
              <w:rPr>
                <w:rFonts w:ascii="宋体" w:hAnsi="宋体" w:cs="宋体" w:eastAsia="宋体" w:hint="default"/>
                <w:sz w:val="18"/>
                <w:szCs w:val="18"/>
              </w:rPr>
            </w:pPr>
            <w:r>
              <w:rPr>
                <w:rFonts w:ascii="宋体" w:hAnsi="宋体" w:cs="宋体" w:eastAsia="宋体" w:hint="default"/>
                <w:sz w:val="18"/>
                <w:szCs w:val="18"/>
              </w:rPr>
              <w:t>报告期末表决权恢复的优 先股股东总数</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1025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40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22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170" w:right="145"/>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236" w:right="240"/>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11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03" w:right="43" w:hanging="180"/>
              <w:jc w:val="left"/>
              <w:rPr>
                <w:rFonts w:ascii="宋体" w:hAnsi="宋体" w:cs="宋体" w:eastAsia="宋体" w:hint="default"/>
                <w:sz w:val="18"/>
                <w:szCs w:val="18"/>
              </w:rPr>
            </w:pPr>
            <w:r>
              <w:rPr>
                <w:rFonts w:ascii="宋体" w:hAnsi="宋体" w:cs="宋体" w:eastAsia="宋体" w:hint="default"/>
                <w:sz w:val="18"/>
                <w:szCs w:val="18"/>
              </w:rPr>
              <w:t>报告期内增减 变动情况</w:t>
            </w:r>
          </w:p>
        </w:tc>
        <w:tc>
          <w:tcPr>
            <w:tcW w:w="98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0" w:right="34"/>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5" w:hRule="exact"/>
        </w:trPr>
        <w:tc>
          <w:tcPr>
            <w:tcW w:w="2235" w:type="dxa"/>
            <w:gridSpan w:val="2"/>
            <w:vMerge/>
            <w:tcBorders>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688"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59" w:type="dxa"/>
            <w:vMerge/>
            <w:tcBorders>
              <w:left w:val="single" w:sz="4" w:space="0" w:color="000000"/>
              <w:bottom w:val="single" w:sz="4" w:space="0" w:color="000000"/>
              <w:right w:val="single" w:sz="4" w:space="0" w:color="000000"/>
            </w:tcBorders>
            <w:shd w:val="clear" w:color="auto" w:fill="D2D2D2"/>
          </w:tcPr>
          <w:p>
            <w:pPr/>
          </w:p>
        </w:tc>
        <w:tc>
          <w:tcPr>
            <w:tcW w:w="987" w:type="dxa"/>
            <w:vMerge/>
            <w:tcBorders>
              <w:left w:val="single" w:sz="4" w:space="0" w:color="000000"/>
              <w:bottom w:val="single" w:sz="4" w:space="0" w:color="000000"/>
              <w:right w:val="single" w:sz="4" w:space="0" w:color="000000"/>
            </w:tcBorders>
            <w:shd w:val="clear" w:color="auto" w:fill="D2D2D2"/>
          </w:tcPr>
          <w:p>
            <w:pPr/>
          </w:p>
        </w:tc>
        <w:tc>
          <w:tcPr>
            <w:tcW w:w="998" w:type="dxa"/>
            <w:gridSpan w:val="2"/>
            <w:vMerge/>
            <w:tcBorders>
              <w:left w:val="single" w:sz="4" w:space="0" w:color="000000"/>
              <w:bottom w:val="single" w:sz="4" w:space="0" w:color="000000"/>
              <w:right w:val="single" w:sz="4" w:space="0" w:color="000000"/>
            </w:tcBorders>
            <w:shd w:val="clear" w:color="auto" w:fill="D2D2D2"/>
          </w:tcPr>
          <w:p>
            <w:pP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2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23.81%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left"/>
              <w:rPr>
                <w:rFonts w:ascii="Times New Roman" w:hAnsi="Times New Roman" w:cs="Times New Roman" w:eastAsia="Times New Roman" w:hint="default"/>
                <w:sz w:val="18"/>
                <w:szCs w:val="18"/>
              </w:rPr>
            </w:pPr>
            <w:r>
              <w:rPr>
                <w:rFonts w:ascii="Times New Roman"/>
                <w:sz w:val="18"/>
              </w:rPr>
              <w:t>1,230,620,120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205,103,353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922,965,090</w:t>
            </w: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307,655,030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555,480,000</w:t>
            </w:r>
          </w:p>
        </w:tc>
      </w:tr>
      <w:tr>
        <w:trPr>
          <w:trHeight w:val="403" w:hRule="exact"/>
        </w:trPr>
        <w:tc>
          <w:tcPr>
            <w:tcW w:w="22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沈友根</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2.91%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8" w:right="0"/>
              <w:jc w:val="left"/>
              <w:rPr>
                <w:rFonts w:ascii="Times New Roman" w:hAnsi="Times New Roman" w:cs="Times New Roman" w:eastAsia="Times New Roman" w:hint="default"/>
                <w:sz w:val="18"/>
                <w:szCs w:val="18"/>
              </w:rPr>
            </w:pPr>
            <w:r>
              <w:rPr>
                <w:rFonts w:ascii="Times New Roman"/>
                <w:sz w:val="18"/>
              </w:rPr>
              <w:t>150,493,594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25,082,266</w:t>
            </w:r>
          </w:p>
        </w:tc>
        <w:tc>
          <w:tcPr>
            <w:tcW w:w="987" w:type="dxa"/>
            <w:tcBorders>
              <w:top w:val="single" w:sz="4" w:space="0" w:color="000000"/>
              <w:left w:val="single" w:sz="4" w:space="0" w:color="000000"/>
              <w:bottom w:val="single" w:sz="4" w:space="0" w:color="000000"/>
              <w:right w:val="single" w:sz="4" w:space="0" w:color="000000"/>
            </w:tcBorders>
          </w:tcPr>
          <w:p>
            <w:pP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150,493,594</w:t>
            </w:r>
          </w:p>
        </w:tc>
        <w:tc>
          <w:tcPr>
            <w:tcW w:w="868"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陆丽丽</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2.85%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8" w:right="0"/>
              <w:jc w:val="left"/>
              <w:rPr>
                <w:rFonts w:ascii="Times New Roman" w:hAnsi="Times New Roman" w:cs="Times New Roman" w:eastAsia="Times New Roman" w:hint="default"/>
                <w:sz w:val="18"/>
                <w:szCs w:val="18"/>
              </w:rPr>
            </w:pPr>
            <w:r>
              <w:rPr>
                <w:rFonts w:ascii="Times New Roman"/>
                <w:sz w:val="18"/>
              </w:rPr>
              <w:t>147,436,693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24,572,782</w:t>
            </w:r>
          </w:p>
        </w:tc>
        <w:tc>
          <w:tcPr>
            <w:tcW w:w="987" w:type="dxa"/>
            <w:tcBorders>
              <w:top w:val="single" w:sz="4" w:space="0" w:color="000000"/>
              <w:left w:val="single" w:sz="4" w:space="0" w:color="000000"/>
              <w:bottom w:val="single" w:sz="4" w:space="0" w:color="000000"/>
              <w:right w:val="single" w:sz="4" w:space="0" w:color="000000"/>
            </w:tcBorders>
          </w:tcPr>
          <w:p>
            <w:pP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147,436,693</w:t>
            </w:r>
          </w:p>
        </w:tc>
        <w:tc>
          <w:tcPr>
            <w:tcW w:w="868"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西藏自治区投资有限公司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1.93%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7" w:right="0"/>
              <w:jc w:val="left"/>
              <w:rPr>
                <w:rFonts w:ascii="Times New Roman" w:hAnsi="Times New Roman" w:cs="Times New Roman" w:eastAsia="Times New Roman" w:hint="default"/>
                <w:sz w:val="18"/>
                <w:szCs w:val="18"/>
              </w:rPr>
            </w:pPr>
            <w:r>
              <w:rPr>
                <w:rFonts w:ascii="Times New Roman"/>
                <w:sz w:val="18"/>
              </w:rPr>
              <w:t>99,698,540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-343,656</w:t>
            </w:r>
          </w:p>
        </w:tc>
        <w:tc>
          <w:tcPr>
            <w:tcW w:w="987" w:type="dxa"/>
            <w:tcBorders>
              <w:top w:val="single" w:sz="4" w:space="0" w:color="000000"/>
              <w:left w:val="single" w:sz="4" w:space="0" w:color="000000"/>
              <w:bottom w:val="single" w:sz="4" w:space="0" w:color="000000"/>
              <w:right w:val="single" w:sz="4" w:space="0" w:color="000000"/>
            </w:tcBorders>
          </w:tcPr>
          <w:p>
            <w:pP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99,698,540</w:t>
            </w:r>
          </w:p>
        </w:tc>
        <w:tc>
          <w:tcPr>
            <w:tcW w:w="868"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中央汇金资产管理有限责任 公司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1.57%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7" w:right="0"/>
              <w:jc w:val="left"/>
              <w:rPr>
                <w:rFonts w:ascii="Times New Roman" w:hAnsi="Times New Roman" w:cs="Times New Roman" w:eastAsia="Times New Roman" w:hint="default"/>
                <w:sz w:val="18"/>
                <w:szCs w:val="18"/>
              </w:rPr>
            </w:pPr>
            <w:r>
              <w:rPr>
                <w:rFonts w:ascii="Times New Roman"/>
                <w:sz w:val="18"/>
              </w:rPr>
              <w:t>81,046,656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13,507,776</w:t>
            </w:r>
          </w:p>
        </w:tc>
        <w:tc>
          <w:tcPr>
            <w:tcW w:w="987" w:type="dxa"/>
            <w:tcBorders>
              <w:top w:val="single" w:sz="4" w:space="0" w:color="000000"/>
              <w:left w:val="single" w:sz="4" w:space="0" w:color="000000"/>
              <w:bottom w:val="single" w:sz="4" w:space="0" w:color="000000"/>
              <w:right w:val="single" w:sz="4" w:space="0" w:color="000000"/>
            </w:tcBorders>
          </w:tcPr>
          <w:p>
            <w:pP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81,046,656</w:t>
            </w:r>
          </w:p>
        </w:tc>
        <w:tc>
          <w:tcPr>
            <w:tcW w:w="868"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1.54%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7" w:right="0"/>
              <w:jc w:val="left"/>
              <w:rPr>
                <w:rFonts w:ascii="Times New Roman" w:hAnsi="Times New Roman" w:cs="Times New Roman" w:eastAsia="Times New Roman" w:hint="default"/>
                <w:sz w:val="18"/>
                <w:szCs w:val="18"/>
              </w:rPr>
            </w:pPr>
            <w:r>
              <w:rPr>
                <w:rFonts w:ascii="Times New Roman"/>
                <w:sz w:val="18"/>
              </w:rPr>
              <w:t>79,685,080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66,249,630</w:t>
            </w:r>
          </w:p>
        </w:tc>
        <w:tc>
          <w:tcPr>
            <w:tcW w:w="987" w:type="dxa"/>
            <w:tcBorders>
              <w:top w:val="single" w:sz="4" w:space="0" w:color="000000"/>
              <w:left w:val="single" w:sz="4" w:space="0" w:color="000000"/>
              <w:bottom w:val="single" w:sz="4" w:space="0" w:color="000000"/>
              <w:right w:val="single" w:sz="4" w:space="0" w:color="000000"/>
            </w:tcBorders>
          </w:tcPr>
          <w:p>
            <w:pP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79,685,080</w:t>
            </w:r>
          </w:p>
        </w:tc>
        <w:tc>
          <w:tcPr>
            <w:tcW w:w="868"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20" w:bottom="1160" w:left="980" w:right="0"/>
        </w:sectPr>
      </w:pPr>
    </w:p>
    <w:p>
      <w:pPr>
        <w:spacing w:line="240" w:lineRule="auto" w:before="8"/>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234"/>
        <w:gridCol w:w="1035"/>
        <w:gridCol w:w="708"/>
        <w:gridCol w:w="1162"/>
        <w:gridCol w:w="1183"/>
        <w:gridCol w:w="305"/>
        <w:gridCol w:w="687"/>
        <w:gridCol w:w="994"/>
        <w:gridCol w:w="850"/>
        <w:gridCol w:w="1095"/>
      </w:tblGrid>
      <w:tr>
        <w:trPr>
          <w:trHeight w:val="675"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38"/>
              <w:jc w:val="left"/>
              <w:rPr>
                <w:rFonts w:ascii="宋体" w:hAnsi="宋体" w:cs="宋体" w:eastAsia="宋体" w:hint="default"/>
                <w:sz w:val="18"/>
                <w:szCs w:val="18"/>
              </w:rPr>
            </w:pPr>
            <w:r>
              <w:rPr>
                <w:rFonts w:ascii="宋体" w:hAnsi="宋体" w:cs="宋体" w:eastAsia="宋体" w:hint="default"/>
                <w:sz w:val="18"/>
                <w:szCs w:val="18"/>
              </w:rPr>
              <w:t>－易方达创业板交易型开放 式指数证券投资基金</w:t>
            </w:r>
          </w:p>
        </w:tc>
        <w:tc>
          <w:tcPr>
            <w:tcW w:w="10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p>
            <w:pPr>
              <w:pStyle w:val="TableParagraph"/>
              <w:spacing w:line="300" w:lineRule="auto" w:before="76"/>
              <w:ind w:left="24" w:right="125"/>
              <w:jc w:val="left"/>
              <w:rPr>
                <w:rFonts w:ascii="宋体" w:hAnsi="宋体" w:cs="宋体" w:eastAsia="宋体" w:hint="default"/>
                <w:sz w:val="18"/>
                <w:szCs w:val="18"/>
              </w:rPr>
            </w:pPr>
            <w:r>
              <w:rPr>
                <w:rFonts w:ascii="宋体" w:hAnsi="宋体" w:cs="宋体" w:eastAsia="宋体" w:hint="default"/>
                <w:sz w:val="18"/>
                <w:szCs w:val="18"/>
              </w:rPr>
              <w:t>－华安创业板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交易型开 放式指数证券投资基金</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67,853,326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66,920,895</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67,853,326</w:t>
            </w:r>
          </w:p>
        </w:tc>
        <w:tc>
          <w:tcPr>
            <w:tcW w:w="85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62,787,634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10,464,606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47,090,726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15,696,908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14,460,000</w:t>
            </w:r>
          </w:p>
        </w:tc>
      </w:tr>
      <w:tr>
        <w:trPr>
          <w:trHeight w:val="713"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安徽省铁路发展基金股份有 限公司</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59,137,576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9,856,263</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59,137,576</w:t>
            </w:r>
          </w:p>
        </w:tc>
        <w:tc>
          <w:tcPr>
            <w:tcW w:w="85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54,839,392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6,431,560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54,839,392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10,190,000</w:t>
            </w:r>
          </w:p>
        </w:tc>
      </w:tr>
      <w:tr>
        <w:trPr>
          <w:trHeight w:val="713" w:hRule="exact"/>
        </w:trPr>
        <w:tc>
          <w:tcPr>
            <w:tcW w:w="3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tc>
        <w:tc>
          <w:tcPr>
            <w:tcW w:w="6983"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32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983" w:type="dxa"/>
            <w:gridSpan w:val="8"/>
            <w:vMerge w:val="restart"/>
            <w:tcBorders>
              <w:top w:val="single" w:sz="4" w:space="0" w:color="000000"/>
              <w:left w:val="single" w:sz="4" w:space="0" w:color="000000"/>
              <w:right w:val="single" w:sz="4" w:space="0" w:color="000000"/>
            </w:tcBorders>
          </w:tcPr>
          <w:p>
            <w:pPr>
              <w:pStyle w:val="TableParagraph"/>
              <w:spacing w:line="309" w:lineRule="auto" w:before="49"/>
              <w:ind w:left="23" w:right="47"/>
              <w:jc w:val="both"/>
              <w:rPr>
                <w:rFonts w:ascii="宋体" w:hAnsi="宋体" w:cs="宋体" w:eastAsia="宋体" w:hint="default"/>
                <w:sz w:val="18"/>
                <w:szCs w:val="18"/>
              </w:rPr>
            </w:pPr>
            <w:r>
              <w:rPr>
                <w:rFonts w:ascii="宋体" w:hAnsi="宋体" w:cs="宋体" w:eastAsia="宋体" w:hint="default"/>
                <w:sz w:val="18"/>
                <w:szCs w:val="18"/>
              </w:rPr>
              <w:t>其实先生与沈友根先生系父子关系，与陆丽丽女士系夫妻关系，三人合计持有股份占公 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29.58%</w:t>
            </w:r>
            <w:r>
              <w:rPr>
                <w:rFonts w:ascii="宋体" w:hAnsi="宋体" w:cs="宋体" w:eastAsia="宋体" w:hint="default"/>
                <w:sz w:val="18"/>
                <w:szCs w:val="18"/>
              </w:rPr>
              <w:t>。除此之外，公司未知上述其他股东之间是否存在关联关系，也未知是 否属于一致行动人。</w:t>
            </w:r>
          </w:p>
        </w:tc>
      </w:tr>
      <w:tr>
        <w:trPr>
          <w:trHeight w:val="394" w:hRule="exact"/>
        </w:trPr>
        <w:tc>
          <w:tcPr>
            <w:tcW w:w="32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983" w:type="dxa"/>
            <w:gridSpan w:val="8"/>
            <w:vMerge/>
            <w:tcBorders>
              <w:left w:val="single" w:sz="4" w:space="0" w:color="000000"/>
              <w:right w:val="single" w:sz="4" w:space="0" w:color="000000"/>
            </w:tcBorders>
          </w:tcPr>
          <w:p>
            <w:pPr/>
          </w:p>
        </w:tc>
      </w:tr>
      <w:tr>
        <w:trPr>
          <w:trHeight w:val="317" w:hRule="exact"/>
        </w:trPr>
        <w:tc>
          <w:tcPr>
            <w:tcW w:w="32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983" w:type="dxa"/>
            <w:gridSpan w:val="8"/>
            <w:vMerge/>
            <w:tcBorders>
              <w:left w:val="single" w:sz="4" w:space="0" w:color="000000"/>
              <w:bottom w:val="single" w:sz="4" w:space="0" w:color="000000"/>
              <w:right w:val="single" w:sz="4" w:space="0" w:color="000000"/>
            </w:tcBorders>
          </w:tcPr>
          <w:p>
            <w:pPr/>
          </w:p>
        </w:tc>
      </w:tr>
      <w:tr>
        <w:trPr>
          <w:trHeight w:val="401" w:hRule="exact"/>
        </w:trPr>
        <w:tc>
          <w:tcPr>
            <w:tcW w:w="1025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32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358"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62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32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358"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625" w:type="dxa"/>
            <w:gridSpan w:val="4"/>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3269" w:type="dxa"/>
            <w:gridSpan w:val="2"/>
            <w:vMerge/>
            <w:tcBorders>
              <w:left w:val="single" w:sz="4" w:space="0" w:color="000000"/>
              <w:bottom w:val="nil" w:sz="6" w:space="0" w:color="auto"/>
              <w:right w:val="single" w:sz="4" w:space="0" w:color="000000"/>
            </w:tcBorders>
            <w:shd w:val="clear" w:color="auto" w:fill="D2D2D2"/>
          </w:tcPr>
          <w:p>
            <w:pPr/>
          </w:p>
        </w:tc>
        <w:tc>
          <w:tcPr>
            <w:tcW w:w="3358" w:type="dxa"/>
            <w:gridSpan w:val="4"/>
            <w:vMerge/>
            <w:tcBorders>
              <w:left w:val="single" w:sz="4" w:space="0" w:color="000000"/>
              <w:bottom w:val="nil" w:sz="6" w:space="0" w:color="auto"/>
              <w:right w:val="single" w:sz="4" w:space="0" w:color="000000"/>
            </w:tcBorders>
            <w:shd w:val="clear" w:color="auto" w:fill="D2D2D2"/>
          </w:tcPr>
          <w:p>
            <w:pPr/>
          </w:p>
        </w:tc>
        <w:tc>
          <w:tcPr>
            <w:tcW w:w="25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0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32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358"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530" w:type="dxa"/>
            <w:gridSpan w:val="3"/>
            <w:vMerge/>
            <w:tcBorders>
              <w:left w:val="single" w:sz="4" w:space="0" w:color="000000"/>
              <w:bottom w:val="single" w:sz="4" w:space="0" w:color="000000"/>
              <w:right w:val="single" w:sz="4" w:space="0" w:color="000000"/>
            </w:tcBorders>
            <w:shd w:val="clear" w:color="auto" w:fill="D2D2D2"/>
          </w:tcPr>
          <w:p>
            <w:pPr/>
          </w:p>
        </w:tc>
        <w:tc>
          <w:tcPr>
            <w:tcW w:w="109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3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307,655,030</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307,655,030</w:t>
            </w:r>
          </w:p>
        </w:tc>
      </w:tr>
      <w:tr>
        <w:trPr>
          <w:trHeight w:val="401" w:hRule="exact"/>
        </w:trPr>
        <w:tc>
          <w:tcPr>
            <w:tcW w:w="3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沈友根</w:t>
            </w:r>
          </w:p>
        </w:tc>
        <w:tc>
          <w:tcPr>
            <w:tcW w:w="33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150,493,594</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150,493,594</w:t>
            </w:r>
          </w:p>
        </w:tc>
      </w:tr>
      <w:tr>
        <w:trPr>
          <w:trHeight w:val="404" w:hRule="exact"/>
        </w:trPr>
        <w:tc>
          <w:tcPr>
            <w:tcW w:w="3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陆丽丽</w:t>
            </w:r>
          </w:p>
        </w:tc>
        <w:tc>
          <w:tcPr>
            <w:tcW w:w="33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147,436,693</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147,436,693</w:t>
            </w:r>
          </w:p>
        </w:tc>
      </w:tr>
      <w:tr>
        <w:trPr>
          <w:trHeight w:val="401" w:hRule="exact"/>
        </w:trPr>
        <w:tc>
          <w:tcPr>
            <w:tcW w:w="3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西藏自治区投资有限公司</w:t>
            </w:r>
          </w:p>
        </w:tc>
        <w:tc>
          <w:tcPr>
            <w:tcW w:w="33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99,698,540</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99,698,540</w:t>
            </w:r>
          </w:p>
        </w:tc>
      </w:tr>
      <w:tr>
        <w:trPr>
          <w:trHeight w:val="403" w:hRule="exact"/>
        </w:trPr>
        <w:tc>
          <w:tcPr>
            <w:tcW w:w="3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3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81,046,656</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81,046,656</w:t>
            </w:r>
          </w:p>
        </w:tc>
      </w:tr>
      <w:tr>
        <w:trPr>
          <w:trHeight w:val="713" w:hRule="exact"/>
        </w:trPr>
        <w:tc>
          <w:tcPr>
            <w:tcW w:w="3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中国工商银行股份有限公司－易方达创 业板交易型开放式指数证券投资基金</w:t>
            </w:r>
          </w:p>
        </w:tc>
        <w:tc>
          <w:tcPr>
            <w:tcW w:w="33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79,685,080</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79,685,080</w:t>
            </w:r>
          </w:p>
        </w:tc>
      </w:tr>
      <w:tr>
        <w:trPr>
          <w:trHeight w:val="715" w:hRule="exact"/>
        </w:trPr>
        <w:tc>
          <w:tcPr>
            <w:tcW w:w="3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中国建设银行股份有限公司－华安创业 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交易型开放式指数证券投资基金</w:t>
            </w:r>
          </w:p>
        </w:tc>
        <w:tc>
          <w:tcPr>
            <w:tcW w:w="33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67,853,326</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67,853,326</w:t>
            </w:r>
          </w:p>
        </w:tc>
      </w:tr>
      <w:tr>
        <w:trPr>
          <w:trHeight w:val="401" w:hRule="exact"/>
        </w:trPr>
        <w:tc>
          <w:tcPr>
            <w:tcW w:w="3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安徽省铁路发展基金股份有限公司</w:t>
            </w:r>
          </w:p>
        </w:tc>
        <w:tc>
          <w:tcPr>
            <w:tcW w:w="33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59,137,576</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59,137,576</w:t>
            </w:r>
          </w:p>
        </w:tc>
      </w:tr>
      <w:tr>
        <w:trPr>
          <w:trHeight w:val="403" w:hRule="exact"/>
        </w:trPr>
        <w:tc>
          <w:tcPr>
            <w:tcW w:w="3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33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54,839,392</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54,839,392</w:t>
            </w:r>
          </w:p>
        </w:tc>
      </w:tr>
      <w:tr>
        <w:trPr>
          <w:trHeight w:val="401" w:hRule="exact"/>
        </w:trPr>
        <w:tc>
          <w:tcPr>
            <w:tcW w:w="3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天安人寿保险股份有限公司－传统产品</w:t>
            </w:r>
          </w:p>
        </w:tc>
        <w:tc>
          <w:tcPr>
            <w:tcW w:w="33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53,155,164</w:t>
            </w:r>
          </w:p>
        </w:tc>
        <w:tc>
          <w:tcPr>
            <w:tcW w:w="2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53,155,164</w:t>
            </w:r>
          </w:p>
        </w:tc>
      </w:tr>
      <w:tr>
        <w:trPr>
          <w:trHeight w:val="1027" w:hRule="exact"/>
        </w:trPr>
        <w:tc>
          <w:tcPr>
            <w:tcW w:w="3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p>
          <w:p>
            <w:pPr>
              <w:pStyle w:val="TableParagraph"/>
              <w:spacing w:line="300" w:lineRule="auto" w:before="63"/>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间关联关系或一致行动的说明</w:t>
            </w:r>
          </w:p>
        </w:tc>
        <w:tc>
          <w:tcPr>
            <w:tcW w:w="6983" w:type="dxa"/>
            <w:gridSpan w:val="8"/>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7"/>
              <w:jc w:val="both"/>
              <w:rPr>
                <w:rFonts w:ascii="宋体" w:hAnsi="宋体" w:cs="宋体" w:eastAsia="宋体" w:hint="default"/>
                <w:sz w:val="18"/>
                <w:szCs w:val="18"/>
              </w:rPr>
            </w:pPr>
            <w:r>
              <w:rPr>
                <w:rFonts w:ascii="宋体" w:hAnsi="宋体" w:cs="宋体" w:eastAsia="宋体" w:hint="default"/>
                <w:sz w:val="18"/>
                <w:szCs w:val="18"/>
              </w:rPr>
              <w:t>其实先生与沈友根先生系父子关系，与陆丽丽女士系夫妻关系，三人合计持有股份占公 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29.58%</w:t>
            </w:r>
            <w:r>
              <w:rPr>
                <w:rFonts w:ascii="宋体" w:hAnsi="宋体" w:cs="宋体" w:eastAsia="宋体" w:hint="default"/>
                <w:sz w:val="18"/>
                <w:szCs w:val="18"/>
              </w:rPr>
              <w:t>。除此之外，公司未知上述其他股东之间是否存在关联关系，也未知是 否属于一致行动人。</w:t>
            </w:r>
          </w:p>
        </w:tc>
      </w:tr>
      <w:tr>
        <w:trPr>
          <w:trHeight w:val="1025" w:hRule="exact"/>
        </w:trPr>
        <w:tc>
          <w:tcPr>
            <w:tcW w:w="3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tc>
        <w:tc>
          <w:tcPr>
            <w:tcW w:w="69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公司股东西藏自治区投资有限公司除通过普通证券账户持有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46,848,060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股外，还通过东</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方财富证券客户信用交易担保证券账户持有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52,850,480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99,698,540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名无限售条件普通股股东在报告期内是否进行约定购回交易</w:t>
      </w:r>
    </w:p>
    <w:p>
      <w:pPr>
        <w:spacing w:before="103"/>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名无限售条件普通股股东在报告期内未进行约定购回交易。</w:t>
      </w:r>
    </w:p>
    <w:p>
      <w:pPr>
        <w:spacing w:after="0"/>
        <w:jc w:val="left"/>
        <w:rPr>
          <w:rFonts w:ascii="宋体" w:hAnsi="宋体" w:cs="宋体" w:eastAsia="宋体" w:hint="default"/>
          <w:sz w:val="18"/>
          <w:szCs w:val="18"/>
        </w:rPr>
        <w:sectPr>
          <w:pgSz w:w="11910" w:h="16840"/>
          <w:pgMar w:header="852" w:footer="979" w:top="1320" w:bottom="1160" w:left="980" w:right="0"/>
        </w:sectPr>
      </w:pPr>
    </w:p>
    <w:p>
      <w:pPr>
        <w:spacing w:line="364" w:lineRule="auto" w:before="103"/>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100"/>
          <w:sz w:val="21"/>
          <w:szCs w:val="21"/>
        </w:rPr>
        <w:t> </w:t>
      </w:r>
      <w:r>
        <w:rPr>
          <w:rFonts w:ascii="宋体" w:hAnsi="宋体" w:cs="宋体" w:eastAsia="宋体" w:hint="default"/>
          <w:sz w:val="18"/>
          <w:szCs w:val="18"/>
        </w:rPr>
        <w:t>控股股东性质：自然人控股 控股股东类型：自然人</w:t>
      </w:r>
    </w:p>
    <w:tbl>
      <w:tblPr>
        <w:tblW w:w="0" w:type="auto"/>
        <w:jc w:val="left"/>
        <w:tblInd w:w="182" w:type="dxa"/>
        <w:tblLayout w:type="fixed"/>
        <w:tblCellMar>
          <w:top w:w="0" w:type="dxa"/>
          <w:left w:w="0" w:type="dxa"/>
          <w:bottom w:w="0" w:type="dxa"/>
          <w:right w:w="0" w:type="dxa"/>
        </w:tblCellMar>
        <w:tblLook w:val="01E0"/>
      </w:tblPr>
      <w:tblGrid>
        <w:gridCol w:w="3418"/>
        <w:gridCol w:w="2028"/>
        <w:gridCol w:w="4121"/>
      </w:tblGrid>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东方财富信息股份有限公司董事长、总经理</w:t>
            </w:r>
          </w:p>
        </w:tc>
      </w:tr>
    </w:tbl>
    <w:p>
      <w:pPr>
        <w:spacing w:before="62"/>
        <w:ind w:left="153" w:right="1114"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17"/>
          <w:szCs w:val="17"/>
        </w:rPr>
      </w:pPr>
    </w:p>
    <w:p>
      <w:pPr>
        <w:spacing w:line="364" w:lineRule="auto" w:before="0"/>
        <w:ind w:left="153" w:right="6473" w:firstLine="0"/>
        <w:jc w:val="left"/>
        <w:rPr>
          <w:rFonts w:ascii="宋体" w:hAnsi="宋体" w:cs="宋体" w:eastAsia="宋体" w:hint="default"/>
          <w:sz w:val="18"/>
          <w:szCs w:val="18"/>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、公司实际控制人及其一致行动人</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18"/>
          <w:szCs w:val="18"/>
        </w:rPr>
        <w:t>实际控制人性质：境内自然人 实际控制人类型：自然人</w:t>
      </w:r>
    </w:p>
    <w:tbl>
      <w:tblPr>
        <w:tblW w:w="0" w:type="auto"/>
        <w:jc w:val="left"/>
        <w:tblInd w:w="182" w:type="dxa"/>
        <w:tblLayout w:type="fixed"/>
        <w:tblCellMar>
          <w:top w:w="0" w:type="dxa"/>
          <w:left w:w="0" w:type="dxa"/>
          <w:bottom w:w="0" w:type="dxa"/>
          <w:right w:w="0" w:type="dxa"/>
        </w:tblCellMar>
        <w:tblLook w:val="01E0"/>
      </w:tblPr>
      <w:tblGrid>
        <w:gridCol w:w="3370"/>
        <w:gridCol w:w="1985"/>
        <w:gridCol w:w="1558"/>
        <w:gridCol w:w="2655"/>
      </w:tblGrid>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东方财富信息股份有限公司董事长、总经理</w:t>
            </w:r>
          </w:p>
        </w:tc>
      </w:tr>
      <w:tr>
        <w:trPr>
          <w:trHeight w:val="401"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2"/>
        <w:ind w:left="153" w:right="1114"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1"/>
        <w:rPr>
          <w:rFonts w:ascii="宋体" w:hAnsi="宋体" w:cs="宋体" w:eastAsia="宋体" w:hint="default"/>
          <w:sz w:val="22"/>
          <w:szCs w:val="22"/>
        </w:rPr>
      </w:pPr>
    </w:p>
    <w:p>
      <w:pPr>
        <w:spacing w:line="2912" w:lineRule="exact"/>
        <w:ind w:left="154"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3351401" cy="1849564"/>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0" cstate="print"/>
                    <a:stretch>
                      <a:fillRect/>
                    </a:stretch>
                  </pic:blipFill>
                  <pic:spPr>
                    <a:xfrm>
                      <a:off x="0" y="0"/>
                      <a:ext cx="3351401" cy="1849564"/>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5"/>
        <w:rPr>
          <w:rFonts w:ascii="宋体" w:hAnsi="宋体" w:cs="宋体" w:eastAsia="宋体" w:hint="default"/>
          <w:sz w:val="23"/>
          <w:szCs w:val="23"/>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5"/>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1"/>
          <w:szCs w:val="21"/>
        </w:rPr>
      </w:pPr>
    </w:p>
    <w:p>
      <w:pPr>
        <w:pStyle w:val="Heading5"/>
        <w:spacing w:line="240" w:lineRule="auto" w:before="0"/>
        <w:ind w:right="1114"/>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before="159"/>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1"/>
          <w:szCs w:val="21"/>
        </w:rPr>
      </w:pPr>
    </w:p>
    <w:p>
      <w:pPr>
        <w:pStyle w:val="Heading5"/>
        <w:spacing w:line="240" w:lineRule="auto" w:before="0"/>
        <w:ind w:right="1114"/>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before="118"/>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5" w:right="1114"/>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79" w:right="1114"/>
        <w:jc w:val="left"/>
        <w:rPr>
          <w:b w:val="0"/>
          <w:bCs w:val="0"/>
        </w:rPr>
      </w:pPr>
      <w:bookmarkStart w:name="_bookmark7" w:id="8"/>
      <w:bookmarkEnd w:id="8"/>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14"/>
        <w:jc w:val="left"/>
        <w:rPr>
          <w:b w:val="0"/>
          <w:bCs w:val="0"/>
        </w:rPr>
      </w:pPr>
      <w:r>
        <w:rPr/>
        <w:t>一、董事、监事和高级管理人员持股变动</w:t>
      </w:r>
      <w:r>
        <w:rPr>
          <w:b w:val="0"/>
          <w:bCs w:val="0"/>
        </w:rPr>
      </w:r>
    </w:p>
    <w:p>
      <w:pPr>
        <w:spacing w:line="240" w:lineRule="auto" w:before="12"/>
        <w:rPr>
          <w:rFonts w:ascii="宋体" w:hAnsi="宋体" w:cs="宋体" w:eastAsia="宋体" w:hint="default"/>
          <w:b/>
          <w:bCs/>
          <w:sz w:val="22"/>
          <w:szCs w:val="22"/>
        </w:rPr>
      </w:pPr>
    </w:p>
    <w:p>
      <w:pPr>
        <w:spacing w:before="44"/>
        <w:ind w:left="0" w:right="77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610"/>
        <w:gridCol w:w="1061"/>
        <w:gridCol w:w="499"/>
        <w:gridCol w:w="425"/>
        <w:gridCol w:w="425"/>
        <w:gridCol w:w="991"/>
        <w:gridCol w:w="994"/>
        <w:gridCol w:w="1135"/>
        <w:gridCol w:w="850"/>
        <w:gridCol w:w="850"/>
        <w:gridCol w:w="1010"/>
        <w:gridCol w:w="1102"/>
      </w:tblGrid>
      <w:tr>
        <w:trPr>
          <w:trHeight w:val="754" w:hRule="exact"/>
        </w:trPr>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4" w:right="62"/>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311" w:right="12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314" w:right="12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期初持股数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59"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0" w:right="58"/>
              <w:jc w:val="left"/>
              <w:rPr>
                <w:rFonts w:ascii="宋体" w:hAnsi="宋体" w:cs="宋体" w:eastAsia="宋体" w:hint="default"/>
                <w:sz w:val="18"/>
                <w:szCs w:val="18"/>
              </w:rPr>
            </w:pPr>
            <w:r>
              <w:rPr>
                <w:rFonts w:ascii="宋体" w:hAnsi="宋体" w:cs="宋体" w:eastAsia="宋体" w:hint="default"/>
                <w:sz w:val="18"/>
                <w:szCs w:val="18"/>
              </w:rPr>
              <w:t>本期减持 股份数量</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321" w:right="137" w:hanging="180"/>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期末持股数</w:t>
            </w:r>
          </w:p>
        </w:tc>
      </w:tr>
      <w:tr>
        <w:trPr>
          <w:trHeight w:val="713" w:hRule="exact"/>
        </w:trPr>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1,025,516,767</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205,103,353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1,230,620,120</w:t>
            </w:r>
          </w:p>
        </w:tc>
      </w:tr>
      <w:tr>
        <w:trPr>
          <w:trHeight w:val="715" w:hRule="exact"/>
        </w:trPr>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5"/>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29,671,463</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5,934,293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35,605,756</w:t>
            </w:r>
          </w:p>
        </w:tc>
      </w:tr>
      <w:tr>
        <w:trPr>
          <w:trHeight w:val="713" w:hRule="exact"/>
        </w:trPr>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left"/>
              <w:rPr>
                <w:rFonts w:ascii="宋体" w:hAnsi="宋体" w:cs="宋体" w:eastAsia="宋体" w:hint="default"/>
                <w:sz w:val="18"/>
                <w:szCs w:val="18"/>
              </w:rPr>
            </w:pPr>
            <w:r>
              <w:rPr>
                <w:rFonts w:ascii="宋体" w:hAnsi="宋体" w:cs="宋体" w:eastAsia="宋体" w:hint="default"/>
                <w:sz w:val="18"/>
                <w:szCs w:val="18"/>
              </w:rPr>
              <w:t>副董事长、 副总经理</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5"/>
              <w:jc w:val="both"/>
              <w:rPr>
                <w:rFonts w:ascii="宋体" w:hAnsi="宋体" w:cs="宋体" w:eastAsia="宋体" w:hint="default"/>
                <w:sz w:val="18"/>
                <w:szCs w:val="18"/>
              </w:rPr>
            </w:pPr>
            <w:r>
              <w:rPr>
                <w:rFonts w:ascii="宋体" w:hAnsi="宋体" w:cs="宋体" w:eastAsia="宋体" w:hint="default"/>
                <w:sz w:val="18"/>
                <w:szCs w:val="18"/>
              </w:rPr>
              <w:t>董事、副总 经理、财务 总监、董事 会秘书</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6,609,967</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3,136,393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9,746,360</w:t>
            </w:r>
          </w:p>
        </w:tc>
      </w:tr>
      <w:tr>
        <w:trPr>
          <w:trHeight w:val="713" w:hRule="exact"/>
        </w:trPr>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11,133,615</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3,133,923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14,267,538</w:t>
            </w:r>
          </w:p>
        </w:tc>
      </w:tr>
      <w:tr>
        <w:trPr>
          <w:trHeight w:val="715" w:hRule="exact"/>
        </w:trPr>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52,323,028</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10,464,606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62,787,634</w:t>
            </w:r>
          </w:p>
        </w:tc>
      </w:tr>
      <w:tr>
        <w:trPr>
          <w:trHeight w:val="713" w:hRule="exact"/>
        </w:trPr>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黄丽鸣</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5"/>
              <w:jc w:val="left"/>
              <w:rPr>
                <w:rFonts w:ascii="宋体" w:hAnsi="宋体" w:cs="宋体" w:eastAsia="宋体" w:hint="default"/>
                <w:sz w:val="18"/>
                <w:szCs w:val="18"/>
              </w:rPr>
            </w:pPr>
            <w:r>
              <w:rPr>
                <w:rFonts w:ascii="宋体" w:hAnsi="宋体" w:cs="宋体" w:eastAsia="宋体" w:hint="default"/>
                <w:sz w:val="18"/>
                <w:szCs w:val="18"/>
              </w:rPr>
              <w:t>职工代表监 事</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叶露</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1,125,254,840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227,772,568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1,353,027,408</w:t>
            </w:r>
          </w:p>
        </w:tc>
      </w:tr>
    </w:tbl>
    <w:p>
      <w:pPr>
        <w:spacing w:line="240" w:lineRule="auto" w:before="1"/>
        <w:rPr>
          <w:rFonts w:ascii="宋体" w:hAnsi="宋体" w:cs="宋体" w:eastAsia="宋体" w:hint="default"/>
          <w:sz w:val="18"/>
          <w:szCs w:val="18"/>
        </w:rPr>
      </w:pPr>
    </w:p>
    <w:p>
      <w:pPr>
        <w:pStyle w:val="Heading3"/>
        <w:spacing w:line="240" w:lineRule="auto" w:before="26"/>
        <w:ind w:right="1114"/>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330"/>
        <w:gridCol w:w="1330"/>
        <w:gridCol w:w="1330"/>
        <w:gridCol w:w="1791"/>
        <w:gridCol w:w="3788"/>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pgSz w:w="11910" w:h="16840"/>
          <w:pgMar w:header="852" w:footer="979" w:top="1320" w:bottom="1160" w:left="980" w:right="0"/>
        </w:sectPr>
      </w:pPr>
    </w:p>
    <w:p>
      <w:pPr>
        <w:spacing w:line="240" w:lineRule="auto" w:before="8"/>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30"/>
        <w:gridCol w:w="1330"/>
        <w:gridCol w:w="1330"/>
        <w:gridCol w:w="1791"/>
        <w:gridCol w:w="378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个人原因辞任监事</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黄丽鸣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年第一次临时股东大会选举为监事</w:t>
            </w:r>
          </w:p>
        </w:tc>
      </w:tr>
    </w:tbl>
    <w:p>
      <w:pPr>
        <w:spacing w:line="240" w:lineRule="auto" w:before="1"/>
        <w:rPr>
          <w:rFonts w:ascii="宋体" w:hAnsi="宋体" w:cs="宋体" w:eastAsia="宋体" w:hint="default"/>
          <w:sz w:val="18"/>
          <w:szCs w:val="18"/>
        </w:rPr>
      </w:pPr>
    </w:p>
    <w:p>
      <w:pPr>
        <w:pStyle w:val="Heading3"/>
        <w:spacing w:line="240" w:lineRule="auto" w:before="26"/>
        <w:ind w:right="0"/>
        <w:jc w:val="both"/>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256" w:lineRule="auto" w:before="94"/>
        <w:ind w:left="575" w:right="1114" w:firstLine="60"/>
        <w:jc w:val="left"/>
      </w:pPr>
      <w:r>
        <w:rPr>
          <w:rFonts w:ascii="Times New Roman" w:hAnsi="Times New Roman" w:cs="Times New Roman" w:eastAsia="Times New Roman" w:hint="default"/>
          <w:b/>
          <w:bCs/>
        </w:rPr>
        <w:t>1</w:t>
      </w:r>
      <w:r>
        <w:rPr>
          <w:rFonts w:ascii="宋体" w:hAnsi="宋体" w:cs="宋体" w:eastAsia="宋体" w:hint="default"/>
          <w:b/>
          <w:bCs/>
        </w:rPr>
        <w:t>、董事会成员</w:t>
      </w:r>
      <w:r>
        <w:rPr>
          <w:rFonts w:ascii="宋体" w:hAnsi="宋体" w:cs="宋体" w:eastAsia="宋体" w:hint="default"/>
          <w:b/>
          <w:bCs/>
          <w:w w:val="100"/>
        </w:rPr>
        <w:t> </w:t>
      </w:r>
      <w:r>
        <w:rPr>
          <w:rFonts w:ascii="宋体" w:hAnsi="宋体" w:cs="宋体" w:eastAsia="宋体" w:hint="default"/>
          <w:b/>
          <w:bCs/>
          <w:spacing w:val="-2"/>
        </w:rPr>
        <w:t>其实，</w:t>
      </w:r>
      <w:r>
        <w:rPr>
          <w:spacing w:val="-2"/>
        </w:rPr>
        <w:t>男，</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10</w:t>
      </w:r>
      <w:r>
        <w:rPr>
          <w:spacing w:val="-2"/>
        </w:rPr>
        <w:t>月生，中国国籍，无永久境外居留权，上海交通大学本科，复旦大学博士，现任</w:t>
      </w:r>
    </w:p>
    <w:p>
      <w:pPr>
        <w:pStyle w:val="BodyText"/>
        <w:spacing w:line="273" w:lineRule="auto" w:before="5"/>
        <w:ind w:right="1126"/>
        <w:jc w:val="both"/>
      </w:pPr>
      <w:r>
        <w:rPr>
          <w:spacing w:val="-2"/>
        </w:rPr>
        <w:t>本公司董事长、总经理。其实先生目前担任全国政协委员、中国民主建国会中央委员、全国青年企业家协</w:t>
      </w:r>
      <w:r>
        <w:rPr>
          <w:spacing w:val="-47"/>
        </w:rPr>
        <w:t> </w:t>
      </w:r>
      <w:r>
        <w:rPr>
          <w:spacing w:val="-47"/>
        </w:rPr>
      </w:r>
      <w:r>
        <w:rPr>
          <w:spacing w:val="-2"/>
        </w:rPr>
        <w:t>会副会长、中国证券投资基金业协会副会长、上海市青年联合会副主席、上海市信息化青年人才协会会长</w:t>
      </w:r>
      <w:r>
        <w:rPr>
          <w:spacing w:val="-44"/>
        </w:rPr>
        <w:t> </w:t>
      </w:r>
      <w:r>
        <w:rPr>
          <w:spacing w:val="-44"/>
        </w:rPr>
      </w:r>
      <w:r>
        <w:rPr/>
        <w:t>等社会职务。</w:t>
      </w:r>
    </w:p>
    <w:p>
      <w:pPr>
        <w:pStyle w:val="BodyText"/>
        <w:spacing w:line="264" w:lineRule="auto" w:before="8"/>
        <w:ind w:right="1127" w:firstLine="422"/>
        <w:jc w:val="both"/>
      </w:pPr>
      <w:r>
        <w:rPr>
          <w:rFonts w:ascii="宋体" w:hAnsi="宋体" w:cs="宋体" w:eastAsia="宋体" w:hint="default"/>
          <w:b/>
          <w:bCs/>
          <w:spacing w:val="-2"/>
        </w:rPr>
        <w:t>陶涛，</w:t>
      </w:r>
      <w:r>
        <w:rPr>
          <w:spacing w:val="-2"/>
        </w:rPr>
        <w:t>男，</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12</w:t>
      </w:r>
      <w:r>
        <w:rPr>
          <w:spacing w:val="-2"/>
        </w:rPr>
        <w:t>月生，中国国籍，无永久境外居留权，大学本科。曾任职于上海兰生集团有限公</w:t>
      </w:r>
      <w:r>
        <w:rPr>
          <w:w w:val="100"/>
        </w:rPr>
        <w:t> </w:t>
      </w:r>
      <w:r>
        <w:rPr>
          <w:spacing w:val="-2"/>
        </w:rPr>
        <w:t>司企宣部、公共事务部、总经理办公室，期间担任东视财经特约记者，负责东方电视台、北京电视台、深</w:t>
      </w:r>
      <w:r>
        <w:rPr>
          <w:spacing w:val="-45"/>
        </w:rPr>
        <w:t> </w:t>
      </w:r>
      <w:r>
        <w:rPr>
          <w:spacing w:val="-45"/>
        </w:rPr>
      </w:r>
      <w:r>
        <w:rPr>
          <w:spacing w:val="-3"/>
        </w:rPr>
        <w:t>圳电视台联合制作的《证券无限三地通》节目的上海地区采编工作。报告期内任本公司副董事长、总经理</w:t>
      </w:r>
    </w:p>
    <w:p>
      <w:pPr>
        <w:pStyle w:val="BodyText"/>
        <w:spacing w:line="273" w:lineRule="auto" w:before="16"/>
        <w:ind w:left="575" w:right="1114" w:hanging="423"/>
        <w:jc w:val="left"/>
      </w:pPr>
      <w:r>
        <w:rPr/>
        <w:t>（</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5</w:t>
      </w:r>
      <w:r>
        <w:rPr/>
        <w:t>日辞任副董事长、总经理职务）。</w:t>
      </w:r>
      <w:r>
        <w:rPr>
          <w:w w:val="100"/>
        </w:rPr>
        <w:t> </w:t>
      </w:r>
      <w:r>
        <w:rPr>
          <w:rFonts w:ascii="宋体" w:hAnsi="宋体" w:cs="宋体" w:eastAsia="宋体" w:hint="default"/>
          <w:b/>
          <w:bCs/>
          <w:spacing w:val="-2"/>
        </w:rPr>
        <w:t>陈凯</w:t>
      </w:r>
      <w:r>
        <w:rPr>
          <w:spacing w:val="-2"/>
        </w:rPr>
        <w:t>，男，</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11</w:t>
      </w:r>
      <w:r>
        <w:rPr>
          <w:spacing w:val="-2"/>
        </w:rPr>
        <w:t>月生，中国国籍，无永久境外居留权，工学博士，全国政协第十一届委员，全国</w:t>
      </w:r>
    </w:p>
    <w:p>
      <w:pPr>
        <w:pStyle w:val="BodyText"/>
        <w:spacing w:line="256" w:lineRule="auto"/>
        <w:ind w:right="1126"/>
        <w:jc w:val="both"/>
      </w:pPr>
      <w:r>
        <w:rPr>
          <w:spacing w:val="-2"/>
        </w:rPr>
        <w:t>青联第十一届常委。</w:t>
      </w:r>
      <w:r>
        <w:rPr>
          <w:rFonts w:ascii="Times New Roman" w:hAnsi="Times New Roman" w:cs="Times New Roman" w:eastAsia="Times New Roman" w:hint="default"/>
          <w:spacing w:val="-2"/>
        </w:rPr>
        <w:t>1997</w:t>
      </w:r>
      <w:r>
        <w:rPr>
          <w:spacing w:val="-2"/>
        </w:rPr>
        <w:t>年进入长江计算机集团公司工作，曾任集团二级企业部门经理、副总经理、长江</w:t>
      </w:r>
      <w:r>
        <w:rPr>
          <w:spacing w:val="-43"/>
        </w:rPr>
        <w:t> </w:t>
      </w:r>
      <w:r>
        <w:rPr>
          <w:spacing w:val="-43"/>
        </w:rPr>
      </w:r>
      <w:r>
        <w:rPr/>
        <w:t>计算机集团公司副总工程师兼下属上海长江科技发展有限公司总经理，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月进入共青团上海市委员</w:t>
      </w:r>
      <w:r>
        <w:rPr>
          <w:spacing w:val="-26"/>
        </w:rPr>
        <w:t> </w:t>
      </w:r>
      <w:r>
        <w:rPr>
          <w:spacing w:val="-26"/>
        </w:rPr>
      </w:r>
      <w:r>
        <w:rPr>
          <w:spacing w:val="-4"/>
        </w:rPr>
        <w:t>会工作，曾任团市委副书记、市青联主席、上海青年干部管理学院院长等职务，</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6</w:t>
      </w:r>
      <w:r>
        <w:rPr>
          <w:spacing w:val="-4"/>
        </w:rPr>
        <w:t>月进入上海市人民</w:t>
      </w:r>
      <w:r>
        <w:rPr>
          <w:spacing w:val="-46"/>
        </w:rPr>
        <w:t> </w:t>
      </w:r>
      <w:r>
        <w:rPr>
          <w:spacing w:val="-46"/>
        </w:rPr>
      </w:r>
      <w:r>
        <w:rPr>
          <w:spacing w:val="-2"/>
        </w:rPr>
        <w:t>政府外事办公室工作，曾任市外办副主任、</w:t>
      </w:r>
      <w:r>
        <w:rPr>
          <w:rFonts w:ascii="Times New Roman" w:hAnsi="Times New Roman" w:cs="Times New Roman" w:eastAsia="Times New Roman" w:hint="default"/>
          <w:spacing w:val="-2"/>
        </w:rPr>
        <w:t>IBLAC</w:t>
      </w:r>
      <w:r>
        <w:rPr>
          <w:spacing w:val="-2"/>
        </w:rPr>
        <w:t>秘书长等职务。现任本公司副董事长、副总经理、参股</w:t>
      </w:r>
      <w:r>
        <w:rPr>
          <w:spacing w:val="-41"/>
        </w:rPr>
        <w:t> </w:t>
      </w:r>
      <w:r>
        <w:rPr>
          <w:spacing w:val="-41"/>
        </w:rPr>
      </w:r>
      <w:r>
        <w:rPr/>
        <w:t>公司中证信用云科技（深圳）股份有限公司副董事长，上海农村商业银行股份有限公司独立董事。</w:t>
      </w:r>
    </w:p>
    <w:p>
      <w:pPr>
        <w:pStyle w:val="BodyText"/>
        <w:spacing w:line="266" w:lineRule="auto" w:before="22"/>
        <w:ind w:right="0" w:firstLine="422"/>
        <w:jc w:val="left"/>
      </w:pPr>
      <w:r>
        <w:rPr>
          <w:rFonts w:ascii="宋体" w:hAnsi="宋体" w:cs="宋体" w:eastAsia="宋体" w:hint="default"/>
          <w:b/>
          <w:bCs/>
        </w:rPr>
        <w:t>陆威，</w:t>
      </w:r>
      <w:r>
        <w:rPr/>
        <w:t>男，</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10</w:t>
      </w:r>
      <w:r>
        <w:rPr/>
        <w:t>月生，中国国籍，无永久境外居留权，复旦大学高级工商管理硕士（</w:t>
      </w:r>
      <w:r>
        <w:rPr>
          <w:rFonts w:ascii="Times New Roman" w:hAnsi="Times New Roman" w:cs="Times New Roman" w:eastAsia="Times New Roman" w:hint="default"/>
        </w:rPr>
        <w:t>EMBA</w:t>
      </w:r>
      <w:r>
        <w:rPr/>
        <w:t>），</w:t>
      </w:r>
      <w:r>
        <w:rPr>
          <w:spacing w:val="2"/>
          <w:w w:val="100"/>
        </w:rPr>
        <w:t> </w:t>
      </w:r>
      <w:r>
        <w:rPr>
          <w:spacing w:val="-2"/>
        </w:rPr>
        <w:t>正高级会计师。曾任中国外运江苏集团出纳，海运、陆运结算，空运公司财务经理，中外运集装箱运输有</w:t>
      </w:r>
      <w:r>
        <w:rPr>
          <w:spacing w:val="-43"/>
        </w:rPr>
        <w:t> </w:t>
      </w:r>
      <w:r>
        <w:rPr>
          <w:spacing w:val="-43"/>
        </w:rPr>
      </w:r>
      <w:r>
        <w:rPr>
          <w:spacing w:val="-2"/>
        </w:rPr>
        <w:t>限公司财务部资金计划科经理、财务部总经理助理、副总经理、总经理。陆威先生有十多年大型中央集团</w:t>
      </w:r>
      <w:r>
        <w:rPr>
          <w:spacing w:val="-44"/>
        </w:rPr>
        <w:t> </w:t>
      </w:r>
      <w:r>
        <w:rPr>
          <w:spacing w:val="-44"/>
        </w:rPr>
      </w:r>
      <w:r>
        <w:rPr>
          <w:spacing w:val="-2"/>
        </w:rPr>
        <w:t>企业财务管理经验以及公司上市经验，是中国会计学会会员、中国总会计师协会会员、上海市总会计师工</w:t>
      </w:r>
      <w:r>
        <w:rPr>
          <w:spacing w:val="-44"/>
        </w:rPr>
        <w:t> </w:t>
      </w:r>
      <w:r>
        <w:rPr>
          <w:spacing w:val="-44"/>
        </w:rPr>
      </w:r>
      <w:r>
        <w:rPr>
          <w:spacing w:val="-5"/>
        </w:rPr>
        <w:t>作研究会会员，复旦大学</w:t>
      </w:r>
      <w:r>
        <w:rPr>
          <w:rFonts w:ascii="Times New Roman" w:hAnsi="Times New Roman" w:cs="Times New Roman" w:eastAsia="Times New Roman" w:hint="default"/>
          <w:spacing w:val="-5"/>
        </w:rPr>
        <w:t>MPACC</w:t>
      </w:r>
      <w:r>
        <w:rPr>
          <w:spacing w:val="-5"/>
        </w:rPr>
        <w:t>社会导师，上海市软件行业协会副会长，中国上市公司协会财务总监专业</w:t>
      </w:r>
      <w:r>
        <w:rPr>
          <w:spacing w:val="-4"/>
        </w:rPr>
        <w:t> </w:t>
      </w:r>
      <w:r>
        <w:rPr>
          <w:spacing w:val="-4"/>
        </w:rPr>
      </w:r>
      <w:r>
        <w:rPr>
          <w:spacing w:val="-2"/>
        </w:rPr>
        <w:t>委员会委员、上海上市公司协会财务总监委员会委员。现任本公司董事、副总经理、财务总监、董事会秘</w:t>
      </w:r>
      <w:r>
        <w:rPr>
          <w:spacing w:val="-43"/>
        </w:rPr>
        <w:t> </w:t>
      </w:r>
      <w:r>
        <w:rPr>
          <w:spacing w:val="-43"/>
        </w:rPr>
      </w:r>
      <w:r>
        <w:rPr/>
        <w:t>书，上海天洋热熔粘接材料股份有限公司独立董事及上海漫道金融信息服务股份有限公司董事。</w:t>
      </w:r>
    </w:p>
    <w:p>
      <w:pPr>
        <w:pStyle w:val="BodyText"/>
        <w:spacing w:line="268" w:lineRule="auto" w:before="14"/>
        <w:ind w:right="1126" w:firstLine="422"/>
        <w:jc w:val="both"/>
      </w:pPr>
      <w:r>
        <w:rPr>
          <w:rFonts w:ascii="宋体" w:hAnsi="宋体" w:cs="宋体" w:eastAsia="宋体" w:hint="default"/>
          <w:b/>
          <w:bCs/>
          <w:spacing w:val="-4"/>
        </w:rPr>
        <w:t>严杰，</w:t>
      </w:r>
      <w:r>
        <w:rPr>
          <w:spacing w:val="-4"/>
        </w:rPr>
        <w:t>男，</w:t>
      </w:r>
      <w:r>
        <w:rPr>
          <w:rFonts w:ascii="Times New Roman" w:hAnsi="Times New Roman" w:cs="Times New Roman" w:eastAsia="Times New Roman" w:hint="default"/>
          <w:spacing w:val="-4"/>
        </w:rPr>
        <w:t>1965</w:t>
      </w:r>
      <w:r>
        <w:rPr>
          <w:spacing w:val="-4"/>
        </w:rPr>
        <w:t>年</w:t>
      </w:r>
      <w:r>
        <w:rPr>
          <w:rFonts w:ascii="Times New Roman" w:hAnsi="Times New Roman" w:cs="Times New Roman" w:eastAsia="Times New Roman" w:hint="default"/>
          <w:spacing w:val="-4"/>
        </w:rPr>
        <w:t>11</w:t>
      </w:r>
      <w:r>
        <w:rPr>
          <w:spacing w:val="-4"/>
        </w:rPr>
        <w:t>月生，中国国籍，无永久境外居留权，本科学历，高级会计师，</w:t>
      </w:r>
      <w:r>
        <w:rPr>
          <w:rFonts w:ascii="Times New Roman" w:hAnsi="Times New Roman" w:cs="Times New Roman" w:eastAsia="Times New Roman" w:hint="default"/>
          <w:spacing w:val="-4"/>
        </w:rPr>
        <w:t>1986</w:t>
      </w:r>
      <w:r>
        <w:rPr>
          <w:spacing w:val="-4"/>
        </w:rPr>
        <w:t>年</w:t>
      </w:r>
      <w:r>
        <w:rPr>
          <w:rFonts w:ascii="Times New Roman" w:hAnsi="Times New Roman" w:cs="Times New Roman" w:eastAsia="Times New Roman" w:hint="default"/>
          <w:spacing w:val="-4"/>
        </w:rPr>
        <w:t>7</w:t>
      </w:r>
      <w:r>
        <w:rPr>
          <w:spacing w:val="-4"/>
        </w:rPr>
        <w:t>月参加工</w:t>
      </w:r>
      <w:r>
        <w:rPr>
          <w:w w:val="100"/>
        </w:rPr>
        <w:t> </w:t>
      </w:r>
      <w:r>
        <w:rPr>
          <w:spacing w:val="-2"/>
        </w:rPr>
        <w:t>作，曾任中国迅达电梯有限公司上海电梯厂主管会计、上海轮胎橡胶机械模具有限公司总会计师、上海三</w:t>
      </w:r>
      <w:r>
        <w:rPr>
          <w:spacing w:val="-43"/>
        </w:rPr>
        <w:t> </w:t>
      </w:r>
      <w:r>
        <w:rPr>
          <w:spacing w:val="-43"/>
        </w:rPr>
      </w:r>
      <w:r>
        <w:rPr>
          <w:spacing w:val="-2"/>
        </w:rPr>
        <w:t>毛纺织股份有限公司副总会计师兼监察审计部主任、上海佳华会计师事务所高级经理；目前担任上海市会</w:t>
      </w:r>
      <w:r>
        <w:rPr>
          <w:spacing w:val="-43"/>
        </w:rPr>
        <w:t> </w:t>
      </w:r>
      <w:r>
        <w:rPr>
          <w:spacing w:val="-43"/>
        </w:rPr>
      </w:r>
      <w:r>
        <w:rPr>
          <w:spacing w:val="-2"/>
        </w:rPr>
        <w:t>计学会常务理事，上海市商业会计学会副秘书长，维信诺科技股份有限公司独立董事，上海纳尔实业股份</w:t>
      </w:r>
      <w:r>
        <w:rPr>
          <w:spacing w:val="-44"/>
        </w:rPr>
        <w:t> </w:t>
      </w:r>
      <w:r>
        <w:rPr>
          <w:spacing w:val="-44"/>
        </w:rPr>
      </w:r>
      <w:r>
        <w:rPr/>
        <w:t>有限公司独立董事，上海城投控股股份有限公司独立董事，上海海立</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股份有限公司独立董事。</w:t>
      </w:r>
    </w:p>
    <w:p>
      <w:pPr>
        <w:pStyle w:val="BodyText"/>
        <w:spacing w:line="266" w:lineRule="auto"/>
        <w:ind w:right="1114" w:firstLine="482"/>
        <w:jc w:val="left"/>
      </w:pPr>
      <w:r>
        <w:rPr>
          <w:rFonts w:ascii="宋体" w:hAnsi="宋体" w:cs="宋体" w:eastAsia="宋体" w:hint="default"/>
          <w:b/>
          <w:bCs/>
          <w:spacing w:val="-2"/>
        </w:rPr>
        <w:t>田玲</w:t>
      </w:r>
      <w:r>
        <w:rPr>
          <w:spacing w:val="-2"/>
        </w:rPr>
        <w:t>，女，</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9</w:t>
      </w:r>
      <w:r>
        <w:rPr>
          <w:spacing w:val="-2"/>
        </w:rPr>
        <w:t>月生，中国国籍，无永久境外居留权，教授，博士生导师。在武汉大学任教至</w:t>
      </w:r>
      <w:r>
        <w:rPr>
          <w:w w:val="100"/>
        </w:rPr>
        <w:t> </w:t>
      </w:r>
      <w:r>
        <w:rPr>
          <w:spacing w:val="-2"/>
        </w:rPr>
        <w:t>今。现任武汉大学经济与管理学院保险系主任，武汉武商集团股份有限公司独立董事，国元农业保险股</w:t>
      </w:r>
      <w:r>
        <w:rPr>
          <w:spacing w:val="-21"/>
        </w:rPr>
        <w:t> </w:t>
      </w:r>
      <w:r>
        <w:rPr>
          <w:spacing w:val="-21"/>
        </w:rPr>
      </w:r>
      <w:r>
        <w:rPr/>
        <w:t>份有限公司独立董事，湖北盛天网络股份有限公司独立董事。社会兼职有亚太风险管理与保险学会</w:t>
      </w:r>
      <w:r>
        <w:rPr>
          <w:w w:val="100"/>
        </w:rPr>
        <w:t> </w:t>
      </w:r>
      <w:r>
        <w:rPr>
          <w:rFonts w:ascii="Times New Roman" w:hAnsi="Times New Roman" w:cs="Times New Roman" w:eastAsia="Times New Roman" w:hint="default"/>
        </w:rPr>
        <w:t>APRIA</w:t>
      </w:r>
      <w:r>
        <w:rPr/>
        <w:t>会员，中国保险学会副秘书长，民政部灾害评估与风险防范重点实验室副主任。</w:t>
      </w:r>
    </w:p>
    <w:p>
      <w:pPr>
        <w:spacing w:line="256" w:lineRule="auto" w:before="0"/>
        <w:ind w:left="635"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、监事会成员</w:t>
      </w:r>
      <w:r>
        <w:rPr>
          <w:rFonts w:ascii="宋体" w:hAnsi="宋体" w:cs="宋体" w:eastAsia="宋体" w:hint="default"/>
          <w:b/>
          <w:bCs/>
          <w:spacing w:val="-103"/>
          <w:sz w:val="21"/>
          <w:szCs w:val="21"/>
        </w:rPr>
        <w:t> </w:t>
      </w:r>
      <w:r>
        <w:rPr>
          <w:rFonts w:ascii="宋体" w:hAnsi="宋体" w:cs="宋体" w:eastAsia="宋体" w:hint="default"/>
          <w:b/>
          <w:bCs/>
          <w:spacing w:val="-1"/>
          <w:sz w:val="21"/>
          <w:szCs w:val="21"/>
        </w:rPr>
        <w:t>鲍一青</w:t>
      </w:r>
      <w:r>
        <w:rPr>
          <w:rFonts w:ascii="宋体" w:hAnsi="宋体" w:cs="宋体" w:eastAsia="宋体" w:hint="default"/>
          <w:spacing w:val="-1"/>
          <w:sz w:val="21"/>
          <w:szCs w:val="21"/>
        </w:rPr>
        <w:t>，男，</w:t>
      </w:r>
      <w:r>
        <w:rPr>
          <w:rFonts w:ascii="Times New Roman" w:hAnsi="Times New Roman" w:cs="Times New Roman" w:eastAsia="Times New Roman" w:hint="default"/>
          <w:spacing w:val="-1"/>
          <w:sz w:val="21"/>
          <w:szCs w:val="21"/>
        </w:rPr>
        <w:t>1976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月生，中国国籍，无永久境外居留权，大专学历。曾任上海世基投资顾问有限</w:t>
      </w:r>
    </w:p>
    <w:p>
      <w:pPr>
        <w:pStyle w:val="BodyText"/>
        <w:spacing w:line="273" w:lineRule="auto" w:before="5"/>
        <w:ind w:left="635" w:right="1114" w:hanging="483"/>
        <w:jc w:val="left"/>
      </w:pPr>
      <w:r>
        <w:rPr/>
        <w:t>公司部门经理，上海益邦投资咨询有限公司副总经理。现任本公司监事会主席。</w:t>
      </w:r>
      <w:r>
        <w:rPr>
          <w:w w:val="100"/>
        </w:rPr>
        <w:t> </w:t>
      </w:r>
      <w:r>
        <w:rPr>
          <w:rFonts w:ascii="宋体" w:hAnsi="宋体" w:cs="宋体" w:eastAsia="宋体" w:hint="default"/>
          <w:b/>
          <w:bCs/>
          <w:spacing w:val="-1"/>
        </w:rPr>
        <w:t>黄丽鸣</w:t>
      </w:r>
      <w:r>
        <w:rPr>
          <w:spacing w:val="-1"/>
        </w:rPr>
        <w:t>，女，</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7</w:t>
      </w:r>
      <w:r>
        <w:rPr>
          <w:spacing w:val="-1"/>
        </w:rPr>
        <w:t>月生，中国国籍，无永久境外居留权，复旦大学保险专业学士，英国杜伦大学</w:t>
      </w:r>
    </w:p>
    <w:p>
      <w:pPr>
        <w:pStyle w:val="BodyText"/>
        <w:spacing w:line="256" w:lineRule="auto"/>
        <w:ind w:left="635" w:right="1114" w:hanging="483"/>
        <w:jc w:val="left"/>
      </w:pPr>
      <w:r>
        <w:rPr/>
        <w:t>金融与投资专业硕士研究生。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月加入本公司，现任本公司监事。</w:t>
      </w:r>
      <w:r>
        <w:rPr>
          <w:w w:val="100"/>
        </w:rPr>
        <w:t> </w:t>
      </w:r>
      <w:r>
        <w:rPr>
          <w:rFonts w:ascii="宋体" w:hAnsi="宋体" w:cs="宋体" w:eastAsia="宋体" w:hint="default"/>
          <w:b/>
          <w:bCs/>
          <w:spacing w:val="-2"/>
        </w:rPr>
        <w:t>蔡玮</w:t>
      </w:r>
      <w:r>
        <w:rPr>
          <w:spacing w:val="-2"/>
        </w:rPr>
        <w:t>，女，</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10</w:t>
      </w:r>
      <w:r>
        <w:rPr>
          <w:spacing w:val="-2"/>
        </w:rPr>
        <w:t>月生，中国国籍，无永久境外居留权，大学本科。</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月加入本公司，现任</w:t>
      </w:r>
    </w:p>
    <w:p>
      <w:pPr>
        <w:pStyle w:val="BodyText"/>
        <w:spacing w:line="240" w:lineRule="auto" w:before="5"/>
        <w:ind w:right="0"/>
        <w:jc w:val="both"/>
      </w:pPr>
      <w:r>
        <w:rPr/>
        <w:t>本公司职工代表监事。</w:t>
      </w:r>
    </w:p>
    <w:p>
      <w:pPr>
        <w:spacing w:after="0" w:line="240" w:lineRule="auto"/>
        <w:jc w:val="both"/>
        <w:sectPr>
          <w:pgSz w:w="11910" w:h="16840"/>
          <w:pgMar w:header="852" w:footer="979" w:top="1320" w:bottom="1160" w:left="980" w:right="0"/>
        </w:sectPr>
      </w:pPr>
    </w:p>
    <w:p>
      <w:pPr>
        <w:pStyle w:val="Heading5"/>
        <w:spacing w:line="240" w:lineRule="auto" w:before="100"/>
        <w:ind w:left="635" w:right="1114"/>
        <w:jc w:val="left"/>
        <w:rPr>
          <w:b w:val="0"/>
          <w:bCs w:val="0"/>
        </w:rPr>
      </w:pPr>
      <w:r>
        <w:rPr>
          <w:rFonts w:ascii="Times New Roman" w:hAnsi="Times New Roman" w:cs="Times New Roman" w:eastAsia="Times New Roman" w:hint="default"/>
        </w:rPr>
        <w:t>3</w:t>
      </w:r>
      <w:r>
        <w:rPr/>
        <w:t>、高级管理人员</w:t>
      </w:r>
      <w:r>
        <w:rPr>
          <w:b w:val="0"/>
          <w:bCs w:val="0"/>
        </w:rPr>
      </w:r>
    </w:p>
    <w:p>
      <w:pPr>
        <w:pStyle w:val="BodyText"/>
        <w:spacing w:line="256" w:lineRule="auto" w:before="21"/>
        <w:ind w:left="551" w:right="1114" w:hanging="15"/>
        <w:jc w:val="left"/>
      </w:pPr>
      <w:r>
        <w:rPr/>
        <w:t>其实，总经理，</w:t>
      </w:r>
      <w:r>
        <w:rPr>
          <w:spacing w:val="-3"/>
        </w:rPr>
        <w:t> </w:t>
      </w:r>
      <w:r>
        <w:rPr/>
        <w:t>简历详见本节之</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w:t>
      </w:r>
      <w:r>
        <w:rPr>
          <w:w w:val="100"/>
        </w:rPr>
        <w:t> </w:t>
      </w:r>
      <w:r>
        <w:rPr/>
        <w:t>陈凯，副总经理，简历详见本节之</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w:t>
      </w:r>
      <w:r>
        <w:rPr>
          <w:w w:val="100"/>
        </w:rPr>
        <w:t> </w:t>
      </w:r>
      <w:r>
        <w:rPr/>
        <w:t>陆威，副总经理、财务总监、董事会秘书，简历详见本节之</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w:t>
      </w:r>
      <w:r>
        <w:rPr>
          <w:w w:val="100"/>
        </w:rPr>
        <w:t> </w:t>
      </w:r>
      <w:r>
        <w:rPr>
          <w:spacing w:val="-2"/>
        </w:rPr>
        <w:t>程磊，副总经理，</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2</w:t>
      </w:r>
      <w:r>
        <w:rPr>
          <w:spacing w:val="-2"/>
        </w:rPr>
        <w:t>月生，中国国籍，无永久境外居留权，复旦大学计算机软件专业本科学</w:t>
      </w:r>
    </w:p>
    <w:p>
      <w:pPr>
        <w:pStyle w:val="BodyText"/>
        <w:spacing w:line="273" w:lineRule="auto" w:before="5"/>
        <w:ind w:right="1114"/>
        <w:jc w:val="left"/>
      </w:pPr>
      <w:r>
        <w:rPr>
          <w:spacing w:val="-2"/>
        </w:rPr>
        <w:t>历，复旦大学软件工程硕士。本公司研发中心总监，曾任本公司董事，上海美宁计算机网络有限公司技</w:t>
      </w:r>
      <w:r>
        <w:rPr>
          <w:spacing w:val="-21"/>
        </w:rPr>
        <w:t> </w:t>
      </w:r>
      <w:r>
        <w:rPr>
          <w:spacing w:val="-21"/>
        </w:rPr>
      </w:r>
      <w:r>
        <w:rPr/>
        <w:t>术部开发组成员、项目经理，环球外汇网副总经理兼技术总监。</w:t>
      </w:r>
    </w:p>
    <w:p>
      <w:pPr>
        <w:spacing w:before="69"/>
        <w:ind w:left="153" w:right="1114"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5"/>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1"/>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674"/>
        <w:gridCol w:w="3121"/>
        <w:gridCol w:w="1136"/>
        <w:gridCol w:w="1721"/>
        <w:gridCol w:w="1616"/>
        <w:gridCol w:w="1378"/>
      </w:tblGrid>
      <w:tr>
        <w:trPr>
          <w:trHeight w:val="715" w:hRule="exact"/>
        </w:trPr>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7"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1"/>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1"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上海漫道金融信息服务股份有限公司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上海东方财富投资有限公司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上海优优教育科技有限公司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上海日月光华教育投资有限公司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上海日月光华教育科技有限公司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上海丝芭文化传媒集团有限公司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上海东方国际影视文化传播有限公司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西藏东方财富证券股份有限公司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上海东方财富期货有限公司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上海东方财富置业有限公司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东方财富征信有限公司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南京东方财富信息技术有限公司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上海微兆信息科技有限公司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中证信用云科技（深圳）股份有限公司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上海徐汇东方财富小额贷款有限公司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上海农村商业银行股份有限公司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上海东方财富金融数据服务有限公司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上海东鑫互联网金融服务有限公司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上海漫道金融信息服务股份有限公司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8"/>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674"/>
        <w:gridCol w:w="3121"/>
        <w:gridCol w:w="1136"/>
        <w:gridCol w:w="1721"/>
        <w:gridCol w:w="1616"/>
        <w:gridCol w:w="1378"/>
      </w:tblGrid>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上海天洋热熔粘接材料股份有限公司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上海长盛电子商务有限公司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浪客网络科技有限公司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上海市会计学会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上海市商业会计学会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副秘书长</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维信诺科技股份有限公司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上海城投控股股份有限公司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上海海立</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上海财经大学财经研究理事会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上海华东理工大学商学院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201"/>
              <w:jc w:val="left"/>
              <w:rPr>
                <w:rFonts w:ascii="宋体" w:hAnsi="宋体" w:cs="宋体" w:eastAsia="宋体" w:hint="default"/>
                <w:sz w:val="18"/>
                <w:szCs w:val="18"/>
              </w:rPr>
            </w:pPr>
            <w:r>
              <w:rPr>
                <w:rFonts w:ascii="宋体" w:hAnsi="宋体" w:cs="宋体" w:eastAsia="宋体" w:hint="default"/>
                <w:sz w:val="18"/>
                <w:szCs w:val="18"/>
              </w:rPr>
              <w:t>会计学硕士 职业导师</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上海大学悉尼工商管理学院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会计学硕士 职业导师</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上海纳尔实业股份有限公司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武汉大学经济与管理学院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保险系主任</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武汉武商集团股份有限公司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湖北盛天网络股份有限公司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国元农业保险股份有限公司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北京京东财信息科技有限公司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广州东财信息科技有限公司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上海东方财富金融数据服务有限公司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黄丽鸣</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6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14"/>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2816"/>
        <w:gridCol w:w="6751"/>
      </w:tblGrid>
      <w:tr>
        <w:trPr>
          <w:trHeight w:val="734" w:hRule="exact"/>
        </w:trPr>
        <w:tc>
          <w:tcPr>
            <w:tcW w:w="2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1"/>
              <w:ind w:left="3" w:right="100"/>
              <w:jc w:val="left"/>
              <w:rPr>
                <w:rFonts w:ascii="宋体" w:hAnsi="宋体" w:cs="宋体" w:eastAsia="宋体" w:hint="default"/>
                <w:sz w:val="18"/>
                <w:szCs w:val="18"/>
              </w:rPr>
            </w:pPr>
            <w:r>
              <w:rPr>
                <w:rFonts w:ascii="宋体" w:hAnsi="宋体" w:cs="宋体" w:eastAsia="宋体" w:hint="default"/>
                <w:sz w:val="18"/>
                <w:szCs w:val="18"/>
              </w:rPr>
              <w:t>董事、监事、高级管理人员报酬的 决策程序</w:t>
            </w:r>
          </w:p>
        </w:tc>
        <w:tc>
          <w:tcPr>
            <w:tcW w:w="67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8" w:right="72"/>
              <w:jc w:val="left"/>
              <w:rPr>
                <w:rFonts w:ascii="宋体" w:hAnsi="宋体" w:cs="宋体" w:eastAsia="宋体" w:hint="default"/>
                <w:sz w:val="18"/>
                <w:szCs w:val="18"/>
              </w:rPr>
            </w:pPr>
            <w:r>
              <w:rPr>
                <w:rFonts w:ascii="宋体" w:hAnsi="宋体" w:cs="宋体" w:eastAsia="宋体" w:hint="default"/>
                <w:sz w:val="18"/>
                <w:szCs w:val="18"/>
              </w:rPr>
              <w:t>根据报告期经营情况，按照有关业绩考核规定，经董事会薪酬与考核委员会审核，公 司董事、监事、高级管理人员从公司获得的报酬。</w:t>
            </w:r>
          </w:p>
        </w:tc>
      </w:tr>
      <w:tr>
        <w:trPr>
          <w:trHeight w:val="734" w:hRule="exact"/>
        </w:trPr>
        <w:tc>
          <w:tcPr>
            <w:tcW w:w="2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3" w:right="100"/>
              <w:jc w:val="left"/>
              <w:rPr>
                <w:rFonts w:ascii="宋体" w:hAnsi="宋体" w:cs="宋体" w:eastAsia="宋体" w:hint="default"/>
                <w:sz w:val="18"/>
                <w:szCs w:val="18"/>
              </w:rPr>
            </w:pPr>
            <w:r>
              <w:rPr>
                <w:rFonts w:ascii="宋体" w:hAnsi="宋体" w:cs="宋体" w:eastAsia="宋体" w:hint="default"/>
                <w:sz w:val="18"/>
                <w:szCs w:val="18"/>
              </w:rPr>
              <w:t>董事、监事、高级管理人员报酬确 定依据</w:t>
            </w:r>
          </w:p>
        </w:tc>
        <w:tc>
          <w:tcPr>
            <w:tcW w:w="6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8" w:right="72"/>
              <w:jc w:val="left"/>
              <w:rPr>
                <w:rFonts w:ascii="宋体" w:hAnsi="宋体" w:cs="宋体" w:eastAsia="宋体" w:hint="default"/>
                <w:sz w:val="18"/>
                <w:szCs w:val="18"/>
              </w:rPr>
            </w:pPr>
            <w:r>
              <w:rPr>
                <w:rFonts w:ascii="宋体" w:hAnsi="宋体" w:cs="宋体" w:eastAsia="宋体" w:hint="default"/>
                <w:sz w:val="18"/>
                <w:szCs w:val="18"/>
              </w:rPr>
              <w:t>董事、监事和高级管理人员的报酬按照公司董事会专门委员会《薪酬与考核委员会议 事规则》等规定，结合其经营绩效、工作能力、岗位职级等考核确定并发放。</w:t>
            </w:r>
          </w:p>
        </w:tc>
      </w:tr>
      <w:tr>
        <w:trPr>
          <w:trHeight w:val="734" w:hRule="exact"/>
        </w:trPr>
        <w:tc>
          <w:tcPr>
            <w:tcW w:w="2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3" w:right="10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 实际支付情况</w:t>
            </w:r>
          </w:p>
        </w:tc>
        <w:tc>
          <w:tcPr>
            <w:tcW w:w="6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董事、监事和高级管理人员的报酬按照规定进行了发放。</w:t>
            </w:r>
          </w:p>
        </w:tc>
      </w:tr>
    </w:tbl>
    <w:p>
      <w:pPr>
        <w:spacing w:line="240" w:lineRule="auto" w:before="2"/>
        <w:rPr>
          <w:rFonts w:ascii="宋体" w:hAnsi="宋体" w:cs="宋体" w:eastAsia="宋体" w:hint="default"/>
          <w:sz w:val="24"/>
          <w:szCs w:val="24"/>
        </w:rPr>
      </w:pPr>
    </w:p>
    <w:p>
      <w:pPr>
        <w:spacing w:before="44"/>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after="0"/>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960"/>
        <w:gridCol w:w="1777"/>
        <w:gridCol w:w="1058"/>
        <w:gridCol w:w="991"/>
        <w:gridCol w:w="1135"/>
        <w:gridCol w:w="1844"/>
        <w:gridCol w:w="1807"/>
      </w:tblGrid>
      <w:tr>
        <w:trPr>
          <w:trHeight w:val="75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姓名</w:t>
            </w:r>
          </w:p>
        </w:tc>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376" w:right="375"/>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448" w:right="266"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60.04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82.21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董事、副总经理、财 务总监、董事会秘书</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86.16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52.44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黄丽鸣</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23.99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蔡玮</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29.79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57.16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叶露</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42.20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sz w:val="18"/>
                <w:szCs w:val="18"/>
              </w:rPr>
              <w:t>合计</w:t>
            </w:r>
          </w:p>
        </w:tc>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514.00</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79" w:top="1320" w:bottom="1160" w:left="980" w:right="0"/>
        </w:sectPr>
      </w:pPr>
    </w:p>
    <w:p>
      <w:pPr>
        <w:spacing w:before="50"/>
        <w:ind w:left="153"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4654" w:space="4266"/>
            <w:col w:w="2010"/>
          </w:cols>
        </w:sectPr>
      </w:pPr>
    </w:p>
    <w:p>
      <w:pPr>
        <w:spacing w:line="240" w:lineRule="auto" w:before="2"/>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847"/>
        <w:gridCol w:w="1985"/>
        <w:gridCol w:w="1699"/>
        <w:gridCol w:w="1700"/>
        <w:gridCol w:w="1697"/>
        <w:gridCol w:w="1702"/>
      </w:tblGrid>
      <w:tr>
        <w:trPr>
          <w:trHeight w:val="754" w:hRule="exact"/>
        </w:trPr>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报告期内可行权股数</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报告期内已行权股数</w:t>
            </w:r>
          </w:p>
        </w:tc>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98" w:right="32" w:hanging="65"/>
              <w:jc w:val="left"/>
              <w:rPr>
                <w:rFonts w:ascii="宋体" w:hAnsi="宋体" w:cs="宋体" w:eastAsia="宋体" w:hint="default"/>
                <w:sz w:val="18"/>
                <w:szCs w:val="18"/>
              </w:rPr>
            </w:pPr>
            <w:r>
              <w:rPr>
                <w:rFonts w:ascii="宋体" w:hAnsi="宋体" w:cs="宋体" w:eastAsia="宋体" w:hint="default"/>
                <w:sz w:val="18"/>
                <w:szCs w:val="18"/>
              </w:rPr>
              <w:t>报告期内已行权股数 行权价格（元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报告期末市价</w:t>
            </w:r>
          </w:p>
          <w:p>
            <w:pPr>
              <w:pStyle w:val="TableParagraph"/>
              <w:spacing w:line="240" w:lineRule="auto" w:before="117"/>
              <w:ind w:left="4" w:right="0"/>
              <w:jc w:val="center"/>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715"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董事、副总经理、财务 总监、董事会秘书</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1,814,400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1,814,400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12.10</w:t>
            </w:r>
          </w:p>
        </w:tc>
      </w:tr>
      <w:tr>
        <w:trPr>
          <w:trHeight w:val="401"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907,200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907,200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12.10</w:t>
            </w:r>
          </w:p>
        </w:tc>
      </w:tr>
      <w:tr>
        <w:trPr>
          <w:trHeight w:val="403" w:hRule="exact"/>
        </w:trPr>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2,721,600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2,721,600</w:t>
            </w:r>
          </w:p>
        </w:tc>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1114"/>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2,962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4,325</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762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1,690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内容管理人员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202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784</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4,325</w:t>
            </w:r>
          </w:p>
        </w:tc>
      </w:tr>
      <w:tr>
        <w:trPr>
          <w:trHeight w:val="397"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3,203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913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初中及以下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4,325</w:t>
            </w:r>
          </w:p>
        </w:tc>
      </w:tr>
    </w:tbl>
    <w:p>
      <w:pPr>
        <w:spacing w:line="240" w:lineRule="auto" w:before="3"/>
        <w:rPr>
          <w:rFonts w:ascii="宋体" w:hAnsi="宋体" w:cs="宋体" w:eastAsia="宋体" w:hint="default"/>
          <w:b/>
          <w:bCs/>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spacing w:line="316" w:lineRule="auto" w:before="0"/>
        <w:ind w:left="350" w:right="1196" w:firstLine="360"/>
        <w:jc w:val="left"/>
        <w:rPr>
          <w:rFonts w:ascii="宋体" w:hAnsi="宋体" w:cs="宋体" w:eastAsia="宋体" w:hint="default"/>
          <w:sz w:val="18"/>
          <w:szCs w:val="18"/>
        </w:rPr>
      </w:pPr>
      <w:r>
        <w:rPr>
          <w:rFonts w:ascii="宋体" w:hAnsi="宋体" w:cs="宋体" w:eastAsia="宋体" w:hint="default"/>
          <w:sz w:val="18"/>
          <w:szCs w:val="18"/>
        </w:rPr>
        <w:t>公司依据国家法律法规并结合实际情况制定了薪酬管理制度，完善了参考职级体系的薪酬宽带、进行了外部薪酬调 研、明确了薪酬调整标准。</w:t>
      </w:r>
    </w:p>
    <w:p>
      <w:pPr>
        <w:spacing w:line="316" w:lineRule="auto" w:before="19"/>
        <w:ind w:left="350" w:right="1196" w:firstLine="360"/>
        <w:jc w:val="left"/>
        <w:rPr>
          <w:rFonts w:ascii="宋体" w:hAnsi="宋体" w:cs="宋体" w:eastAsia="宋体" w:hint="default"/>
          <w:sz w:val="18"/>
          <w:szCs w:val="18"/>
        </w:rPr>
      </w:pPr>
      <w:r>
        <w:rPr>
          <w:rFonts w:ascii="宋体" w:hAnsi="宋体" w:cs="宋体" w:eastAsia="宋体" w:hint="default"/>
          <w:sz w:val="18"/>
          <w:szCs w:val="18"/>
        </w:rPr>
        <w:t>参考职级的薪酬宽带：公司建立了完善的职级体系，不同类型的职位在不同职级上建立了相应的薪酬目标线和薪酬 宽带；为定薪提供了明确的依据。</w:t>
      </w:r>
    </w:p>
    <w:p>
      <w:pPr>
        <w:spacing w:line="316" w:lineRule="auto" w:before="19"/>
        <w:ind w:left="710" w:right="113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薪酬标准制定：公司会参考外部薪酬标准，根据市场薪资水平和公司本身的薪酬定位，确定公司的整体薪酬水平。 薪酬调整：根据职级晋升、薪酬目标线，参考员工整体贡献、能力水平，岗位重要程度、工作态度等要素，基于</w:t>
      </w:r>
      <w:r>
        <w:rPr>
          <w:rFonts w:ascii="Times New Roman" w:hAnsi="Times New Roman" w:cs="Times New Roman" w:eastAsia="Times New Roman" w:hint="default"/>
          <w:sz w:val="18"/>
          <w:szCs w:val="18"/>
        </w:rPr>
        <w:t>CR</w:t>
      </w:r>
    </w:p>
    <w:p>
      <w:pPr>
        <w:spacing w:line="235" w:lineRule="exact" w:before="0"/>
        <w:ind w:left="350" w:right="1114" w:firstLine="0"/>
        <w:jc w:val="left"/>
        <w:rPr>
          <w:rFonts w:ascii="宋体" w:hAnsi="宋体" w:cs="宋体" w:eastAsia="宋体" w:hint="default"/>
          <w:sz w:val="18"/>
          <w:szCs w:val="18"/>
        </w:rPr>
      </w:pPr>
      <w:r>
        <w:rPr>
          <w:rFonts w:ascii="宋体" w:hAnsi="宋体" w:cs="宋体" w:eastAsia="宋体" w:hint="default"/>
          <w:sz w:val="18"/>
          <w:szCs w:val="18"/>
        </w:rPr>
        <w:t>值对员工薪酬进行调整。</w:t>
      </w:r>
    </w:p>
    <w:p>
      <w:pPr>
        <w:spacing w:line="240" w:lineRule="auto" w:before="0"/>
        <w:rPr>
          <w:rFonts w:ascii="宋体" w:hAnsi="宋体" w:cs="宋体" w:eastAsia="宋体" w:hint="default"/>
          <w:sz w:val="18"/>
          <w:szCs w:val="18"/>
        </w:rPr>
      </w:pPr>
    </w:p>
    <w:p>
      <w:pPr>
        <w:pStyle w:val="Heading5"/>
        <w:spacing w:line="240" w:lineRule="auto" w:before="120"/>
        <w:ind w:right="1114"/>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spacing w:line="316" w:lineRule="auto" w:before="0"/>
        <w:ind w:left="153" w:right="1123" w:firstLine="360"/>
        <w:jc w:val="left"/>
        <w:rPr>
          <w:rFonts w:ascii="宋体" w:hAnsi="宋体" w:cs="宋体" w:eastAsia="宋体" w:hint="default"/>
          <w:sz w:val="18"/>
          <w:szCs w:val="18"/>
        </w:rPr>
      </w:pPr>
      <w:r>
        <w:rPr>
          <w:rFonts w:ascii="宋体" w:hAnsi="宋体" w:cs="宋体" w:eastAsia="宋体" w:hint="default"/>
          <w:sz w:val="18"/>
          <w:szCs w:val="18"/>
        </w:rPr>
        <w:t>为了有效提升员工能力和素质，</w:t>
      </w:r>
      <w:r>
        <w:rPr>
          <w:rFonts w:ascii="宋体" w:hAnsi="宋体" w:cs="宋体" w:eastAsia="宋体" w:hint="default"/>
          <w:sz w:val="18"/>
          <w:szCs w:val="18"/>
        </w:rPr>
        <w:t>2018</w:t>
      </w:r>
      <w:r>
        <w:rPr>
          <w:rFonts w:ascii="宋体" w:hAnsi="宋体" w:cs="宋体" w:eastAsia="宋体" w:hint="default"/>
          <w:sz w:val="18"/>
          <w:szCs w:val="18"/>
        </w:rPr>
        <w:t>年公司针对各个层面的人才组织了大量的培训，其中包括：（</w:t>
      </w:r>
      <w:r>
        <w:rPr>
          <w:rFonts w:ascii="宋体" w:hAnsi="宋体" w:cs="宋体" w:eastAsia="宋体" w:hint="default"/>
          <w:sz w:val="18"/>
          <w:szCs w:val="18"/>
        </w:rPr>
        <w:t>1</w:t>
      </w:r>
      <w:r>
        <w:rPr>
          <w:rFonts w:ascii="宋体" w:hAnsi="宋体" w:cs="宋体" w:eastAsia="宋体" w:hint="default"/>
          <w:sz w:val="18"/>
          <w:szCs w:val="18"/>
        </w:rPr>
        <w:t>）社会招聘和校园 招聘的员工入职培训；（</w:t>
      </w:r>
      <w:r>
        <w:rPr>
          <w:rFonts w:ascii="宋体" w:hAnsi="宋体" w:cs="宋体" w:eastAsia="宋体" w:hint="default"/>
          <w:sz w:val="18"/>
          <w:szCs w:val="18"/>
        </w:rPr>
        <w:t>2</w:t>
      </w:r>
      <w:r>
        <w:rPr>
          <w:rFonts w:ascii="宋体" w:hAnsi="宋体" w:cs="宋体" w:eastAsia="宋体" w:hint="default"/>
          <w:sz w:val="18"/>
          <w:szCs w:val="18"/>
        </w:rPr>
        <w:t>）管理干部管理能力提升的培训；（</w:t>
      </w:r>
      <w:r>
        <w:rPr>
          <w:rFonts w:ascii="宋体" w:hAnsi="宋体" w:cs="宋体" w:eastAsia="宋体" w:hint="default"/>
          <w:sz w:val="18"/>
          <w:szCs w:val="18"/>
        </w:rPr>
        <w:t>3</w:t>
      </w:r>
      <w:r>
        <w:rPr>
          <w:rFonts w:ascii="宋体" w:hAnsi="宋体" w:cs="宋体" w:eastAsia="宋体" w:hint="default"/>
          <w:sz w:val="18"/>
          <w:szCs w:val="18"/>
        </w:rPr>
        <w:t>）专业序列的专业培训；（</w:t>
      </w:r>
      <w:r>
        <w:rPr>
          <w:rFonts w:ascii="宋体" w:hAnsi="宋体" w:cs="宋体" w:eastAsia="宋体" w:hint="default"/>
          <w:sz w:val="18"/>
          <w:szCs w:val="18"/>
        </w:rPr>
        <w:t>4</w:t>
      </w:r>
      <w:r>
        <w:rPr>
          <w:rFonts w:ascii="宋体" w:hAnsi="宋体" w:cs="宋体" w:eastAsia="宋体" w:hint="default"/>
          <w:sz w:val="18"/>
          <w:szCs w:val="18"/>
        </w:rPr>
        <w:t>）专项培训。</w:t>
      </w:r>
    </w:p>
    <w:p>
      <w:pPr>
        <w:spacing w:before="59"/>
        <w:ind w:left="513" w:right="1114" w:firstLine="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年公司将在上述四大类培训内容的基础上，重点加强储备管理人才的培养，努力为公司培养更多的优秀人才。</w:t>
      </w:r>
    </w:p>
    <w:p>
      <w:pPr>
        <w:spacing w:line="240" w:lineRule="auto" w:before="0"/>
        <w:rPr>
          <w:rFonts w:ascii="宋体" w:hAnsi="宋体" w:cs="宋体" w:eastAsia="宋体" w:hint="default"/>
          <w:sz w:val="18"/>
          <w:szCs w:val="18"/>
        </w:rPr>
      </w:pPr>
    </w:p>
    <w:p>
      <w:pPr>
        <w:pStyle w:val="Heading5"/>
        <w:spacing w:line="240" w:lineRule="auto" w:before="120"/>
        <w:ind w:right="1114"/>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751" w:right="4727"/>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313" w:firstLine="420"/>
        <w:jc w:val="both"/>
      </w:pPr>
      <w:r>
        <w:rPr>
          <w:spacing w:val="-2"/>
        </w:rPr>
        <w:t>报告期内，公司严格按照《公司法》、《证券法》、《上市公司治理准则》、《上市公司信息披露</w:t>
      </w:r>
      <w:r>
        <w:rPr>
          <w:w w:val="100"/>
        </w:rPr>
        <w:t> </w:t>
      </w:r>
      <w:r>
        <w:rPr>
          <w:spacing w:val="-2"/>
        </w:rPr>
        <w:t>管理办法》、《深圳证券交易所创业板股票上市规则》、《深圳证券交易所创业板上市公司规范运作指</w:t>
      </w:r>
      <w:r>
        <w:rPr>
          <w:spacing w:val="-21"/>
        </w:rPr>
        <w:t> </w:t>
      </w:r>
      <w:r>
        <w:rPr>
          <w:spacing w:val="-21"/>
        </w:rPr>
      </w:r>
      <w:r>
        <w:rPr>
          <w:spacing w:val="-2"/>
        </w:rPr>
        <w:t>引》等法律法规、规范性文件及监管部门的相关规定和要求，不断完善公司法人治理结构、建立健全公</w:t>
      </w:r>
      <w:r>
        <w:rPr>
          <w:spacing w:val="-21"/>
        </w:rPr>
        <w:t> </w:t>
      </w:r>
      <w:r>
        <w:rPr>
          <w:spacing w:val="-21"/>
        </w:rPr>
      </w:r>
      <w:r>
        <w:rPr>
          <w:spacing w:val="-2"/>
        </w:rPr>
        <w:t>司内部管理和控制制度，不断规范公司运作水平。报告期内，根据公司实际发展情况的变化，公司按照</w:t>
      </w:r>
      <w:r>
        <w:rPr>
          <w:spacing w:val="-21"/>
        </w:rPr>
        <w:t> </w:t>
      </w:r>
      <w:r>
        <w:rPr>
          <w:spacing w:val="-21"/>
        </w:rPr>
      </w:r>
      <w:r>
        <w:rPr/>
        <w:t>相关规定修订了《公司章程》、《董事会议事规则》。</w:t>
      </w:r>
    </w:p>
    <w:p>
      <w:pPr>
        <w:pStyle w:val="BodyText"/>
        <w:spacing w:line="273" w:lineRule="auto" w:before="8"/>
        <w:ind w:left="573" w:right="1114"/>
        <w:jc w:val="left"/>
      </w:pPr>
      <w:r>
        <w:rPr/>
        <w:t>（一）股东与股东大会</w:t>
      </w:r>
      <w:r>
        <w:rPr>
          <w:w w:val="100"/>
        </w:rPr>
        <w:t> </w:t>
      </w:r>
      <w:r>
        <w:rPr>
          <w:spacing w:val="-2"/>
        </w:rPr>
        <w:t>公司严格按照《公司法》、《上市公司股东大会规则》、《公司章程》、《公司股东大会议事规</w:t>
      </w:r>
    </w:p>
    <w:p>
      <w:pPr>
        <w:pStyle w:val="BodyText"/>
        <w:spacing w:line="273" w:lineRule="auto" w:before="7"/>
        <w:ind w:right="1213"/>
        <w:jc w:val="left"/>
      </w:pPr>
      <w:r>
        <w:rPr>
          <w:spacing w:val="-2"/>
        </w:rPr>
        <w:t>则》等相关法律法规、规范性文件和公司规章制度的有关规定和要求，规范地召集、召开股东大会，平</w:t>
      </w:r>
      <w:r>
        <w:rPr>
          <w:spacing w:val="-21"/>
        </w:rPr>
        <w:t> </w:t>
      </w:r>
      <w:r>
        <w:rPr>
          <w:spacing w:val="-21"/>
        </w:rPr>
      </w:r>
      <w:r>
        <w:rPr/>
        <w:t>等对待所有股东，在会议召开时采用现场投票和网络投票相结合的方式，为股东参加股东大会提供便</w:t>
      </w:r>
      <w:r>
        <w:rPr>
          <w:w w:val="100"/>
        </w:rPr>
        <w:t> </w:t>
      </w:r>
      <w:r>
        <w:rPr/>
        <w:t>利。</w:t>
      </w:r>
    </w:p>
    <w:p>
      <w:pPr>
        <w:pStyle w:val="BodyText"/>
        <w:spacing w:line="264" w:lineRule="auto" w:before="7"/>
        <w:ind w:right="1114" w:firstLine="420"/>
        <w:jc w:val="left"/>
      </w:pPr>
      <w:r>
        <w:rPr>
          <w:spacing w:val="-2"/>
        </w:rPr>
        <w:t>报告期内，公司召开的</w:t>
      </w:r>
      <w:r>
        <w:rPr>
          <w:rFonts w:ascii="Times New Roman" w:hAnsi="Times New Roman" w:cs="Times New Roman" w:eastAsia="Times New Roman" w:hint="default"/>
          <w:spacing w:val="-2"/>
        </w:rPr>
        <w:t>2</w:t>
      </w:r>
      <w:r>
        <w:rPr>
          <w:spacing w:val="-2"/>
        </w:rPr>
        <w:t>次股东大会均由公司董事会召集召开，经见证律师进行现场见证并出具法律</w:t>
      </w:r>
      <w:r>
        <w:rPr>
          <w:w w:val="100"/>
        </w:rPr>
        <w:t> </w:t>
      </w:r>
      <w:r>
        <w:rPr/>
        <w:t>意见书。在股东大会上保障各位股东有充分的发言权，确保股东对公司重大事项的知情权、参与权、表</w:t>
      </w:r>
      <w:r>
        <w:rPr>
          <w:w w:val="100"/>
        </w:rPr>
        <w:t> </w:t>
      </w:r>
      <w:r>
        <w:rPr/>
        <w:t>决权，使其充分行使股东合法权利。</w:t>
      </w:r>
    </w:p>
    <w:p>
      <w:pPr>
        <w:pStyle w:val="BodyText"/>
        <w:spacing w:line="273" w:lineRule="auto" w:before="16"/>
        <w:ind w:left="573" w:right="1114"/>
        <w:jc w:val="left"/>
      </w:pPr>
      <w:r>
        <w:rPr/>
        <w:t>（二）公司与控股股东</w:t>
      </w:r>
      <w:r>
        <w:rPr>
          <w:w w:val="100"/>
        </w:rPr>
        <w:t> </w:t>
      </w:r>
      <w:r>
        <w:rPr>
          <w:spacing w:val="-2"/>
        </w:rPr>
        <w:t>公司控股股东、实际控制人严格按照《上市公司治理准则》、《深圳证券交易所创业板股票上市规</w:t>
      </w:r>
    </w:p>
    <w:p>
      <w:pPr>
        <w:pStyle w:val="BodyText"/>
        <w:spacing w:line="273" w:lineRule="auto" w:before="7"/>
        <w:ind w:right="1313"/>
        <w:jc w:val="both"/>
      </w:pPr>
      <w:r>
        <w:rPr>
          <w:spacing w:val="-2"/>
        </w:rPr>
        <w:t>则》、《深圳证券交易所创业板上市公司规范运作指引》、《公司章程》等相关规定和要求，依法行使</w:t>
      </w:r>
      <w:r>
        <w:rPr>
          <w:spacing w:val="-21"/>
        </w:rPr>
        <w:t> </w:t>
      </w:r>
      <w:r>
        <w:rPr>
          <w:spacing w:val="-21"/>
        </w:rPr>
      </w:r>
      <w:r>
        <w:rPr>
          <w:spacing w:val="-2"/>
        </w:rPr>
        <w:t>股东权利，履行股东义务，不存在超越股东大会直接或间接干预公司的决策和经营活动的行为，没有损</w:t>
      </w:r>
      <w:r>
        <w:rPr>
          <w:spacing w:val="-21"/>
        </w:rPr>
        <w:t> </w:t>
      </w:r>
      <w:r>
        <w:rPr>
          <w:spacing w:val="-21"/>
        </w:rPr>
      </w:r>
      <w:r>
        <w:rPr>
          <w:spacing w:val="-2"/>
        </w:rPr>
        <w:t>害公司及全体股东的利益。公司不存在控股股东占用公司资金或为控股股东提供担保的情形。公司拥有</w:t>
      </w:r>
      <w:r>
        <w:rPr>
          <w:spacing w:val="-21"/>
        </w:rPr>
        <w:t> </w:t>
      </w:r>
      <w:r>
        <w:rPr>
          <w:spacing w:val="-21"/>
        </w:rPr>
      </w:r>
      <w:r>
        <w:rPr>
          <w:spacing w:val="-2"/>
        </w:rPr>
        <w:t>独立完整的业务和自主经营能力，在业务、人员、资产、机构、财务上独立于控股股东，公司董事会、</w:t>
      </w:r>
      <w:r>
        <w:rPr>
          <w:spacing w:val="-21"/>
        </w:rPr>
        <w:t> </w:t>
      </w:r>
      <w:r>
        <w:rPr>
          <w:spacing w:val="-21"/>
        </w:rPr>
      </w:r>
      <w:r>
        <w:rPr/>
        <w:t>监事会和内部机构独立运作。</w:t>
      </w:r>
    </w:p>
    <w:p>
      <w:pPr>
        <w:pStyle w:val="BodyText"/>
        <w:spacing w:line="273" w:lineRule="auto" w:before="7"/>
        <w:ind w:left="573" w:right="1114"/>
        <w:jc w:val="left"/>
      </w:pPr>
      <w:r>
        <w:rPr/>
        <w:t>（三）董事与董事会</w:t>
      </w:r>
      <w:r>
        <w:rPr>
          <w:w w:val="100"/>
        </w:rPr>
        <w:t> </w:t>
      </w:r>
      <w:r>
        <w:rPr>
          <w:spacing w:val="-2"/>
        </w:rPr>
        <w:t>第四届董事会设董事</w:t>
      </w:r>
      <w:r>
        <w:rPr>
          <w:rFonts w:ascii="Times New Roman" w:hAnsi="Times New Roman" w:cs="Times New Roman" w:eastAsia="Times New Roman" w:hint="default"/>
          <w:spacing w:val="-2"/>
        </w:rPr>
        <w:t>6</w:t>
      </w:r>
      <w:r>
        <w:rPr>
          <w:spacing w:val="-2"/>
        </w:rPr>
        <w:t>名，其中独立董事</w:t>
      </w:r>
      <w:r>
        <w:rPr>
          <w:rFonts w:ascii="Times New Roman" w:hAnsi="Times New Roman" w:cs="Times New Roman" w:eastAsia="Times New Roman" w:hint="default"/>
          <w:spacing w:val="-2"/>
        </w:rPr>
        <w:t>2</w:t>
      </w:r>
      <w:r>
        <w:rPr>
          <w:spacing w:val="-2"/>
        </w:rPr>
        <w:t>名，达到公司董事总数的</w:t>
      </w:r>
      <w:r>
        <w:rPr>
          <w:rFonts w:ascii="Times New Roman" w:hAnsi="Times New Roman" w:cs="Times New Roman" w:eastAsia="Times New Roman" w:hint="default"/>
          <w:spacing w:val="-2"/>
        </w:rPr>
        <w:t>1/3</w:t>
      </w:r>
      <w:r>
        <w:rPr>
          <w:spacing w:val="-2"/>
        </w:rPr>
        <w:t>。公司董事会的人数及人员构</w:t>
      </w:r>
    </w:p>
    <w:p>
      <w:pPr>
        <w:pStyle w:val="BodyText"/>
        <w:spacing w:line="273" w:lineRule="auto"/>
        <w:ind w:right="1313"/>
        <w:jc w:val="both"/>
      </w:pPr>
      <w:r>
        <w:rPr>
          <w:spacing w:val="-2"/>
        </w:rPr>
        <w:t>成符合法律、法规和《公司章程》的要求。各位董事能够依据《公司董事会议事规则》、《公司独立董</w:t>
      </w:r>
      <w:r>
        <w:rPr>
          <w:spacing w:val="-21"/>
        </w:rPr>
        <w:t> </w:t>
      </w:r>
      <w:r>
        <w:rPr>
          <w:spacing w:val="-21"/>
        </w:rPr>
      </w:r>
      <w:r>
        <w:rPr>
          <w:spacing w:val="-2"/>
        </w:rPr>
        <w:t>事制度》、《深圳证券交易所创业板上市公司规范运作指引》等要求开展工作，出席董事会、董事会专</w:t>
      </w:r>
      <w:r>
        <w:rPr>
          <w:spacing w:val="-21"/>
        </w:rPr>
        <w:t> </w:t>
      </w:r>
      <w:r>
        <w:rPr>
          <w:spacing w:val="-21"/>
        </w:rPr>
      </w:r>
      <w:r>
        <w:rPr/>
        <w:t>门委员会和股东大会，勤勉尽责地履行职责和义务。</w:t>
      </w:r>
    </w:p>
    <w:p>
      <w:pPr>
        <w:pStyle w:val="BodyText"/>
        <w:spacing w:line="273" w:lineRule="auto" w:before="7"/>
        <w:ind w:right="1114" w:firstLine="420"/>
        <w:jc w:val="left"/>
      </w:pPr>
      <w:r>
        <w:rPr>
          <w:spacing w:val="-2"/>
        </w:rPr>
        <w:t>公司董事会下设有战略委员会、提名委员会、薪酬与考核委员会、审计委员会四个专门委员会，对</w:t>
      </w:r>
      <w:r>
        <w:rPr>
          <w:w w:val="100"/>
        </w:rPr>
        <w:t> </w:t>
      </w:r>
      <w:r>
        <w:rPr/>
        <w:t>公司董事会负责，依照《公司章程》和董事会授权履行职责。</w:t>
      </w:r>
    </w:p>
    <w:p>
      <w:pPr>
        <w:pStyle w:val="BodyText"/>
        <w:spacing w:line="273" w:lineRule="auto" w:before="8"/>
        <w:ind w:left="573" w:right="1114"/>
        <w:jc w:val="left"/>
      </w:pPr>
      <w:r>
        <w:rPr/>
        <w:t>（四）监事与监事会</w:t>
      </w:r>
      <w:r>
        <w:rPr>
          <w:w w:val="100"/>
        </w:rPr>
        <w:t> </w:t>
      </w:r>
      <w:r>
        <w:rPr>
          <w:spacing w:val="-2"/>
        </w:rPr>
        <w:t>公司第四届监事会设监事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名。监事会的人数和构成符合相关法律法规、规</w:t>
      </w:r>
    </w:p>
    <w:p>
      <w:pPr>
        <w:pStyle w:val="BodyText"/>
        <w:spacing w:line="273" w:lineRule="auto"/>
        <w:ind w:right="1313"/>
        <w:jc w:val="both"/>
      </w:pPr>
      <w:r>
        <w:rPr>
          <w:spacing w:val="-2"/>
        </w:rPr>
        <w:t>范性文件和公司规章制度的有关规定和要求。各位监事本着对全体股东负责的态度，认真履行监事会监</w:t>
      </w:r>
      <w:r>
        <w:rPr>
          <w:spacing w:val="-21"/>
        </w:rPr>
        <w:t> </w:t>
      </w:r>
      <w:r>
        <w:rPr>
          <w:spacing w:val="-21"/>
        </w:rPr>
      </w:r>
      <w:r>
        <w:rPr>
          <w:spacing w:val="-2"/>
        </w:rPr>
        <w:t>督职能，对公司重大事项、关联交易、财务状况以及董事和高管人员履行职责情况进行监督，维护公司</w:t>
      </w:r>
      <w:r>
        <w:rPr>
          <w:spacing w:val="-21"/>
        </w:rPr>
        <w:t> </w:t>
      </w:r>
      <w:r>
        <w:rPr>
          <w:spacing w:val="-21"/>
        </w:rPr>
      </w:r>
      <w:r>
        <w:rPr/>
        <w:t>及全体股东的合法权益。</w:t>
      </w:r>
    </w:p>
    <w:p>
      <w:pPr>
        <w:pStyle w:val="BodyText"/>
        <w:spacing w:line="273" w:lineRule="auto" w:before="7"/>
        <w:ind w:left="573" w:right="1114"/>
        <w:jc w:val="left"/>
      </w:pPr>
      <w:r>
        <w:rPr/>
        <w:t>（五）绩效考核与激励机制</w:t>
      </w:r>
      <w:r>
        <w:rPr>
          <w:w w:val="100"/>
        </w:rPr>
        <w:t> </w:t>
      </w:r>
      <w:r>
        <w:rPr>
          <w:spacing w:val="-2"/>
        </w:rPr>
        <w:t>公司董事会下设薪酬与考核委员会，建立并逐步完善公正、有效的高级管理人员的绩效评价标准和</w:t>
      </w:r>
    </w:p>
    <w:p>
      <w:pPr>
        <w:pStyle w:val="BodyText"/>
        <w:spacing w:line="256" w:lineRule="auto" w:before="7"/>
        <w:ind w:right="1313"/>
        <w:jc w:val="both"/>
      </w:pPr>
      <w:r>
        <w:rPr>
          <w:spacing w:val="-2"/>
        </w:rPr>
        <w:t>激励约束机制，公司完成了</w:t>
      </w:r>
      <w:r>
        <w:rPr>
          <w:rFonts w:ascii="Times New Roman" w:hAnsi="Times New Roman" w:cs="Times New Roman" w:eastAsia="Times New Roman" w:hint="default"/>
          <w:spacing w:val="-2"/>
        </w:rPr>
        <w:t>2014</w:t>
      </w:r>
      <w:r>
        <w:rPr>
          <w:spacing w:val="-2"/>
        </w:rPr>
        <w:t>年股票期权激励计划首次授予期权第三个行权期的行权工作，提升了员</w:t>
      </w:r>
      <w:r>
        <w:rPr>
          <w:spacing w:val="-17"/>
        </w:rPr>
        <w:t> </w:t>
      </w:r>
      <w:r>
        <w:rPr>
          <w:spacing w:val="-17"/>
        </w:rPr>
      </w:r>
      <w:r>
        <w:rPr/>
        <w:t>工积极性，增强凝聚力和向心力。</w:t>
      </w:r>
    </w:p>
    <w:p>
      <w:pPr>
        <w:pStyle w:val="BodyText"/>
        <w:spacing w:line="273" w:lineRule="auto" w:before="22"/>
        <w:ind w:left="573" w:right="1114"/>
        <w:jc w:val="left"/>
      </w:pPr>
      <w:r>
        <w:rPr/>
        <w:t>（六）公司与投资者</w:t>
      </w:r>
      <w:r>
        <w:rPr>
          <w:w w:val="100"/>
        </w:rPr>
        <w:t> </w:t>
      </w:r>
      <w:r>
        <w:rPr>
          <w:spacing w:val="-2"/>
        </w:rPr>
        <w:t>公司严格按照有关法律法规及《公司信息披露管理办法》、《公司投资者关系管理办法》等相关要</w:t>
      </w:r>
    </w:p>
    <w:p>
      <w:pPr>
        <w:spacing w:after="0" w:line="273" w:lineRule="auto"/>
        <w:jc w:val="left"/>
        <w:sectPr>
          <w:pgSz w:w="11910" w:h="16840"/>
          <w:pgMar w:header="852" w:footer="979" w:top="1320" w:bottom="1160" w:left="980" w:right="0"/>
        </w:sectPr>
      </w:pPr>
    </w:p>
    <w:p>
      <w:pPr>
        <w:pStyle w:val="BodyText"/>
        <w:spacing w:line="264" w:lineRule="auto" w:before="100"/>
        <w:ind w:right="1279"/>
        <w:jc w:val="both"/>
      </w:pPr>
      <w:r>
        <w:rPr>
          <w:spacing w:val="-2"/>
        </w:rPr>
        <w:t>求，真实、准确、及时、公平、完整地披露信息，公司信息披露的指定网站为巨潮资讯网</w:t>
      </w:r>
      <w:hyperlink r:id="rId21">
        <w:r>
          <w:rPr>
            <w:rFonts w:ascii="Times New Roman" w:hAnsi="Times New Roman" w:cs="Times New Roman" w:eastAsia="Times New Roman" w:hint="default"/>
            <w:spacing w:val="-2"/>
          </w:rPr>
          <w:t>www.cninfo.co</w:t>
        </w:r>
      </w:hyperlink>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rFonts w:ascii="Times New Roman" w:hAnsi="Times New Roman" w:cs="Times New Roman" w:eastAsia="Times New Roman" w:hint="default"/>
          <w:spacing w:val="-2"/>
        </w:rPr>
        <w:t>m.cn</w:t>
      </w:r>
      <w:r>
        <w:rPr>
          <w:spacing w:val="-2"/>
        </w:rPr>
        <w:t>，公司信息披露的指定报刊为《中国证券报》、《上海证券报》及《证券时报》，确保公司所有股</w:t>
      </w:r>
      <w:r>
        <w:rPr>
          <w:spacing w:val="-19"/>
        </w:rPr>
        <w:t> </w:t>
      </w:r>
      <w:r>
        <w:rPr>
          <w:spacing w:val="-19"/>
        </w:rPr>
      </w:r>
      <w:r>
        <w:rPr>
          <w:spacing w:val="-2"/>
        </w:rPr>
        <w:t>东能够公平地获取公司信息。同时，公司高度重视投资者关系管理，通过设立投资者电话专线、传真、</w:t>
      </w:r>
      <w:r>
        <w:rPr>
          <w:spacing w:val="-21"/>
        </w:rPr>
        <w:t> </w:t>
      </w:r>
      <w:r>
        <w:rPr>
          <w:spacing w:val="-21"/>
        </w:rPr>
      </w:r>
      <w:r>
        <w:rPr>
          <w:spacing w:val="-2"/>
        </w:rPr>
        <w:t>董秘邮箱等多种渠道，采取认真回复投资者咨询、进行网上业绩说明会及投资者交流会等多种形式，积</w:t>
      </w:r>
      <w:r>
        <w:rPr>
          <w:spacing w:val="-21"/>
        </w:rPr>
        <w:t> </w:t>
      </w:r>
      <w:r>
        <w:rPr>
          <w:spacing w:val="-21"/>
        </w:rPr>
      </w:r>
      <w:r>
        <w:rPr/>
        <w:t>极维护公司与投资者良好关系，提高公司信息透明度，保障全体股东特别是中小股东的合法权益。</w:t>
      </w:r>
    </w:p>
    <w:p>
      <w:pPr>
        <w:pStyle w:val="BodyText"/>
        <w:spacing w:line="273" w:lineRule="auto" w:before="16"/>
        <w:ind w:left="573" w:right="1114"/>
        <w:jc w:val="left"/>
      </w:pPr>
      <w:r>
        <w:rPr/>
        <w:t>（七）内部审计制度的建立与执行</w:t>
      </w:r>
      <w:r>
        <w:rPr>
          <w:w w:val="100"/>
        </w:rPr>
        <w:t> </w:t>
      </w:r>
      <w:r>
        <w:rPr>
          <w:spacing w:val="-2"/>
        </w:rPr>
        <w:t>为规范经营管理，控制风险，保证经营业务活动的正常开展，公司根据《公司法》、《证券法》、</w:t>
      </w:r>
    </w:p>
    <w:p>
      <w:pPr>
        <w:pStyle w:val="BodyText"/>
        <w:spacing w:line="273" w:lineRule="auto" w:before="7"/>
        <w:ind w:right="1313"/>
        <w:jc w:val="both"/>
      </w:pPr>
      <w:r>
        <w:rPr>
          <w:spacing w:val="-2"/>
        </w:rPr>
        <w:t>《企业内部控制基本规范》等相关法律法规、规范性文件和公司规章制度有关规定和要求，结合公司的</w:t>
      </w:r>
      <w:r>
        <w:rPr>
          <w:spacing w:val="-21"/>
        </w:rPr>
        <w:t> </w:t>
      </w:r>
      <w:r>
        <w:rPr>
          <w:spacing w:val="-21"/>
        </w:rPr>
      </w:r>
      <w:r>
        <w:rPr>
          <w:spacing w:val="-2"/>
        </w:rPr>
        <w:t>实际情况、自身特点和管理需要，制定了贯穿于公司经营管理各层面、各环节的内部控制体系，并不断</w:t>
      </w:r>
      <w:r>
        <w:rPr>
          <w:spacing w:val="-21"/>
        </w:rPr>
        <w:t> </w:t>
      </w:r>
      <w:r>
        <w:rPr>
          <w:spacing w:val="-21"/>
        </w:rPr>
      </w:r>
      <w:r>
        <w:rPr>
          <w:spacing w:val="-2"/>
        </w:rPr>
        <w:t>完善。通过对公司各项治理制度的规范和落实，公司治理水平不断提高，有效保证了公司各项经营目标</w:t>
      </w:r>
      <w:r>
        <w:rPr>
          <w:spacing w:val="-21"/>
        </w:rPr>
        <w:t> </w:t>
      </w:r>
      <w:r>
        <w:rPr>
          <w:spacing w:val="-21"/>
        </w:rPr>
      </w:r>
      <w:r>
        <w:rPr/>
        <w:t>的实现。</w:t>
      </w:r>
    </w:p>
    <w:p>
      <w:pPr>
        <w:pStyle w:val="BodyText"/>
        <w:spacing w:line="273" w:lineRule="auto" w:before="8"/>
        <w:ind w:right="1313" w:firstLine="420"/>
        <w:jc w:val="both"/>
      </w:pPr>
      <w:r>
        <w:rPr>
          <w:spacing w:val="-2"/>
        </w:rPr>
        <w:t>公司董事会下设审计委员会，主要负责公司内部审计与外部审计之间进行沟通，并监督公司内部审</w:t>
      </w:r>
      <w:r>
        <w:rPr>
          <w:w w:val="100"/>
        </w:rPr>
        <w:t> </w:t>
      </w:r>
      <w:r>
        <w:rPr>
          <w:spacing w:val="-2"/>
        </w:rPr>
        <w:t>计制度的实施，审查公司内部控制制度的执行情况，审查公司的财务信息等。审计委员会下设独立的审</w:t>
      </w:r>
      <w:r>
        <w:rPr>
          <w:spacing w:val="-22"/>
        </w:rPr>
        <w:t> </w:t>
      </w:r>
      <w:r>
        <w:rPr>
          <w:spacing w:val="-22"/>
        </w:rPr>
      </w:r>
      <w:r>
        <w:rPr/>
        <w:t>计部，审计部直接对审计委员会负责及报告工作。</w:t>
      </w:r>
    </w:p>
    <w:p>
      <w:pPr>
        <w:pStyle w:val="BodyText"/>
        <w:spacing w:line="273" w:lineRule="auto" w:before="7"/>
        <w:ind w:left="573" w:right="1114"/>
        <w:jc w:val="left"/>
      </w:pPr>
      <w:r>
        <w:rPr/>
        <w:t>（八）利益相关方</w:t>
      </w:r>
      <w:r>
        <w:rPr>
          <w:w w:val="100"/>
        </w:rPr>
        <w:t> </w:t>
      </w:r>
      <w:r>
        <w:rPr>
          <w:spacing w:val="-2"/>
        </w:rPr>
        <w:t>公司在努力经营管理的同时，积极与相关利益方密切合作，加强与各方的沟通和交流，积极维护员</w:t>
      </w:r>
    </w:p>
    <w:p>
      <w:pPr>
        <w:pStyle w:val="BodyText"/>
        <w:spacing w:line="273" w:lineRule="auto" w:before="7"/>
        <w:ind w:right="1114"/>
        <w:jc w:val="left"/>
      </w:pPr>
      <w:r>
        <w:rPr>
          <w:spacing w:val="-2"/>
        </w:rPr>
        <w:t>工、供应商、客户等利益相关方，充分尊重和维护相关利益方的合法权益，不断促进公司与社会协调、</w:t>
      </w:r>
      <w:r>
        <w:rPr>
          <w:spacing w:val="-21"/>
        </w:rPr>
        <w:t> </w:t>
      </w:r>
      <w:r>
        <w:rPr>
          <w:spacing w:val="-21"/>
        </w:rPr>
      </w:r>
      <w:r>
        <w:rPr/>
        <w:t>和谐发展。</w:t>
      </w:r>
    </w:p>
    <w:p>
      <w:pPr>
        <w:spacing w:before="69"/>
        <w:ind w:left="153"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3"/>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313" w:firstLine="420"/>
        <w:jc w:val="both"/>
      </w:pPr>
      <w:r>
        <w:rPr>
          <w:spacing w:val="-2"/>
        </w:rPr>
        <w:t>公司自成立及上市以来严格按照《公司法》、《证券法》等有关法律法规及《公司章程》的相关要</w:t>
      </w:r>
      <w:r>
        <w:rPr>
          <w:w w:val="100"/>
        </w:rPr>
        <w:t> </w:t>
      </w:r>
      <w:r>
        <w:rPr/>
        <w:t>求规范运作，在业务、资产、人员、机构和财务等方面独立于公司控股股东。</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2321"/>
        <w:gridCol w:w="1277"/>
        <w:gridCol w:w="1414"/>
        <w:gridCol w:w="1594"/>
        <w:gridCol w:w="1594"/>
        <w:gridCol w:w="1596"/>
      </w:tblGrid>
      <w:tr>
        <w:trPr>
          <w:trHeight w:val="403" w:hRule="exact"/>
        </w:trPr>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2"/>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2"/>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bl>
    <w:p>
      <w:pPr>
        <w:spacing w:line="240" w:lineRule="auto" w:before="3"/>
        <w:rPr>
          <w:rFonts w:ascii="宋体" w:hAnsi="宋体" w:cs="宋体" w:eastAsia="宋体" w:hint="default"/>
          <w:b/>
          <w:bCs/>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9" w:top="1320" w:bottom="1160" w:left="980" w:right="0"/>
        </w:sectPr>
      </w:pPr>
    </w:p>
    <w:p>
      <w:pPr>
        <w:pStyle w:val="Heading3"/>
        <w:spacing w:line="240" w:lineRule="auto" w:before="75"/>
        <w:ind w:right="1114"/>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426"/>
        <w:gridCol w:w="1165"/>
        <w:gridCol w:w="1164"/>
        <w:gridCol w:w="1164"/>
        <w:gridCol w:w="1164"/>
        <w:gridCol w:w="1239"/>
        <w:gridCol w:w="1577"/>
        <w:gridCol w:w="826"/>
      </w:tblGrid>
      <w:tr>
        <w:trPr>
          <w:trHeight w:val="403" w:hRule="exact"/>
        </w:trPr>
        <w:tc>
          <w:tcPr>
            <w:tcW w:w="972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5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5" w:right="36"/>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434" w:right="161" w:hanging="269"/>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4" w:right="60"/>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47" w:right="46"/>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3"/>
        <w:rPr>
          <w:rFonts w:ascii="宋体" w:hAnsi="宋体" w:cs="宋体" w:eastAsia="宋体" w:hint="default"/>
          <w:b/>
          <w:bCs/>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3"/>
        <w:rPr>
          <w:rFonts w:ascii="宋体" w:hAnsi="宋体" w:cs="宋体" w:eastAsia="宋体" w:hint="default"/>
          <w:sz w:val="21"/>
          <w:szCs w:val="21"/>
        </w:rPr>
      </w:pPr>
    </w:p>
    <w:p>
      <w:pPr>
        <w:pStyle w:val="Heading5"/>
        <w:spacing w:line="240" w:lineRule="auto" w:before="0"/>
        <w:ind w:right="1114"/>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17"/>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3"/>
        <w:spacing w:line="240" w:lineRule="auto"/>
        <w:ind w:right="1114"/>
        <w:jc w:val="left"/>
        <w:rPr>
          <w:b w:val="0"/>
          <w:bCs w:val="0"/>
        </w:rPr>
      </w:pPr>
      <w:r>
        <w:rPr/>
        <w:t>六、董事会下设专门委员会在报告期内履行职责情况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1126" w:firstLine="480"/>
        <w:jc w:val="both"/>
      </w:pPr>
      <w:r>
        <w:rPr>
          <w:rFonts w:ascii="Times New Roman" w:hAnsi="Times New Roman" w:cs="Times New Roman" w:eastAsia="Times New Roman" w:hint="default"/>
          <w:spacing w:val="-4"/>
        </w:rPr>
        <w:t>1</w:t>
      </w:r>
      <w:r>
        <w:rPr>
          <w:spacing w:val="-4"/>
        </w:rPr>
        <w:t>、薪酬与考核委员会：</w:t>
      </w:r>
      <w:r>
        <w:rPr>
          <w:rFonts w:ascii="Times New Roman" w:hAnsi="Times New Roman" w:cs="Times New Roman" w:eastAsia="Times New Roman" w:hint="default"/>
          <w:spacing w:val="-4"/>
        </w:rPr>
        <w:t>2018</w:t>
      </w:r>
      <w:r>
        <w:rPr>
          <w:spacing w:val="-4"/>
        </w:rPr>
        <w:t>年度共组织召开了</w:t>
      </w:r>
      <w:r>
        <w:rPr>
          <w:rFonts w:ascii="Times New Roman" w:hAnsi="Times New Roman" w:cs="Times New Roman" w:eastAsia="Times New Roman" w:hint="default"/>
          <w:spacing w:val="-4"/>
        </w:rPr>
        <w:t>3</w:t>
      </w:r>
      <w:r>
        <w:rPr>
          <w:spacing w:val="-4"/>
        </w:rPr>
        <w:t>次薪酬与考核委员会会议，审议通过了公司</w:t>
      </w:r>
      <w:r>
        <w:rPr>
          <w:rFonts w:ascii="Times New Roman" w:hAnsi="Times New Roman" w:cs="Times New Roman" w:eastAsia="Times New Roman" w:hint="default"/>
          <w:spacing w:val="-4"/>
        </w:rPr>
        <w:t>2017</w:t>
      </w:r>
      <w:r>
        <w:rPr>
          <w:spacing w:val="-4"/>
        </w:rPr>
        <w:t>年度</w:t>
      </w:r>
      <w:r>
        <w:rPr>
          <w:spacing w:val="-3"/>
          <w:w w:val="100"/>
        </w:rPr>
        <w:t> </w:t>
      </w:r>
      <w:r>
        <w:rPr>
          <w:spacing w:val="-2"/>
        </w:rPr>
        <w:t>董监高薪酬的相关议案；审议通过了关于注销公司</w:t>
      </w:r>
      <w:r>
        <w:rPr>
          <w:rFonts w:ascii="Times New Roman" w:hAnsi="Times New Roman" w:cs="Times New Roman" w:eastAsia="Times New Roman" w:hint="default"/>
          <w:spacing w:val="-2"/>
        </w:rPr>
        <w:t>2014</w:t>
      </w:r>
      <w:r>
        <w:rPr>
          <w:spacing w:val="-2"/>
        </w:rPr>
        <w:t>年股票期权激励计划部分已授期权、关于调整公司</w:t>
      </w:r>
      <w:r>
        <w:rPr>
          <w:spacing w:val="-45"/>
        </w:rPr>
        <w:t> </w:t>
      </w:r>
      <w:r>
        <w:rPr>
          <w:spacing w:val="-45"/>
        </w:rPr>
      </w:r>
      <w:r>
        <w:rPr>
          <w:rFonts w:ascii="Times New Roman" w:hAnsi="Times New Roman" w:cs="Times New Roman" w:eastAsia="Times New Roman" w:hint="default"/>
          <w:spacing w:val="-2"/>
        </w:rPr>
        <w:t>2014</w:t>
      </w:r>
      <w:r>
        <w:rPr>
          <w:spacing w:val="-2"/>
        </w:rPr>
        <w:t>年股票期权激励计划股票期权数量和行权价格、关于公司</w:t>
      </w:r>
      <w:r>
        <w:rPr>
          <w:rFonts w:ascii="Times New Roman" w:hAnsi="Times New Roman" w:cs="Times New Roman" w:eastAsia="Times New Roman" w:hint="default"/>
          <w:spacing w:val="-2"/>
        </w:rPr>
        <w:t>2014</w:t>
      </w:r>
      <w:r>
        <w:rPr>
          <w:spacing w:val="-2"/>
        </w:rPr>
        <w:t>年股票期权激励计划首次授予股票期权</w:t>
      </w:r>
      <w:r>
        <w:rPr>
          <w:spacing w:val="-37"/>
        </w:rPr>
        <w:t> </w:t>
      </w:r>
      <w:r>
        <w:rPr>
          <w:spacing w:val="-37"/>
        </w:rPr>
      </w:r>
      <w:r>
        <w:rPr>
          <w:spacing w:val="-2"/>
        </w:rPr>
        <w:t>第三个行权期及授予的预留股票期权第二个行权期可行权等议案；审议通过了注销公司</w:t>
      </w:r>
      <w:r>
        <w:rPr>
          <w:rFonts w:ascii="Times New Roman" w:hAnsi="Times New Roman" w:cs="Times New Roman" w:eastAsia="Times New Roman" w:hint="default"/>
          <w:spacing w:val="-2"/>
        </w:rPr>
        <w:t>2014</w:t>
      </w:r>
      <w:r>
        <w:rPr>
          <w:spacing w:val="-2"/>
        </w:rPr>
        <w:t>年股票期权激</w:t>
      </w:r>
      <w:r>
        <w:rPr>
          <w:spacing w:val="-39"/>
        </w:rPr>
        <w:t> </w:t>
      </w:r>
      <w:r>
        <w:rPr>
          <w:spacing w:val="-39"/>
        </w:rPr>
      </w:r>
      <w:r>
        <w:rPr/>
        <w:t>励计划授予的预留股票期权第二个行权期未行权股票期权等相关议案。</w:t>
      </w:r>
    </w:p>
    <w:p>
      <w:pPr>
        <w:pStyle w:val="BodyText"/>
        <w:spacing w:line="240" w:lineRule="auto" w:before="22"/>
        <w:ind w:left="633" w:right="0"/>
        <w:jc w:val="left"/>
      </w:pPr>
      <w:r>
        <w:rPr>
          <w:rFonts w:ascii="Times New Roman" w:hAnsi="Times New Roman" w:cs="Times New Roman" w:eastAsia="Times New Roman" w:hint="default"/>
          <w:w w:val="100"/>
        </w:rPr>
        <w:t>2</w:t>
      </w:r>
      <w:r>
        <w:rPr>
          <w:spacing w:val="-99"/>
          <w:w w:val="100"/>
        </w:rPr>
        <w:t>、</w:t>
      </w:r>
      <w:r>
        <w:rPr>
          <w:w w:val="100"/>
        </w:rPr>
        <w:t>审</w:t>
      </w:r>
      <w:r>
        <w:rPr>
          <w:spacing w:val="-3"/>
          <w:w w:val="100"/>
        </w:rPr>
        <w:t>计</w:t>
      </w:r>
      <w:r>
        <w:rPr>
          <w:w w:val="100"/>
        </w:rPr>
        <w:t>委</w:t>
      </w:r>
      <w:r>
        <w:rPr>
          <w:spacing w:val="-3"/>
          <w:w w:val="100"/>
        </w:rPr>
        <w:t>员</w:t>
      </w:r>
      <w:r>
        <w:rPr>
          <w:w w:val="100"/>
        </w:rPr>
        <w:t>会</w:t>
      </w:r>
      <w:r>
        <w:rPr>
          <w:spacing w:val="-99"/>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8</w:t>
      </w:r>
      <w:r>
        <w:rPr>
          <w:spacing w:val="-3"/>
          <w:w w:val="100"/>
        </w:rPr>
        <w:t>年</w:t>
      </w:r>
      <w:r>
        <w:rPr>
          <w:w w:val="100"/>
        </w:rPr>
        <w:t>度</w:t>
      </w:r>
      <w:r>
        <w:rPr>
          <w:spacing w:val="-3"/>
          <w:w w:val="100"/>
        </w:rPr>
        <w:t>共</w:t>
      </w:r>
      <w:r>
        <w:rPr>
          <w:w w:val="100"/>
        </w:rPr>
        <w:t>组织</w:t>
      </w:r>
      <w:r>
        <w:rPr>
          <w:spacing w:val="-3"/>
          <w:w w:val="100"/>
        </w:rPr>
        <w:t>召</w:t>
      </w:r>
      <w:r>
        <w:rPr>
          <w:w w:val="100"/>
        </w:rPr>
        <w:t>开</w:t>
      </w:r>
      <w:r>
        <w:rPr>
          <w:spacing w:val="-3"/>
          <w:w w:val="100"/>
        </w:rPr>
        <w:t>了</w:t>
      </w:r>
      <w:r>
        <w:rPr>
          <w:rFonts w:ascii="Times New Roman" w:hAnsi="Times New Roman" w:cs="Times New Roman" w:eastAsia="Times New Roman" w:hint="default"/>
          <w:w w:val="100"/>
        </w:rPr>
        <w:t>4</w:t>
      </w:r>
      <w:r>
        <w:rPr>
          <w:spacing w:val="-3"/>
          <w:w w:val="100"/>
        </w:rPr>
        <w:t>次</w:t>
      </w:r>
      <w:r>
        <w:rPr>
          <w:w w:val="100"/>
        </w:rPr>
        <w:t>审</w:t>
      </w:r>
      <w:r>
        <w:rPr>
          <w:spacing w:val="-3"/>
          <w:w w:val="100"/>
        </w:rPr>
        <w:t>计</w:t>
      </w:r>
      <w:r>
        <w:rPr>
          <w:w w:val="100"/>
        </w:rPr>
        <w:t>委</w:t>
      </w:r>
      <w:r>
        <w:rPr>
          <w:spacing w:val="-3"/>
          <w:w w:val="100"/>
        </w:rPr>
        <w:t>员会</w:t>
      </w:r>
      <w:r>
        <w:rPr>
          <w:w w:val="100"/>
        </w:rPr>
        <w:t>会议</w:t>
      </w:r>
      <w:r>
        <w:rPr>
          <w:spacing w:val="-101"/>
          <w:w w:val="100"/>
        </w:rPr>
        <w:t>，</w:t>
      </w:r>
      <w:r>
        <w:rPr>
          <w:w w:val="100"/>
        </w:rPr>
        <w:t>分</w:t>
      </w:r>
      <w:r>
        <w:rPr>
          <w:spacing w:val="-3"/>
          <w:w w:val="100"/>
        </w:rPr>
        <w:t>别</w:t>
      </w:r>
      <w:r>
        <w:rPr>
          <w:w w:val="100"/>
        </w:rPr>
        <w:t>审</w:t>
      </w:r>
      <w:r>
        <w:rPr>
          <w:spacing w:val="-3"/>
          <w:w w:val="100"/>
        </w:rPr>
        <w:t>议</w:t>
      </w:r>
      <w:r>
        <w:rPr>
          <w:w w:val="100"/>
        </w:rPr>
        <w:t>通过</w:t>
      </w:r>
      <w:r>
        <w:rPr>
          <w:spacing w:val="-2"/>
          <w:w w:val="100"/>
        </w:rPr>
        <w:t>了</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7</w:t>
      </w:r>
      <w:r>
        <w:rPr>
          <w:w w:val="100"/>
        </w:rPr>
        <w:t>年度</w:t>
      </w:r>
      <w:r>
        <w:rPr>
          <w:spacing w:val="-3"/>
          <w:w w:val="100"/>
        </w:rPr>
        <w:t>财</w:t>
      </w:r>
      <w:r>
        <w:rPr>
          <w:w w:val="100"/>
        </w:rPr>
        <w:t>务</w:t>
      </w:r>
      <w:r>
        <w:rPr>
          <w:spacing w:val="-3"/>
          <w:w w:val="100"/>
        </w:rPr>
        <w:t>决</w:t>
      </w:r>
      <w:r>
        <w:rPr>
          <w:w w:val="100"/>
        </w:rPr>
        <w:t>算</w:t>
      </w:r>
      <w:r>
        <w:rPr>
          <w:spacing w:val="-3"/>
          <w:w w:val="100"/>
        </w:rPr>
        <w:t>报</w:t>
      </w:r>
      <w:r>
        <w:rPr>
          <w:w w:val="100"/>
        </w:rPr>
        <w:t>告、</w:t>
      </w:r>
    </w:p>
    <w:p>
      <w:pPr>
        <w:pStyle w:val="BodyText"/>
        <w:spacing w:line="256" w:lineRule="auto" w:before="21"/>
        <w:ind w:right="1114"/>
        <w:jc w:val="left"/>
      </w:pPr>
      <w:r>
        <w:rPr>
          <w:rFonts w:ascii="Times New Roman" w:hAnsi="Times New Roman" w:cs="Times New Roman" w:eastAsia="Times New Roman" w:hint="default"/>
          <w:spacing w:val="-2"/>
        </w:rPr>
        <w:t>2017</w:t>
      </w:r>
      <w:r>
        <w:rPr>
          <w:spacing w:val="-2"/>
        </w:rPr>
        <w:t>年年度报告及摘要、</w:t>
      </w:r>
      <w:r>
        <w:rPr>
          <w:rFonts w:ascii="Times New Roman" w:hAnsi="Times New Roman" w:cs="Times New Roman" w:eastAsia="Times New Roman" w:hint="default"/>
          <w:spacing w:val="-2"/>
        </w:rPr>
        <w:t>2017</w:t>
      </w:r>
      <w:r>
        <w:rPr>
          <w:spacing w:val="-2"/>
        </w:rPr>
        <w:t>年度内部控制自我评价报告、关于聘请公司</w:t>
      </w:r>
      <w:r>
        <w:rPr>
          <w:rFonts w:ascii="Times New Roman" w:hAnsi="Times New Roman" w:cs="Times New Roman" w:eastAsia="Times New Roman" w:hint="default"/>
          <w:spacing w:val="-2"/>
        </w:rPr>
        <w:t>2018</w:t>
      </w:r>
      <w:r>
        <w:rPr>
          <w:spacing w:val="-2"/>
        </w:rPr>
        <w:t>年度审计机构；</w:t>
      </w:r>
      <w:r>
        <w:rPr>
          <w:rFonts w:ascii="Times New Roman" w:hAnsi="Times New Roman" w:cs="Times New Roman" w:eastAsia="Times New Roman" w:hint="default"/>
          <w:spacing w:val="-2"/>
        </w:rPr>
        <w:t>2018</w:t>
      </w:r>
      <w:r>
        <w:rPr>
          <w:spacing w:val="-2"/>
        </w:rPr>
        <w:t>年第一</w:t>
      </w:r>
      <w:r>
        <w:rPr>
          <w:spacing w:val="-30"/>
        </w:rPr>
        <w:t> </w:t>
      </w:r>
      <w:r>
        <w:rPr>
          <w:spacing w:val="-30"/>
        </w:rPr>
      </w:r>
      <w:r>
        <w:rPr/>
        <w:t>季度报告；</w:t>
      </w:r>
      <w:r>
        <w:rPr>
          <w:rFonts w:ascii="Times New Roman" w:hAnsi="Times New Roman" w:cs="Times New Roman" w:eastAsia="Times New Roman" w:hint="default"/>
        </w:rPr>
        <w:t>2018</w:t>
      </w:r>
      <w:r>
        <w:rPr/>
        <w:t>年半年度报告及摘要；</w:t>
      </w:r>
      <w:r>
        <w:rPr>
          <w:rFonts w:ascii="Times New Roman" w:hAnsi="Times New Roman" w:cs="Times New Roman" w:eastAsia="Times New Roman" w:hint="default"/>
        </w:rPr>
        <w:t>2018</w:t>
      </w:r>
      <w:r>
        <w:rPr/>
        <w:t>年第三季度报告等相关议案。</w:t>
      </w:r>
    </w:p>
    <w:p>
      <w:pPr>
        <w:pStyle w:val="BodyText"/>
        <w:spacing w:line="259" w:lineRule="auto" w:before="5"/>
        <w:ind w:right="1128" w:firstLine="480"/>
        <w:jc w:val="both"/>
      </w:pPr>
      <w:r>
        <w:rPr>
          <w:rFonts w:ascii="Times New Roman" w:hAnsi="Times New Roman" w:cs="Times New Roman" w:eastAsia="Times New Roman" w:hint="default"/>
          <w:spacing w:val="-3"/>
        </w:rPr>
        <w:t>3</w:t>
      </w:r>
      <w:r>
        <w:rPr>
          <w:spacing w:val="-3"/>
        </w:rPr>
        <w:t>、战略委员会：</w:t>
      </w:r>
      <w:r>
        <w:rPr>
          <w:rFonts w:ascii="Times New Roman" w:hAnsi="Times New Roman" w:cs="Times New Roman" w:eastAsia="Times New Roman" w:hint="default"/>
          <w:spacing w:val="-3"/>
        </w:rPr>
        <w:t>2018</w:t>
      </w:r>
      <w:r>
        <w:rPr>
          <w:spacing w:val="-3"/>
        </w:rPr>
        <w:t>年度共组织召开了</w:t>
      </w:r>
      <w:r>
        <w:rPr>
          <w:rFonts w:ascii="Times New Roman" w:hAnsi="Times New Roman" w:cs="Times New Roman" w:eastAsia="Times New Roman" w:hint="default"/>
          <w:spacing w:val="-3"/>
        </w:rPr>
        <w:t>1</w:t>
      </w:r>
      <w:r>
        <w:rPr>
          <w:spacing w:val="-3"/>
        </w:rPr>
        <w:t>次战略委员会会议，审议并通过了</w:t>
      </w:r>
      <w:r>
        <w:rPr>
          <w:rFonts w:ascii="Times New Roman" w:hAnsi="Times New Roman" w:cs="Times New Roman" w:eastAsia="Times New Roman" w:hint="default"/>
          <w:spacing w:val="-3"/>
        </w:rPr>
        <w:t>2017</w:t>
      </w:r>
      <w:r>
        <w:rPr>
          <w:spacing w:val="-3"/>
        </w:rPr>
        <w:t>年度公司发展战略取</w:t>
      </w:r>
      <w:r>
        <w:rPr>
          <w:w w:val="100"/>
        </w:rPr>
        <w:t> </w:t>
      </w:r>
      <w:r>
        <w:rPr/>
        <w:t>得的成果及</w:t>
      </w:r>
      <w:r>
        <w:rPr>
          <w:rFonts w:ascii="Times New Roman" w:hAnsi="Times New Roman" w:cs="Times New Roman" w:eastAsia="Times New Roman" w:hint="default"/>
        </w:rPr>
        <w:t>2018</w:t>
      </w:r>
      <w:r>
        <w:rPr/>
        <w:t>年将实施的战略规划相关事项。</w:t>
      </w:r>
    </w:p>
    <w:p>
      <w:pPr>
        <w:spacing w:line="240" w:lineRule="auto" w:before="2"/>
        <w:rPr>
          <w:rFonts w:ascii="宋体" w:hAnsi="宋体" w:cs="宋体" w:eastAsia="宋体" w:hint="default"/>
          <w:sz w:val="21"/>
          <w:szCs w:val="21"/>
        </w:rPr>
      </w:pPr>
    </w:p>
    <w:p>
      <w:pPr>
        <w:pStyle w:val="Heading3"/>
        <w:spacing w:line="240" w:lineRule="auto"/>
        <w:ind w:right="1114"/>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8"/>
        <w:rPr>
          <w:rFonts w:ascii="宋体" w:hAnsi="宋体" w:cs="宋体" w:eastAsia="宋体" w:hint="default"/>
          <w:sz w:val="19"/>
          <w:szCs w:val="19"/>
        </w:rPr>
      </w:pPr>
    </w:p>
    <w:p>
      <w:pPr>
        <w:pStyle w:val="Heading3"/>
        <w:spacing w:line="240" w:lineRule="auto"/>
        <w:ind w:right="1114"/>
        <w:jc w:val="left"/>
        <w:rPr>
          <w:b w:val="0"/>
          <w:bCs w:val="0"/>
        </w:rPr>
      </w:pPr>
      <w:r>
        <w:rPr/>
        <w:t>八、高级管理人员的考评及激励情况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73" w:right="1114"/>
        <w:jc w:val="left"/>
      </w:pPr>
      <w:r>
        <w:rPr/>
        <w:t>公司依据国家法律法规并结合实际情况制定了薪酬管理制度，建立和完善了公司组织绩效管理框</w:t>
      </w:r>
    </w:p>
    <w:p>
      <w:pPr>
        <w:spacing w:after="0" w:line="240" w:lineRule="auto"/>
        <w:jc w:val="left"/>
        <w:sectPr>
          <w:pgSz w:w="11910" w:h="16840"/>
          <w:pgMar w:header="852" w:footer="979" w:top="1320" w:bottom="1160" w:left="980" w:right="0"/>
        </w:sectPr>
      </w:pPr>
    </w:p>
    <w:p>
      <w:pPr>
        <w:pStyle w:val="BodyText"/>
        <w:spacing w:line="273" w:lineRule="auto" w:before="100"/>
        <w:ind w:right="1313"/>
        <w:jc w:val="both"/>
      </w:pPr>
      <w:r>
        <w:rPr>
          <w:spacing w:val="-2"/>
        </w:rPr>
        <w:t>架，不断完善绩效考核机制和激励机制，公司高级管理人员严格按照相关法律法规的规定和要求进行聘</w:t>
      </w:r>
      <w:r>
        <w:rPr>
          <w:spacing w:val="-21"/>
        </w:rPr>
        <w:t> </w:t>
      </w:r>
      <w:r>
        <w:rPr>
          <w:spacing w:val="-21"/>
        </w:rPr>
      </w:r>
      <w:r>
        <w:rPr>
          <w:spacing w:val="-2"/>
        </w:rPr>
        <w:t>任，确保公开、透明、公正，同时公司董事会设立薪酬与考核委员会，主要负责对公司董事及高级管理</w:t>
      </w:r>
      <w:r>
        <w:rPr>
          <w:spacing w:val="-21"/>
        </w:rPr>
        <w:t> </w:t>
      </w:r>
      <w:r>
        <w:rPr>
          <w:spacing w:val="-21"/>
        </w:rPr>
      </w:r>
      <w:r>
        <w:rPr/>
        <w:t>人员进行绩效考核。</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5"/>
        <w:spacing w:line="240" w:lineRule="auto" w:before="0"/>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189"/>
        <w:gridCol w:w="3328"/>
        <w:gridCol w:w="305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3">
              <w:r>
                <w:rPr>
                  <w:rFonts w:ascii="Times New Roman" w:hAnsi="Times New Roman" w:cs="Times New Roman" w:eastAsia="Times New Roman" w:hint="default"/>
                  <w:sz w:val="18"/>
                  <w:szCs w:val="18"/>
                </w:rPr>
                <w:t>http://www.cninfo.com.cn</w:t>
              </w:r>
            </w:hyperlink>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5"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8" w:type="dxa"/>
            <w:vMerge w:val="restart"/>
            <w:tcBorders>
              <w:top w:val="single" w:sz="4" w:space="0" w:color="000000"/>
              <w:left w:val="single" w:sz="4" w:space="0" w:color="000000"/>
              <w:right w:val="single" w:sz="4" w:space="0" w:color="000000"/>
            </w:tcBorders>
          </w:tcPr>
          <w:p>
            <w:pPr>
              <w:pStyle w:val="TableParagraph"/>
              <w:spacing w:line="316" w:lineRule="auto" w:before="49"/>
              <w:ind w:left="30" w:right="47"/>
              <w:jc w:val="left"/>
              <w:rPr>
                <w:rFonts w:ascii="宋体" w:hAnsi="宋体" w:cs="宋体" w:eastAsia="宋体" w:hint="default"/>
                <w:sz w:val="18"/>
                <w:szCs w:val="18"/>
              </w:rPr>
            </w:pPr>
            <w:r>
              <w:rPr>
                <w:rFonts w:ascii="宋体" w:hAnsi="宋体" w:cs="宋体" w:eastAsia="宋体" w:hint="default"/>
                <w:sz w:val="18"/>
                <w:szCs w:val="18"/>
              </w:rPr>
              <w:t>重大缺陷认定标准：①</w:t>
            </w:r>
            <w:r>
              <w:rPr>
                <w:rFonts w:ascii="宋体" w:hAnsi="宋体" w:cs="宋体" w:eastAsia="宋体" w:hint="default"/>
                <w:spacing w:val="1"/>
                <w:sz w:val="18"/>
                <w:szCs w:val="18"/>
              </w:rPr>
              <w:t> </w:t>
            </w:r>
            <w:r>
              <w:rPr>
                <w:rFonts w:ascii="宋体" w:hAnsi="宋体" w:cs="宋体" w:eastAsia="宋体" w:hint="default"/>
                <w:sz w:val="18"/>
                <w:szCs w:val="18"/>
              </w:rPr>
              <w:t>董事、监事、高</w:t>
            </w:r>
            <w:r>
              <w:rPr>
                <w:rFonts w:ascii="宋体" w:hAnsi="宋体" w:cs="宋体" w:eastAsia="宋体" w:hint="default"/>
                <w:sz w:val="18"/>
                <w:szCs w:val="18"/>
              </w:rPr>
              <w:t> 级管理人员舞弊；②对已经公告的财务报 告出现重大差错而进行的差错更正；③当 期财务报告存在重大差错，而内部控制运 行过程中未发现该差错；④公司审计委员 会和审计部门对财务报告内部控制监督无 效。重要缺陷认定标准：①未建立反舞弊 程序和控制措施；②对于非常规或特殊交 易的账务处理没有建立相应控制机制；③ 对于财务报告编制过程中存在一项或多项 缺陷不能保证编制的财务报表达到真实、 准确的目标。一般缺陷认定标准：①当期 财务报告存在小额差错，而内部控制运行 过程中未发现该差错；②公司审计委员会 和审计部门对内部控制的监督存在一般缺 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3" w:right="134"/>
              <w:jc w:val="left"/>
              <w:rPr>
                <w:rFonts w:ascii="宋体" w:hAnsi="宋体" w:cs="宋体" w:eastAsia="宋体" w:hint="default"/>
                <w:sz w:val="18"/>
                <w:szCs w:val="18"/>
              </w:rPr>
            </w:pPr>
            <w:r>
              <w:rPr>
                <w:rFonts w:ascii="宋体" w:hAnsi="宋体" w:cs="宋体" w:eastAsia="宋体" w:hint="default"/>
                <w:sz w:val="18"/>
                <w:szCs w:val="18"/>
              </w:rPr>
              <w:t>重大缺陷认定标准：①公司经营活动 违反国家法律、法规；②媒体负面新 闻频频曝光，对公司声誉造成重大影 响；③高级管理人员和核心技术人员 严重流失；④内部控制重大缺陷未得 到整改。重要缺陷认定标准：①公司 违反国家法律、法规活动受到轻微处 罚；②媒体出现负面新闻，对公司声 誉造成影响；③关键岗位人员严重流 失；④内部控制重要缺陷未得到整 改。一般缺陷认定标准：①媒体出现 负面新闻，但影响不大；②一般岗位 人员流失严重；③内部控制一般缺陷 未得到整改。</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8" w:type="dxa"/>
            <w:vMerge/>
            <w:tcBorders>
              <w:left w:val="single" w:sz="4" w:space="0" w:color="000000"/>
              <w:right w:val="single" w:sz="4" w:space="0" w:color="000000"/>
            </w:tcBorders>
          </w:tcPr>
          <w:p>
            <w:pPr/>
          </w:p>
        </w:tc>
        <w:tc>
          <w:tcPr>
            <w:tcW w:w="3051" w:type="dxa"/>
            <w:vMerge/>
            <w:tcBorders>
              <w:left w:val="single" w:sz="4" w:space="0" w:color="000000"/>
              <w:right w:val="single" w:sz="4" w:space="0" w:color="000000"/>
            </w:tcBorders>
          </w:tcPr>
          <w:p>
            <w:pPr/>
          </w:p>
        </w:tc>
      </w:tr>
      <w:tr>
        <w:trPr>
          <w:trHeight w:val="234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8" w:type="dxa"/>
            <w:vMerge/>
            <w:tcBorders>
              <w:left w:val="single" w:sz="4" w:space="0" w:color="000000"/>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629"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30" w:right="203"/>
              <w:jc w:val="left"/>
              <w:rPr>
                <w:rFonts w:ascii="宋体" w:hAnsi="宋体" w:cs="宋体" w:eastAsia="宋体" w:hint="default"/>
                <w:sz w:val="18"/>
                <w:szCs w:val="18"/>
              </w:rPr>
            </w:pP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税前利润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；重要缺 陷：税前利润的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错报＜税前利润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重大缺陷：直接损失金额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；重要缺陷：资产总额的 </w:t>
            </w:r>
            <w:r>
              <w:rPr>
                <w:rFonts w:ascii="Times New Roman" w:hAnsi="Times New Roman" w:cs="Times New Roman" w:eastAsia="Times New Roman" w:hint="default"/>
                <w:sz w:val="18"/>
                <w:szCs w:val="18"/>
              </w:rPr>
              <w:t>0.05%</w:t>
            </w:r>
          </w:p>
          <w:p>
            <w:pPr>
              <w:pStyle w:val="TableParagraph"/>
              <w:spacing w:line="300" w:lineRule="auto" w:before="63"/>
              <w:ind w:left="23" w:right="26"/>
              <w:jc w:val="both"/>
              <w:rPr>
                <w:rFonts w:ascii="宋体" w:hAnsi="宋体" w:cs="宋体" w:eastAsia="宋体" w:hint="default"/>
                <w:sz w:val="18"/>
                <w:szCs w:val="18"/>
              </w:rPr>
            </w:pPr>
            <w:r>
              <w:rPr>
                <w:rFonts w:ascii="宋体" w:hAnsi="宋体" w:cs="宋体" w:eastAsia="宋体" w:hint="default"/>
                <w:sz w:val="18"/>
                <w:szCs w:val="18"/>
              </w:rPr>
              <w:t>＜直接损失金额＜资产总额的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一般缺陷：直接损失金额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0.05%</w:t>
            </w:r>
            <w:r>
              <w:rPr>
                <w:rFonts w:ascii="宋体" w:hAnsi="宋体" w:cs="宋体" w:eastAsia="宋体" w:hint="default"/>
                <w:sz w:val="18"/>
                <w:szCs w:val="18"/>
              </w:rPr>
              <w:t>。</w:t>
            </w:r>
          </w:p>
        </w:tc>
      </w:tr>
      <w:tr>
        <w:trPr>
          <w:trHeight w:val="394"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8" w:type="dxa"/>
            <w:vMerge/>
            <w:tcBorders>
              <w:left w:val="single" w:sz="4" w:space="0" w:color="000000"/>
              <w:right w:val="single" w:sz="4" w:space="0" w:color="000000"/>
            </w:tcBorders>
          </w:tcPr>
          <w:p>
            <w:pPr/>
          </w:p>
        </w:tc>
        <w:tc>
          <w:tcPr>
            <w:tcW w:w="3051" w:type="dxa"/>
            <w:vMerge/>
            <w:tcBorders>
              <w:left w:val="single" w:sz="4" w:space="0" w:color="000000"/>
              <w:right w:val="single" w:sz="4" w:space="0" w:color="000000"/>
            </w:tcBorders>
          </w:tcPr>
          <w:p>
            <w:pPr/>
          </w:p>
        </w:tc>
      </w:tr>
      <w:tr>
        <w:trPr>
          <w:trHeight w:val="629"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8" w:type="dxa"/>
            <w:vMerge/>
            <w:tcBorders>
              <w:left w:val="single" w:sz="4" w:space="0" w:color="000000"/>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20" w:bottom="1160" w:left="980" w:right="0"/>
        </w:sectPr>
      </w:pPr>
    </w:p>
    <w:p>
      <w:pPr>
        <w:spacing w:line="240" w:lineRule="auto" w:before="8"/>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195"/>
        <w:gridCol w:w="6373"/>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3"/>
        <w:spacing w:line="240" w:lineRule="auto" w:before="26"/>
        <w:ind w:right="1114"/>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228"/>
        <w:gridCol w:w="6339"/>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立信会计师事务所（特殊普通合伙）认为，公司按照财政部等五部委颁发的《企业内部控制基本规范》及相关规定于</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w:t>
            </w:r>
          </w:p>
        </w:tc>
      </w:tr>
      <w:tr>
        <w:trPr>
          <w:trHeight w:val="401"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r>
      <w:tr>
        <w:trPr>
          <w:trHeight w:val="401"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3">
              <w:r>
                <w:rPr>
                  <w:rFonts w:ascii="Times New Roman" w:hAnsi="Times New Roman" w:cs="Times New Roman" w:eastAsia="Times New Roman" w:hint="default"/>
                  <w:sz w:val="18"/>
                  <w:szCs w:val="18"/>
                </w:rPr>
                <w:t>http://www.cninfo.com.cn</w:t>
              </w:r>
            </w:hyperlink>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5"/>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39"/>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5" w:right="1114"/>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7"/>
        <w:rPr>
          <w:rFonts w:ascii="宋体" w:hAnsi="宋体" w:cs="宋体" w:eastAsia="宋体" w:hint="default"/>
          <w:sz w:val="18"/>
          <w:szCs w:val="18"/>
        </w:rPr>
      </w:pPr>
    </w:p>
    <w:p>
      <w:pPr>
        <w:pStyle w:val="Heading3"/>
        <w:spacing w:line="240" w:lineRule="auto"/>
        <w:ind w:right="1114"/>
        <w:jc w:val="left"/>
        <w:rPr>
          <w:b w:val="0"/>
          <w:bCs w:val="0"/>
        </w:rPr>
      </w:pPr>
      <w:r>
        <w:rPr/>
        <w:t>一、公司债券基本信息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818"/>
        <w:gridCol w:w="924"/>
        <w:gridCol w:w="853"/>
        <w:gridCol w:w="991"/>
        <w:gridCol w:w="994"/>
        <w:gridCol w:w="992"/>
        <w:gridCol w:w="1560"/>
        <w:gridCol w:w="2514"/>
      </w:tblGrid>
      <w:tr>
        <w:trPr>
          <w:trHeight w:val="713" w:hRule="exact"/>
        </w:trPr>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6"/>
              <w:ind w:left="1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2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13"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587"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可转换公 司债券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东财转债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123006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464,841.04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本次发行的可转债 票面利率：第一年 为 </w:t>
            </w:r>
            <w:r>
              <w:rPr>
                <w:rFonts w:ascii="Times New Roman" w:hAnsi="Times New Roman" w:cs="Times New Roman" w:eastAsia="Times New Roman" w:hint="default"/>
                <w:sz w:val="18"/>
                <w:szCs w:val="18"/>
              </w:rPr>
              <w:t>0.2%</w:t>
            </w:r>
            <w:r>
              <w:rPr>
                <w:rFonts w:ascii="宋体" w:hAnsi="宋体" w:cs="宋体" w:eastAsia="宋体" w:hint="default"/>
                <w:sz w:val="18"/>
                <w:szCs w:val="18"/>
              </w:rPr>
              <w:t>、第二年 为 </w:t>
            </w:r>
            <w:r>
              <w:rPr>
                <w:rFonts w:ascii="Times New Roman" w:hAnsi="Times New Roman" w:cs="Times New Roman" w:eastAsia="Times New Roman" w:hint="default"/>
                <w:sz w:val="18"/>
                <w:szCs w:val="18"/>
              </w:rPr>
              <w:t>0.4%</w:t>
            </w:r>
            <w:r>
              <w:rPr>
                <w:rFonts w:ascii="宋体" w:hAnsi="宋体" w:cs="宋体" w:eastAsia="宋体" w:hint="default"/>
                <w:sz w:val="18"/>
                <w:szCs w:val="18"/>
              </w:rPr>
              <w:t>、第三年 为 </w:t>
            </w:r>
            <w:r>
              <w:rPr>
                <w:rFonts w:ascii="Times New Roman" w:hAnsi="Times New Roman" w:cs="Times New Roman" w:eastAsia="Times New Roman" w:hint="default"/>
                <w:sz w:val="18"/>
                <w:szCs w:val="18"/>
              </w:rPr>
              <w:t>0.6%</w:t>
            </w:r>
            <w:r>
              <w:rPr>
                <w:rFonts w:ascii="宋体" w:hAnsi="宋体" w:cs="宋体" w:eastAsia="宋体" w:hint="default"/>
                <w:sz w:val="18"/>
                <w:szCs w:val="18"/>
              </w:rPr>
              <w:t>、第四年 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、第五年为 </w:t>
            </w:r>
            <w:r>
              <w:rPr>
                <w:rFonts w:ascii="Times New Roman" w:hAnsi="Times New Roman" w:cs="Times New Roman" w:eastAsia="Times New Roman" w:hint="default"/>
                <w:sz w:val="18"/>
                <w:szCs w:val="18"/>
              </w:rPr>
              <w:t>1.5%</w:t>
            </w:r>
            <w:r>
              <w:rPr>
                <w:rFonts w:ascii="宋体" w:hAnsi="宋体" w:cs="宋体" w:eastAsia="宋体" w:hint="default"/>
                <w:sz w:val="18"/>
                <w:szCs w:val="18"/>
              </w:rPr>
              <w:t>、第六年为</w:t>
            </w:r>
          </w:p>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sz w:val="18"/>
              </w:rPr>
              <w:t>2.0%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采用每年付息一次的付息方 式，计息起始日为本次可转债 发行首日。在本次可转债期满 后五个交易日内，公司将以本 次可转债的票面面值的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107%</w:t>
            </w:r>
          </w:p>
          <w:p>
            <w:pPr>
              <w:pStyle w:val="TableParagraph"/>
              <w:spacing w:line="316" w:lineRule="auto"/>
              <w:ind w:left="23" w:right="138"/>
              <w:jc w:val="both"/>
              <w:rPr>
                <w:rFonts w:ascii="宋体" w:hAnsi="宋体" w:cs="宋体" w:eastAsia="宋体" w:hint="default"/>
                <w:sz w:val="18"/>
                <w:szCs w:val="18"/>
              </w:rPr>
            </w:pPr>
            <w:r>
              <w:rPr>
                <w:rFonts w:ascii="宋体" w:hAnsi="宋体" w:cs="宋体" w:eastAsia="宋体" w:hint="default"/>
                <w:sz w:val="18"/>
                <w:szCs w:val="18"/>
              </w:rPr>
              <w:t>（含最后一期年度利息）的价 格向本次可转债持有人赎回全 部未转股的本次可转债。</w:t>
            </w:r>
          </w:p>
        </w:tc>
      </w:tr>
      <w:tr>
        <w:trPr>
          <w:trHeight w:val="713" w:hRule="exact"/>
        </w:trPr>
        <w:tc>
          <w:tcPr>
            <w:tcW w:w="17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6"/>
              <w:jc w:val="left"/>
              <w:rPr>
                <w:rFonts w:ascii="宋体" w:hAnsi="宋体" w:cs="宋体" w:eastAsia="宋体" w:hint="default"/>
                <w:sz w:val="18"/>
                <w:szCs w:val="18"/>
              </w:rPr>
            </w:pPr>
            <w:r>
              <w:rPr>
                <w:rFonts w:ascii="宋体" w:hAnsi="宋体" w:cs="宋体" w:eastAsia="宋体" w:hint="default"/>
                <w:sz w:val="18"/>
                <w:szCs w:val="18"/>
              </w:rPr>
              <w:t>公司债券上市或转让 的交易场所</w:t>
            </w:r>
          </w:p>
        </w:tc>
        <w:tc>
          <w:tcPr>
            <w:tcW w:w="790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深交所</w:t>
            </w:r>
          </w:p>
        </w:tc>
      </w:tr>
      <w:tr>
        <w:trPr>
          <w:trHeight w:val="404" w:hRule="exact"/>
        </w:trPr>
        <w:tc>
          <w:tcPr>
            <w:tcW w:w="17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90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6"/>
              <w:jc w:val="left"/>
              <w:rPr>
                <w:rFonts w:ascii="宋体" w:hAnsi="宋体" w:cs="宋体" w:eastAsia="宋体" w:hint="default"/>
                <w:sz w:val="18"/>
                <w:szCs w:val="18"/>
              </w:rPr>
            </w:pPr>
            <w:r>
              <w:rPr>
                <w:rFonts w:ascii="宋体" w:hAnsi="宋体" w:cs="宋体" w:eastAsia="宋体" w:hint="default"/>
                <w:sz w:val="18"/>
                <w:szCs w:val="18"/>
              </w:rPr>
              <w:t>报告期内公司债券的 付息兑付情况</w:t>
            </w:r>
          </w:p>
        </w:tc>
        <w:tc>
          <w:tcPr>
            <w:tcW w:w="790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日兑付了第一年利息，每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张东财转债（面值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元）利息为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651" w:hRule="exact"/>
        </w:trPr>
        <w:tc>
          <w:tcPr>
            <w:tcW w:w="17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6"/>
              <w:jc w:val="both"/>
              <w:rPr>
                <w:rFonts w:ascii="宋体" w:hAnsi="宋体" w:cs="宋体" w:eastAsia="宋体" w:hint="default"/>
                <w:sz w:val="18"/>
                <w:szCs w:val="18"/>
              </w:rPr>
            </w:pPr>
            <w:r>
              <w:rPr>
                <w:rFonts w:ascii="宋体" w:hAnsi="宋体" w:cs="宋体" w:eastAsia="宋体" w:hint="default"/>
                <w:sz w:val="18"/>
                <w:szCs w:val="18"/>
              </w:rPr>
              <w:t>公司债券附发行人或 投资者选择权条款、 可交换条款等特殊条 款的，报告期内相关 条款的执行情况</w:t>
            </w:r>
          </w:p>
        </w:tc>
        <w:tc>
          <w:tcPr>
            <w:tcW w:w="790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pStyle w:val="Heading3"/>
        <w:spacing w:line="240" w:lineRule="auto" w:before="26"/>
        <w:ind w:right="1114"/>
        <w:jc w:val="left"/>
        <w:rPr>
          <w:b w:val="0"/>
          <w:bCs w:val="0"/>
        </w:rPr>
      </w:pPr>
      <w:r>
        <w:rPr/>
        <w:t>二、债券受托管理人和资信评级机构信息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810"/>
        <w:gridCol w:w="2970"/>
        <w:gridCol w:w="1001"/>
        <w:gridCol w:w="3797"/>
      </w:tblGrid>
      <w:tr>
        <w:trPr>
          <w:trHeight w:val="397" w:hRule="exact"/>
        </w:trPr>
        <w:tc>
          <w:tcPr>
            <w:tcW w:w="9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7"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大公国际资信评估有限公司</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北京市朝阳区霄云路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号鹏润大厦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层</w:t>
            </w:r>
          </w:p>
        </w:tc>
      </w:tr>
      <w:tr>
        <w:trPr>
          <w:trHeight w:val="714" w:hRule="exact"/>
        </w:trPr>
        <w:tc>
          <w:tcPr>
            <w:tcW w:w="47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3"/>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报告期内公司聘请的债券受托管理人、资信评级机构发生变 更的，变更的原因、履行的程序、对投资者利益的影响等</w:t>
            </w:r>
          </w:p>
        </w:tc>
        <w:tc>
          <w:tcPr>
            <w:tcW w:w="4798" w:type="dxa"/>
            <w:gridSpan w:val="2"/>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pStyle w:val="Heading3"/>
        <w:spacing w:line="240" w:lineRule="auto" w:before="26"/>
        <w:ind w:right="1114"/>
        <w:jc w:val="left"/>
        <w:rPr>
          <w:b w:val="0"/>
          <w:bCs w:val="0"/>
        </w:rPr>
      </w:pPr>
      <w:r>
        <w:rPr/>
        <w:t>三、公司债券募集资金使用情况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786"/>
        <w:gridCol w:w="4782"/>
      </w:tblGrid>
      <w:tr>
        <w:trPr>
          <w:trHeight w:val="713"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公司债券募集资金使用情况及履行的程序</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截止本报告披露之日，本次募集资金扣除发行费用后全部用 于补充东方财富证券营运资金</w:t>
            </w:r>
          </w:p>
        </w:tc>
      </w:tr>
    </w:tbl>
    <w:p>
      <w:pPr>
        <w:spacing w:after="0" w:line="316" w:lineRule="auto"/>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8"/>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4786"/>
        <w:gridCol w:w="4782"/>
      </w:tblGrid>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募集资金专项账户运作正常</w:t>
            </w:r>
          </w:p>
        </w:tc>
      </w:tr>
      <w:tr>
        <w:trPr>
          <w:trHeight w:val="715"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募集资金使用是否与募集说明书承诺的用途、使用计划及其 他约定一致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b/>
          <w:bCs/>
          <w:sz w:val="18"/>
          <w:szCs w:val="18"/>
        </w:rPr>
      </w:pPr>
    </w:p>
    <w:p>
      <w:pPr>
        <w:pStyle w:val="Heading3"/>
        <w:spacing w:line="240" w:lineRule="auto" w:before="26"/>
        <w:ind w:right="1114"/>
        <w:jc w:val="left"/>
        <w:rPr>
          <w:b w:val="0"/>
          <w:bCs w:val="0"/>
        </w:rPr>
      </w:pPr>
      <w:r>
        <w:rPr/>
        <w:t>四、公司债券信息评级情况</w:t>
      </w:r>
      <w:r>
        <w:rPr>
          <w:b w:val="0"/>
          <w:bCs w:val="0"/>
        </w:rPr>
      </w:r>
    </w:p>
    <w:p>
      <w:pPr>
        <w:spacing w:line="240" w:lineRule="auto" w:before="9"/>
        <w:rPr>
          <w:rFonts w:ascii="宋体" w:hAnsi="宋体" w:cs="宋体" w:eastAsia="宋体" w:hint="default"/>
          <w:b/>
          <w:bCs/>
          <w:sz w:val="24"/>
          <w:szCs w:val="24"/>
        </w:rPr>
      </w:pPr>
    </w:p>
    <w:p>
      <w:pPr>
        <w:pStyle w:val="BodyText"/>
        <w:spacing w:line="256" w:lineRule="auto"/>
        <w:ind w:right="111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日，大公国际出具《东方财富信息股份有限公司主体与相关债项</w:t>
      </w:r>
      <w:r>
        <w:rPr>
          <w:rFonts w:ascii="Times New Roman" w:hAnsi="Times New Roman" w:cs="Times New Roman" w:eastAsia="Times New Roman" w:hint="default"/>
        </w:rPr>
        <w:t>2018</w:t>
      </w:r>
      <w:r>
        <w:rPr/>
        <w:t>年跟踪评级报告》（大</w:t>
      </w:r>
      <w:r>
        <w:rPr>
          <w:w w:val="100"/>
        </w:rPr>
        <w:t> </w:t>
      </w:r>
      <w:r>
        <w:rPr>
          <w:spacing w:val="-2"/>
        </w:rPr>
        <w:t>公报</w:t>
      </w:r>
      <w:r>
        <w:rPr>
          <w:rFonts w:ascii="Times New Roman" w:hAnsi="Times New Roman" w:cs="Times New Roman" w:eastAsia="Times New Roman" w:hint="default"/>
          <w:spacing w:val="-2"/>
        </w:rPr>
        <w:t>SD</w:t>
      </w:r>
      <w:r>
        <w:rPr>
          <w:spacing w:val="-2"/>
        </w:rPr>
        <w:t>【</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073</w:t>
      </w:r>
      <w:r>
        <w:rPr>
          <w:spacing w:val="-2"/>
        </w:rPr>
        <w:t>号）大公国际通过对公司及</w:t>
      </w:r>
      <w:r>
        <w:rPr>
          <w:rFonts w:ascii="Times New Roman" w:hAnsi="Times New Roman" w:cs="Times New Roman" w:eastAsia="Times New Roman" w:hint="default"/>
          <w:spacing w:val="-2"/>
        </w:rPr>
        <w:t>“</w:t>
      </w:r>
      <w:r>
        <w:rPr>
          <w:spacing w:val="-2"/>
        </w:rPr>
        <w:t>东财转债</w:t>
      </w:r>
      <w:r>
        <w:rPr>
          <w:rFonts w:ascii="Times New Roman" w:hAnsi="Times New Roman" w:cs="Times New Roman" w:eastAsia="Times New Roman" w:hint="default"/>
          <w:spacing w:val="-2"/>
        </w:rPr>
        <w:t>”</w:t>
      </w:r>
      <w:r>
        <w:rPr>
          <w:spacing w:val="-2"/>
        </w:rPr>
        <w:t>的信用状况进行跟踪评级，确定公司主体长期</w:t>
      </w:r>
      <w:r>
        <w:rPr>
          <w:spacing w:val="-21"/>
        </w:rPr>
        <w:t> </w:t>
      </w:r>
      <w:r>
        <w:rPr>
          <w:spacing w:val="-21"/>
        </w:rPr>
      </w:r>
      <w:r>
        <w:rPr/>
        <w:t>信用等级维持</w:t>
      </w:r>
      <w:r>
        <w:rPr>
          <w:rFonts w:ascii="Times New Roman" w:hAnsi="Times New Roman" w:cs="Times New Roman" w:eastAsia="Times New Roman" w:hint="default"/>
        </w:rPr>
        <w:t>AA</w:t>
      </w:r>
      <w:r>
        <w:rPr/>
        <w:t>，评级展望维持稳定，</w:t>
      </w:r>
      <w:r>
        <w:rPr>
          <w:rFonts w:ascii="Times New Roman" w:hAnsi="Times New Roman" w:cs="Times New Roman" w:eastAsia="Times New Roman" w:hint="default"/>
        </w:rPr>
        <w:t>“</w:t>
      </w:r>
      <w:r>
        <w:rPr/>
        <w:t>东财转债</w:t>
      </w:r>
      <w:r>
        <w:rPr>
          <w:rFonts w:ascii="Times New Roman" w:hAnsi="Times New Roman" w:cs="Times New Roman" w:eastAsia="Times New Roman" w:hint="default"/>
        </w:rPr>
        <w:t>”</w:t>
      </w:r>
      <w:r>
        <w:rPr/>
        <w:t>的信用等级维持</w:t>
      </w:r>
      <w:r>
        <w:rPr>
          <w:rFonts w:ascii="Times New Roman" w:hAnsi="Times New Roman" w:cs="Times New Roman" w:eastAsia="Times New Roman" w:hint="default"/>
        </w:rPr>
        <w:t>AA</w:t>
      </w:r>
      <w:r>
        <w:rPr/>
        <w:t>。</w:t>
      </w:r>
    </w:p>
    <w:p>
      <w:pPr>
        <w:spacing w:line="240" w:lineRule="auto" w:before="5"/>
        <w:rPr>
          <w:rFonts w:ascii="宋体" w:hAnsi="宋体" w:cs="宋体" w:eastAsia="宋体" w:hint="default"/>
          <w:sz w:val="21"/>
          <w:szCs w:val="21"/>
        </w:rPr>
      </w:pPr>
    </w:p>
    <w:p>
      <w:pPr>
        <w:pStyle w:val="Heading3"/>
        <w:spacing w:line="240" w:lineRule="auto"/>
        <w:ind w:right="1114"/>
        <w:jc w:val="left"/>
        <w:rPr>
          <w:b w:val="0"/>
          <w:bCs w:val="0"/>
        </w:rPr>
      </w:pPr>
      <w:r>
        <w:rPr/>
        <w:t>五、公司债券增信机制、偿债计划及其他偿债保障措施</w:t>
      </w:r>
      <w:r>
        <w:rPr>
          <w:b w:val="0"/>
          <w:bCs w:val="0"/>
        </w:rPr>
      </w:r>
    </w:p>
    <w:p>
      <w:pPr>
        <w:spacing w:line="240" w:lineRule="auto" w:before="12"/>
        <w:rPr>
          <w:rFonts w:ascii="宋体" w:hAnsi="宋体" w:cs="宋体" w:eastAsia="宋体" w:hint="default"/>
          <w:b/>
          <w:bCs/>
          <w:sz w:val="24"/>
          <w:szCs w:val="24"/>
        </w:rPr>
      </w:pPr>
    </w:p>
    <w:p>
      <w:pPr>
        <w:spacing w:line="499" w:lineRule="auto" w:before="0"/>
        <w:ind w:left="153" w:right="6253" w:firstLine="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b/>
          <w:bCs/>
          <w:sz w:val="24"/>
          <w:szCs w:val="24"/>
        </w:rPr>
        <w:t>六、报告期内债券持有人会议的召开情况</w:t>
      </w:r>
      <w:r>
        <w:rPr>
          <w:rFonts w:ascii="宋体" w:hAnsi="宋体" w:cs="宋体" w:eastAsia="宋体" w:hint="default"/>
          <w:b/>
          <w:bCs/>
          <w:w w:val="99"/>
          <w:sz w:val="24"/>
          <w:szCs w:val="24"/>
        </w:rPr>
        <w:t> </w:t>
      </w:r>
      <w:r>
        <w:rPr>
          <w:rFonts w:ascii="宋体" w:hAnsi="宋体" w:cs="宋体" w:eastAsia="宋体" w:hint="default"/>
          <w:sz w:val="21"/>
          <w:szCs w:val="21"/>
        </w:rPr>
        <w:t>报告期内未召开债券持有人会议。</w:t>
      </w:r>
    </w:p>
    <w:p>
      <w:pPr>
        <w:spacing w:line="240" w:lineRule="auto" w:before="0"/>
        <w:rPr>
          <w:rFonts w:ascii="宋体" w:hAnsi="宋体" w:cs="宋体" w:eastAsia="宋体" w:hint="default"/>
          <w:sz w:val="20"/>
          <w:szCs w:val="20"/>
        </w:rPr>
      </w:pPr>
    </w:p>
    <w:p>
      <w:pPr>
        <w:pStyle w:val="Heading3"/>
        <w:spacing w:line="240" w:lineRule="auto" w:before="135"/>
        <w:ind w:right="1114"/>
        <w:jc w:val="left"/>
        <w:rPr>
          <w:b w:val="0"/>
          <w:bCs w:val="0"/>
        </w:rPr>
      </w:pPr>
      <w:r>
        <w:rPr/>
        <w:t>七、报告期内债券受托管理人履行职责的情况</w:t>
      </w:r>
      <w:r>
        <w:rPr>
          <w:b w:val="0"/>
          <w:bCs w:val="0"/>
        </w:rPr>
      </w:r>
    </w:p>
    <w:p>
      <w:pPr>
        <w:spacing w:line="240" w:lineRule="auto" w:before="7"/>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1114"/>
        <w:jc w:val="left"/>
        <w:rPr>
          <w:b w:val="0"/>
          <w:bCs w:val="0"/>
        </w:rPr>
      </w:pPr>
      <w:r>
        <w:rPr/>
        <w:t>八、截至报告期末公司近</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12"/>
        <w:rPr>
          <w:rFonts w:ascii="宋体" w:hAnsi="宋体" w:cs="宋体" w:eastAsia="宋体" w:hint="default"/>
          <w:b/>
          <w:bCs/>
          <w:sz w:val="24"/>
          <w:szCs w:val="24"/>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185,566.57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109,233.63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69.88%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29.95%</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20.22%</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1"/>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9" w:top="1320" w:bottom="1160" w:left="980" w:right="0"/>
        </w:sectPr>
      </w:pPr>
    </w:p>
    <w:p>
      <w:pPr>
        <w:pStyle w:val="BodyText"/>
        <w:spacing w:line="240" w:lineRule="auto" w:before="100"/>
        <w:ind w:right="0"/>
        <w:jc w:val="both"/>
      </w:pPr>
      <w:r>
        <w:rPr>
          <w:rFonts w:ascii="Times New Roman" w:hAnsi="Times New Roman" w:cs="Times New Roman" w:eastAsia="Times New Roman" w:hint="default"/>
        </w:rPr>
        <w:t>1</w:t>
      </w:r>
      <w:r>
        <w:rPr/>
        <w:t>、报告期末，息税折旧摊销前利润同比增长</w:t>
      </w:r>
      <w:r>
        <w:rPr>
          <w:rFonts w:ascii="Times New Roman" w:hAnsi="Times New Roman" w:cs="Times New Roman" w:eastAsia="Times New Roman" w:hint="default"/>
        </w:rPr>
        <w:t>69.88%</w:t>
      </w:r>
      <w:r>
        <w:rPr/>
        <w:t>，主要原因是报告期内公司净利润大幅增长。</w:t>
      </w:r>
    </w:p>
    <w:p>
      <w:pPr>
        <w:pStyle w:val="BodyText"/>
        <w:spacing w:line="256" w:lineRule="auto" w:before="21"/>
        <w:ind w:right="1213"/>
        <w:jc w:val="left"/>
      </w:pPr>
      <w:r>
        <w:rPr>
          <w:rFonts w:ascii="Times New Roman" w:hAnsi="Times New Roman" w:cs="Times New Roman" w:eastAsia="Times New Roman" w:hint="default"/>
          <w:spacing w:val="-2"/>
        </w:rPr>
        <w:t>2</w:t>
      </w:r>
      <w:r>
        <w:rPr>
          <w:spacing w:val="-2"/>
        </w:rPr>
        <w:t>、报告期末，现金利息保障倍数同比增长</w:t>
      </w:r>
      <w:r>
        <w:rPr>
          <w:rFonts w:ascii="Times New Roman" w:hAnsi="Times New Roman" w:cs="Times New Roman" w:eastAsia="Times New Roman" w:hint="default"/>
          <w:spacing w:val="-2"/>
        </w:rPr>
        <w:t>121.56%</w:t>
      </w:r>
      <w:r>
        <w:rPr>
          <w:spacing w:val="-2"/>
        </w:rPr>
        <w:t>，主要原因是报告期内经营活动现金净流入大幅增</w:t>
      </w:r>
      <w:r>
        <w:rPr>
          <w:spacing w:val="-17"/>
        </w:rPr>
        <w:t> </w:t>
      </w:r>
      <w:r>
        <w:rPr>
          <w:spacing w:val="-17"/>
        </w:rPr>
      </w:r>
      <w:r>
        <w:rPr/>
        <w:t>长。</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t>九、报告期内对其他债券和债务融资工具的付息兑付情况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29"/>
        <w:jc w:val="both"/>
      </w:pPr>
      <w:r>
        <w:rPr>
          <w:rFonts w:ascii="宋体" w:hAnsi="宋体" w:cs="宋体" w:eastAsia="宋体" w:hint="default"/>
          <w:spacing w:val="-4"/>
        </w:rPr>
        <w:t>1</w:t>
      </w:r>
      <w:r>
        <w:rPr>
          <w:spacing w:val="-4"/>
        </w:rPr>
        <w:t>、东方财富证券于</w:t>
      </w:r>
      <w:r>
        <w:rPr>
          <w:rFonts w:ascii="宋体" w:hAnsi="宋体" w:cs="宋体" w:eastAsia="宋体" w:hint="default"/>
          <w:spacing w:val="-4"/>
        </w:rPr>
        <w:t>2013</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25</w:t>
      </w:r>
      <w:r>
        <w:rPr>
          <w:spacing w:val="-4"/>
        </w:rPr>
        <w:t>日向西藏银行借入</w:t>
      </w:r>
      <w:r>
        <w:rPr>
          <w:rFonts w:ascii="宋体" w:hAnsi="宋体" w:cs="宋体" w:eastAsia="宋体" w:hint="default"/>
          <w:spacing w:val="-4"/>
        </w:rPr>
        <w:t>5</w:t>
      </w:r>
      <w:r>
        <w:rPr>
          <w:spacing w:val="-4"/>
        </w:rPr>
        <w:t>亿元次级债务，按年付息，</w:t>
      </w:r>
      <w:r>
        <w:rPr>
          <w:rFonts w:ascii="宋体" w:hAnsi="宋体" w:cs="宋体" w:eastAsia="宋体" w:hint="default"/>
          <w:spacing w:val="-4"/>
        </w:rPr>
        <w:t>2016</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25</w:t>
      </w:r>
      <w:r>
        <w:rPr>
          <w:spacing w:val="-4"/>
        </w:rPr>
        <w:t>日归还</w:t>
      </w:r>
      <w:r>
        <w:rPr>
          <w:rFonts w:ascii="宋体" w:hAnsi="宋体" w:cs="宋体" w:eastAsia="宋体" w:hint="default"/>
          <w:spacing w:val="-4"/>
        </w:rPr>
        <w:t>2</w:t>
      </w:r>
      <w:r>
        <w:rPr>
          <w:spacing w:val="-4"/>
        </w:rPr>
        <w:t>亿元</w:t>
      </w:r>
      <w:r>
        <w:rPr>
          <w:spacing w:val="-23"/>
        </w:rPr>
        <w:t> </w:t>
      </w:r>
      <w:r>
        <w:rPr>
          <w:spacing w:val="3"/>
        </w:rPr>
        <w:t>次级债务本金，其余</w:t>
      </w:r>
      <w:r>
        <w:rPr>
          <w:rFonts w:ascii="宋体" w:hAnsi="宋体" w:cs="宋体" w:eastAsia="宋体" w:hint="default"/>
          <w:spacing w:val="3"/>
        </w:rPr>
        <w:t>3</w:t>
      </w:r>
      <w:r>
        <w:rPr>
          <w:spacing w:val="3"/>
        </w:rPr>
        <w:t>亿元将于</w:t>
      </w:r>
      <w:r>
        <w:rPr>
          <w:rFonts w:ascii="宋体" w:hAnsi="宋体" w:cs="宋体" w:eastAsia="宋体" w:hint="default"/>
          <w:spacing w:val="3"/>
        </w:rPr>
        <w:t>2019</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25</w:t>
      </w:r>
      <w:r>
        <w:rPr>
          <w:spacing w:val="3"/>
        </w:rPr>
        <w:t>日归还，东方财富证券已于</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25</w:t>
      </w:r>
      <w:r>
        <w:rPr>
          <w:spacing w:val="3"/>
        </w:rPr>
        <w:t>日支付当年利息</w:t>
      </w:r>
      <w:r>
        <w:rPr/>
        <w:t> </w:t>
      </w:r>
      <w:r>
        <w:rPr/>
      </w:r>
      <w:r>
        <w:rPr>
          <w:rFonts w:ascii="宋体" w:hAnsi="宋体" w:cs="宋体" w:eastAsia="宋体" w:hint="default"/>
        </w:rPr>
        <w:t>1,800.00</w:t>
      </w:r>
      <w:r>
        <w:rPr/>
        <w:t>万元。</w:t>
      </w:r>
    </w:p>
    <w:p>
      <w:pPr>
        <w:pStyle w:val="BodyText"/>
        <w:spacing w:line="273" w:lineRule="auto" w:before="7"/>
        <w:ind w:right="1114"/>
        <w:jc w:val="left"/>
      </w:pPr>
      <w:r>
        <w:rPr>
          <w:rFonts w:ascii="宋体" w:hAnsi="宋体" w:cs="宋体" w:eastAsia="宋体" w:hint="default"/>
          <w:spacing w:val="-2"/>
        </w:rPr>
        <w:t>2</w:t>
      </w:r>
      <w:r>
        <w:rPr>
          <w:spacing w:val="-2"/>
        </w:rPr>
        <w:t>、东方财富证券</w:t>
      </w:r>
      <w:r>
        <w:rPr>
          <w:rFonts w:ascii="宋体" w:hAnsi="宋体" w:cs="宋体" w:eastAsia="宋体" w:hint="default"/>
          <w:spacing w:val="-2"/>
        </w:rPr>
        <w:t>2017</w:t>
      </w:r>
      <w:r>
        <w:rPr>
          <w:spacing w:val="-2"/>
        </w:rPr>
        <w:t>年证券公司次级债券（第一期）于</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26</w:t>
      </w:r>
      <w:r>
        <w:rPr>
          <w:spacing w:val="-2"/>
        </w:rPr>
        <w:t>日发行完成，发行规模为人民币</w:t>
      </w:r>
      <w:r>
        <w:rPr>
          <w:rFonts w:ascii="宋体" w:hAnsi="宋体" w:cs="宋体" w:eastAsia="宋体" w:hint="default"/>
          <w:spacing w:val="-2"/>
        </w:rPr>
        <w:t>12</w:t>
      </w:r>
      <w:r>
        <w:rPr>
          <w:spacing w:val="-2"/>
        </w:rPr>
        <w:t>亿</w:t>
      </w:r>
      <w:r>
        <w:rPr>
          <w:spacing w:val="-37"/>
        </w:rPr>
        <w:t> </w:t>
      </w:r>
      <w:r>
        <w:rPr/>
        <w:t>元，按年付息。东方财富证券已于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26</w:t>
      </w:r>
      <w:r>
        <w:rPr/>
        <w:t>日支付当年利息</w:t>
      </w:r>
      <w:r>
        <w:rPr>
          <w:rFonts w:ascii="宋体" w:hAnsi="宋体" w:cs="宋体" w:eastAsia="宋体" w:hint="default"/>
        </w:rPr>
        <w:t>7,200.00</w:t>
      </w:r>
      <w:r>
        <w:rPr/>
        <w:t>万元。</w:t>
      </w:r>
      <w:r>
        <w:rPr>
          <w:w w:val="100"/>
        </w:rPr>
        <w:t> </w:t>
      </w:r>
      <w:r>
        <w:rPr>
          <w:rFonts w:ascii="宋体" w:hAnsi="宋体" w:cs="宋体" w:eastAsia="宋体" w:hint="default"/>
        </w:rPr>
        <w:t>3</w:t>
      </w:r>
      <w:r>
        <w:rPr/>
        <w:t>、报告期内，东方财富证券按期偿还并支付到期收益凭证、收益权转让本金及利息。</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r>
        <w:rPr/>
        <w:t>十、报告期内获得的银行授信情况、使用情况以及偿还银行贷款的情况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313"/>
        <w:jc w:val="both"/>
      </w:pPr>
      <w:r>
        <w:rPr>
          <w:spacing w:val="-2"/>
        </w:rPr>
        <w:t>公司及控股子公司始终坚持合规运作、稳健经营。截至报告期末，公司及控股子公司获得主要合作银行</w:t>
      </w:r>
      <w:r>
        <w:rPr>
          <w:spacing w:val="-21"/>
        </w:rPr>
        <w:t> </w:t>
      </w:r>
      <w:r>
        <w:rPr>
          <w:spacing w:val="-21"/>
        </w:rPr>
      </w:r>
      <w:r>
        <w:rPr>
          <w:spacing w:val="-2"/>
        </w:rPr>
        <w:t>授予综合信用额度约</w:t>
      </w:r>
      <w:r>
        <w:rPr>
          <w:rFonts w:ascii="宋体" w:hAnsi="宋体" w:cs="宋体" w:eastAsia="宋体" w:hint="default"/>
          <w:spacing w:val="-2"/>
        </w:rPr>
        <w:t>358.50</w:t>
      </w:r>
      <w:r>
        <w:rPr>
          <w:spacing w:val="-2"/>
        </w:rPr>
        <w:t>亿元。公司及控股子公司严格按照规定使用授信额度，按时偿还到期债务，</w:t>
      </w:r>
      <w:r>
        <w:rPr>
          <w:spacing w:val="-18"/>
        </w:rPr>
        <w:t> </w:t>
      </w:r>
      <w:r>
        <w:rPr>
          <w:spacing w:val="-18"/>
        </w:rPr>
      </w:r>
      <w:r>
        <w:rPr/>
        <w:t>未发生违约情形。</w:t>
      </w:r>
      <w:r>
        <w:rPr>
          <w:spacing w:val="-5"/>
        </w:rPr>
        <w:t> </w:t>
      </w:r>
      <w:r>
        <w:rPr/>
        <w:t>截至报告期末，公司及控股子公司未发生贷款展期、减免情形。</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3"/>
        <w:spacing w:line="240" w:lineRule="auto"/>
        <w:ind w:right="0"/>
        <w:jc w:val="both"/>
        <w:rPr>
          <w:b w:val="0"/>
          <w:bCs w:val="0"/>
        </w:rPr>
      </w:pPr>
      <w:r>
        <w:rPr/>
        <w:t>十一、报告期内执行公司债券募集说明书相关约定或承诺的情况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14"/>
        <w:jc w:val="left"/>
      </w:pPr>
      <w:r>
        <w:rPr>
          <w:spacing w:val="-2"/>
        </w:rPr>
        <w:t>报告期内，公司在公司治理、内部控制等方面不存在违反《公司法》、《公司章程》规定的情况，公司</w:t>
      </w:r>
      <w:r>
        <w:rPr>
          <w:spacing w:val="-21"/>
        </w:rPr>
        <w:t> </w:t>
      </w:r>
      <w:r>
        <w:rPr>
          <w:spacing w:val="-21"/>
        </w:rPr>
      </w:r>
      <w:r>
        <w:rPr/>
        <w:t>严格执行东财转债募集说明书中的相关约定和承诺，不存在违反上述约定和承诺的行为。</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3"/>
        <w:spacing w:line="240" w:lineRule="auto"/>
        <w:ind w:right="0"/>
        <w:jc w:val="both"/>
        <w:rPr>
          <w:b w:val="0"/>
          <w:bCs w:val="0"/>
        </w:rPr>
      </w:pPr>
      <w:r>
        <w:rPr/>
        <w:t>十二、报告期内发生的重大事项</w:t>
      </w:r>
      <w:r>
        <w:rPr>
          <w:b w:val="0"/>
          <w:bCs w:val="0"/>
        </w:rPr>
      </w:r>
    </w:p>
    <w:p>
      <w:pPr>
        <w:spacing w:line="240" w:lineRule="auto" w:before="9"/>
        <w:rPr>
          <w:rFonts w:ascii="宋体" w:hAnsi="宋体" w:cs="宋体" w:eastAsia="宋体" w:hint="default"/>
          <w:b/>
          <w:bCs/>
          <w:sz w:val="24"/>
          <w:szCs w:val="24"/>
        </w:rPr>
      </w:pPr>
    </w:p>
    <w:p>
      <w:pPr>
        <w:pStyle w:val="BodyText"/>
        <w:spacing w:line="256" w:lineRule="auto"/>
        <w:ind w:right="1210"/>
        <w:jc w:val="both"/>
      </w:pPr>
      <w:r>
        <w:rPr>
          <w:rFonts w:ascii="Times New Roman" w:hAnsi="Times New Roman" w:cs="Times New Roman" w:eastAsia="Times New Roman" w:hint="default"/>
          <w:spacing w:val="-2"/>
        </w:rPr>
        <w:t>1</w:t>
      </w:r>
      <w:r>
        <w:rPr>
          <w:spacing w:val="-2"/>
        </w:rPr>
        <w:t>、根据公司</w:t>
      </w:r>
      <w:r>
        <w:rPr>
          <w:rFonts w:ascii="Times New Roman" w:hAnsi="Times New Roman" w:cs="Times New Roman" w:eastAsia="Times New Roman" w:hint="default"/>
          <w:spacing w:val="-2"/>
        </w:rPr>
        <w:t>2017</w:t>
      </w:r>
      <w:r>
        <w:rPr>
          <w:spacing w:val="-2"/>
        </w:rPr>
        <w:t>年年度股东大会决议，公司实施</w:t>
      </w:r>
      <w:r>
        <w:rPr>
          <w:rFonts w:ascii="Times New Roman" w:hAnsi="Times New Roman" w:cs="Times New Roman" w:eastAsia="Times New Roman" w:hint="default"/>
          <w:spacing w:val="-2"/>
        </w:rPr>
        <w:t>2017</w:t>
      </w:r>
      <w:r>
        <w:rPr>
          <w:spacing w:val="-2"/>
        </w:rPr>
        <w:t>年度权益分派方案，以总股本</w:t>
      </w:r>
      <w:r>
        <w:rPr>
          <w:rFonts w:ascii="Times New Roman" w:hAnsi="Times New Roman" w:cs="Times New Roman" w:eastAsia="Times New Roman" w:hint="default"/>
          <w:spacing w:val="-2"/>
        </w:rPr>
        <w:t>4,288,779,718</w:t>
      </w:r>
      <w:r>
        <w:rPr>
          <w:spacing w:val="-2"/>
        </w:rPr>
        <w:t>股为基</w:t>
      </w:r>
      <w:r>
        <w:rPr>
          <w:spacing w:val="-6"/>
        </w:rPr>
        <w:t> </w:t>
      </w:r>
      <w:r>
        <w:rPr>
          <w:spacing w:val="-6"/>
        </w:rPr>
      </w:r>
      <w:r>
        <w:rPr>
          <w:spacing w:val="-2"/>
        </w:rPr>
        <w:t>数，用资本公积金向全体股东每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2</w:t>
      </w:r>
      <w:r>
        <w:rPr>
          <w:spacing w:val="-2"/>
        </w:rPr>
        <w:t>股，每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0.20</w:t>
      </w:r>
      <w:r>
        <w:rPr>
          <w:spacing w:val="-2"/>
        </w:rPr>
        <w:t>元（含税）。根据上述方</w:t>
      </w:r>
      <w:r>
        <w:rPr>
          <w:spacing w:val="-19"/>
        </w:rPr>
        <w:t> </w:t>
      </w:r>
      <w:r>
        <w:rPr>
          <w:spacing w:val="-19"/>
        </w:rPr>
      </w:r>
      <w:r>
        <w:rPr/>
        <w:t>案，东财转债转股价格调整为</w:t>
      </w:r>
      <w:r>
        <w:rPr>
          <w:rFonts w:ascii="Times New Roman" w:hAnsi="Times New Roman" w:cs="Times New Roman" w:eastAsia="Times New Roman" w:hint="default"/>
        </w:rPr>
        <w:t>11.39</w:t>
      </w:r>
      <w:r>
        <w:rPr/>
        <w:t>元</w:t>
      </w:r>
      <w:r>
        <w:rPr>
          <w:rFonts w:ascii="Times New Roman" w:hAnsi="Times New Roman" w:cs="Times New Roman" w:eastAsia="Times New Roman" w:hint="default"/>
        </w:rPr>
        <w:t>/</w:t>
      </w:r>
      <w:r>
        <w:rPr/>
        <w:t>股，调整后的转股价格自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日起生效。公司</w:t>
      </w:r>
      <w:r>
        <w:rPr>
          <w:rFonts w:ascii="Times New Roman" w:hAnsi="Times New Roman" w:cs="Times New Roman" w:eastAsia="Times New Roman" w:hint="default"/>
        </w:rPr>
        <w:t>2014</w:t>
      </w:r>
      <w:r>
        <w:rPr/>
        <w:t>年股票</w:t>
      </w:r>
      <w:r>
        <w:rPr>
          <w:w w:val="100"/>
        </w:rPr>
        <w:t> </w:t>
      </w:r>
      <w:r>
        <w:rPr>
          <w:spacing w:val="-2"/>
        </w:rPr>
        <w:t>期权激励计划首次授予股票期权第三个行权期行权，新增公司股份</w:t>
      </w:r>
      <w:r>
        <w:rPr>
          <w:rFonts w:ascii="Times New Roman" w:hAnsi="Times New Roman" w:cs="Times New Roman" w:eastAsia="Times New Roman" w:hint="default"/>
          <w:spacing w:val="-2"/>
        </w:rPr>
        <w:t>21,609,504</w:t>
      </w:r>
      <w:r>
        <w:rPr>
          <w:spacing w:val="-2"/>
        </w:rPr>
        <w:t>股，东财转债转股价格调整</w:t>
      </w:r>
      <w:r>
        <w:rPr>
          <w:spacing w:val="-11"/>
        </w:rPr>
        <w:t> </w:t>
      </w:r>
      <w:r>
        <w:rPr>
          <w:spacing w:val="-11"/>
        </w:rPr>
      </w:r>
      <w:r>
        <w:rPr/>
        <w:t>为</w:t>
      </w:r>
      <w:r>
        <w:rPr>
          <w:rFonts w:ascii="Times New Roman" w:hAnsi="Times New Roman" w:cs="Times New Roman" w:eastAsia="Times New Roman" w:hint="default"/>
        </w:rPr>
        <w:t>11.36</w:t>
      </w:r>
      <w:r>
        <w:rPr/>
        <w:t>元</w:t>
      </w:r>
      <w:r>
        <w:rPr>
          <w:rFonts w:ascii="Times New Roman" w:hAnsi="Times New Roman" w:cs="Times New Roman" w:eastAsia="Times New Roman" w:hint="default"/>
        </w:rPr>
        <w:t>/</w:t>
      </w:r>
      <w:r>
        <w:rPr/>
        <w:t>股，调整后的转股价格自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日起生效。</w:t>
      </w:r>
    </w:p>
    <w:p>
      <w:pPr>
        <w:pStyle w:val="BodyText"/>
        <w:spacing w:line="268" w:lineRule="auto" w:before="46"/>
        <w:ind w:right="1114"/>
        <w:jc w:val="left"/>
      </w:pPr>
      <w:r>
        <w:rPr>
          <w:rFonts w:ascii="Times New Roman" w:hAnsi="Times New Roman" w:cs="Times New Roman" w:eastAsia="Times New Roman" w:hint="default"/>
          <w:spacing w:val="-2"/>
        </w:rPr>
        <w:t>2</w:t>
      </w:r>
      <w:r>
        <w:rPr>
          <w:spacing w:val="-2"/>
        </w:rPr>
        <w:t>、根据有关法律法规和《募集说明书》的相关规定，公司本次发行的东财转债自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日起可转</w:t>
      </w:r>
      <w:r>
        <w:rPr>
          <w:spacing w:val="-17"/>
        </w:rPr>
        <w:t> </w:t>
      </w:r>
      <w:r>
        <w:rPr>
          <w:spacing w:val="-17"/>
        </w:rPr>
      </w:r>
      <w:r>
        <w:rPr/>
        <w:t>换为公司股份。报告期内，东财转债因转股减少</w:t>
      </w:r>
      <w:r>
        <w:rPr>
          <w:rFonts w:ascii="Times New Roman" w:hAnsi="Times New Roman" w:cs="Times New Roman" w:eastAsia="Times New Roman" w:hint="default"/>
        </w:rPr>
        <w:t>15,896</w:t>
      </w:r>
      <w:r>
        <w:rPr/>
        <w:t>张，转股数量为</w:t>
      </w:r>
      <w:r>
        <w:rPr>
          <w:rFonts w:ascii="Times New Roman" w:hAnsi="Times New Roman" w:cs="Times New Roman" w:eastAsia="Times New Roman" w:hint="default"/>
        </w:rPr>
        <w:t>139,861</w:t>
      </w:r>
      <w:r>
        <w:rPr/>
        <w:t>股。截至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w w:val="100"/>
        </w:rPr>
        <w:t> </w:t>
      </w:r>
      <w:r>
        <w:rPr/>
        <w:t>日，东财转债尚有</w:t>
      </w:r>
      <w:r>
        <w:rPr>
          <w:rFonts w:ascii="Times New Roman" w:hAnsi="Times New Roman" w:cs="Times New Roman" w:eastAsia="Times New Roman" w:hint="default"/>
        </w:rPr>
        <w:t>46,484,104</w:t>
      </w:r>
      <w:r>
        <w:rPr/>
        <w:t>张，剩余可转债金额为</w:t>
      </w:r>
      <w:r>
        <w:rPr>
          <w:rFonts w:ascii="Times New Roman" w:hAnsi="Times New Roman" w:cs="Times New Roman" w:eastAsia="Times New Roman" w:hint="default"/>
        </w:rPr>
        <w:t>464,841.04</w:t>
      </w:r>
      <w:r>
        <w:rPr/>
        <w:t>万元。</w:t>
      </w:r>
      <w:r>
        <w:rPr>
          <w:w w:val="100"/>
        </w:rPr>
        <w:t> </w:t>
      </w: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日，东财转债前十名持有人名单和持有数量：</w:t>
      </w:r>
    </w:p>
    <w:p>
      <w:pPr>
        <w:spacing w:line="240" w:lineRule="auto" w:before="12"/>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662"/>
        <w:gridCol w:w="6135"/>
        <w:gridCol w:w="1731"/>
        <w:gridCol w:w="1102"/>
      </w:tblGrid>
      <w:tr>
        <w:trPr>
          <w:trHeight w:val="332" w:hRule="exact"/>
        </w:trPr>
        <w:tc>
          <w:tcPr>
            <w:tcW w:w="6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6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持有人名称</w:t>
            </w:r>
            <w:r>
              <w:rPr>
                <w:rFonts w:ascii="宋体" w:hAnsi="宋体" w:cs="宋体" w:eastAsia="宋体" w:hint="default"/>
                <w:sz w:val="18"/>
                <w:szCs w:val="18"/>
              </w:rPr>
            </w:r>
          </w:p>
        </w:tc>
        <w:tc>
          <w:tcPr>
            <w:tcW w:w="17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227" w:right="0"/>
              <w:jc w:val="left"/>
              <w:rPr>
                <w:rFonts w:ascii="宋体" w:hAnsi="宋体" w:cs="宋体" w:eastAsia="宋体" w:hint="default"/>
                <w:sz w:val="18"/>
                <w:szCs w:val="18"/>
              </w:rPr>
            </w:pPr>
            <w:r>
              <w:rPr>
                <w:rFonts w:ascii="宋体" w:hAnsi="宋体" w:cs="宋体" w:eastAsia="宋体" w:hint="default"/>
                <w:b/>
                <w:bCs/>
                <w:sz w:val="18"/>
                <w:szCs w:val="18"/>
              </w:rPr>
              <w:t>持有数量（张）</w:t>
            </w:r>
            <w:r>
              <w:rPr>
                <w:rFonts w:ascii="宋体" w:hAnsi="宋体" w:cs="宋体" w:eastAsia="宋体" w:hint="default"/>
                <w:sz w:val="18"/>
                <w:szCs w:val="18"/>
              </w:rPr>
            </w:r>
          </w:p>
        </w:tc>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84" w:right="0"/>
              <w:jc w:val="left"/>
              <w:rPr>
                <w:rFonts w:ascii="宋体" w:hAnsi="宋体" w:cs="宋体" w:eastAsia="宋体" w:hint="default"/>
                <w:sz w:val="18"/>
                <w:szCs w:val="18"/>
              </w:rPr>
            </w:pPr>
            <w:r>
              <w:rPr>
                <w:rFonts w:ascii="宋体" w:hAnsi="宋体" w:cs="宋体" w:eastAsia="宋体" w:hint="default"/>
                <w:b/>
                <w:bCs/>
                <w:sz w:val="18"/>
                <w:szCs w:val="18"/>
              </w:rPr>
              <w:t>持有比例</w:t>
            </w:r>
            <w:r>
              <w:rPr>
                <w:rFonts w:ascii="宋体" w:hAnsi="宋体" w:cs="宋体" w:eastAsia="宋体" w:hint="default"/>
                <w:sz w:val="18"/>
                <w:szCs w:val="18"/>
              </w:rPr>
            </w:r>
          </w:p>
        </w:tc>
      </w:tr>
      <w:tr>
        <w:trPr>
          <w:trHeight w:val="426" w:hRule="exact"/>
        </w:trPr>
        <w:tc>
          <w:tcPr>
            <w:tcW w:w="662"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1</w:t>
            </w:r>
          </w:p>
        </w:tc>
        <w:tc>
          <w:tcPr>
            <w:tcW w:w="6135" w:type="dxa"/>
            <w:tcBorders>
              <w:top w:val="single" w:sz="9" w:space="0" w:color="000000"/>
              <w:left w:val="single" w:sz="4" w:space="0" w:color="000000"/>
              <w:bottom w:val="single" w:sz="4" w:space="0" w:color="FFFFFF"/>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UBS</w:t>
            </w:r>
            <w:r>
              <w:rPr>
                <w:rFonts w:ascii="Times New Roman"/>
                <w:spacing w:val="-1"/>
                <w:sz w:val="18"/>
              </w:rPr>
              <w:t> </w:t>
            </w:r>
            <w:r>
              <w:rPr>
                <w:rFonts w:ascii="Times New Roman"/>
                <w:sz w:val="18"/>
              </w:rPr>
              <w:t>AG</w:t>
            </w:r>
          </w:p>
        </w:tc>
        <w:tc>
          <w:tcPr>
            <w:tcW w:w="1731" w:type="dxa"/>
            <w:tcBorders>
              <w:top w:val="single" w:sz="9" w:space="0" w:color="000000"/>
              <w:left w:val="single" w:sz="4" w:space="0" w:color="000000"/>
              <w:bottom w:val="single" w:sz="4" w:space="0" w:color="FFFFFF"/>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pacing w:val="-1"/>
                <w:sz w:val="18"/>
              </w:rPr>
              <w:t>3,942,561</w:t>
            </w:r>
          </w:p>
        </w:tc>
        <w:tc>
          <w:tcPr>
            <w:tcW w:w="1102" w:type="dxa"/>
            <w:tcBorders>
              <w:top w:val="single" w:sz="9" w:space="0" w:color="000000"/>
              <w:left w:val="single" w:sz="4" w:space="0" w:color="000000"/>
              <w:bottom w:val="single" w:sz="4" w:space="0" w:color="FFFFFF"/>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8.48%</w:t>
            </w:r>
          </w:p>
        </w:tc>
      </w:tr>
      <w:tr>
        <w:trPr>
          <w:trHeight w:val="422" w:hRule="exact"/>
        </w:trPr>
        <w:tc>
          <w:tcPr>
            <w:tcW w:w="662"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613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中国工商银行股份有限公司－易方达安心回报债券型证券投资基金</w:t>
            </w:r>
          </w:p>
        </w:tc>
        <w:tc>
          <w:tcPr>
            <w:tcW w:w="173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3"/>
              <w:ind w:right="4"/>
              <w:jc w:val="right"/>
              <w:rPr>
                <w:rFonts w:ascii="Times New Roman" w:hAnsi="Times New Roman" w:cs="Times New Roman" w:eastAsia="Times New Roman" w:hint="default"/>
                <w:sz w:val="18"/>
                <w:szCs w:val="18"/>
              </w:rPr>
            </w:pPr>
            <w:r>
              <w:rPr>
                <w:rFonts w:ascii="Times New Roman"/>
                <w:spacing w:val="-1"/>
                <w:sz w:val="18"/>
              </w:rPr>
              <w:t>3,684,059</w:t>
            </w:r>
          </w:p>
        </w:tc>
        <w:tc>
          <w:tcPr>
            <w:tcW w:w="110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7.93%</w:t>
            </w:r>
          </w:p>
        </w:tc>
      </w:tr>
      <w:tr>
        <w:trPr>
          <w:trHeight w:val="422" w:hRule="exact"/>
        </w:trPr>
        <w:tc>
          <w:tcPr>
            <w:tcW w:w="662"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w:t>
            </w:r>
          </w:p>
        </w:tc>
        <w:tc>
          <w:tcPr>
            <w:tcW w:w="613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光大资管－民生银行－光大阳光北斗星</w:t>
            </w:r>
            <w:r>
              <w:rPr>
                <w:rFonts w:ascii="Times New Roman" w:hAnsi="Times New Roman" w:cs="Times New Roman" w:eastAsia="Times New Roman" w:hint="default"/>
                <w:sz w:val="18"/>
                <w:szCs w:val="18"/>
              </w:rPr>
              <w:t>2</w:t>
            </w:r>
            <w:r>
              <w:rPr>
                <w:rFonts w:ascii="宋体" w:hAnsi="宋体" w:cs="宋体" w:eastAsia="宋体" w:hint="default"/>
                <w:sz w:val="18"/>
                <w:szCs w:val="18"/>
              </w:rPr>
              <w:t>号集合资产管理计划</w:t>
            </w:r>
          </w:p>
        </w:tc>
        <w:tc>
          <w:tcPr>
            <w:tcW w:w="173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3"/>
              <w:ind w:right="4"/>
              <w:jc w:val="right"/>
              <w:rPr>
                <w:rFonts w:ascii="Times New Roman" w:hAnsi="Times New Roman" w:cs="Times New Roman" w:eastAsia="Times New Roman" w:hint="default"/>
                <w:sz w:val="18"/>
                <w:szCs w:val="18"/>
              </w:rPr>
            </w:pPr>
            <w:r>
              <w:rPr>
                <w:rFonts w:ascii="Times New Roman"/>
                <w:spacing w:val="-1"/>
                <w:sz w:val="18"/>
              </w:rPr>
              <w:t>2,402,974</w:t>
            </w:r>
          </w:p>
        </w:tc>
        <w:tc>
          <w:tcPr>
            <w:tcW w:w="110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5.17%</w:t>
            </w:r>
          </w:p>
        </w:tc>
      </w:tr>
      <w:tr>
        <w:trPr>
          <w:trHeight w:val="422" w:hRule="exact"/>
        </w:trPr>
        <w:tc>
          <w:tcPr>
            <w:tcW w:w="6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6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国元国际控股有限公司－客户资金（交易所）</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pacing w:val="-1"/>
                <w:sz w:val="18"/>
              </w:rPr>
              <w:t>2,127,526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4.58%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20" w:bottom="1160" w:left="980" w:right="0"/>
        </w:sectPr>
      </w:pPr>
    </w:p>
    <w:p>
      <w:pPr>
        <w:spacing w:line="240" w:lineRule="auto" w:before="8"/>
        <w:rPr>
          <w:rFonts w:ascii="宋体" w:hAnsi="宋体" w:cs="宋体" w:eastAsia="宋体" w:hint="default"/>
          <w:sz w:val="8"/>
          <w:szCs w:val="8"/>
        </w:rPr>
      </w:pPr>
    </w:p>
    <w:tbl>
      <w:tblPr>
        <w:tblW w:w="0" w:type="auto"/>
        <w:jc w:val="left"/>
        <w:tblInd w:w="154" w:type="dxa"/>
        <w:tblLayout w:type="fixed"/>
        <w:tblCellMar>
          <w:top w:w="0" w:type="dxa"/>
          <w:left w:w="0" w:type="dxa"/>
          <w:bottom w:w="0" w:type="dxa"/>
          <w:right w:w="0" w:type="dxa"/>
        </w:tblCellMar>
        <w:tblLook w:val="01E0"/>
      </w:tblPr>
      <w:tblGrid>
        <w:gridCol w:w="661"/>
        <w:gridCol w:w="6135"/>
        <w:gridCol w:w="1731"/>
        <w:gridCol w:w="1102"/>
      </w:tblGrid>
      <w:tr>
        <w:trPr>
          <w:trHeight w:val="423" w:hRule="exact"/>
        </w:trPr>
        <w:tc>
          <w:tcPr>
            <w:tcW w:w="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w:t>
            </w:r>
          </w:p>
        </w:tc>
        <w:tc>
          <w:tcPr>
            <w:tcW w:w="6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
              <w:jc w:val="right"/>
              <w:rPr>
                <w:rFonts w:ascii="Times New Roman" w:hAnsi="Times New Roman" w:cs="Times New Roman" w:eastAsia="Times New Roman" w:hint="default"/>
                <w:sz w:val="18"/>
                <w:szCs w:val="18"/>
              </w:rPr>
            </w:pPr>
            <w:r>
              <w:rPr>
                <w:rFonts w:ascii="Times New Roman"/>
                <w:spacing w:val="-1"/>
                <w:sz w:val="18"/>
              </w:rPr>
              <w:t>1,763,702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z w:val="18"/>
              </w:rPr>
              <w:t>3.79%</w:t>
            </w:r>
          </w:p>
        </w:tc>
      </w:tr>
      <w:tr>
        <w:trPr>
          <w:trHeight w:val="422" w:hRule="exact"/>
        </w:trPr>
        <w:tc>
          <w:tcPr>
            <w:tcW w:w="661"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w:t>
            </w:r>
          </w:p>
        </w:tc>
        <w:tc>
          <w:tcPr>
            <w:tcW w:w="613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沈友根</w:t>
            </w:r>
          </w:p>
        </w:tc>
        <w:tc>
          <w:tcPr>
            <w:tcW w:w="173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pacing w:val="-1"/>
                <w:sz w:val="18"/>
              </w:rPr>
              <w:t>1,359,750</w:t>
            </w:r>
          </w:p>
        </w:tc>
        <w:tc>
          <w:tcPr>
            <w:tcW w:w="110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2.93%</w:t>
            </w:r>
          </w:p>
        </w:tc>
      </w:tr>
      <w:tr>
        <w:trPr>
          <w:trHeight w:val="420" w:hRule="exact"/>
        </w:trPr>
        <w:tc>
          <w:tcPr>
            <w:tcW w:w="661"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w:t>
            </w:r>
          </w:p>
        </w:tc>
        <w:tc>
          <w:tcPr>
            <w:tcW w:w="613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陆丽丽</w:t>
            </w:r>
          </w:p>
        </w:tc>
        <w:tc>
          <w:tcPr>
            <w:tcW w:w="173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pacing w:val="-1"/>
                <w:sz w:val="18"/>
              </w:rPr>
              <w:t>1,332,131</w:t>
            </w:r>
          </w:p>
        </w:tc>
        <w:tc>
          <w:tcPr>
            <w:tcW w:w="110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2.87%</w:t>
            </w:r>
          </w:p>
        </w:tc>
      </w:tr>
      <w:tr>
        <w:trPr>
          <w:trHeight w:val="422" w:hRule="exact"/>
        </w:trPr>
        <w:tc>
          <w:tcPr>
            <w:tcW w:w="661"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w:t>
            </w:r>
          </w:p>
        </w:tc>
        <w:tc>
          <w:tcPr>
            <w:tcW w:w="613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光大资管－光大－光大阳光稳债收益集合资产管理计划</w:t>
            </w:r>
          </w:p>
        </w:tc>
        <w:tc>
          <w:tcPr>
            <w:tcW w:w="173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3"/>
              <w:ind w:right="4"/>
              <w:jc w:val="right"/>
              <w:rPr>
                <w:rFonts w:ascii="Times New Roman" w:hAnsi="Times New Roman" w:cs="Times New Roman" w:eastAsia="Times New Roman" w:hint="default"/>
                <w:sz w:val="18"/>
                <w:szCs w:val="18"/>
              </w:rPr>
            </w:pPr>
            <w:r>
              <w:rPr>
                <w:rFonts w:ascii="Times New Roman"/>
                <w:spacing w:val="-1"/>
                <w:sz w:val="18"/>
              </w:rPr>
              <w:t>1,098,016</w:t>
            </w:r>
          </w:p>
        </w:tc>
        <w:tc>
          <w:tcPr>
            <w:tcW w:w="110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2.36%</w:t>
            </w:r>
          </w:p>
        </w:tc>
      </w:tr>
      <w:tr>
        <w:trPr>
          <w:trHeight w:val="422" w:hRule="exact"/>
        </w:trPr>
        <w:tc>
          <w:tcPr>
            <w:tcW w:w="661"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w:t>
            </w:r>
          </w:p>
        </w:tc>
        <w:tc>
          <w:tcPr>
            <w:tcW w:w="613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广发基金－工商银行－中国平安人寿保险－债券委托投资</w:t>
            </w:r>
            <w:r>
              <w:rPr>
                <w:rFonts w:ascii="Times New Roman" w:hAnsi="Times New Roman" w:cs="Times New Roman" w:eastAsia="Times New Roman" w:hint="default"/>
                <w:sz w:val="18"/>
                <w:szCs w:val="18"/>
              </w:rPr>
              <w:t>1</w:t>
            </w:r>
            <w:r>
              <w:rPr>
                <w:rFonts w:ascii="宋体" w:hAnsi="宋体" w:cs="宋体" w:eastAsia="宋体" w:hint="default"/>
                <w:sz w:val="18"/>
                <w:szCs w:val="18"/>
              </w:rPr>
              <w:t>号</w:t>
            </w:r>
          </w:p>
        </w:tc>
        <w:tc>
          <w:tcPr>
            <w:tcW w:w="173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3"/>
              <w:ind w:right="4"/>
              <w:jc w:val="right"/>
              <w:rPr>
                <w:rFonts w:ascii="Times New Roman" w:hAnsi="Times New Roman" w:cs="Times New Roman" w:eastAsia="Times New Roman" w:hint="default"/>
                <w:sz w:val="18"/>
                <w:szCs w:val="18"/>
              </w:rPr>
            </w:pPr>
            <w:r>
              <w:rPr>
                <w:rFonts w:ascii="Times New Roman"/>
                <w:spacing w:val="-1"/>
                <w:sz w:val="18"/>
              </w:rPr>
              <w:t>1,054,862</w:t>
            </w:r>
          </w:p>
        </w:tc>
        <w:tc>
          <w:tcPr>
            <w:tcW w:w="110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2.27%</w:t>
            </w:r>
          </w:p>
        </w:tc>
      </w:tr>
      <w:tr>
        <w:trPr>
          <w:trHeight w:val="422" w:hRule="exact"/>
        </w:trPr>
        <w:tc>
          <w:tcPr>
            <w:tcW w:w="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w:t>
            </w:r>
          </w:p>
        </w:tc>
        <w:tc>
          <w:tcPr>
            <w:tcW w:w="6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全国社保基金二零三组合</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pacing w:val="-1"/>
                <w:sz w:val="18"/>
              </w:rPr>
              <w:t>912,912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1.96%</w:t>
            </w:r>
          </w:p>
        </w:tc>
      </w:tr>
    </w:tbl>
    <w:p>
      <w:pPr>
        <w:spacing w:line="240" w:lineRule="auto" w:before="1"/>
        <w:rPr>
          <w:rFonts w:ascii="宋体" w:hAnsi="宋体" w:cs="宋体" w:eastAsia="宋体" w:hint="default"/>
          <w:sz w:val="18"/>
          <w:szCs w:val="18"/>
        </w:rPr>
      </w:pPr>
    </w:p>
    <w:p>
      <w:pPr>
        <w:pStyle w:val="Heading3"/>
        <w:spacing w:line="240" w:lineRule="auto" w:before="26"/>
        <w:ind w:right="1114"/>
        <w:jc w:val="left"/>
        <w:rPr>
          <w:b w:val="0"/>
          <w:bCs w:val="0"/>
        </w:rPr>
      </w:pPr>
      <w:r>
        <w:rPr/>
        <w:t>十三、公司债券是否存在保证人</w:t>
      </w:r>
      <w:r>
        <w:rPr>
          <w:b w:val="0"/>
          <w:bCs w:val="0"/>
        </w:rPr>
      </w:r>
    </w:p>
    <w:p>
      <w:pPr>
        <w:spacing w:line="240" w:lineRule="auto" w:before="7"/>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52" w:footer="979" w:top="132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1114"/>
        <w:jc w:val="left"/>
        <w:rPr>
          <w:b w:val="0"/>
          <w:bCs w:val="0"/>
        </w:rPr>
      </w:pPr>
      <w:bookmarkStart w:name="_bookmark10" w:id="11"/>
      <w:bookmarkEnd w:id="11"/>
      <w:r>
        <w:rPr>
          <w:b w:val="0"/>
          <w:bCs w:val="0"/>
        </w:rPr>
      </w:r>
      <w:r>
        <w:rPr/>
        <w:t>第十一节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1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ZA10197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姚辉、李新民</w:t>
            </w:r>
          </w:p>
        </w:tc>
      </w:tr>
    </w:tbl>
    <w:p>
      <w:pPr>
        <w:spacing w:line="240" w:lineRule="auto" w:before="10"/>
        <w:rPr>
          <w:rFonts w:ascii="宋体" w:hAnsi="宋体" w:cs="宋体" w:eastAsia="宋体" w:hint="default"/>
          <w:b/>
          <w:bCs/>
          <w:sz w:val="18"/>
          <w:szCs w:val="18"/>
        </w:rPr>
      </w:pPr>
    </w:p>
    <w:p>
      <w:pPr>
        <w:pStyle w:val="Heading3"/>
        <w:spacing w:line="322" w:lineRule="exact" w:before="26"/>
        <w:ind w:left="239" w:right="0"/>
        <w:jc w:val="both"/>
        <w:rPr>
          <w:b w:val="0"/>
          <w:bCs w:val="0"/>
        </w:rPr>
      </w:pPr>
      <w:r>
        <w:rPr>
          <w:rFonts w:ascii="Times New Roman" w:hAnsi="Times New Roman" w:cs="Times New Roman" w:eastAsia="Times New Roman" w:hint="default"/>
        </w:rPr>
        <w:t>1</w:t>
      </w:r>
      <w:r>
        <w:rPr/>
        <w:t>、审计意见</w:t>
      </w:r>
      <w:r>
        <w:rPr>
          <w:b w:val="0"/>
          <w:bCs w:val="0"/>
        </w:rPr>
      </w:r>
    </w:p>
    <w:p>
      <w:pPr>
        <w:pStyle w:val="Heading4"/>
        <w:spacing w:line="312" w:lineRule="exact" w:before="20"/>
        <w:ind w:right="1325"/>
        <w:jc w:val="both"/>
      </w:pPr>
      <w:r>
        <w:rPr/>
        <w:t>我们审计了东方财富信息股份有限公司（以下简称东方财富）财务报表，包括</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2018</w:t>
      </w:r>
      <w:r>
        <w:rPr/>
        <w:t>年度的合并及母公司利润表、合并及母公司现 金流量表、合并及母公司股东权益变动表以及相关财务报表附注。</w:t>
      </w:r>
    </w:p>
    <w:p>
      <w:pPr>
        <w:pStyle w:val="Heading4"/>
        <w:spacing w:line="312" w:lineRule="exact"/>
        <w:ind w:right="1326"/>
        <w:jc w:val="both"/>
      </w:pPr>
      <w:r>
        <w:rPr/>
        <w:t>我们认为，后附的财务报表在所有重大方面按照企业会计准则的规定编制，公允反映 了东方财富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2018</w:t>
      </w:r>
      <w:r>
        <w:rPr/>
        <w:t>年度的合并及母公司经营成 果和现金流量。</w:t>
      </w:r>
    </w:p>
    <w:p>
      <w:pPr>
        <w:spacing w:line="312" w:lineRule="exact" w:before="0"/>
        <w:ind w:left="717" w:right="1309" w:hanging="564"/>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、形成审计意见的基础</w:t>
      </w:r>
      <w:r>
        <w:rPr>
          <w:rFonts w:ascii="宋体" w:hAnsi="宋体" w:cs="宋体" w:eastAsia="宋体" w:hint="default"/>
          <w:b/>
          <w:bCs/>
          <w:w w:val="99"/>
          <w:sz w:val="24"/>
          <w:szCs w:val="24"/>
        </w:rPr>
        <w:t> </w:t>
      </w:r>
      <w:r>
        <w:rPr>
          <w:rFonts w:ascii="宋体" w:hAnsi="宋体" w:cs="宋体" w:eastAsia="宋体" w:hint="default"/>
          <w:sz w:val="24"/>
          <w:szCs w:val="24"/>
        </w:rPr>
        <w:t>我们按照中国注册会计师审计准则的规定执行了审计工作。审计报告的“注册会计师</w:t>
      </w:r>
    </w:p>
    <w:p>
      <w:pPr>
        <w:pStyle w:val="Heading4"/>
        <w:spacing w:line="312" w:lineRule="exact"/>
        <w:ind w:right="1326" w:firstLine="0"/>
        <w:jc w:val="both"/>
      </w:pPr>
      <w:r>
        <w:rPr/>
        <w:t>对财务报表审计的责任”部分进一步阐述了我们在这些准则下的责任。按照中国注册会计 师职业道德守则，我们独立于东方财富，并履行了职业道德方面的其他责任。我们相信， 我们获取的审计证据是充分、适当的，为发表审计意见提供了基础。</w:t>
      </w:r>
    </w:p>
    <w:p>
      <w:pPr>
        <w:pStyle w:val="Heading3"/>
        <w:spacing w:line="291" w:lineRule="exact"/>
        <w:ind w:right="0"/>
        <w:jc w:val="both"/>
        <w:rPr>
          <w:b w:val="0"/>
          <w:bCs w:val="0"/>
        </w:rPr>
      </w:pPr>
      <w:r>
        <w:rPr>
          <w:rFonts w:ascii="Times New Roman" w:hAnsi="Times New Roman" w:cs="Times New Roman" w:eastAsia="Times New Roman" w:hint="default"/>
        </w:rPr>
        <w:t>3</w:t>
      </w:r>
      <w:r>
        <w:rPr/>
        <w:t>、关键审计事项</w:t>
      </w:r>
      <w:r>
        <w:rPr>
          <w:b w:val="0"/>
          <w:bCs w:val="0"/>
        </w:rPr>
      </w:r>
    </w:p>
    <w:p>
      <w:pPr>
        <w:pStyle w:val="Heading4"/>
        <w:spacing w:line="312" w:lineRule="exact" w:before="20"/>
        <w:ind w:left="153" w:right="1132" w:firstLine="566"/>
        <w:jc w:val="both"/>
      </w:pPr>
      <w:r>
        <w:rPr>
          <w:spacing w:val="-2"/>
        </w:rPr>
        <w:t>关键审计事项是我们根据职业判断，认为对本期财务报表审计最为重要的事项。这些事</w:t>
      </w:r>
      <w:r>
        <w:rPr/>
        <w:t> 项的应对以对财务报表整体进行审计并形成审计意见为背景，我们不对这些事项单独发表意</w:t>
      </w:r>
      <w:r>
        <w:rPr>
          <w:spacing w:val="-91"/>
        </w:rPr>
        <w:t> </w:t>
      </w:r>
      <w:r>
        <w:rPr>
          <w:spacing w:val="-91"/>
        </w:rPr>
      </w:r>
      <w:r>
        <w:rPr/>
        <w:t>见。我们确定下列事项是需要在审计报告中沟通的关键审计事项。</w:t>
      </w:r>
    </w:p>
    <w:tbl>
      <w:tblPr>
        <w:tblW w:w="0" w:type="auto"/>
        <w:jc w:val="left"/>
        <w:tblInd w:w="278" w:type="dxa"/>
        <w:tblLayout w:type="fixed"/>
        <w:tblCellMar>
          <w:top w:w="0" w:type="dxa"/>
          <w:left w:w="0" w:type="dxa"/>
          <w:bottom w:w="0" w:type="dxa"/>
          <w:right w:w="0" w:type="dxa"/>
        </w:tblCellMar>
        <w:tblLook w:val="01E0"/>
      </w:tblPr>
      <w:tblGrid>
        <w:gridCol w:w="5113"/>
        <w:gridCol w:w="4405"/>
      </w:tblGrid>
      <w:tr>
        <w:trPr>
          <w:trHeight w:val="346" w:hRule="exact"/>
        </w:trPr>
        <w:tc>
          <w:tcPr>
            <w:tcW w:w="511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 w:right="1"/>
              <w:jc w:val="center"/>
              <w:rPr>
                <w:rFonts w:ascii="宋体" w:hAnsi="宋体" w:cs="宋体" w:eastAsia="宋体" w:hint="default"/>
                <w:sz w:val="24"/>
                <w:szCs w:val="24"/>
              </w:rPr>
            </w:pPr>
            <w:r>
              <w:rPr>
                <w:rFonts w:ascii="宋体" w:hAnsi="宋体" w:cs="宋体" w:eastAsia="宋体" w:hint="default"/>
                <w:b/>
                <w:bCs/>
                <w:sz w:val="24"/>
                <w:szCs w:val="24"/>
              </w:rPr>
              <w:t>关键审计事项</w:t>
            </w:r>
            <w:r>
              <w:rPr>
                <w:rFonts w:ascii="宋体" w:hAnsi="宋体" w:cs="宋体" w:eastAsia="宋体" w:hint="default"/>
                <w:sz w:val="24"/>
                <w:szCs w:val="24"/>
              </w:rPr>
            </w:r>
          </w:p>
        </w:tc>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628" w:right="0"/>
              <w:jc w:val="left"/>
              <w:rPr>
                <w:rFonts w:ascii="宋体" w:hAnsi="宋体" w:cs="宋体" w:eastAsia="宋体" w:hint="default"/>
                <w:sz w:val="24"/>
                <w:szCs w:val="24"/>
              </w:rPr>
            </w:pPr>
            <w:r>
              <w:rPr>
                <w:rFonts w:ascii="宋体" w:hAnsi="宋体" w:cs="宋体" w:eastAsia="宋体" w:hint="default"/>
                <w:b/>
                <w:bCs/>
                <w:sz w:val="24"/>
                <w:szCs w:val="24"/>
              </w:rPr>
              <w:t>该事项在审计中是如何应对的</w:t>
            </w:r>
            <w:r>
              <w:rPr>
                <w:rFonts w:ascii="宋体" w:hAnsi="宋体" w:cs="宋体" w:eastAsia="宋体" w:hint="default"/>
                <w:sz w:val="24"/>
                <w:szCs w:val="24"/>
              </w:rPr>
            </w:r>
          </w:p>
        </w:tc>
      </w:tr>
      <w:tr>
        <w:trPr>
          <w:trHeight w:val="348" w:hRule="exact"/>
        </w:trPr>
        <w:tc>
          <w:tcPr>
            <w:tcW w:w="95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b/>
                <w:bCs/>
                <w:sz w:val="24"/>
                <w:szCs w:val="24"/>
              </w:rPr>
              <w:t>（一）商誉减值测试</w:t>
            </w:r>
            <w:r>
              <w:rPr>
                <w:rFonts w:ascii="宋体" w:hAnsi="宋体" w:cs="宋体" w:eastAsia="宋体" w:hint="default"/>
                <w:sz w:val="24"/>
                <w:szCs w:val="24"/>
              </w:rPr>
            </w:r>
          </w:p>
        </w:tc>
      </w:tr>
      <w:tr>
        <w:trPr>
          <w:trHeight w:val="3781" w:hRule="exact"/>
        </w:trPr>
        <w:tc>
          <w:tcPr>
            <w:tcW w:w="511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如合并财务报表附注五、（二十）所列示，截至</w:t>
            </w:r>
          </w:p>
          <w:p>
            <w:pPr>
              <w:pStyle w:val="TableParagraph"/>
              <w:spacing w:line="312" w:lineRule="exact"/>
              <w:ind w:left="2"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日，东方财富商誉的账面原值为</w:t>
            </w:r>
          </w:p>
          <w:p>
            <w:pPr>
              <w:pStyle w:val="TableParagraph"/>
              <w:spacing w:line="312" w:lineRule="exact"/>
              <w:ind w:left="2" w:right="0"/>
              <w:jc w:val="left"/>
              <w:rPr>
                <w:rFonts w:ascii="宋体" w:hAnsi="宋体" w:cs="宋体" w:eastAsia="宋体" w:hint="default"/>
                <w:sz w:val="24"/>
                <w:szCs w:val="24"/>
              </w:rPr>
            </w:pPr>
            <w:r>
              <w:rPr>
                <w:rFonts w:ascii="宋体" w:hAnsi="宋体" w:cs="宋体" w:eastAsia="宋体" w:hint="default"/>
                <w:sz w:val="24"/>
                <w:szCs w:val="24"/>
              </w:rPr>
              <w:t>2,932,170,828.21</w:t>
            </w:r>
            <w:r>
              <w:rPr>
                <w:rFonts w:ascii="宋体" w:hAnsi="宋体" w:cs="宋体" w:eastAsia="宋体" w:hint="default"/>
                <w:sz w:val="24"/>
                <w:szCs w:val="24"/>
              </w:rPr>
              <w:t>元，减值准备余额</w:t>
            </w:r>
          </w:p>
          <w:p>
            <w:pPr>
              <w:pStyle w:val="TableParagraph"/>
              <w:spacing w:line="312" w:lineRule="exact"/>
              <w:ind w:left="2" w:right="0"/>
              <w:jc w:val="left"/>
              <w:rPr>
                <w:rFonts w:ascii="宋体" w:hAnsi="宋体" w:cs="宋体" w:eastAsia="宋体" w:hint="default"/>
                <w:sz w:val="24"/>
                <w:szCs w:val="24"/>
              </w:rPr>
            </w:pPr>
            <w:r>
              <w:rPr>
                <w:rFonts w:ascii="宋体" w:hAnsi="宋体" w:cs="宋体" w:eastAsia="宋体" w:hint="default"/>
                <w:sz w:val="24"/>
                <w:szCs w:val="24"/>
              </w:rPr>
              <w:t>4,731,868.08</w:t>
            </w:r>
            <w:r>
              <w:rPr>
                <w:rFonts w:ascii="宋体" w:hAnsi="宋体" w:cs="宋体" w:eastAsia="宋体" w:hint="default"/>
                <w:sz w:val="24"/>
                <w:szCs w:val="24"/>
              </w:rPr>
              <w:t>元。</w:t>
            </w:r>
          </w:p>
          <w:p>
            <w:pPr>
              <w:pStyle w:val="TableParagraph"/>
              <w:spacing w:line="312" w:lineRule="exact" w:before="29"/>
              <w:ind w:left="2" w:right="54"/>
              <w:jc w:val="left"/>
              <w:rPr>
                <w:rFonts w:ascii="宋体" w:hAnsi="宋体" w:cs="宋体" w:eastAsia="宋体" w:hint="default"/>
                <w:sz w:val="24"/>
                <w:szCs w:val="24"/>
              </w:rPr>
            </w:pPr>
            <w:r>
              <w:rPr>
                <w:rFonts w:ascii="宋体" w:hAnsi="宋体" w:cs="宋体" w:eastAsia="宋体" w:hint="default"/>
                <w:sz w:val="24"/>
                <w:szCs w:val="24"/>
              </w:rPr>
              <w:t>商誉减值测试于每年年度终了进行，管理层将西 藏东方财富证券股份有限公司、东方财富国际证 券有限公司、上海东方财富证券研究所有限公司 分别确认为单个资产组。 管理层聘请了外部评估专家，采用上市公司比较 法评估西藏东方财富证券股份有限公司、东方财 富国际证券有限公司资产组的可收回金额。关键 假设包括可比资产组市净率及其权重、修正系</w:t>
            </w:r>
          </w:p>
        </w:tc>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我们对商誉的减值测试执行的审计程序主</w:t>
            </w:r>
          </w:p>
          <w:p>
            <w:pPr>
              <w:pStyle w:val="TableParagraph"/>
              <w:spacing w:line="312" w:lineRule="exact"/>
              <w:ind w:left="4" w:right="0"/>
              <w:jc w:val="left"/>
              <w:rPr>
                <w:rFonts w:ascii="宋体" w:hAnsi="宋体" w:cs="宋体" w:eastAsia="宋体" w:hint="default"/>
                <w:sz w:val="24"/>
                <w:szCs w:val="24"/>
              </w:rPr>
            </w:pPr>
            <w:r>
              <w:rPr>
                <w:rFonts w:ascii="宋体" w:hAnsi="宋体" w:cs="宋体" w:eastAsia="宋体" w:hint="default"/>
                <w:sz w:val="24"/>
                <w:szCs w:val="24"/>
              </w:rPr>
              <w:t>要包括：</w:t>
            </w:r>
          </w:p>
          <w:p>
            <w:pPr>
              <w:pStyle w:val="TableParagraph"/>
              <w:spacing w:line="312" w:lineRule="exact" w:before="29"/>
              <w:ind w:left="4" w:right="6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）评估及测试与商誉减值测试相关的 内部控制的设计及执行的有效性，包括外 部评估专家的委聘、减值测试的复核及审 批等内部控制；</w:t>
            </w:r>
          </w:p>
          <w:p>
            <w:pPr>
              <w:pStyle w:val="TableParagraph"/>
              <w:spacing w:line="312" w:lineRule="exact"/>
              <w:ind w:left="4" w:right="18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）评价东方财富聘请的外部评估专家 的专业胜任能力、专业素质和客观性；</w:t>
            </w:r>
          </w:p>
          <w:p>
            <w:pPr>
              <w:pStyle w:val="TableParagraph"/>
              <w:spacing w:line="312" w:lineRule="exact"/>
              <w:ind w:left="4" w:right="6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）评估上市公司比较法下可比公司、 价值比率选取的适当性，对权重、修正系 数、流动性折扣等关键输入值进行复核和 敏感性分析，审慎评价这些关键假设和判</w:t>
            </w:r>
          </w:p>
        </w:tc>
      </w:tr>
    </w:tbl>
    <w:p>
      <w:pPr>
        <w:spacing w:after="0" w:line="312" w:lineRule="exact"/>
        <w:jc w:val="left"/>
        <w:rPr>
          <w:rFonts w:ascii="宋体" w:hAnsi="宋体" w:cs="宋体" w:eastAsia="宋体" w:hint="default"/>
          <w:sz w:val="24"/>
          <w:szCs w:val="24"/>
        </w:rPr>
        <w:sectPr>
          <w:pgSz w:w="11910" w:h="16840"/>
          <w:pgMar w:header="852" w:footer="979" w:top="1320" w:bottom="1160" w:left="980" w:right="0"/>
        </w:sectPr>
      </w:pPr>
    </w:p>
    <w:p>
      <w:pPr>
        <w:spacing w:line="240" w:lineRule="auto" w:before="8"/>
        <w:rPr>
          <w:rFonts w:ascii="宋体" w:hAnsi="宋体" w:cs="宋体" w:eastAsia="宋体" w:hint="default"/>
          <w:sz w:val="8"/>
          <w:szCs w:val="8"/>
        </w:rPr>
      </w:pPr>
    </w:p>
    <w:tbl>
      <w:tblPr>
        <w:tblW w:w="0" w:type="auto"/>
        <w:jc w:val="left"/>
        <w:tblInd w:w="278" w:type="dxa"/>
        <w:tblLayout w:type="fixed"/>
        <w:tblCellMar>
          <w:top w:w="0" w:type="dxa"/>
          <w:left w:w="0" w:type="dxa"/>
          <w:bottom w:w="0" w:type="dxa"/>
          <w:right w:w="0" w:type="dxa"/>
        </w:tblCellMar>
        <w:tblLook w:val="01E0"/>
      </w:tblPr>
      <w:tblGrid>
        <w:gridCol w:w="5113"/>
        <w:gridCol w:w="4405"/>
      </w:tblGrid>
      <w:tr>
        <w:trPr>
          <w:trHeight w:val="2844" w:hRule="exact"/>
        </w:trPr>
        <w:tc>
          <w:tcPr>
            <w:tcW w:w="5113"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ind w:left="2" w:right="53"/>
              <w:jc w:val="left"/>
              <w:rPr>
                <w:rFonts w:ascii="宋体" w:hAnsi="宋体" w:cs="宋体" w:eastAsia="宋体" w:hint="default"/>
                <w:sz w:val="24"/>
                <w:szCs w:val="24"/>
              </w:rPr>
            </w:pPr>
            <w:r>
              <w:rPr>
                <w:rFonts w:ascii="宋体" w:hAnsi="宋体" w:cs="宋体" w:eastAsia="宋体" w:hint="default"/>
                <w:sz w:val="24"/>
                <w:szCs w:val="24"/>
              </w:rPr>
              <w:t>数、流动性折扣； 管理层聘请了外部评估专家，采用折现现金流模 型评估上海东方财富证券研究所有限公司资产组 的可收回金额。关键假设包括收入增长率、永续 增长率、折现率等。 由于评估方法、参数选取涉及管理层判断，可能 受管理层风险偏好的影响，我们将商誉减值测试 作为东方财富</w:t>
            </w:r>
            <w:r>
              <w:rPr>
                <w:rFonts w:ascii="宋体" w:hAnsi="宋体" w:cs="宋体" w:eastAsia="宋体" w:hint="default"/>
                <w:sz w:val="24"/>
                <w:szCs w:val="24"/>
              </w:rPr>
              <w:t>2018</w:t>
            </w:r>
            <w:r>
              <w:rPr>
                <w:rFonts w:ascii="宋体" w:hAnsi="宋体" w:cs="宋体" w:eastAsia="宋体" w:hint="default"/>
                <w:sz w:val="24"/>
                <w:szCs w:val="24"/>
              </w:rPr>
              <w:t>年度关键审计事项。</w:t>
            </w:r>
          </w:p>
        </w:tc>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断；</w:t>
            </w:r>
          </w:p>
          <w:p>
            <w:pPr>
              <w:pStyle w:val="TableParagraph"/>
              <w:spacing w:line="312" w:lineRule="exact" w:before="29"/>
              <w:ind w:left="4" w:right="6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）对折现现金流模型，我们将收入增 长率、永续增长率等关键输入值与过往业 绩、管理层预算和预测进行比较，审慎评 价编制折现现金流预测中采用的关键假设 及判断；</w:t>
            </w:r>
          </w:p>
          <w:p>
            <w:pPr>
              <w:pStyle w:val="TableParagraph"/>
              <w:spacing w:line="312" w:lineRule="exact"/>
              <w:ind w:left="4" w:right="6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）结合各资产组历年收入、利润及现 金流量增长情况，根据行业特性，评估管 理层预测过程的可靠性和历史准确性。</w:t>
            </w:r>
          </w:p>
        </w:tc>
      </w:tr>
    </w:tbl>
    <w:p>
      <w:pPr>
        <w:pStyle w:val="Heading3"/>
        <w:spacing w:line="282" w:lineRule="exact"/>
        <w:ind w:left="239" w:right="1114"/>
        <w:jc w:val="left"/>
        <w:rPr>
          <w:b w:val="0"/>
          <w:bCs w:val="0"/>
        </w:rPr>
      </w:pPr>
      <w:r>
        <w:rPr>
          <w:rFonts w:ascii="Times New Roman" w:hAnsi="Times New Roman" w:cs="Times New Roman" w:eastAsia="Times New Roman" w:hint="default"/>
        </w:rPr>
        <w:t>4</w:t>
      </w:r>
      <w:r>
        <w:rPr/>
        <w:t>、其他信息</w:t>
      </w:r>
      <w:r>
        <w:rPr>
          <w:b w:val="0"/>
          <w:bCs w:val="0"/>
        </w:rPr>
      </w:r>
    </w:p>
    <w:p>
      <w:pPr>
        <w:pStyle w:val="Heading4"/>
        <w:spacing w:line="312" w:lineRule="exact" w:before="20"/>
        <w:ind w:right="1309"/>
        <w:jc w:val="left"/>
      </w:pPr>
      <w:r>
        <w:rPr/>
        <w:t>东方财富管理层（以下简称管理层）对其他信息负责。其他信息包括东方财富</w:t>
      </w:r>
      <w:r>
        <w:rPr>
          <w:rFonts w:ascii="宋体" w:hAnsi="宋体" w:cs="宋体" w:eastAsia="宋体" w:hint="default"/>
        </w:rPr>
        <w:t>2018</w:t>
      </w:r>
      <w:r>
        <w:rPr/>
        <w:t>年 年度报告中涵盖的信息，但不包括财务报表和我们的审计报告。</w:t>
      </w:r>
    </w:p>
    <w:p>
      <w:pPr>
        <w:pStyle w:val="Heading4"/>
        <w:spacing w:line="312" w:lineRule="exact"/>
        <w:ind w:right="1309"/>
        <w:jc w:val="left"/>
      </w:pPr>
      <w:r>
        <w:rPr/>
        <w:t>我们对财务报表发表的审计意见不涵盖其他信息，我们也不对其他信息发表任何形式 的鉴证结论。</w:t>
      </w:r>
    </w:p>
    <w:p>
      <w:pPr>
        <w:pStyle w:val="Heading4"/>
        <w:spacing w:line="312" w:lineRule="exact"/>
        <w:ind w:right="1327"/>
        <w:jc w:val="both"/>
      </w:pPr>
      <w:r>
        <w:rPr/>
        <w:t>结合我们对财务报表的审计，我们的责任是阅读其他信息，在此过程中，考虑其他信 息是否与财务报表或我们在审计过程中了解到的情况存在重大不一致或者似乎存在重大错 报。</w:t>
      </w:r>
    </w:p>
    <w:p>
      <w:pPr>
        <w:pStyle w:val="Heading4"/>
        <w:spacing w:line="312" w:lineRule="exact"/>
        <w:ind w:right="1549"/>
        <w:jc w:val="left"/>
      </w:pPr>
      <w:r>
        <w:rPr/>
        <w:t>基于我们已执行的工作，如果我们确定其他信息存在重大错报，我们应当报告该事 实。在这方面，我们无任何事项需要报告。</w:t>
      </w:r>
    </w:p>
    <w:p>
      <w:pPr>
        <w:spacing w:line="312" w:lineRule="exact" w:before="0"/>
        <w:ind w:left="717" w:right="1309" w:hanging="564"/>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管理层负责按照企业会计准则的规定编制财务报表，使其实现公允反映，并设计、执</w:t>
      </w:r>
    </w:p>
    <w:p>
      <w:pPr>
        <w:pStyle w:val="Heading4"/>
        <w:spacing w:line="283" w:lineRule="exact"/>
        <w:ind w:right="1114" w:firstLine="0"/>
        <w:jc w:val="left"/>
      </w:pPr>
      <w:r>
        <w:rPr/>
        <w:t>行和维护必要的内部控制，以使财务报表不存在由于舞弊或错误导致的重大错报。</w:t>
      </w:r>
    </w:p>
    <w:p>
      <w:pPr>
        <w:pStyle w:val="Heading4"/>
        <w:spacing w:line="312" w:lineRule="exact" w:before="30"/>
        <w:ind w:right="1309"/>
        <w:jc w:val="left"/>
      </w:pPr>
      <w:r>
        <w:rPr/>
        <w:t>在编制财务报表时，管理层负责评估东方财富的持续经营能力，披露与持续经营相关 的事项，并运用持续经营假设，除非计划进行清算、终止运营或别无其他现实的选择。</w:t>
      </w:r>
    </w:p>
    <w:p>
      <w:pPr>
        <w:pStyle w:val="Heading4"/>
        <w:spacing w:line="282" w:lineRule="exact"/>
        <w:ind w:left="717" w:right="1114" w:firstLine="0"/>
        <w:jc w:val="left"/>
      </w:pPr>
      <w:r>
        <w:rPr/>
        <w:t>治理层负责监督东方财富的财务报告过程。</w:t>
      </w:r>
    </w:p>
    <w:p>
      <w:pPr>
        <w:spacing w:line="312" w:lineRule="exact" w:before="29"/>
        <w:ind w:left="717" w:right="1309" w:hanging="564"/>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、注册会计师对财务报表审计的责任</w:t>
      </w:r>
      <w:r>
        <w:rPr>
          <w:rFonts w:ascii="宋体" w:hAnsi="宋体" w:cs="宋体" w:eastAsia="宋体" w:hint="default"/>
          <w:b/>
          <w:bCs/>
          <w:w w:val="99"/>
          <w:sz w:val="24"/>
          <w:szCs w:val="24"/>
        </w:rPr>
        <w:t> </w:t>
      </w:r>
      <w:r>
        <w:rPr>
          <w:rFonts w:ascii="宋体" w:hAnsi="宋体" w:cs="宋体" w:eastAsia="宋体" w:hint="default"/>
          <w:sz w:val="24"/>
          <w:szCs w:val="24"/>
        </w:rPr>
        <w:t>我们的目标是对财务报表整体是否不存在由于舞弊或错误导致的重大错报获取合理保</w:t>
      </w:r>
    </w:p>
    <w:p>
      <w:pPr>
        <w:pStyle w:val="Heading4"/>
        <w:spacing w:line="312" w:lineRule="exact"/>
        <w:ind w:right="1327" w:firstLine="0"/>
        <w:jc w:val="both"/>
      </w:pPr>
      <w:r>
        <w:rPr/>
        <w:t>证，并出具包含审计意见的审计报告。合理保证是高水平的保证，但并不能保证按照审计 准则执行的审计在某一重大错报存在时总能发现。错报可能由于舞弊或错误导致，如果合 理预期错报单独或汇总起来可能影响财务报表使用者依据财务报表作出的经济决策，则通 常认为错报是重大的。</w:t>
      </w:r>
    </w:p>
    <w:p>
      <w:pPr>
        <w:pStyle w:val="Heading4"/>
        <w:spacing w:line="312" w:lineRule="exact"/>
        <w:ind w:right="1549"/>
        <w:jc w:val="left"/>
      </w:pPr>
      <w:r>
        <w:rPr/>
        <w:t>在按照审计准则执行审计工作的过程中，我们运用职业判断，并保持职业怀疑。同 时，我们也执行以下工作：</w:t>
      </w:r>
    </w:p>
    <w:p>
      <w:pPr>
        <w:pStyle w:val="Heading4"/>
        <w:spacing w:line="312" w:lineRule="exact"/>
        <w:ind w:right="1189"/>
        <w:jc w:val="left"/>
      </w:pPr>
      <w:r>
        <w:rPr/>
        <w:t>（</w:t>
      </w:r>
      <w:r>
        <w:rPr>
          <w:rFonts w:ascii="宋体" w:hAnsi="宋体" w:cs="宋体" w:eastAsia="宋体" w:hint="default"/>
        </w:rPr>
        <w:t>1</w:t>
      </w:r>
      <w:r>
        <w:rPr/>
        <w:t>）识别和评估由于舞弊或错误导致的财务报表重大错报风险，设计和实施审计程序 以应对这些风险，并获取充分、适当的审计证据，作为发表审计意见的基础。由于舞弊可 能涉及串通、伪造、故意遗漏、虚假陈述或凌驾于内部控制之上，未能发现由于舞弊导致 的重大错报的风险高于未能发现由于错误导致的重大错报的风险。</w:t>
      </w:r>
    </w:p>
    <w:p>
      <w:pPr>
        <w:pStyle w:val="Heading4"/>
        <w:spacing w:line="312" w:lineRule="exact"/>
        <w:ind w:right="1189"/>
        <w:jc w:val="left"/>
      </w:pPr>
      <w:r>
        <w:rPr/>
        <w:t>（</w:t>
      </w:r>
      <w:r>
        <w:rPr>
          <w:rFonts w:ascii="宋体" w:hAnsi="宋体" w:cs="宋体" w:eastAsia="宋体" w:hint="default"/>
        </w:rPr>
        <w:t>2</w:t>
      </w:r>
      <w:r>
        <w:rPr/>
        <w:t>）了解与审计相关的内部控制，以设计恰当的审计程序，但目的并非对内部控制的 有效性发表意见。</w:t>
      </w:r>
    </w:p>
    <w:p>
      <w:pPr>
        <w:pStyle w:val="Heading4"/>
        <w:spacing w:line="282" w:lineRule="exact"/>
        <w:ind w:left="717" w:right="1114" w:firstLine="0"/>
        <w:jc w:val="left"/>
      </w:pPr>
      <w:r>
        <w:rPr/>
        <w:t>（</w:t>
      </w:r>
      <w:r>
        <w:rPr>
          <w:rFonts w:ascii="宋体" w:hAnsi="宋体" w:cs="宋体" w:eastAsia="宋体" w:hint="default"/>
        </w:rPr>
        <w:t>3</w:t>
      </w:r>
      <w:r>
        <w:rPr/>
        <w:t>）评价管理层选用会计政策的恰当性和作出会计估计及相关披露的合理性。</w:t>
      </w:r>
    </w:p>
    <w:p>
      <w:pPr>
        <w:pStyle w:val="Heading4"/>
        <w:spacing w:line="312" w:lineRule="exact" w:before="29"/>
        <w:ind w:right="1189"/>
        <w:jc w:val="left"/>
      </w:pPr>
      <w:r>
        <w:rPr/>
        <w:t>（</w:t>
      </w:r>
      <w:r>
        <w:rPr>
          <w:rFonts w:ascii="宋体" w:hAnsi="宋体" w:cs="宋体" w:eastAsia="宋体" w:hint="default"/>
        </w:rPr>
        <w:t>4</w:t>
      </w:r>
      <w:r>
        <w:rPr/>
        <w:t>）对管理层使用持续经营假设的恰当性得出结论。同时，根据获取的审计证据，就 可能导致对东方财富持续经营能力产生重大疑虑的事项或情况是否存在重大不确定性得出 结论。如果我们得出结论认为存在重大不确定性，审计准则要求我们在审计报告中提请报 表使用者注意财务报表中的相关披露；如果披露不充分，我们应当发表非无保留意见。我</w:t>
      </w:r>
    </w:p>
    <w:p>
      <w:pPr>
        <w:spacing w:after="0" w:line="312" w:lineRule="exact"/>
        <w:jc w:val="left"/>
        <w:sectPr>
          <w:pgSz w:w="11910" w:h="16840"/>
          <w:pgMar w:header="852" w:footer="979" w:top="1320" w:bottom="1160" w:left="980" w:right="0"/>
        </w:sectPr>
      </w:pPr>
    </w:p>
    <w:p>
      <w:pPr>
        <w:pStyle w:val="Heading4"/>
        <w:spacing w:line="312" w:lineRule="exact" w:before="103"/>
        <w:ind w:right="1327" w:firstLine="0"/>
        <w:jc w:val="both"/>
      </w:pPr>
      <w:r>
        <w:rPr/>
        <w:t>们的结论基于截至审计报告日可获得的信息。然而，未来的事项或情况可能导致东方财富 不能持续经营。</w:t>
      </w:r>
    </w:p>
    <w:p>
      <w:pPr>
        <w:pStyle w:val="Heading4"/>
        <w:spacing w:line="312" w:lineRule="exact"/>
        <w:ind w:right="1189"/>
        <w:jc w:val="left"/>
      </w:pPr>
      <w:r>
        <w:rPr/>
        <w:t>（</w:t>
      </w:r>
      <w:r>
        <w:rPr>
          <w:rFonts w:ascii="宋体" w:hAnsi="宋体" w:cs="宋体" w:eastAsia="宋体" w:hint="default"/>
        </w:rPr>
        <w:t>5</w:t>
      </w:r>
      <w:r>
        <w:rPr/>
        <w:t>）评价财务报表的总体列报、结构和内容（包括披露），并评价财务报表是否公允 反映相关交易和事项。</w:t>
      </w:r>
    </w:p>
    <w:p>
      <w:pPr>
        <w:pStyle w:val="Heading4"/>
        <w:spacing w:line="312" w:lineRule="exact"/>
        <w:ind w:right="1189"/>
        <w:jc w:val="left"/>
      </w:pPr>
      <w:r>
        <w:rPr/>
        <w:t>（</w:t>
      </w:r>
      <w:r>
        <w:rPr>
          <w:rFonts w:ascii="宋体" w:hAnsi="宋体" w:cs="宋体" w:eastAsia="宋体" w:hint="default"/>
        </w:rPr>
        <w:t>6</w:t>
      </w:r>
      <w:r>
        <w:rPr/>
        <w:t>）就东方财富中实体或业务活动的财务信息获取充分、适当的审计证据，以对财务 报表发表审计意见。我们负责指导、监督和执行集团审计，并对审计意见承担全部责任。</w:t>
      </w:r>
    </w:p>
    <w:p>
      <w:pPr>
        <w:pStyle w:val="Heading4"/>
        <w:spacing w:line="312" w:lineRule="exact"/>
        <w:ind w:right="1309"/>
        <w:jc w:val="left"/>
      </w:pPr>
      <w:r>
        <w:rPr/>
        <w:t>我们与治理层就计划的审计范围、时间安排和重大审计发现等事项进行沟通，包括沟 通我们在审计中识别出的值得关注的内部控制缺陷。</w:t>
      </w:r>
    </w:p>
    <w:p>
      <w:pPr>
        <w:pStyle w:val="Heading4"/>
        <w:spacing w:line="312" w:lineRule="exact"/>
        <w:ind w:right="1309"/>
        <w:jc w:val="left"/>
      </w:pPr>
      <w:r>
        <w:rPr/>
        <w:t>我们还就已遵守与独立性相关的职业道德要求向治理层提供声明，并与治理层沟通可 能被合理认为影响我们独立性的所有关系和其他事项，以及相关的防范措施。</w:t>
      </w:r>
    </w:p>
    <w:p>
      <w:pPr>
        <w:pStyle w:val="Heading4"/>
        <w:spacing w:line="283" w:lineRule="exact"/>
        <w:ind w:right="1114"/>
        <w:jc w:val="left"/>
      </w:pPr>
      <w:r>
        <w:rPr/>
        <w:t>从与治理层沟通过的事项中，我们确定哪些事项对本期财务报表审计最为重要，因而</w:t>
      </w:r>
    </w:p>
    <w:p>
      <w:pPr>
        <w:pStyle w:val="Heading4"/>
        <w:spacing w:line="312" w:lineRule="exact" w:before="30"/>
        <w:ind w:right="1327" w:firstLine="0"/>
        <w:jc w:val="both"/>
      </w:pPr>
      <w:r>
        <w:rPr/>
        <w:t>构成关键审计事项。我们在审计报告中描述这些事项，除非法律法规禁止公开披露这些事 项，或在极少数情形下，如果合理预期在审计报告中沟通某事项造成的负面后果超过在公 众利益方面产生的益处，我们确定不应在审计报告中沟通该事项。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0"/>
          <w:szCs w:val="30"/>
        </w:rPr>
      </w:pPr>
    </w:p>
    <w:p>
      <w:pPr>
        <w:pStyle w:val="Heading2"/>
        <w:tabs>
          <w:tab w:pos="4408" w:val="left" w:leader="none"/>
        </w:tabs>
        <w:spacing w:line="240" w:lineRule="auto"/>
        <w:ind w:left="429" w:right="1114"/>
        <w:jc w:val="left"/>
        <w:rPr>
          <w:b w:val="0"/>
          <w:bCs w:val="0"/>
        </w:rPr>
      </w:pPr>
      <w:r>
        <w:rPr>
          <w:w w:val="95"/>
        </w:rPr>
        <w:t>立信会计师事务所</w:t>
        <w:tab/>
      </w:r>
      <w:r>
        <w:rPr/>
        <w:t>中国注册会计师：姚辉（项目合伙人）</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left="429" w:right="1114"/>
        <w:jc w:val="left"/>
        <w:rPr>
          <w:b w:val="0"/>
          <w:bCs w:val="0"/>
        </w:rPr>
      </w:pPr>
      <w:r>
        <w:rPr/>
        <w:t>（特殊普通合伙）</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left="4346" w:right="1114"/>
        <w:jc w:val="left"/>
        <w:rPr>
          <w:b w:val="0"/>
          <w:bCs w:val="0"/>
        </w:rPr>
      </w:pPr>
      <w:r>
        <w:rPr/>
        <w:t>中国注册会计师：李新民</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2"/>
        <w:tabs>
          <w:tab w:pos="4315" w:val="left" w:leader="none"/>
        </w:tabs>
        <w:spacing w:line="240" w:lineRule="auto"/>
        <w:ind w:left="429" w:right="1114"/>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r>
      <w:r>
        <w:rPr/>
        <w:t>二</w:t>
      </w:r>
      <w:r>
        <w:rPr>
          <w:rFonts w:ascii="Times New Roman" w:hAnsi="Times New Roman" w:cs="Times New Roman" w:eastAsia="Times New Roman" w:hint="default"/>
        </w:rPr>
        <w:t>O</w:t>
      </w:r>
      <w:r>
        <w:rPr/>
        <w:t>一九年三月四日</w:t>
      </w:r>
      <w:r>
        <w:rPr>
          <w:b w:val="0"/>
          <w:bCs w:val="0"/>
        </w:rPr>
      </w:r>
    </w:p>
    <w:p>
      <w:pPr>
        <w:spacing w:after="0" w:line="240" w:lineRule="auto"/>
        <w:jc w:val="left"/>
        <w:sectPr>
          <w:pgSz w:w="11910" w:h="16840"/>
          <w:pgMar w:header="852" w:footer="979" w:top="1320" w:bottom="1160" w:left="980" w:right="0"/>
        </w:sectPr>
      </w:pPr>
    </w:p>
    <w:p>
      <w:pPr>
        <w:pStyle w:val="Heading3"/>
        <w:spacing w:line="240" w:lineRule="auto" w:before="75"/>
        <w:ind w:right="1114"/>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18"/>
        <w:ind w:right="1114"/>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52" w:footer="979" w:top="132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编制单位：东方财富信息股份有限公司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3" w:right="-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3" w:equalWidth="0">
            <w:col w:w="3214" w:space="862"/>
            <w:col w:w="1642" w:space="3202"/>
            <w:col w:w="2010"/>
          </w:cols>
        </w:sectPr>
      </w:pP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5"/>
        <w:gridCol w:w="3406"/>
        <w:gridCol w:w="2967"/>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11,334,325,902.76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12,080,276,919.84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2,776,157,386.43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2,334,936,001.87</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8,186,326,745.80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9,842,967,523.30</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5,562,782,650.55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2,668,824,820.53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487,181.33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248,268.00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257,906,912.27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329,333,537.27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5"/>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257,906,912.27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329,333,537.27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64,111,875.29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56,668,882.82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3,100,739,274.82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2,480,409,087.01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259,791,948.93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184,989,231.61</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5"/>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1,508,886,850.22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5,468,250,935.29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586,890,312.64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593,529,629.71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145,708,168.60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142,249,974.42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847,467,906.00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342,366,930.63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34,371,791,166.71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36,340,062,510.69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580" w:bottom="70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95"/>
        <w:gridCol w:w="3406"/>
        <w:gridCol w:w="2967"/>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14,762,943.39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2,886,543.00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89,008,982.93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89,988,086.30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444,788,404.58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410,436,340.87</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1,716,423,761.02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1,761,274,524.65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9,942,080.28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43,834,230.95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77,318,129.06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69,204,453.22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2,927,438,960.13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2,932,170,828.21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90,161,427.70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78,638,925.85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69,325,834.92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116,258,682.21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5,439,170,524.01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5,504,692,615.26</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39,810,961,690.72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41,844,755,125.95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213,057,069.31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297,985,533.82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应付短期融资券</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1,917,025,000.00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3,136,802,000.00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2,060,340.00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79"/>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105,506,035.18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81,971,812.86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137,043,760.80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135,198,335.97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85,985,126.50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3,658,113,625.82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245,366,464.51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235,607,717.95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34,979,904.01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62,179,585.67</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1,650,507,113.12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965,846,091.08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95"/>
        <w:gridCol w:w="3406"/>
        <w:gridCol w:w="2967"/>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54,151,525.51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78,593,355.18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5"/>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14,293,180,675.18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13,168,538,176.25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606,399,591.47</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19,289,050,740.08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21,744,303,219.42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4,814,884,053.09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5,407,605,746.32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1,714,372.67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1,190,181.56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10,073,050.33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11,209,363.27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4,826,671,476.09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5,420,005,291.15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24,115,722,216.17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27,164,308,510.57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5,168,285,026.00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4,288,779,718.00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1,218,948,400.05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1,219,365,239.40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5,504,351,574.00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6,244,200,290.32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-3,698,398.13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-8,911,397.93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394,788,468.43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311,419,309.73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95"/>
        <w:gridCol w:w="3406"/>
        <w:gridCol w:w="2967"/>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3,412,564,404.20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2,623,013,744.38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15,695,239,474.55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14,677,866,903.90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2,579,711.48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15,695,239,474.55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14,680,446,615.38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39,810,961,690.72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41,844,755,125.95</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1224" w:firstLine="0"/>
        <w:jc w:val="right"/>
        <w:rPr>
          <w:rFonts w:ascii="宋体" w:hAnsi="宋体" w:cs="宋体" w:eastAsia="宋体" w:hint="default"/>
          <w:sz w:val="18"/>
          <w:szCs w:val="18"/>
        </w:rPr>
      </w:pPr>
      <w:r>
        <w:rPr>
          <w:rFonts w:ascii="宋体" w:hAnsi="宋体" w:cs="宋体" w:eastAsia="宋体" w:hint="default"/>
          <w:sz w:val="18"/>
          <w:szCs w:val="18"/>
        </w:rPr>
        <w:t>法定代表人：其实</w:t>
        <w:tab/>
      </w:r>
      <w:r>
        <w:rPr>
          <w:rFonts w:ascii="宋体" w:hAnsi="宋体" w:cs="宋体" w:eastAsia="宋体" w:hint="default"/>
          <w:spacing w:val="-1"/>
          <w:sz w:val="18"/>
          <w:szCs w:val="18"/>
        </w:rPr>
        <w:t>主管会计工作负责人：陆威</w:t>
        <w:tab/>
      </w:r>
      <w:r>
        <w:rPr>
          <w:rFonts w:ascii="宋体" w:hAnsi="宋体" w:cs="宋体" w:eastAsia="宋体" w:hint="default"/>
          <w:sz w:val="18"/>
          <w:szCs w:val="18"/>
        </w:rPr>
        <w:t>会计机构负责人：叶露</w:t>
      </w:r>
    </w:p>
    <w:p>
      <w:pPr>
        <w:spacing w:line="240" w:lineRule="auto" w:before="0"/>
        <w:rPr>
          <w:rFonts w:ascii="宋体" w:hAnsi="宋体" w:cs="宋体" w:eastAsia="宋体" w:hint="default"/>
          <w:sz w:val="18"/>
          <w:szCs w:val="18"/>
        </w:rPr>
      </w:pPr>
    </w:p>
    <w:p>
      <w:pPr>
        <w:pStyle w:val="Heading5"/>
        <w:spacing w:line="240" w:lineRule="auto" w:before="118"/>
        <w:ind w:right="1114"/>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01"/>
        <w:gridCol w:w="3303"/>
        <w:gridCol w:w="2965"/>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82,790,098.20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643,468,401.63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198,124.69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199,940.12</w:t>
            </w: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400,207,641.79</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14,496,236.03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337,764,466.09</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14,496,236.03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337,764,466.09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26,194,360.06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23,388,599.81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992,525,111.79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340,080,266.15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678,898.97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2,636,836.51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679,499,183.08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299,856,844.02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2,195,910,755.64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1,644,758,517.82</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10,796,904,038.13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10,558,551,974.42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301"/>
        <w:gridCol w:w="3303"/>
        <w:gridCol w:w="296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1,528,668,313.91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1,555,925,301.83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1,555,985.60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15,481,824.16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22,779,019.23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1,896,617.42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3,263,234.40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16,964,864.78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41,468,617.36</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4,621,676,788.89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4,000,000,000.00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17,056,592,447.29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16,258,544,132.84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19,252,503,202.93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17,903,302,650.66</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213,057,069.31</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61,732,925.36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55,488,468.89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98,024,320.02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67,298,021.93</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57,745,814.67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41,043,177.78</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3,645,266.75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2,659,662.40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275,559,874.74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290,651,568.66</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894,486.14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305,753.42</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709,765,270.85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457,140,899.66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3,614,884,053.09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3,406,935,919.01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301"/>
        <w:gridCol w:w="3303"/>
        <w:gridCol w:w="296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734,372.67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1,190,181.56</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31,146.27</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3,615,649,572.03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3,408,126,100.57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4,325,414,842.88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3,865,267,000.23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5,168,285,026.00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4,288,779,718.00</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1,218,948,400.05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1,219,365,239.40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5,494,464,777.44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6,232,416,529.10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394,788,468.43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311,419,309.73</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2,650,601,688.13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1,986,054,854.20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14,927,088,360.05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14,038,035,650.43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19,252,503,202.93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17,903,302,650.66</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ind w:right="1114"/>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3,123,446,007.42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2,546,785,181.27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1,309,580,716.93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1,112,337,140.94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618,315,240.90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415,633,989.14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手续费及佣金净收入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1,195,550,049.59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1,018,814,051.19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2,272,442,976.05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2,072,164,883.60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371,335,725.53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396,996,151.69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31,033,977.04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26,891,327.78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259,775,169.89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315,824,916.10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1,191,609,602.23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1,101,265,021.81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250,328,059.28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182,042,674.11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156,451,818.84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-32,303,606.15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235,893,544.12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26,081,882.30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79,448,938.35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66,036,883.55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11,908,623.24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81,448,398.26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19,340,032.16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29,971,509.51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211,236,184.64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200,611,626.45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60,581,162.68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83,920,169.95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49,207,969.78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-21,793,513.15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407,950.63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-584,795.89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1" w:firstLine="72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-594,999.89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-838,766.99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pacing w:val="-1"/>
                <w:sz w:val="18"/>
                <w:szCs w:val="18"/>
              </w:rPr>
              <w:t>三、营业利润（亏损以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1,130,600,168.69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681,986,357.60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165,241.98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575,701.49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9,931,417.01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3,478,278.62</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1,120,833,993.66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679,083,780.47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162,615,256.92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44,239,500.94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
              <w:jc w:val="right"/>
              <w:rPr>
                <w:rFonts w:ascii="宋体" w:hAnsi="宋体" w:cs="宋体" w:eastAsia="宋体" w:hint="default"/>
                <w:sz w:val="18"/>
                <w:szCs w:val="18"/>
              </w:rPr>
            </w:pPr>
            <w:r>
              <w:rPr>
                <w:rFonts w:ascii="宋体" w:hAnsi="宋体" w:cs="宋体" w:eastAsia="宋体" w:hint="default"/>
                <w:spacing w:val="-1"/>
                <w:sz w:val="18"/>
                <w:szCs w:val="18"/>
              </w:rPr>
              <w:t>五、净利润（净亏损以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958,218,736.74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634,844,279.53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958,218,736.74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634,844,279.53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958,695,412.88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636,901,644.02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-476,676.14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-2,057,364.49</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5,212,999.80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-8,561,090.84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5,212,999.80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-8,598,613.43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5,212,999.80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-8,598,613.43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-979,103.37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956,175.99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6,192,103.17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-9,554,789.42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37,522.59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963,431,736.54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626,283,188.69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963,908,412.68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628,303,030.59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-476,676.14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-2,019,841.90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0.1858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0.1240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0.1858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0.1240</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1224" w:firstLine="0"/>
        <w:jc w:val="right"/>
        <w:rPr>
          <w:rFonts w:ascii="宋体" w:hAnsi="宋体" w:cs="宋体" w:eastAsia="宋体" w:hint="default"/>
          <w:sz w:val="18"/>
          <w:szCs w:val="18"/>
        </w:rPr>
      </w:pPr>
      <w:r>
        <w:rPr>
          <w:rFonts w:ascii="宋体" w:hAnsi="宋体" w:cs="宋体" w:eastAsia="宋体" w:hint="default"/>
          <w:sz w:val="18"/>
          <w:szCs w:val="18"/>
        </w:rPr>
        <w:t>法定代表人：其实</w:t>
        <w:tab/>
      </w:r>
      <w:r>
        <w:rPr>
          <w:rFonts w:ascii="宋体" w:hAnsi="宋体" w:cs="宋体" w:eastAsia="宋体" w:hint="default"/>
          <w:spacing w:val="-1"/>
          <w:sz w:val="18"/>
          <w:szCs w:val="18"/>
        </w:rPr>
        <w:t>主管会计工作负责人：陆威</w:t>
        <w:tab/>
      </w:r>
      <w:r>
        <w:rPr>
          <w:rFonts w:ascii="宋体" w:hAnsi="宋体" w:cs="宋体" w:eastAsia="宋体" w:hint="default"/>
          <w:sz w:val="18"/>
          <w:szCs w:val="18"/>
        </w:rPr>
        <w:t>会计机构负责人：叶露</w:t>
      </w:r>
    </w:p>
    <w:p>
      <w:pPr>
        <w:spacing w:line="240" w:lineRule="auto" w:before="0"/>
        <w:rPr>
          <w:rFonts w:ascii="宋体" w:hAnsi="宋体" w:cs="宋体" w:eastAsia="宋体" w:hint="default"/>
          <w:sz w:val="18"/>
          <w:szCs w:val="18"/>
        </w:rPr>
      </w:pPr>
    </w:p>
    <w:p>
      <w:pPr>
        <w:pStyle w:val="Heading5"/>
        <w:spacing w:line="240" w:lineRule="auto" w:before="118"/>
        <w:ind w:right="1114"/>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1,350,205,157.15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921,819,254.29</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321,915,924.00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352,096,039.32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16,866,397.69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14,109,189.55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150,384,437.25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206,756,939.42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320,361,515.60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326,379,613.46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194,312,614.30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154,398,927.16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15,815,737.25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-18,426,340.66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224,717,178.80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3,545,591.08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209,375,867.52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22,835,213.00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1,149,114.17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3,647,988.95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10,288,808.89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9,386,183.46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548,044,162.68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546,320,074.95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60,581,162.68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83,920,169.95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207,641.79</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1" w:firstLine="72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-621,020.88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-216,879.62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887,319,009.37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438,346,275.88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59,109.76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66,504.27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3,058,000.00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884,320,119.13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436,639,780.15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50,628,532.14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-26,506,577.38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833,691,586.99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463,146,357.53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833,691,586.99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463,146,357.53</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833,691,586.99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463,146,357.53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ind w:right="1114"/>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1,463,998,203.64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1,169,270,712.49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2,862,381,976.53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2,150,978,073.11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395,674,284.30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融出资金净减少额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1,640,598,484.40</w:t>
            </w: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453,288,814.98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1,759,841,217.21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27,000,589.75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44,956,192.43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1,031,000,572.66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330,228,098.68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7,873,942,926.26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5,455,274,293.92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281,650,023.32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358,724,362.46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融出资金净增加额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5,602,583,698.16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51" w:firstLine="362"/>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入当期损益的金融资产净减少额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2,397,785,078.51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1,475,497,596.61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12,225,780.40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2,915,700.00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回购业务资金净减少额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1,549,753,216.58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620,695,238.88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557,307,789.54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993,613,216.03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891,059,585.37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302,462,859.17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197,634,775.57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598,165,737.62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979,723,755.41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5,206,597,933.93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11,615,200,479.70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2,667,344,992.33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-6,159,926,185.78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1,112,007,081.60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6,839,735.90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28,578,604.14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19,274,456.79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785,147.59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842,463.79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1,739,000,000.00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924,735,728.65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2,880,370,833.33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951,692,385.13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197,721,488.12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249,240,849.84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1,570,521,017.86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733,089,127.51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4,056,242,505.98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1,021,329,977.35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-1,175,871,672.65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-69,637,592.22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75,417,168.96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80,623,413.60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213,057,069.31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297,985,533.82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5,491,570,000.00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13,709,223,000.00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5,780,044,238.27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14,087,831,947.42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7,209,332,533.82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4,930,582,307.62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376,354,651.75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262,960,495.91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7,585,687,185.57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5,193,542,803.53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-1,805,642,947.30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8,894,289,143.89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9,439,995.10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-14,399,744.25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-304,729,632.52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2,650,325,621.64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14,415,212,921.71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11,764,887,300.07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14,110,483,289.19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14,415,212,921.71</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ind w:right="1114"/>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1,786,498,278.59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846,823,342.19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26,755,069.82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42,387,095.40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92,567,963.29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222,958,329.75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1,905,821,311.70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1,112,168,767.34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263,076,537.32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301,604,384.24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51"/>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342,529,911.23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375,992,627.57</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50,770,220.85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21,472,657.09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218,112,785.96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215,380,890.41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874,489,455.36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914,450,559.31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1,031,331,856.34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197,718,208.03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724,331,780.01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478,673,877.55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5,982,324.47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487,488.87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865,013,745.00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2,183,314,104.48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1,344,175,111.42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149,379,194.74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127,282,400.86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920,900,000.00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3,209,676,788.89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4,698,013,745.00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3,963,055,983.63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5,746,196,145.86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-1,779,741,879.15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-4,402,021,034.44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75,417,168.96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79,123,413.60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213,057,069.31</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4,621,445,000.00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288,474,238.27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4,700,568,413.60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100,744,334.32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142,332,851.96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100,744,334.32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142,332,851.96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187,729,903.95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4,558,235,561.64</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-560,680,118.86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353,932,735.23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643,668,341.75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289,735,606.52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82,988,222.89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643,668,341.75</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ind w:right="1114"/>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3" w:right="111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438"/>
        <w:gridCol w:w="562"/>
        <w:gridCol w:w="531"/>
        <w:gridCol w:w="533"/>
        <w:gridCol w:w="530"/>
        <w:gridCol w:w="665"/>
        <w:gridCol w:w="665"/>
        <w:gridCol w:w="665"/>
        <w:gridCol w:w="665"/>
        <w:gridCol w:w="662"/>
        <w:gridCol w:w="668"/>
        <w:gridCol w:w="665"/>
        <w:gridCol w:w="665"/>
        <w:gridCol w:w="658"/>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4"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8"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60"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41"/>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4,288,</w:t>
            </w:r>
          </w:p>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779,71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1,219,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365,2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39.40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00,290.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100" w:right="18" w:firstLine="47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8,911,3</w:t>
            </w:r>
          </w:p>
          <w:p>
            <w:pPr>
              <w:pStyle w:val="TableParagraph"/>
              <w:spacing w:line="240" w:lineRule="auto" w:before="5"/>
              <w:ind w:left="227" w:right="0"/>
              <w:jc w:val="left"/>
              <w:rPr>
                <w:rFonts w:ascii="Times New Roman" w:hAnsi="Times New Roman" w:cs="Times New Roman" w:eastAsia="Times New Roman" w:hint="default"/>
                <w:sz w:val="18"/>
                <w:szCs w:val="18"/>
              </w:rPr>
            </w:pPr>
            <w:r>
              <w:rPr>
                <w:rFonts w:ascii="Times New Roman"/>
                <w:sz w:val="18"/>
              </w:rPr>
              <w:t>97.93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311,419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,309.73</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13,744.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2,579,7</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11.48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14,680,</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446,615</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.38</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firstLine="360"/>
              <w:jc w:val="left"/>
              <w:rPr>
                <w:rFonts w:ascii="宋体" w:hAnsi="宋体" w:cs="宋体" w:eastAsia="宋体" w:hint="default"/>
                <w:sz w:val="18"/>
                <w:szCs w:val="18"/>
              </w:rPr>
            </w:pPr>
            <w:r>
              <w:rPr>
                <w:rFonts w:ascii="宋体" w:hAnsi="宋体" w:cs="宋体" w:eastAsia="宋体" w:hint="default"/>
                <w:sz w:val="18"/>
                <w:szCs w:val="18"/>
              </w:rPr>
              <w:t>加：会计政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1"/>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4,288,</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779,71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1,219,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39.40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00,290.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0" w:right="18" w:firstLine="47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8,911,3</w:t>
            </w:r>
          </w:p>
          <w:p>
            <w:pPr>
              <w:pStyle w:val="TableParagraph"/>
              <w:spacing w:line="240" w:lineRule="auto" w:before="3"/>
              <w:ind w:left="227" w:right="0"/>
              <w:jc w:val="left"/>
              <w:rPr>
                <w:rFonts w:ascii="Times New Roman" w:hAnsi="Times New Roman" w:cs="Times New Roman" w:eastAsia="Times New Roman" w:hint="default"/>
                <w:sz w:val="18"/>
                <w:szCs w:val="18"/>
              </w:rPr>
            </w:pPr>
            <w:r>
              <w:rPr>
                <w:rFonts w:ascii="Times New Roman"/>
                <w:sz w:val="18"/>
              </w:rPr>
              <w:t>97.93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311,419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,309.73</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13,744.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2,579,7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11.48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14,680,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446,615</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.38</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879,50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5,308.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93" w:right="18" w:firstLine="34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416,8</w:t>
            </w:r>
          </w:p>
          <w:p>
            <w:pPr>
              <w:pStyle w:val="TableParagraph"/>
              <w:spacing w:line="240" w:lineRule="auto" w:before="5"/>
              <w:ind w:left="93" w:right="0"/>
              <w:jc w:val="left"/>
              <w:rPr>
                <w:rFonts w:ascii="Times New Roman" w:hAnsi="Times New Roman" w:cs="Times New Roman" w:eastAsia="Times New Roman" w:hint="default"/>
                <w:sz w:val="18"/>
                <w:szCs w:val="18"/>
              </w:rPr>
            </w:pPr>
            <w:r>
              <w:rPr>
                <w:rFonts w:ascii="Times New Roman"/>
                <w:sz w:val="18"/>
              </w:rPr>
              <w:t>39.35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45" w:right="21"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739,848</w:t>
            </w:r>
          </w:p>
          <w:p>
            <w:pPr>
              <w:pStyle w:val="TableParagraph"/>
              <w:spacing w:line="240" w:lineRule="auto" w:before="5"/>
              <w:ind w:left="91" w:right="0"/>
              <w:jc w:val="left"/>
              <w:rPr>
                <w:rFonts w:ascii="Times New Roman" w:hAnsi="Times New Roman" w:cs="Times New Roman" w:eastAsia="Times New Roman" w:hint="default"/>
                <w:sz w:val="18"/>
                <w:szCs w:val="18"/>
              </w:rPr>
            </w:pPr>
            <w:r>
              <w:rPr>
                <w:rFonts w:ascii="Times New Roman"/>
                <w:sz w:val="18"/>
              </w:rPr>
              <w:t>,716.32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5,212,9</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99.80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83,369,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158.70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789,550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,659.82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9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2,579,7</w:t>
            </w:r>
          </w:p>
          <w:p>
            <w:pPr>
              <w:pStyle w:val="TableParagraph"/>
              <w:spacing w:line="240" w:lineRule="auto" w:before="5"/>
              <w:ind w:left="235" w:right="0"/>
              <w:jc w:val="left"/>
              <w:rPr>
                <w:rFonts w:ascii="Times New Roman" w:hAnsi="Times New Roman" w:cs="Times New Roman" w:eastAsia="Times New Roman" w:hint="default"/>
                <w:sz w:val="18"/>
                <w:szCs w:val="18"/>
              </w:rPr>
            </w:pPr>
            <w:r>
              <w:rPr>
                <w:rFonts w:ascii="Times New Roman"/>
                <w:sz w:val="18"/>
              </w:rPr>
              <w:t>11.48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92,859.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1"/>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5,212,9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99.80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958,695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,412.88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7" w:right="19"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476,676</w:t>
            </w:r>
          </w:p>
          <w:p>
            <w:pPr>
              <w:pStyle w:val="TableParagraph"/>
              <w:spacing w:line="240" w:lineRule="auto" w:before="3"/>
              <w:ind w:left="407" w:right="0"/>
              <w:jc w:val="left"/>
              <w:rPr>
                <w:rFonts w:ascii="Times New Roman" w:hAnsi="Times New Roman" w:cs="Times New Roman" w:eastAsia="Times New Roman" w:hint="default"/>
                <w:sz w:val="18"/>
                <w:szCs w:val="18"/>
              </w:rPr>
            </w:pPr>
            <w:r>
              <w:rPr>
                <w:rFonts w:ascii="Times New Roman"/>
                <w:sz w:val="18"/>
              </w:rPr>
              <w:t>.14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963,431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,736.54</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41"/>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21,749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93" w:right="18" w:firstLine="34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416,8</w:t>
            </w:r>
          </w:p>
          <w:p>
            <w:pPr>
              <w:pStyle w:val="TableParagraph"/>
              <w:spacing w:line="240" w:lineRule="auto" w:before="5"/>
              <w:ind w:left="93" w:right="0"/>
              <w:jc w:val="left"/>
              <w:rPr>
                <w:rFonts w:ascii="Times New Roman" w:hAnsi="Times New Roman" w:cs="Times New Roman" w:eastAsia="Times New Roman" w:hint="default"/>
                <w:sz w:val="18"/>
                <w:szCs w:val="18"/>
              </w:rPr>
            </w:pPr>
            <w:r>
              <w:rPr>
                <w:rFonts w:ascii="Times New Roman"/>
                <w:sz w:val="18"/>
              </w:rPr>
              <w:t>39.35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117,555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,321.51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9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2,103,0</w:t>
            </w:r>
          </w:p>
          <w:p>
            <w:pPr>
              <w:pStyle w:val="TableParagraph"/>
              <w:spacing w:line="240" w:lineRule="auto" w:before="5"/>
              <w:ind w:left="227" w:right="0"/>
              <w:jc w:val="left"/>
              <w:rPr>
                <w:rFonts w:ascii="Times New Roman" w:hAnsi="Times New Roman" w:cs="Times New Roman" w:eastAsia="Times New Roman" w:hint="default"/>
                <w:sz w:val="18"/>
                <w:szCs w:val="18"/>
              </w:rPr>
            </w:pPr>
            <w:r>
              <w:rPr>
                <w:rFonts w:ascii="Times New Roman"/>
                <w:sz w:val="18"/>
              </w:rPr>
              <w:t>35.34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136,784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,811.82</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53,807,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664.96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9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4,000,0</w:t>
            </w:r>
          </w:p>
          <w:p>
            <w:pPr>
              <w:pStyle w:val="TableParagraph"/>
              <w:spacing w:line="240" w:lineRule="auto" w:before="3"/>
              <w:ind w:left="227" w:right="0"/>
              <w:jc w:val="left"/>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71,417,</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168.96</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139,86</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1,487,7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1,210,8</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438"/>
        <w:gridCol w:w="562"/>
        <w:gridCol w:w="531"/>
        <w:gridCol w:w="533"/>
        <w:gridCol w:w="530"/>
        <w:gridCol w:w="665"/>
        <w:gridCol w:w="665"/>
        <w:gridCol w:w="665"/>
        <w:gridCol w:w="665"/>
        <w:gridCol w:w="662"/>
        <w:gridCol w:w="668"/>
        <w:gridCol w:w="665"/>
        <w:gridCol w:w="665"/>
        <w:gridCol w:w="658"/>
      </w:tblGrid>
      <w:tr>
        <w:trPr>
          <w:trHeight w:val="67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left"/>
              <w:rPr>
                <w:rFonts w:ascii="Times New Roman" w:hAnsi="Times New Roman" w:cs="Times New Roman" w:eastAsia="Times New Roman" w:hint="default"/>
                <w:sz w:val="18"/>
                <w:szCs w:val="18"/>
              </w:rPr>
            </w:pPr>
            <w:r>
              <w:rPr>
                <w:rFonts w:ascii="Times New Roman"/>
                <w:sz w:val="18"/>
              </w:rPr>
              <w:t>416,8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39.35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2" w:right="0"/>
              <w:jc w:val="center"/>
              <w:rPr>
                <w:rFonts w:ascii="Times New Roman" w:hAnsi="Times New Roman" w:cs="Times New Roman" w:eastAsia="Times New Roman" w:hint="default"/>
                <w:sz w:val="18"/>
                <w:szCs w:val="18"/>
              </w:rPr>
            </w:pPr>
            <w:r>
              <w:rPr>
                <w:rFonts w:ascii="Times New Roman"/>
                <w:sz w:val="18"/>
              </w:rPr>
              <w:t>79.92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01.57</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38,063,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38,063,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208.00</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24,196,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668.63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1,896,9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64.66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26,093,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633.29</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83,369,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158.70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8" w:right="19"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169,144</w:t>
            </w:r>
          </w:p>
          <w:p>
            <w:pPr>
              <w:pStyle w:val="TableParagraph"/>
              <w:spacing w:line="240" w:lineRule="auto" w:before="3"/>
              <w:ind w:left="93" w:right="0"/>
              <w:jc w:val="left"/>
              <w:rPr>
                <w:rFonts w:ascii="Times New Roman" w:hAnsi="Times New Roman" w:cs="Times New Roman" w:eastAsia="Times New Roman" w:hint="default"/>
                <w:sz w:val="18"/>
                <w:szCs w:val="18"/>
              </w:rPr>
            </w:pPr>
            <w:r>
              <w:rPr>
                <w:rFonts w:ascii="Times New Roman"/>
                <w:sz w:val="18"/>
              </w:rPr>
              <w:t>,753.06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6"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85,775,</w:t>
            </w:r>
          </w:p>
          <w:p>
            <w:pPr>
              <w:pStyle w:val="TableParagraph"/>
              <w:spacing w:line="240" w:lineRule="auto" w:before="3"/>
              <w:ind w:left="131" w:right="0"/>
              <w:jc w:val="left"/>
              <w:rPr>
                <w:rFonts w:ascii="Times New Roman" w:hAnsi="Times New Roman" w:cs="Times New Roman" w:eastAsia="Times New Roman" w:hint="default"/>
                <w:sz w:val="18"/>
                <w:szCs w:val="18"/>
              </w:rPr>
            </w:pPr>
            <w:r>
              <w:rPr>
                <w:rFonts w:ascii="Times New Roman"/>
                <w:sz w:val="18"/>
              </w:rPr>
              <w:t>594.36</w:t>
            </w: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83,369,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158.70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93"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83,369,</w:t>
            </w:r>
          </w:p>
          <w:p>
            <w:pPr>
              <w:pStyle w:val="TableParagraph"/>
              <w:spacing w:line="240" w:lineRule="auto" w:before="3"/>
              <w:ind w:left="139" w:right="0"/>
              <w:jc w:val="left"/>
              <w:rPr>
                <w:rFonts w:ascii="Times New Roman" w:hAnsi="Times New Roman" w:cs="Times New Roman" w:eastAsia="Times New Roman" w:hint="default"/>
                <w:sz w:val="18"/>
                <w:szCs w:val="18"/>
              </w:rPr>
            </w:pPr>
            <w:r>
              <w:rPr>
                <w:rFonts w:ascii="Times New Roman"/>
                <w:sz w:val="18"/>
              </w:rPr>
              <w:t>158.70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93"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85,775,</w:t>
            </w:r>
          </w:p>
          <w:p>
            <w:pPr>
              <w:pStyle w:val="TableParagraph"/>
              <w:spacing w:line="240" w:lineRule="auto" w:before="3"/>
              <w:ind w:left="139" w:right="0"/>
              <w:jc w:val="left"/>
              <w:rPr>
                <w:rFonts w:ascii="Times New Roman" w:hAnsi="Times New Roman" w:cs="Times New Roman" w:eastAsia="Times New Roman" w:hint="default"/>
                <w:sz w:val="18"/>
                <w:szCs w:val="18"/>
              </w:rPr>
            </w:pPr>
            <w:r>
              <w:rPr>
                <w:rFonts w:ascii="Times New Roman"/>
                <w:sz w:val="18"/>
              </w:rPr>
              <w:t>594.36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6"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85,775,</w:t>
            </w:r>
          </w:p>
          <w:p>
            <w:pPr>
              <w:pStyle w:val="TableParagraph"/>
              <w:spacing w:line="240" w:lineRule="auto" w:before="3"/>
              <w:ind w:left="131" w:right="0"/>
              <w:jc w:val="left"/>
              <w:rPr>
                <w:rFonts w:ascii="Times New Roman" w:hAnsi="Times New Roman" w:cs="Times New Roman" w:eastAsia="Times New Roman" w:hint="default"/>
                <w:sz w:val="18"/>
                <w:szCs w:val="18"/>
              </w:rPr>
            </w:pPr>
            <w:r>
              <w:rPr>
                <w:rFonts w:ascii="Times New Roman"/>
                <w:sz w:val="18"/>
              </w:rPr>
              <w:t>594.36</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41"/>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857,75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5,943.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5" w:right="21"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857,755</w:t>
            </w:r>
          </w:p>
          <w:p>
            <w:pPr>
              <w:pStyle w:val="TableParagraph"/>
              <w:spacing w:line="240" w:lineRule="auto" w:before="3"/>
              <w:ind w:left="91" w:right="0"/>
              <w:jc w:val="left"/>
              <w:rPr>
                <w:rFonts w:ascii="Times New Roman" w:hAnsi="Times New Roman" w:cs="Times New Roman" w:eastAsia="Times New Roman" w:hint="default"/>
                <w:sz w:val="18"/>
                <w:szCs w:val="18"/>
              </w:rPr>
            </w:pPr>
            <w:r>
              <w:rPr>
                <w:rFonts w:ascii="Times New Roman"/>
                <w:sz w:val="18"/>
              </w:rPr>
              <w:t>,943.00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857,75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5,943.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5" w:right="21"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857,755</w:t>
            </w:r>
          </w:p>
          <w:p>
            <w:pPr>
              <w:pStyle w:val="TableParagraph"/>
              <w:spacing w:line="240" w:lineRule="auto" w:before="3"/>
              <w:ind w:left="91" w:right="0"/>
              <w:jc w:val="left"/>
              <w:rPr>
                <w:rFonts w:ascii="Times New Roman" w:hAnsi="Times New Roman" w:cs="Times New Roman" w:eastAsia="Times New Roman" w:hint="default"/>
                <w:sz w:val="18"/>
                <w:szCs w:val="18"/>
              </w:rPr>
            </w:pPr>
            <w:r>
              <w:rPr>
                <w:rFonts w:ascii="Times New Roman"/>
                <w:sz w:val="18"/>
              </w:rPr>
              <w:t>,943.00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351,905</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351,905</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四、本期期末余</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z w:val="18"/>
              </w:rPr>
              <w:t>5,168,</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7" w:right="0"/>
              <w:jc w:val="left"/>
              <w:rPr>
                <w:rFonts w:ascii="Times New Roman" w:hAnsi="Times New Roman" w:cs="Times New Roman" w:eastAsia="Times New Roman" w:hint="default"/>
                <w:sz w:val="18"/>
                <w:szCs w:val="18"/>
              </w:rPr>
            </w:pPr>
            <w:r>
              <w:rPr>
                <w:rFonts w:ascii="Times New Roman"/>
                <w:sz w:val="18"/>
              </w:rPr>
              <w:t>1,218,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7" w:right="0"/>
              <w:jc w:val="center"/>
              <w:rPr>
                <w:rFonts w:ascii="Times New Roman" w:hAnsi="Times New Roman" w:cs="Times New Roman" w:eastAsia="Times New Roman" w:hint="default"/>
                <w:sz w:val="18"/>
                <w:szCs w:val="18"/>
              </w:rPr>
            </w:pPr>
            <w:r>
              <w:rPr>
                <w:rFonts w:ascii="Times New Roman"/>
                <w:sz w:val="18"/>
              </w:rPr>
              <w:t>5,504,3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394,788</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3" w:right="0"/>
              <w:jc w:val="left"/>
              <w:rPr>
                <w:rFonts w:ascii="Times New Roman" w:hAnsi="Times New Roman" w:cs="Times New Roman" w:eastAsia="Times New Roman" w:hint="default"/>
                <w:sz w:val="18"/>
                <w:szCs w:val="18"/>
              </w:rPr>
            </w:pPr>
            <w:r>
              <w:rPr>
                <w:rFonts w:ascii="Times New Roman"/>
                <w:sz w:val="18"/>
              </w:rPr>
              <w:t>3,412,5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z w:val="18"/>
              </w:rPr>
              <w:t>15,695,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438"/>
        <w:gridCol w:w="562"/>
        <w:gridCol w:w="531"/>
        <w:gridCol w:w="533"/>
        <w:gridCol w:w="530"/>
        <w:gridCol w:w="665"/>
        <w:gridCol w:w="665"/>
        <w:gridCol w:w="665"/>
        <w:gridCol w:w="665"/>
        <w:gridCol w:w="662"/>
        <w:gridCol w:w="668"/>
        <w:gridCol w:w="665"/>
        <w:gridCol w:w="665"/>
        <w:gridCol w:w="658"/>
      </w:tblGrid>
      <w:tr>
        <w:trPr>
          <w:trHeight w:val="67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285,02</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left"/>
              <w:rPr>
                <w:rFonts w:ascii="Times New Roman" w:hAnsi="Times New Roman" w:cs="Times New Roman" w:eastAsia="Times New Roman" w:hint="default"/>
                <w:sz w:val="18"/>
                <w:szCs w:val="18"/>
              </w:rPr>
            </w:pPr>
            <w:r>
              <w:rPr>
                <w:rFonts w:ascii="Times New Roman"/>
                <w:sz w:val="18"/>
              </w:rPr>
              <w:t>948,4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51,574.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2" w:right="0"/>
              <w:jc w:val="center"/>
              <w:rPr>
                <w:rFonts w:ascii="Times New Roman" w:hAnsi="Times New Roman" w:cs="Times New Roman" w:eastAsia="Times New Roman" w:hint="default"/>
                <w:sz w:val="18"/>
                <w:szCs w:val="18"/>
              </w:rPr>
            </w:pPr>
            <w:r>
              <w:rPr>
                <w:rFonts w:ascii="Times New Roman"/>
                <w:sz w:val="18"/>
              </w:rPr>
              <w:t>3,698,3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98.13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1" w:right="0"/>
              <w:jc w:val="left"/>
              <w:rPr>
                <w:rFonts w:ascii="Times New Roman" w:hAnsi="Times New Roman" w:cs="Times New Roman" w:eastAsia="Times New Roman" w:hint="default"/>
                <w:sz w:val="18"/>
                <w:szCs w:val="18"/>
              </w:rPr>
            </w:pPr>
            <w:r>
              <w:rPr>
                <w:rFonts w:ascii="Times New Roman"/>
                <w:sz w:val="18"/>
              </w:rPr>
              <w:t>,468.43</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64,404.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 w:right="0"/>
              <w:jc w:val="left"/>
              <w:rPr>
                <w:rFonts w:ascii="Times New Roman" w:hAnsi="Times New Roman" w:cs="Times New Roman" w:eastAsia="Times New Roman" w:hint="default"/>
                <w:sz w:val="18"/>
                <w:szCs w:val="18"/>
              </w:rPr>
            </w:pPr>
            <w:r>
              <w:rPr>
                <w:rFonts w:ascii="Times New Roman"/>
                <w:sz w:val="18"/>
              </w:rPr>
              <w:t>239,474</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.55</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438"/>
        <w:gridCol w:w="562"/>
        <w:gridCol w:w="531"/>
        <w:gridCol w:w="530"/>
        <w:gridCol w:w="530"/>
        <w:gridCol w:w="665"/>
        <w:gridCol w:w="665"/>
        <w:gridCol w:w="665"/>
        <w:gridCol w:w="665"/>
        <w:gridCol w:w="665"/>
        <w:gridCol w:w="665"/>
        <w:gridCol w:w="679"/>
        <w:gridCol w:w="650"/>
        <w:gridCol w:w="660"/>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9"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0"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1"/>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3,558,</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321,29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61,958.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8" w:right="19"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312,784</w:t>
            </w:r>
          </w:p>
          <w:p>
            <w:pPr>
              <w:pStyle w:val="TableParagraph"/>
              <w:spacing w:line="240" w:lineRule="auto" w:before="3"/>
              <w:ind w:left="408" w:right="0"/>
              <w:jc w:val="left"/>
              <w:rPr>
                <w:rFonts w:ascii="Times New Roman" w:hAnsi="Times New Roman" w:cs="Times New Roman" w:eastAsia="Times New Roman" w:hint="default"/>
                <w:sz w:val="18"/>
                <w:szCs w:val="18"/>
              </w:rPr>
            </w:pPr>
            <w:r>
              <w:rPr>
                <w:rFonts w:ascii="Times New Roman"/>
                <w:sz w:val="18"/>
              </w:rPr>
              <w:t>.50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265,104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,673.98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59,588.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6,145,4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95.83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12,831,</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180,231</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.05</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1" w:firstLine="360"/>
              <w:jc w:val="left"/>
              <w:rPr>
                <w:rFonts w:ascii="宋体" w:hAnsi="宋体" w:cs="宋体" w:eastAsia="宋体" w:hint="default"/>
                <w:sz w:val="18"/>
                <w:szCs w:val="18"/>
              </w:rPr>
            </w:pPr>
            <w:r>
              <w:rPr>
                <w:rFonts w:ascii="宋体" w:hAnsi="宋体" w:cs="宋体" w:eastAsia="宋体" w:hint="default"/>
                <w:sz w:val="18"/>
                <w:szCs w:val="18"/>
              </w:rPr>
              <w:t>加：会计政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41"/>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8" w:right="0"/>
              <w:jc w:val="center"/>
              <w:rPr>
                <w:rFonts w:ascii="Times New Roman" w:hAnsi="Times New Roman" w:cs="Times New Roman" w:eastAsia="Times New Roman" w:hint="default"/>
                <w:sz w:val="18"/>
                <w:szCs w:val="18"/>
              </w:rPr>
            </w:pPr>
            <w:r>
              <w:rPr>
                <w:rFonts w:ascii="Times New Roman"/>
                <w:sz w:val="18"/>
              </w:rPr>
              <w:t>3,558,</w:t>
            </w:r>
          </w:p>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321,29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6,827,1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61,958.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4"/>
              <w:ind w:left="48" w:right="19"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312,784</w:t>
            </w:r>
          </w:p>
          <w:p>
            <w:pPr>
              <w:pStyle w:val="TableParagraph"/>
              <w:spacing w:line="240" w:lineRule="auto" w:before="5"/>
              <w:ind w:left="408" w:right="0"/>
              <w:jc w:val="left"/>
              <w:rPr>
                <w:rFonts w:ascii="Times New Roman" w:hAnsi="Times New Roman" w:cs="Times New Roman" w:eastAsia="Times New Roman" w:hint="default"/>
                <w:sz w:val="18"/>
                <w:szCs w:val="18"/>
              </w:rPr>
            </w:pPr>
            <w:r>
              <w:rPr>
                <w:rFonts w:ascii="Times New Roman"/>
                <w:sz w:val="18"/>
              </w:rPr>
              <w:t>.50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265,104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,673.98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2,174,7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59,588.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6,145,4</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95.83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6" w:right="0"/>
              <w:jc w:val="left"/>
              <w:rPr>
                <w:rFonts w:ascii="Times New Roman" w:hAnsi="Times New Roman" w:cs="Times New Roman" w:eastAsia="Times New Roman" w:hint="default"/>
                <w:sz w:val="18"/>
                <w:szCs w:val="18"/>
              </w:rPr>
            </w:pPr>
            <w:r>
              <w:rPr>
                <w:rFonts w:ascii="Times New Roman"/>
                <w:sz w:val="18"/>
              </w:rPr>
              <w:t>12,831,</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180,231</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.05</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730,45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8,419.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1,219,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39.40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7" w:right="19"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582,961</w:t>
            </w:r>
          </w:p>
          <w:p>
            <w:pPr>
              <w:pStyle w:val="TableParagraph"/>
              <w:spacing w:line="240" w:lineRule="auto" w:before="3"/>
              <w:ind w:left="93" w:right="0"/>
              <w:jc w:val="left"/>
              <w:rPr>
                <w:rFonts w:ascii="Times New Roman" w:hAnsi="Times New Roman" w:cs="Times New Roman" w:eastAsia="Times New Roman" w:hint="default"/>
                <w:sz w:val="18"/>
                <w:szCs w:val="18"/>
              </w:rPr>
            </w:pPr>
            <w:r>
              <w:rPr>
                <w:rFonts w:ascii="Times New Roman"/>
                <w:sz w:val="18"/>
              </w:rPr>
              <w:t>,668.35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9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8,598,6</w:t>
            </w:r>
          </w:p>
          <w:p>
            <w:pPr>
              <w:pStyle w:val="TableParagraph"/>
              <w:spacing w:line="240" w:lineRule="auto" w:before="3"/>
              <w:ind w:left="228" w:right="0"/>
              <w:jc w:val="left"/>
              <w:rPr>
                <w:rFonts w:ascii="Times New Roman" w:hAnsi="Times New Roman" w:cs="Times New Roman" w:eastAsia="Times New Roman" w:hint="default"/>
                <w:sz w:val="18"/>
                <w:szCs w:val="18"/>
              </w:rPr>
            </w:pPr>
            <w:r>
              <w:rPr>
                <w:rFonts w:ascii="Times New Roman"/>
                <w:sz w:val="18"/>
              </w:rPr>
              <w:t>13.43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46,314,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635.75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448,254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,156.31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79"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3,565,7</w:t>
            </w:r>
          </w:p>
          <w:p>
            <w:pPr>
              <w:pStyle w:val="TableParagraph"/>
              <w:spacing w:line="240" w:lineRule="auto" w:before="3"/>
              <w:ind w:left="213" w:right="0"/>
              <w:jc w:val="left"/>
              <w:rPr>
                <w:rFonts w:ascii="Times New Roman" w:hAnsi="Times New Roman" w:cs="Times New Roman" w:eastAsia="Times New Roman" w:hint="default"/>
                <w:sz w:val="18"/>
                <w:szCs w:val="18"/>
              </w:rPr>
            </w:pPr>
            <w:r>
              <w:rPr>
                <w:rFonts w:ascii="Times New Roman"/>
                <w:sz w:val="18"/>
              </w:rPr>
              <w:t>84.35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66,384.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41"/>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9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8,598,6</w:t>
            </w:r>
          </w:p>
          <w:p>
            <w:pPr>
              <w:pStyle w:val="TableParagraph"/>
              <w:spacing w:line="240" w:lineRule="auto" w:before="5"/>
              <w:ind w:left="228" w:right="0"/>
              <w:jc w:val="left"/>
              <w:rPr>
                <w:rFonts w:ascii="Times New Roman" w:hAnsi="Times New Roman" w:cs="Times New Roman" w:eastAsia="Times New Roman" w:hint="default"/>
                <w:sz w:val="18"/>
                <w:szCs w:val="18"/>
              </w:rPr>
            </w:pPr>
            <w:r>
              <w:rPr>
                <w:rFonts w:ascii="Times New Roman"/>
                <w:sz w:val="18"/>
              </w:rPr>
              <w:t>13.43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636,901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,644.02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79"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2,019,8</w:t>
            </w:r>
          </w:p>
          <w:p>
            <w:pPr>
              <w:pStyle w:val="TableParagraph"/>
              <w:spacing w:line="240" w:lineRule="auto" w:before="5"/>
              <w:ind w:left="213" w:right="0"/>
              <w:jc w:val="left"/>
              <w:rPr>
                <w:rFonts w:ascii="Times New Roman" w:hAnsi="Times New Roman" w:cs="Times New Roman" w:eastAsia="Times New Roman" w:hint="default"/>
                <w:sz w:val="18"/>
                <w:szCs w:val="18"/>
              </w:rPr>
            </w:pPr>
            <w:r>
              <w:rPr>
                <w:rFonts w:ascii="Times New Roman"/>
                <w:sz w:val="18"/>
              </w:rPr>
              <w:t>41.90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626,283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,188.69</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41"/>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1,219,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39.40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126,686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,826.47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79"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1,545,9</w:t>
            </w:r>
          </w:p>
          <w:p>
            <w:pPr>
              <w:pStyle w:val="TableParagraph"/>
              <w:spacing w:line="240" w:lineRule="auto" w:before="3"/>
              <w:ind w:left="213" w:right="0"/>
              <w:jc w:val="left"/>
              <w:rPr>
                <w:rFonts w:ascii="Times New Roman" w:hAnsi="Times New Roman" w:cs="Times New Roman" w:eastAsia="Times New Roman" w:hint="default"/>
                <w:sz w:val="18"/>
                <w:szCs w:val="18"/>
              </w:rPr>
            </w:pPr>
            <w:r>
              <w:rPr>
                <w:rFonts w:ascii="Times New Roman"/>
                <w:sz w:val="18"/>
              </w:rPr>
              <w:t>42.45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00,283.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18,794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60,329,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253.60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80,623,</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413.60</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1,219,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39.40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65,239.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0"/>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39,532,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39,532,</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274.00</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438"/>
        <w:gridCol w:w="562"/>
        <w:gridCol w:w="531"/>
        <w:gridCol w:w="530"/>
        <w:gridCol w:w="530"/>
        <w:gridCol w:w="665"/>
        <w:gridCol w:w="665"/>
        <w:gridCol w:w="665"/>
        <w:gridCol w:w="665"/>
        <w:gridCol w:w="665"/>
        <w:gridCol w:w="665"/>
        <w:gridCol w:w="679"/>
        <w:gridCol w:w="650"/>
        <w:gridCol w:w="660"/>
      </w:tblGrid>
      <w:tr>
        <w:trPr>
          <w:trHeight w:val="36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26,825,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298.87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79"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3,045,9</w:t>
            </w:r>
          </w:p>
          <w:p>
            <w:pPr>
              <w:pStyle w:val="TableParagraph"/>
              <w:spacing w:line="240" w:lineRule="auto" w:before="3"/>
              <w:ind w:left="213" w:right="0"/>
              <w:jc w:val="left"/>
              <w:rPr>
                <w:rFonts w:ascii="Times New Roman" w:hAnsi="Times New Roman" w:cs="Times New Roman" w:eastAsia="Times New Roman" w:hint="default"/>
                <w:sz w:val="18"/>
                <w:szCs w:val="18"/>
              </w:rPr>
            </w:pPr>
            <w:r>
              <w:rPr>
                <w:rFonts w:ascii="Times New Roman"/>
                <w:sz w:val="18"/>
              </w:rPr>
              <w:t>42.45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23,779,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356.42</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46,314,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635.75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60" w:right="21"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188,647</w:t>
            </w:r>
          </w:p>
          <w:p>
            <w:pPr>
              <w:pStyle w:val="TableParagraph"/>
              <w:spacing w:line="240" w:lineRule="auto" w:before="3"/>
              <w:ind w:left="105" w:right="0"/>
              <w:jc w:val="left"/>
              <w:rPr>
                <w:rFonts w:ascii="Times New Roman" w:hAnsi="Times New Roman" w:cs="Times New Roman" w:eastAsia="Times New Roman" w:hint="default"/>
                <w:sz w:val="18"/>
                <w:szCs w:val="18"/>
              </w:rPr>
            </w:pPr>
            <w:r>
              <w:rPr>
                <w:rFonts w:ascii="Times New Roman"/>
                <w:sz w:val="18"/>
              </w:rPr>
              <w:t>,487.71</w:t>
            </w: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0" w:right="21"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142,332</w:t>
            </w:r>
          </w:p>
          <w:p>
            <w:pPr>
              <w:pStyle w:val="TableParagraph"/>
              <w:spacing w:line="240" w:lineRule="auto" w:before="3"/>
              <w:ind w:left="86" w:right="0"/>
              <w:jc w:val="left"/>
              <w:rPr>
                <w:rFonts w:ascii="Times New Roman" w:hAnsi="Times New Roman" w:cs="Times New Roman" w:eastAsia="Times New Roman" w:hint="default"/>
                <w:sz w:val="18"/>
                <w:szCs w:val="18"/>
              </w:rPr>
            </w:pPr>
            <w:r>
              <w:rPr>
                <w:rFonts w:ascii="Times New Roman"/>
                <w:sz w:val="18"/>
              </w:rPr>
              <w:t>,851.96</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46,314,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635.75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5" w:right="20"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46,314,</w:t>
            </w:r>
          </w:p>
          <w:p>
            <w:pPr>
              <w:pStyle w:val="TableParagraph"/>
              <w:spacing w:line="240" w:lineRule="auto" w:before="3"/>
              <w:ind w:left="151" w:right="0"/>
              <w:jc w:val="left"/>
              <w:rPr>
                <w:rFonts w:ascii="Times New Roman" w:hAnsi="Times New Roman" w:cs="Times New Roman" w:eastAsia="Times New Roman" w:hint="default"/>
                <w:sz w:val="18"/>
                <w:szCs w:val="18"/>
              </w:rPr>
            </w:pPr>
            <w:r>
              <w:rPr>
                <w:rFonts w:ascii="Times New Roman"/>
                <w:sz w:val="18"/>
              </w:rPr>
              <w:t>635.75</w:t>
            </w: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60" w:right="21"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142,332</w:t>
            </w:r>
          </w:p>
          <w:p>
            <w:pPr>
              <w:pStyle w:val="TableParagraph"/>
              <w:spacing w:line="240" w:lineRule="auto" w:before="3"/>
              <w:ind w:left="105" w:right="0"/>
              <w:jc w:val="left"/>
              <w:rPr>
                <w:rFonts w:ascii="Times New Roman" w:hAnsi="Times New Roman" w:cs="Times New Roman" w:eastAsia="Times New Roman" w:hint="default"/>
                <w:sz w:val="18"/>
                <w:szCs w:val="18"/>
              </w:rPr>
            </w:pPr>
            <w:r>
              <w:rPr>
                <w:rFonts w:ascii="Times New Roman"/>
                <w:sz w:val="18"/>
              </w:rPr>
              <w:t>,851.96</w:t>
            </w: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0" w:right="21"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142,332</w:t>
            </w:r>
          </w:p>
          <w:p>
            <w:pPr>
              <w:pStyle w:val="TableParagraph"/>
              <w:spacing w:line="240" w:lineRule="auto" w:before="3"/>
              <w:ind w:left="86" w:right="0"/>
              <w:jc w:val="left"/>
              <w:rPr>
                <w:rFonts w:ascii="Times New Roman" w:hAnsi="Times New Roman" w:cs="Times New Roman" w:eastAsia="Times New Roman" w:hint="default"/>
                <w:sz w:val="18"/>
                <w:szCs w:val="18"/>
              </w:rPr>
            </w:pPr>
            <w:r>
              <w:rPr>
                <w:rFonts w:ascii="Times New Roman"/>
                <w:sz w:val="18"/>
              </w:rPr>
              <w:t>,851.96</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1"/>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711,66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4,259.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5" w:right="18" w:firstLine="518"/>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711,664</w:t>
            </w:r>
          </w:p>
          <w:p>
            <w:pPr>
              <w:pStyle w:val="TableParagraph"/>
              <w:spacing w:line="240" w:lineRule="auto" w:before="3"/>
              <w:ind w:left="93" w:right="0"/>
              <w:jc w:val="left"/>
              <w:rPr>
                <w:rFonts w:ascii="Times New Roman" w:hAnsi="Times New Roman" w:cs="Times New Roman" w:eastAsia="Times New Roman" w:hint="default"/>
                <w:sz w:val="18"/>
                <w:szCs w:val="18"/>
              </w:rPr>
            </w:pPr>
            <w:r>
              <w:rPr>
                <w:rFonts w:ascii="Times New Roman"/>
                <w:sz w:val="18"/>
              </w:rPr>
              <w:t>,259.00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711,66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4,259.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5" w:right="18" w:firstLine="518"/>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711,664</w:t>
            </w:r>
          </w:p>
          <w:p>
            <w:pPr>
              <w:pStyle w:val="TableParagraph"/>
              <w:spacing w:line="240" w:lineRule="auto" w:before="3"/>
              <w:ind w:left="93" w:right="0"/>
              <w:jc w:val="left"/>
              <w:rPr>
                <w:rFonts w:ascii="Times New Roman" w:hAnsi="Times New Roman" w:cs="Times New Roman" w:eastAsia="Times New Roman" w:hint="default"/>
                <w:sz w:val="18"/>
                <w:szCs w:val="18"/>
              </w:rPr>
            </w:pPr>
            <w:r>
              <w:rPr>
                <w:rFonts w:ascii="Times New Roman"/>
                <w:sz w:val="18"/>
              </w:rPr>
              <w:t>,259.00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2,015,7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64.18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2,015,7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64.18</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1"/>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4,288,</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779,71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1,219,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39.40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00,290.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0" w:right="18" w:firstLine="47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8,911,3</w:t>
            </w:r>
          </w:p>
          <w:p>
            <w:pPr>
              <w:pStyle w:val="TableParagraph"/>
              <w:spacing w:line="240" w:lineRule="auto" w:before="3"/>
              <w:ind w:left="228" w:right="0"/>
              <w:jc w:val="left"/>
              <w:rPr>
                <w:rFonts w:ascii="Times New Roman" w:hAnsi="Times New Roman" w:cs="Times New Roman" w:eastAsia="Times New Roman" w:hint="default"/>
                <w:sz w:val="18"/>
                <w:szCs w:val="18"/>
              </w:rPr>
            </w:pPr>
            <w:r>
              <w:rPr>
                <w:rFonts w:ascii="Times New Roman"/>
                <w:sz w:val="18"/>
              </w:rPr>
              <w:t>97.93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311,419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,309.73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13,744.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2,579,7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11.48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14,680,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446,615</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.38</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320" w:bottom="1160" w:left="980" w:right="0"/>
        </w:sectPr>
      </w:pPr>
    </w:p>
    <w:p>
      <w:pPr>
        <w:pStyle w:val="Heading5"/>
        <w:spacing w:line="240" w:lineRule="auto" w:before="100"/>
        <w:ind w:right="1114"/>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3" w:right="111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440"/>
        <w:gridCol w:w="691"/>
        <w:gridCol w:w="665"/>
        <w:gridCol w:w="665"/>
        <w:gridCol w:w="665"/>
        <w:gridCol w:w="797"/>
        <w:gridCol w:w="799"/>
        <w:gridCol w:w="797"/>
        <w:gridCol w:w="800"/>
        <w:gridCol w:w="797"/>
        <w:gridCol w:w="674"/>
        <w:gridCol w:w="782"/>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307"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15" w:right="2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44"/>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4,288,77</w:t>
            </w:r>
          </w:p>
          <w:p>
            <w:pPr>
              <w:pStyle w:val="TableParagraph"/>
              <w:spacing w:line="240" w:lineRule="auto" w:before="102"/>
              <w:ind w:left="28" w:right="0"/>
              <w:jc w:val="left"/>
              <w:rPr>
                <w:rFonts w:ascii="Times New Roman" w:hAnsi="Times New Roman" w:cs="Times New Roman" w:eastAsia="Times New Roman" w:hint="default"/>
                <w:sz w:val="18"/>
                <w:szCs w:val="18"/>
              </w:rPr>
            </w:pPr>
            <w:r>
              <w:rPr>
                <w:rFonts w:ascii="Times New Roman"/>
                <w:sz w:val="18"/>
              </w:rPr>
              <w:t>9,718.00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1,219,3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65,239.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6,232,416</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,529.10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311,419,3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09.73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1,986,0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54,854.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14,038,03</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5,650.43</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firstLine="360"/>
              <w:jc w:val="left"/>
              <w:rPr>
                <w:rFonts w:ascii="宋体" w:hAnsi="宋体" w:cs="宋体" w:eastAsia="宋体" w:hint="default"/>
                <w:sz w:val="18"/>
                <w:szCs w:val="18"/>
              </w:rPr>
            </w:pPr>
            <w:r>
              <w:rPr>
                <w:rFonts w:ascii="宋体" w:hAnsi="宋体" w:cs="宋体" w:eastAsia="宋体" w:hint="default"/>
                <w:sz w:val="18"/>
                <w:szCs w:val="18"/>
              </w:rPr>
              <w:t>加：会计政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44"/>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4,288,77</w:t>
            </w:r>
          </w:p>
          <w:p>
            <w:pPr>
              <w:pStyle w:val="TableParagraph"/>
              <w:spacing w:line="240" w:lineRule="auto" w:before="102"/>
              <w:ind w:left="28" w:right="0"/>
              <w:jc w:val="left"/>
              <w:rPr>
                <w:rFonts w:ascii="Times New Roman" w:hAnsi="Times New Roman" w:cs="Times New Roman" w:eastAsia="Times New Roman" w:hint="default"/>
                <w:sz w:val="18"/>
                <w:szCs w:val="18"/>
              </w:rPr>
            </w:pPr>
            <w:r>
              <w:rPr>
                <w:rFonts w:ascii="Times New Roman"/>
                <w:sz w:val="18"/>
              </w:rPr>
              <w:t>9,718.00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1,219,3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65,239.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6,232,416</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,529.10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311,419,3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09.73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1,986,0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54,854.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14,038,03</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5,650.43</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879,505,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8" w:right="19"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416,839</w:t>
            </w:r>
          </w:p>
          <w:p>
            <w:pPr>
              <w:pStyle w:val="TableParagraph"/>
              <w:spacing w:line="240" w:lineRule="auto" w:before="3"/>
              <w:ind w:left="408" w:right="0"/>
              <w:jc w:val="lef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5"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737,951,7</w:t>
            </w:r>
          </w:p>
          <w:p>
            <w:pPr>
              <w:pStyle w:val="TableParagraph"/>
              <w:spacing w:line="240" w:lineRule="auto" w:before="3"/>
              <w:ind w:left="359" w:right="0"/>
              <w:jc w:val="left"/>
              <w:rPr>
                <w:rFonts w:ascii="Times New Roman" w:hAnsi="Times New Roman" w:cs="Times New Roman" w:eastAsia="Times New Roman" w:hint="default"/>
                <w:sz w:val="18"/>
                <w:szCs w:val="18"/>
              </w:rPr>
            </w:pPr>
            <w:r>
              <w:rPr>
                <w:rFonts w:ascii="Times New Roman"/>
                <w:sz w:val="18"/>
              </w:rPr>
              <w:t>51.66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83,369,15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664,546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,833.93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889,052,7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09.62</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833,691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,586.99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833,691,5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86.99</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21,749,3</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65.00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8" w:right="19"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416,839</w:t>
            </w:r>
          </w:p>
          <w:p>
            <w:pPr>
              <w:pStyle w:val="TableParagraph"/>
              <w:spacing w:line="240" w:lineRule="auto" w:before="3"/>
              <w:ind w:left="408" w:right="0"/>
              <w:jc w:val="lef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119,452,2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86.17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140,784,8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11.82</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21,609,5</w:t>
            </w:r>
          </w:p>
          <w:p>
            <w:pPr>
              <w:pStyle w:val="TableParagraph"/>
              <w:spacing w:line="240" w:lineRule="auto" w:before="102"/>
              <w:ind w:left="254" w:right="0"/>
              <w:jc w:val="left"/>
              <w:rPr>
                <w:rFonts w:ascii="Times New Roman" w:hAnsi="Times New Roman" w:cs="Times New Roman" w:eastAsia="Times New Roman" w:hint="default"/>
                <w:sz w:val="18"/>
                <w:szCs w:val="18"/>
              </w:rPr>
            </w:pPr>
            <w:r>
              <w:rPr>
                <w:rFonts w:ascii="Times New Roman"/>
                <w:sz w:val="18"/>
              </w:rPr>
              <w:t>04.00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53,807,66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4.96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75,417,16</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8.96</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139,861.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8" w:right="19"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416,839</w:t>
            </w:r>
          </w:p>
          <w:p>
            <w:pPr>
              <w:pStyle w:val="TableParagraph"/>
              <w:spacing w:line="240" w:lineRule="auto" w:before="4"/>
              <w:ind w:left="408" w:right="0"/>
              <w:jc w:val="lef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1,487,779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1,210,801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38,063,20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38,063,20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8.00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26,093,63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26,093,63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3.29</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83,369,15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7" w:right="19"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169,144</w:t>
            </w:r>
          </w:p>
          <w:p>
            <w:pPr>
              <w:pStyle w:val="TableParagraph"/>
              <w:spacing w:line="240" w:lineRule="auto" w:before="3"/>
              <w:ind w:left="103" w:right="0"/>
              <w:jc w:val="left"/>
              <w:rPr>
                <w:rFonts w:ascii="Times New Roman" w:hAnsi="Times New Roman" w:cs="Times New Roman" w:eastAsia="Times New Roman" w:hint="default"/>
                <w:sz w:val="18"/>
                <w:szCs w:val="18"/>
              </w:rPr>
            </w:pPr>
            <w:r>
              <w:rPr>
                <w:rFonts w:ascii="Times New Roman"/>
                <w:sz w:val="18"/>
              </w:rPr>
              <w:t>,753.06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8"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85,775,59</w:t>
            </w:r>
          </w:p>
          <w:p>
            <w:pPr>
              <w:pStyle w:val="TableParagraph"/>
              <w:spacing w:line="240" w:lineRule="auto" w:before="3"/>
              <w:ind w:left="434" w:right="0"/>
              <w:jc w:val="left"/>
              <w:rPr>
                <w:rFonts w:ascii="Times New Roman" w:hAnsi="Times New Roman" w:cs="Times New Roman" w:eastAsia="Times New Roman" w:hint="default"/>
                <w:sz w:val="18"/>
                <w:szCs w:val="18"/>
              </w:rPr>
            </w:pPr>
            <w:r>
              <w:rPr>
                <w:rFonts w:ascii="Times New Roman"/>
                <w:sz w:val="18"/>
              </w:rPr>
              <w:t>4.36</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320" w:bottom="1160" w:left="980" w:right="0"/>
        </w:sectPr>
      </w:pPr>
    </w:p>
    <w:p>
      <w:pPr>
        <w:spacing w:line="240" w:lineRule="auto" w:before="8"/>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440"/>
        <w:gridCol w:w="691"/>
        <w:gridCol w:w="665"/>
        <w:gridCol w:w="665"/>
        <w:gridCol w:w="665"/>
        <w:gridCol w:w="797"/>
        <w:gridCol w:w="799"/>
        <w:gridCol w:w="797"/>
        <w:gridCol w:w="800"/>
        <w:gridCol w:w="797"/>
        <w:gridCol w:w="674"/>
        <w:gridCol w:w="782"/>
      </w:tblGrid>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83,369,15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83,369,</w:t>
            </w:r>
          </w:p>
          <w:p>
            <w:pPr>
              <w:pStyle w:val="TableParagraph"/>
              <w:spacing w:line="240" w:lineRule="auto" w:before="3"/>
              <w:ind w:left="148" w:right="0"/>
              <w:jc w:val="left"/>
              <w:rPr>
                <w:rFonts w:ascii="Times New Roman" w:hAnsi="Times New Roman" w:cs="Times New Roman" w:eastAsia="Times New Roman" w:hint="default"/>
                <w:sz w:val="18"/>
                <w:szCs w:val="18"/>
              </w:rPr>
            </w:pPr>
            <w:r>
              <w:rPr>
                <w:rFonts w:ascii="Times New Roman"/>
                <w:sz w:val="18"/>
              </w:rPr>
              <w:t>158.70</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03"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85,775,</w:t>
            </w:r>
          </w:p>
          <w:p>
            <w:pPr>
              <w:pStyle w:val="TableParagraph"/>
              <w:spacing w:line="240" w:lineRule="auto" w:before="5"/>
              <w:ind w:left="148" w:right="0"/>
              <w:jc w:val="left"/>
              <w:rPr>
                <w:rFonts w:ascii="Times New Roman" w:hAnsi="Times New Roman" w:cs="Times New Roman" w:eastAsia="Times New Roman" w:hint="default"/>
                <w:sz w:val="18"/>
                <w:szCs w:val="18"/>
              </w:rPr>
            </w:pPr>
            <w:r>
              <w:rPr>
                <w:rFonts w:ascii="Times New Roman"/>
                <w:sz w:val="18"/>
              </w:rPr>
              <w:t>594.36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8"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85,775,59</w:t>
            </w:r>
          </w:p>
          <w:p>
            <w:pPr>
              <w:pStyle w:val="TableParagraph"/>
              <w:spacing w:line="240" w:lineRule="auto" w:before="5"/>
              <w:ind w:left="434" w:right="0"/>
              <w:jc w:val="left"/>
              <w:rPr>
                <w:rFonts w:ascii="Times New Roman" w:hAnsi="Times New Roman" w:cs="Times New Roman" w:eastAsia="Times New Roman" w:hint="default"/>
                <w:sz w:val="18"/>
                <w:szCs w:val="18"/>
              </w:rPr>
            </w:pPr>
            <w:r>
              <w:rPr>
                <w:rFonts w:ascii="Times New Roman"/>
                <w:sz w:val="18"/>
              </w:rPr>
              <w:t>4.36</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44"/>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857,755,</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943.00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45"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857,755,9</w:t>
            </w:r>
          </w:p>
          <w:p>
            <w:pPr>
              <w:pStyle w:val="TableParagraph"/>
              <w:spacing w:line="240" w:lineRule="auto" w:before="5"/>
              <w:ind w:left="359" w:right="0"/>
              <w:jc w:val="left"/>
              <w:rPr>
                <w:rFonts w:ascii="Times New Roman" w:hAnsi="Times New Roman" w:cs="Times New Roman" w:eastAsia="Times New Roman" w:hint="default"/>
                <w:sz w:val="18"/>
                <w:szCs w:val="18"/>
              </w:rPr>
            </w:pPr>
            <w:r>
              <w:rPr>
                <w:rFonts w:ascii="Times New Roman"/>
                <w:sz w:val="18"/>
              </w:rPr>
              <w:t>43.00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857,755,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943.00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5"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857,755,9</w:t>
            </w:r>
          </w:p>
          <w:p>
            <w:pPr>
              <w:pStyle w:val="TableParagraph"/>
              <w:spacing w:line="240" w:lineRule="auto" w:before="3"/>
              <w:ind w:left="359" w:right="0"/>
              <w:jc w:val="left"/>
              <w:rPr>
                <w:rFonts w:ascii="Times New Roman" w:hAnsi="Times New Roman" w:cs="Times New Roman" w:eastAsia="Times New Roman" w:hint="default"/>
                <w:sz w:val="18"/>
                <w:szCs w:val="18"/>
              </w:rPr>
            </w:pPr>
            <w:r>
              <w:rPr>
                <w:rFonts w:ascii="Times New Roman"/>
                <w:sz w:val="18"/>
              </w:rPr>
              <w:t>43.00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351,905.1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44"/>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5,168,28</w:t>
            </w:r>
          </w:p>
          <w:p>
            <w:pPr>
              <w:pStyle w:val="TableParagraph"/>
              <w:spacing w:line="240" w:lineRule="auto" w:before="102"/>
              <w:ind w:left="28" w:right="0"/>
              <w:jc w:val="left"/>
              <w:rPr>
                <w:rFonts w:ascii="Times New Roman" w:hAnsi="Times New Roman" w:cs="Times New Roman" w:eastAsia="Times New Roman" w:hint="default"/>
                <w:sz w:val="18"/>
                <w:szCs w:val="18"/>
              </w:rPr>
            </w:pPr>
            <w:r>
              <w:rPr>
                <w:rFonts w:ascii="Times New Roman"/>
                <w:sz w:val="18"/>
              </w:rPr>
              <w:t>5,026.00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1,218,9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48,400.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5,494,464</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,777.44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394,788,4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68.43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2,650,6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01,688.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14,927,08</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8,360.05</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440"/>
        <w:gridCol w:w="691"/>
        <w:gridCol w:w="665"/>
        <w:gridCol w:w="665"/>
        <w:gridCol w:w="665"/>
        <w:gridCol w:w="797"/>
        <w:gridCol w:w="799"/>
        <w:gridCol w:w="797"/>
        <w:gridCol w:w="800"/>
        <w:gridCol w:w="797"/>
        <w:gridCol w:w="674"/>
        <w:gridCol w:w="782"/>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307"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15" w:right="2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44"/>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3,558,32</w:t>
            </w:r>
          </w:p>
          <w:p>
            <w:pPr>
              <w:pStyle w:val="TableParagraph"/>
              <w:spacing w:line="240" w:lineRule="auto" w:before="102"/>
              <w:ind w:left="28" w:right="0"/>
              <w:jc w:val="left"/>
              <w:rPr>
                <w:rFonts w:ascii="Times New Roman" w:hAnsi="Times New Roman" w:cs="Times New Roman" w:eastAsia="Times New Roman" w:hint="default"/>
                <w:sz w:val="18"/>
                <w:szCs w:val="18"/>
              </w:rPr>
            </w:pPr>
            <w:r>
              <w:rPr>
                <w:rFonts w:ascii="Times New Roman"/>
                <w:sz w:val="18"/>
              </w:rPr>
              <w:t>1,299.00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6,828,203</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,562.46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265,104,6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73.98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1,711,5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55,984.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12,363,18</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5,519.82</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4" w:right="0"/>
              <w:jc w:val="left"/>
              <w:rPr>
                <w:rFonts w:ascii="宋体" w:hAnsi="宋体" w:cs="宋体" w:eastAsia="宋体" w:hint="default"/>
                <w:sz w:val="18"/>
                <w:szCs w:val="18"/>
              </w:rPr>
            </w:pPr>
            <w:r>
              <w:rPr>
                <w:rFonts w:ascii="宋体" w:hAnsi="宋体" w:cs="宋体" w:eastAsia="宋体" w:hint="default"/>
                <w:sz w:val="18"/>
                <w:szCs w:val="18"/>
              </w:rPr>
              <w:t>加：会计政</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440"/>
        <w:gridCol w:w="691"/>
        <w:gridCol w:w="665"/>
        <w:gridCol w:w="665"/>
        <w:gridCol w:w="665"/>
        <w:gridCol w:w="797"/>
        <w:gridCol w:w="799"/>
        <w:gridCol w:w="797"/>
        <w:gridCol w:w="800"/>
        <w:gridCol w:w="797"/>
        <w:gridCol w:w="674"/>
        <w:gridCol w:w="782"/>
      </w:tblGrid>
      <w:tr>
        <w:trPr>
          <w:trHeight w:val="36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3,558,32</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1,299.00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6,828,203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,562.46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265,104,6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73.98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1,711,5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55,984.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12,363,18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5,519.82</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730,458,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65,239.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5"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595,787,0</w:t>
            </w:r>
          </w:p>
          <w:p>
            <w:pPr>
              <w:pStyle w:val="TableParagraph"/>
              <w:spacing w:line="240" w:lineRule="auto" w:before="3"/>
              <w:ind w:left="359" w:right="0"/>
              <w:jc w:val="left"/>
              <w:rPr>
                <w:rFonts w:ascii="Times New Roman" w:hAnsi="Times New Roman" w:cs="Times New Roman" w:eastAsia="Times New Roman" w:hint="default"/>
                <w:sz w:val="18"/>
                <w:szCs w:val="18"/>
              </w:rPr>
            </w:pPr>
            <w:r>
              <w:rPr>
                <w:rFonts w:ascii="Times New Roman"/>
                <w:sz w:val="18"/>
              </w:rPr>
              <w:t>33.36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46,314,63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274,498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,869.82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1,674,850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,130.61</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463,146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,357.53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463,146,3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57.53</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18,794,1</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65,239.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113,861,4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61.46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1,352,020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,860.86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18,794,1</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60,329,25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79,123,41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3.60</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65,239.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1,219,365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,239.40</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39,532,27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39,532,27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13,999,93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13,999,93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3.86</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46,314,63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7" w:right="19"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188,647</w:t>
            </w:r>
          </w:p>
          <w:p>
            <w:pPr>
              <w:pStyle w:val="TableParagraph"/>
              <w:spacing w:line="240" w:lineRule="auto" w:before="3"/>
              <w:ind w:left="103" w:right="0"/>
              <w:jc w:val="left"/>
              <w:rPr>
                <w:rFonts w:ascii="Times New Roman" w:hAnsi="Times New Roman" w:cs="Times New Roman" w:eastAsia="Times New Roman" w:hint="default"/>
                <w:sz w:val="18"/>
                <w:szCs w:val="18"/>
              </w:rPr>
            </w:pPr>
            <w:r>
              <w:rPr>
                <w:rFonts w:ascii="Times New Roman"/>
                <w:sz w:val="18"/>
              </w:rPr>
              <w:t>,487.71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8"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142,332,8</w:t>
            </w:r>
          </w:p>
          <w:p>
            <w:pPr>
              <w:pStyle w:val="TableParagraph"/>
              <w:spacing w:line="240" w:lineRule="auto" w:before="3"/>
              <w:ind w:left="343" w:right="0"/>
              <w:jc w:val="left"/>
              <w:rPr>
                <w:rFonts w:ascii="Times New Roman" w:hAnsi="Times New Roman" w:cs="Times New Roman" w:eastAsia="Times New Roman" w:hint="default"/>
                <w:sz w:val="18"/>
                <w:szCs w:val="18"/>
              </w:rPr>
            </w:pPr>
            <w:r>
              <w:rPr>
                <w:rFonts w:ascii="Times New Roman"/>
                <w:sz w:val="18"/>
              </w:rPr>
              <w:t>51.96</w:t>
            </w:r>
          </w:p>
        </w:tc>
      </w:tr>
      <w:tr>
        <w:trPr>
          <w:trHeight w:val="10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46,314,63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46,314,</w:t>
            </w:r>
          </w:p>
          <w:p>
            <w:pPr>
              <w:pStyle w:val="TableParagraph"/>
              <w:spacing w:line="240" w:lineRule="auto" w:before="4"/>
              <w:ind w:left="148" w:right="0"/>
              <w:jc w:val="left"/>
              <w:rPr>
                <w:rFonts w:ascii="Times New Roman" w:hAnsi="Times New Roman" w:cs="Times New Roman" w:eastAsia="Times New Roman" w:hint="default"/>
                <w:sz w:val="18"/>
                <w:szCs w:val="18"/>
              </w:rPr>
            </w:pPr>
            <w:r>
              <w:rPr>
                <w:rFonts w:ascii="Times New Roman"/>
                <w:sz w:val="18"/>
              </w:rPr>
              <w:t>635.75</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7" w:right="19"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142,332</w:t>
            </w:r>
          </w:p>
          <w:p>
            <w:pPr>
              <w:pStyle w:val="TableParagraph"/>
              <w:spacing w:line="240" w:lineRule="auto" w:before="3"/>
              <w:ind w:left="103" w:right="0"/>
              <w:jc w:val="left"/>
              <w:rPr>
                <w:rFonts w:ascii="Times New Roman" w:hAnsi="Times New Roman" w:cs="Times New Roman" w:eastAsia="Times New Roman" w:hint="default"/>
                <w:sz w:val="18"/>
                <w:szCs w:val="18"/>
              </w:rPr>
            </w:pPr>
            <w:r>
              <w:rPr>
                <w:rFonts w:ascii="Times New Roman"/>
                <w:sz w:val="18"/>
              </w:rPr>
              <w:t>,851.96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8"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142,332,8</w:t>
            </w:r>
          </w:p>
          <w:p>
            <w:pPr>
              <w:pStyle w:val="TableParagraph"/>
              <w:spacing w:line="240" w:lineRule="auto" w:before="3"/>
              <w:ind w:left="343" w:right="0"/>
              <w:jc w:val="left"/>
              <w:rPr>
                <w:rFonts w:ascii="Times New Roman" w:hAnsi="Times New Roman" w:cs="Times New Roman" w:eastAsia="Times New Roman" w:hint="default"/>
                <w:sz w:val="18"/>
                <w:szCs w:val="18"/>
              </w:rPr>
            </w:pPr>
            <w:r>
              <w:rPr>
                <w:rFonts w:ascii="Times New Roman"/>
                <w:sz w:val="18"/>
              </w:rPr>
              <w:t>51.96</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711,664,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259.00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2" w:right="19" w:firstLine="653"/>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711,664,2</w:t>
            </w:r>
          </w:p>
          <w:p>
            <w:pPr>
              <w:pStyle w:val="TableParagraph"/>
              <w:spacing w:line="240" w:lineRule="auto" w:before="3"/>
              <w:ind w:left="359" w:right="0"/>
              <w:jc w:val="left"/>
              <w:rPr>
                <w:rFonts w:ascii="Times New Roman" w:hAnsi="Times New Roman" w:cs="Times New Roman" w:eastAsia="Times New Roman" w:hint="default"/>
                <w:sz w:val="18"/>
                <w:szCs w:val="18"/>
              </w:rPr>
            </w:pPr>
            <w:r>
              <w:rPr>
                <w:rFonts w:ascii="Times New Roman"/>
                <w:sz w:val="18"/>
              </w:rPr>
              <w:t>59.00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711,664,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2" w:right="19" w:firstLine="653"/>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711,664,2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440"/>
        <w:gridCol w:w="691"/>
        <w:gridCol w:w="665"/>
        <w:gridCol w:w="665"/>
        <w:gridCol w:w="665"/>
        <w:gridCol w:w="797"/>
        <w:gridCol w:w="799"/>
        <w:gridCol w:w="797"/>
        <w:gridCol w:w="800"/>
        <w:gridCol w:w="797"/>
        <w:gridCol w:w="674"/>
        <w:gridCol w:w="782"/>
      </w:tblGrid>
      <w:tr>
        <w:trPr>
          <w:trHeight w:val="36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5" w:right="0"/>
              <w:jc w:val="left"/>
              <w:rPr>
                <w:rFonts w:ascii="Times New Roman" w:hAnsi="Times New Roman" w:cs="Times New Roman" w:eastAsia="Times New Roman" w:hint="default"/>
                <w:sz w:val="18"/>
                <w:szCs w:val="18"/>
              </w:rPr>
            </w:pPr>
            <w:r>
              <w:rPr>
                <w:rFonts w:ascii="Times New Roman"/>
                <w:sz w:val="18"/>
              </w:rPr>
              <w:t>259.00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59.00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2,015,764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2,015,764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4,288,77</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9,718.00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65,239.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6,232,416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,529.10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311,419,3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09.73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54,854.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14,038,03</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5,650.43</w:t>
            </w:r>
          </w:p>
        </w:tc>
      </w:tr>
    </w:tbl>
    <w:p>
      <w:pPr>
        <w:spacing w:line="240" w:lineRule="auto" w:before="6"/>
        <w:rPr>
          <w:rFonts w:ascii="Times New Roman" w:hAnsi="Times New Roman" w:cs="Times New Roman" w:eastAsia="Times New Roman" w:hint="default"/>
          <w:sz w:val="20"/>
          <w:szCs w:val="20"/>
        </w:rPr>
      </w:pPr>
    </w:p>
    <w:p>
      <w:pPr>
        <w:pStyle w:val="Heading3"/>
        <w:spacing w:line="240" w:lineRule="auto" w:before="26"/>
        <w:ind w:right="1114"/>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1114"/>
        <w:jc w:val="left"/>
        <w:rPr>
          <w:b w:val="0"/>
          <w:bCs w:val="0"/>
        </w:rPr>
      </w:pPr>
      <w:r>
        <w:rPr/>
        <w:t>（一）公司概况</w:t>
      </w:r>
      <w:r>
        <w:rPr>
          <w:b w:val="0"/>
          <w:bCs w:val="0"/>
        </w:rPr>
      </w:r>
    </w:p>
    <w:p>
      <w:pPr>
        <w:pStyle w:val="BodyText"/>
        <w:spacing w:line="266" w:lineRule="auto" w:before="37"/>
        <w:ind w:left="866" w:right="1114"/>
        <w:jc w:val="left"/>
      </w:pPr>
      <w:r>
        <w:rPr>
          <w:spacing w:val="-2"/>
        </w:rPr>
        <w:t>公司前身系上海东财信息技术有限公司，</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日改制为股份有限公司，</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日由</w:t>
      </w:r>
      <w:r>
        <w:rPr>
          <w:spacing w:val="-11"/>
        </w:rPr>
        <w:t> </w:t>
      </w:r>
      <w:r>
        <w:rPr/>
        <w:t>上海东财信息技术股份有限公司更名为东方财富信息股份有限公司。</w:t>
      </w:r>
      <w:r>
        <w:rPr>
          <w:w w:val="100"/>
        </w:rPr>
        <w:t> </w:t>
      </w:r>
      <w:r>
        <w:rPr>
          <w:spacing w:val="-2"/>
        </w:rPr>
        <w:t>根据公司</w:t>
      </w:r>
      <w:r>
        <w:rPr>
          <w:rFonts w:ascii="Times New Roman" w:hAnsi="Times New Roman" w:cs="Times New Roman" w:eastAsia="Times New Roman" w:hint="default"/>
          <w:spacing w:val="-2"/>
        </w:rPr>
        <w:t>2009</w:t>
      </w:r>
      <w:r>
        <w:rPr>
          <w:spacing w:val="-2"/>
        </w:rPr>
        <w:t>年第二次临时股东大会决议，并经中国证监会以证监许可</w:t>
      </w:r>
      <w:r>
        <w:rPr>
          <w:rFonts w:ascii="Times New Roman" w:hAnsi="Times New Roman" w:cs="Times New Roman" w:eastAsia="Times New Roman" w:hint="default"/>
          <w:spacing w:val="-2"/>
        </w:rPr>
        <w:t>[2010]249</w:t>
      </w:r>
      <w:r>
        <w:rPr>
          <w:spacing w:val="-2"/>
        </w:rPr>
        <w:t>号《关于核准东</w:t>
      </w:r>
      <w:r>
        <w:rPr>
          <w:spacing w:val="-17"/>
        </w:rPr>
        <w:t> </w:t>
      </w:r>
      <w:r>
        <w:rPr>
          <w:spacing w:val="-17"/>
        </w:rPr>
      </w:r>
      <w:r>
        <w:rPr>
          <w:spacing w:val="-2"/>
        </w:rPr>
        <w:t>方财富信息股份有限公司首次公开发行股票并在创业板上市的批复》核准，公司向社会公开发行</w:t>
      </w:r>
      <w:r>
        <w:rPr>
          <w:spacing w:val="-25"/>
        </w:rPr>
        <w:t> </w:t>
      </w:r>
      <w:r>
        <w:rPr>
          <w:spacing w:val="-25"/>
        </w:rPr>
      </w:r>
      <w:r>
        <w:rPr/>
        <w:t>人民币普通股</w:t>
      </w:r>
      <w:r>
        <w:rPr>
          <w:rFonts w:ascii="Times New Roman" w:hAnsi="Times New Roman" w:cs="Times New Roman" w:eastAsia="Times New Roman" w:hint="default"/>
        </w:rPr>
        <w:t>35,000,000</w:t>
      </w:r>
      <w:r>
        <w:rPr/>
        <w:t>股，增加注册资本</w:t>
      </w:r>
      <w:r>
        <w:rPr>
          <w:rFonts w:ascii="Times New Roman" w:hAnsi="Times New Roman" w:cs="Times New Roman" w:eastAsia="Times New Roman" w:hint="default"/>
        </w:rPr>
        <w:t>35,000,000.00</w:t>
      </w:r>
      <w:r>
        <w:rPr/>
        <w:t>元，变更后的注册资本为人民币</w:t>
      </w:r>
      <w:r>
        <w:rPr>
          <w:w w:val="100"/>
        </w:rPr>
        <w:t> </w:t>
      </w:r>
      <w:r>
        <w:rPr>
          <w:rFonts w:ascii="Times New Roman" w:hAnsi="Times New Roman" w:cs="Times New Roman" w:eastAsia="Times New Roman" w:hint="default"/>
          <w:spacing w:val="-2"/>
        </w:rPr>
        <w:t>140,000,000.00</w:t>
      </w:r>
      <w:r>
        <w:rPr>
          <w:spacing w:val="-2"/>
        </w:rPr>
        <w:t>元。公司于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19</w:t>
      </w:r>
      <w:r>
        <w:rPr>
          <w:spacing w:val="-2"/>
        </w:rPr>
        <w:t>日在深交所挂牌交易，并于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日在上海市工商行</w:t>
      </w:r>
      <w:r>
        <w:rPr>
          <w:spacing w:val="-4"/>
        </w:rPr>
        <w:t> </w:t>
      </w:r>
      <w:r>
        <w:rPr>
          <w:spacing w:val="-4"/>
        </w:rPr>
      </w:r>
      <w:r>
        <w:rPr/>
        <w:t>政管理局取得相同注册号的《企业法人营业执照》。</w:t>
      </w:r>
      <w:r>
        <w:rPr>
          <w:w w:val="100"/>
        </w:rPr>
        <w:t> </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日止，公司累计发行股本总数</w:t>
      </w:r>
      <w:r>
        <w:rPr>
          <w:rFonts w:ascii="Times New Roman" w:hAnsi="Times New Roman" w:cs="Times New Roman" w:eastAsia="Times New Roman" w:hint="default"/>
        </w:rPr>
        <w:t>5,168,285,026</w:t>
      </w:r>
      <w:r>
        <w:rPr/>
        <w:t>股，注册资本为</w:t>
      </w:r>
      <w:r>
        <w:rPr>
          <w:rFonts w:ascii="Times New Roman" w:hAnsi="Times New Roman" w:cs="Times New Roman" w:eastAsia="Times New Roman" w:hint="default"/>
        </w:rPr>
        <w:t>5,168,265,162.00</w:t>
      </w:r>
      <w:r>
        <w:rPr>
          <w:rFonts w:ascii="Times New Roman" w:hAnsi="Times New Roman" w:cs="Times New Roman" w:eastAsia="Times New Roman" w:hint="default"/>
          <w:w w:val="100"/>
        </w:rPr>
        <w:t> </w:t>
      </w:r>
      <w:r>
        <w:rPr/>
        <w:t>元，注册地：上海市嘉定区宝安公路</w:t>
      </w:r>
      <w:r>
        <w:rPr>
          <w:rFonts w:ascii="Times New Roman" w:hAnsi="Times New Roman" w:cs="Times New Roman" w:eastAsia="Times New Roman" w:hint="default"/>
        </w:rPr>
        <w:t>2999</w:t>
      </w:r>
      <w:r>
        <w:rPr/>
        <w:t>号</w:t>
      </w:r>
      <w:r>
        <w:rPr>
          <w:rFonts w:ascii="Times New Roman" w:hAnsi="Times New Roman" w:cs="Times New Roman" w:eastAsia="Times New Roman" w:hint="default"/>
        </w:rPr>
        <w:t>1</w:t>
      </w:r>
      <w:r>
        <w:rPr/>
        <w:t>幢，经营地址：上海市徐汇区宛平南路</w:t>
      </w:r>
      <w:r>
        <w:rPr>
          <w:rFonts w:ascii="Times New Roman" w:hAnsi="Times New Roman" w:cs="Times New Roman" w:eastAsia="Times New Roman" w:hint="default"/>
        </w:rPr>
        <w:t>88</w:t>
      </w:r>
      <w:r>
        <w:rPr/>
        <w:t>号金座。</w:t>
      </w:r>
      <w:r>
        <w:rPr>
          <w:w w:val="100"/>
        </w:rPr>
        <w:t> </w:t>
      </w:r>
      <w:r>
        <w:rPr>
          <w:spacing w:val="-2"/>
        </w:rPr>
        <w:t>公司主要经营活动为：证券业务、金融电子商务服务业务、金融数据服务业务、互联网广告服务</w:t>
      </w:r>
      <w:r>
        <w:rPr>
          <w:spacing w:val="-25"/>
        </w:rPr>
        <w:t> </w:t>
      </w:r>
      <w:r>
        <w:rPr>
          <w:spacing w:val="-25"/>
        </w:rPr>
      </w:r>
      <w:r>
        <w:rPr/>
        <w:t>业务等。</w:t>
      </w:r>
      <w:r>
        <w:rPr>
          <w:w w:val="100"/>
        </w:rPr>
        <w:t> </w:t>
      </w:r>
      <w:r>
        <w:rPr>
          <w:spacing w:val="-2"/>
        </w:rPr>
        <w:t>公司经营范围：第二类增值电信业务中的呼叫中心业务和信息服务业务（以经营许可证为准），</w:t>
      </w:r>
      <w:r>
        <w:rPr>
          <w:spacing w:val="-25"/>
        </w:rPr>
        <w:t> </w:t>
      </w:r>
      <w:r>
        <w:rPr>
          <w:spacing w:val="-25"/>
        </w:rPr>
      </w:r>
      <w:r>
        <w:rPr>
          <w:spacing w:val="-2"/>
        </w:rPr>
        <w:t>企业投资咨询、策划，商务咨询，会务会展咨询服务，计算机软硬件及网络系统的技术开发、技</w:t>
      </w:r>
      <w:r>
        <w:rPr>
          <w:spacing w:val="-25"/>
        </w:rPr>
        <w:t> </w:t>
      </w:r>
      <w:r>
        <w:rPr>
          <w:spacing w:val="-25"/>
        </w:rPr>
      </w:r>
      <w:r>
        <w:rPr>
          <w:spacing w:val="-2"/>
        </w:rPr>
        <w:t>术服务、技术咨询、技术转让，设计、制作、发布、代理国内外各类广告，经营性互联网文化信</w:t>
      </w:r>
      <w:r>
        <w:rPr>
          <w:spacing w:val="-25"/>
        </w:rPr>
        <w:t> </w:t>
      </w:r>
      <w:r>
        <w:rPr>
          <w:spacing w:val="-25"/>
        </w:rPr>
      </w:r>
      <w:r>
        <w:rPr/>
        <w:t>息服务，自有房屋租赁。【依法须经批准的项目，经相关部门批准后方可开展经营活动】</w:t>
      </w:r>
      <w:r>
        <w:rPr>
          <w:w w:val="100"/>
        </w:rPr>
        <w:t> </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日，子公司东方财富证券经批准设立的分公司为</w:t>
      </w:r>
      <w:r>
        <w:rPr>
          <w:rFonts w:ascii="Times New Roman" w:hAnsi="Times New Roman" w:cs="Times New Roman" w:eastAsia="Times New Roman" w:hint="default"/>
        </w:rPr>
        <w:t>11</w:t>
      </w:r>
      <w:r>
        <w:rPr/>
        <w:t>家，证券营业部</w:t>
      </w:r>
      <w:r>
        <w:rPr>
          <w:rFonts w:ascii="Times New Roman" w:hAnsi="Times New Roman" w:cs="Times New Roman" w:eastAsia="Times New Roman" w:hint="default"/>
        </w:rPr>
        <w:t>127</w:t>
      </w:r>
      <w:r>
        <w:rPr/>
        <w:t>家。</w:t>
      </w:r>
      <w:r>
        <w:rPr>
          <w:spacing w:val="-3"/>
          <w:w w:val="100"/>
        </w:rPr>
        <w:t> </w:t>
      </w:r>
      <w:r>
        <w:rPr/>
        <w:t>本财务报表业经公司全体董事（董事会）于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日批准报出。</w:t>
      </w:r>
    </w:p>
    <w:p>
      <w:pPr>
        <w:pStyle w:val="Heading5"/>
        <w:spacing w:line="271" w:lineRule="exact" w:before="0"/>
        <w:ind w:right="1114"/>
        <w:jc w:val="left"/>
        <w:rPr>
          <w:b w:val="0"/>
          <w:bCs w:val="0"/>
        </w:rPr>
      </w:pPr>
      <w:r>
        <w:rPr/>
        <w:t>（二）合并财务报表范围</w:t>
      </w:r>
      <w:r>
        <w:rPr>
          <w:b w:val="0"/>
          <w:bCs w:val="0"/>
        </w:rPr>
      </w:r>
    </w:p>
    <w:p>
      <w:pPr>
        <w:pStyle w:val="BodyText"/>
        <w:spacing w:line="240" w:lineRule="auto" w:before="37"/>
        <w:ind w:left="866" w:right="1114"/>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after="0" w:line="240" w:lineRule="auto"/>
        <w:jc w:val="left"/>
        <w:sectPr>
          <w:pgSz w:w="11910" w:h="16840"/>
          <w:pgMar w:header="852" w:footer="979" w:top="1320" w:bottom="1160" w:left="980" w:right="0"/>
        </w:sectPr>
      </w:pPr>
    </w:p>
    <w:tbl>
      <w:tblPr>
        <w:tblW w:w="0" w:type="auto"/>
        <w:jc w:val="left"/>
        <w:tblInd w:w="878" w:type="dxa"/>
        <w:tblLayout w:type="fixed"/>
        <w:tblCellMar>
          <w:top w:w="0" w:type="dxa"/>
          <w:left w:w="0" w:type="dxa"/>
          <w:bottom w:w="0" w:type="dxa"/>
          <w:right w:w="0" w:type="dxa"/>
        </w:tblCellMar>
        <w:tblLook w:val="01E0"/>
      </w:tblPr>
      <w:tblGrid>
        <w:gridCol w:w="7612"/>
      </w:tblGrid>
      <w:tr>
        <w:trPr>
          <w:trHeight w:val="483" w:hRule="exact"/>
        </w:trPr>
        <w:tc>
          <w:tcPr>
            <w:tcW w:w="7612" w:type="dxa"/>
            <w:tcBorders>
              <w:top w:val="single" w:sz="6" w:space="0" w:color="000000"/>
              <w:left w:val="nil" w:sz="6" w:space="0" w:color="auto"/>
              <w:bottom w:val="single" w:sz="12" w:space="0" w:color="000000"/>
              <w:right w:val="nil" w:sz="6" w:space="0" w:color="auto"/>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0"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r>
      <w:tr>
        <w:trPr>
          <w:trHeight w:val="353"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r>
      <w:tr>
        <w:trPr>
          <w:trHeight w:val="353"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上海东方财富金融数据服务有限公司</w:t>
            </w:r>
          </w:p>
        </w:tc>
      </w:tr>
      <w:tr>
        <w:trPr>
          <w:trHeight w:val="350"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北京京东财信息科技有限公司</w:t>
            </w:r>
          </w:p>
        </w:tc>
      </w:tr>
      <w:tr>
        <w:trPr>
          <w:trHeight w:val="353"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广州东财信息科技有限公司</w:t>
            </w:r>
          </w:p>
        </w:tc>
      </w:tr>
      <w:tr>
        <w:trPr>
          <w:trHeight w:val="353"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上海东方财富置业有限公司</w:t>
            </w:r>
          </w:p>
        </w:tc>
      </w:tr>
      <w:tr>
        <w:trPr>
          <w:trHeight w:val="350"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r>
      <w:tr>
        <w:trPr>
          <w:trHeight w:val="353"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上海长盛电子商务有限公司</w:t>
            </w:r>
          </w:p>
        </w:tc>
      </w:tr>
      <w:tr>
        <w:trPr>
          <w:trHeight w:val="353"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上海东鑫互联网金融服务有限公司</w:t>
            </w:r>
          </w:p>
        </w:tc>
      </w:tr>
      <w:tr>
        <w:trPr>
          <w:trHeight w:val="351"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上海微兆信息科技有限公司</w:t>
            </w:r>
          </w:p>
        </w:tc>
      </w:tr>
      <w:tr>
        <w:trPr>
          <w:trHeight w:val="353"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扬州东方财富金融信息服务有限公司</w:t>
            </w:r>
          </w:p>
        </w:tc>
      </w:tr>
      <w:tr>
        <w:trPr>
          <w:trHeight w:val="353"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东方财富征信有限公司</w:t>
            </w:r>
          </w:p>
        </w:tc>
      </w:tr>
      <w:tr>
        <w:trPr>
          <w:trHeight w:val="350"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浪客网络科技有限公司</w:t>
            </w:r>
          </w:p>
        </w:tc>
      </w:tr>
      <w:tr>
        <w:trPr>
          <w:trHeight w:val="353"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南京东方财富信息技术有限公司</w:t>
            </w:r>
          </w:p>
        </w:tc>
      </w:tr>
      <w:tr>
        <w:trPr>
          <w:trHeight w:val="353"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西藏东方财富证券股份有限公司</w:t>
            </w:r>
          </w:p>
        </w:tc>
      </w:tr>
      <w:tr>
        <w:trPr>
          <w:trHeight w:val="350"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r>
      <w:tr>
        <w:trPr>
          <w:trHeight w:val="353"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东方财富国际证券有限公司（注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53"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东方财富金融有限公司（注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50"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东方财富国际期货有限公司（注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53"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深圳东财金融数据服务有限公司（注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53"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上海东方财富期货有限公司（注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350"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西藏东方财富投资管理有限公司（注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353"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上海徐汇东方财富小额贷款有限公司</w:t>
            </w:r>
          </w:p>
        </w:tc>
      </w:tr>
      <w:tr>
        <w:trPr>
          <w:trHeight w:val="353" w:hRule="exact"/>
        </w:trPr>
        <w:tc>
          <w:tcPr>
            <w:tcW w:w="76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西藏东财基金管理有限公司（注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bl>
    <w:p>
      <w:pPr>
        <w:spacing w:line="240" w:lineRule="auto" w:before="2"/>
        <w:rPr>
          <w:rFonts w:ascii="宋体" w:hAnsi="宋体" w:cs="宋体" w:eastAsia="宋体" w:hint="default"/>
          <w:sz w:val="20"/>
          <w:szCs w:val="20"/>
        </w:rPr>
      </w:pPr>
      <w:r>
        <w:rPr/>
        <w:pict>
          <v:group style="position:absolute;margin-left:55.200001pt;margin-top:65.999985pt;width:484.95pt;height:.1pt;mso-position-horizontal-relative:page;mso-position-vertical-relative:page;z-index:-871312" coordorigin="1104,1320" coordsize="9699,2">
            <v:shape style="position:absolute;left:1104;top:1320;width:9699;height:2" coordorigin="1104,1320" coordsize="9699,0" path="m1104,1320l10802,1320e" filled="false" stroked="true" strokeweight=".72pt" strokecolor="#000000">
              <v:path arrowok="t"/>
            </v:shape>
            <w10:wrap type="none"/>
          </v:group>
        </w:pict>
      </w:r>
    </w:p>
    <w:p>
      <w:pPr>
        <w:pStyle w:val="BodyText"/>
        <w:spacing w:line="264" w:lineRule="auto" w:before="36"/>
        <w:ind w:left="866" w:right="1114"/>
        <w:jc w:val="left"/>
      </w:pPr>
      <w:r>
        <w:rPr>
          <w:spacing w:val="-2"/>
        </w:rPr>
        <w:t>注</w:t>
      </w:r>
      <w:r>
        <w:rPr>
          <w:rFonts w:ascii="Times New Roman" w:hAnsi="Times New Roman" w:cs="Times New Roman" w:eastAsia="Times New Roman" w:hint="default"/>
          <w:spacing w:val="-2"/>
        </w:rPr>
        <w:t>1.</w:t>
      </w:r>
      <w:r>
        <w:rPr>
          <w:spacing w:val="-2"/>
        </w:rPr>
        <w:t>东方财富国际证券有限公司、东方财富金融有限公司、东方财富国际期货有限公司系子公司</w:t>
      </w:r>
      <w:r>
        <w:rPr>
          <w:spacing w:val="-24"/>
        </w:rPr>
        <w:t> </w:t>
      </w:r>
      <w:r>
        <w:rPr>
          <w:spacing w:val="-24"/>
        </w:rPr>
      </w:r>
      <w:r>
        <w:rPr/>
        <w:t>东方财富（香港）有限公司的全资子公司。</w:t>
      </w:r>
      <w:r>
        <w:rPr>
          <w:w w:val="100"/>
        </w:rPr>
        <w:t> </w:t>
      </w:r>
      <w:r>
        <w:rPr/>
        <w:t>注</w:t>
      </w:r>
      <w:r>
        <w:rPr>
          <w:rFonts w:ascii="Times New Roman" w:hAnsi="Times New Roman" w:cs="Times New Roman" w:eastAsia="Times New Roman" w:hint="default"/>
        </w:rPr>
        <w:t>2.</w:t>
      </w:r>
      <w:r>
        <w:rPr/>
        <w:t>深圳东财金融数据服务有限公司系子公司上海东方财富金融数据服务有限公司的全资子公</w:t>
      </w:r>
      <w:r>
        <w:rPr>
          <w:w w:val="100"/>
        </w:rPr>
        <w:t> </w:t>
      </w:r>
      <w:r>
        <w:rPr/>
        <w:t>司。</w:t>
      </w:r>
      <w:r>
        <w:rPr>
          <w:spacing w:val="-103"/>
        </w:rPr>
        <w:t> </w:t>
      </w:r>
      <w:r>
        <w:rPr>
          <w:spacing w:val="-2"/>
        </w:rPr>
        <w:t>注</w:t>
      </w:r>
      <w:r>
        <w:rPr>
          <w:rFonts w:ascii="Times New Roman" w:hAnsi="Times New Roman" w:cs="Times New Roman" w:eastAsia="Times New Roman" w:hint="default"/>
          <w:spacing w:val="-2"/>
        </w:rPr>
        <w:t>3.</w:t>
      </w:r>
      <w:r>
        <w:rPr>
          <w:spacing w:val="-2"/>
        </w:rPr>
        <w:t>上海东方财富期货有限公司、西藏东方财富投资管理有限公司、西藏东财基金管理有限公司</w:t>
      </w:r>
      <w:r>
        <w:rPr>
          <w:spacing w:val="-24"/>
        </w:rPr>
        <w:t> </w:t>
      </w:r>
      <w:r>
        <w:rPr>
          <w:spacing w:val="-24"/>
        </w:rPr>
      </w:r>
      <w:r>
        <w:rPr/>
        <w:t>系子公司东方财富证券的全资子公司。</w:t>
      </w:r>
    </w:p>
    <w:p>
      <w:pPr>
        <w:spacing w:line="240" w:lineRule="auto" w:before="1"/>
        <w:rPr>
          <w:rFonts w:ascii="宋体" w:hAnsi="宋体" w:cs="宋体" w:eastAsia="宋体" w:hint="default"/>
          <w:sz w:val="25"/>
          <w:szCs w:val="25"/>
        </w:rPr>
      </w:pPr>
    </w:p>
    <w:p>
      <w:pPr>
        <w:pStyle w:val="BodyText"/>
        <w:spacing w:line="256" w:lineRule="auto"/>
        <w:ind w:left="866" w:right="1114"/>
        <w:jc w:val="left"/>
      </w:pP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日，本公司纳入合并范围的结构化主体：</w:t>
      </w:r>
      <w:r>
        <w:rPr>
          <w:w w:val="100"/>
        </w:rPr>
        <w:t> </w:t>
      </w:r>
      <w:r>
        <w:rPr>
          <w:spacing w:val="-2"/>
        </w:rPr>
        <w:t>本公司子公司东方财富证券以自有资金</w:t>
      </w:r>
      <w:r>
        <w:rPr>
          <w:rFonts w:ascii="Times New Roman" w:hAnsi="Times New Roman" w:cs="Times New Roman" w:eastAsia="Times New Roman" w:hint="default"/>
          <w:spacing w:val="-2"/>
        </w:rPr>
        <w:t>4,720.00</w:t>
      </w:r>
      <w:r>
        <w:rPr>
          <w:spacing w:val="-2"/>
        </w:rPr>
        <w:t>万元认购</w:t>
      </w:r>
      <w:r>
        <w:rPr>
          <w:rFonts w:ascii="Times New Roman" w:hAnsi="Times New Roman" w:cs="Times New Roman" w:eastAsia="Times New Roman" w:hint="default"/>
          <w:spacing w:val="-2"/>
        </w:rPr>
        <w:t>“</w:t>
      </w:r>
      <w:r>
        <w:rPr>
          <w:spacing w:val="-2"/>
        </w:rPr>
        <w:t>爱建信托钱潮</w:t>
      </w:r>
      <w:r>
        <w:rPr>
          <w:rFonts w:ascii="Times New Roman" w:hAnsi="Times New Roman" w:cs="Times New Roman" w:eastAsia="Times New Roman" w:hint="default"/>
          <w:spacing w:val="-2"/>
        </w:rPr>
        <w:t>3</w:t>
      </w:r>
      <w:r>
        <w:rPr>
          <w:spacing w:val="-2"/>
        </w:rPr>
        <w:t>号东方财富事务管理单一</w:t>
      </w:r>
      <w:r>
        <w:rPr>
          <w:spacing w:val="-16"/>
        </w:rPr>
        <w:t> </w:t>
      </w:r>
      <w:r>
        <w:rPr>
          <w:spacing w:val="-16"/>
        </w:rPr>
      </w:r>
      <w:r>
        <w:rPr/>
        <w:t>资金信托</w:t>
      </w:r>
      <w:r>
        <w:rPr>
          <w:rFonts w:ascii="Times New Roman" w:hAnsi="Times New Roman" w:cs="Times New Roman" w:eastAsia="Times New Roman" w:hint="default"/>
        </w:rPr>
        <w:t>”</w:t>
      </w:r>
      <w:r>
        <w:rPr/>
        <w:t>，占比</w:t>
      </w:r>
      <w:r>
        <w:rPr>
          <w:rFonts w:ascii="Times New Roman" w:hAnsi="Times New Roman" w:cs="Times New Roman" w:eastAsia="Times New Roman" w:hint="default"/>
        </w:rPr>
        <w:t>100.00%</w:t>
      </w:r>
      <w:r>
        <w:rPr/>
        <w:t>。</w:t>
      </w:r>
      <w:r>
        <w:rPr>
          <w:w w:val="100"/>
        </w:rPr>
        <w:t> </w:t>
      </w: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48"/>
        </w:rPr>
        <w:t> </w:t>
      </w:r>
      <w:r>
        <w:rPr>
          <w:rFonts w:ascii="Times New Roman" w:hAnsi="Times New Roman" w:cs="Times New Roman" w:eastAsia="Times New Roman" w:hint="default"/>
        </w:rPr>
        <w:t>“</w:t>
      </w:r>
      <w:r>
        <w:rPr/>
        <w:t>九、在其他主体中的</w:t>
      </w:r>
      <w:r>
        <w:rPr>
          <w:w w:val="100"/>
        </w:rPr>
        <w:t> </w:t>
      </w:r>
      <w:r>
        <w:rPr/>
        <w:t>权益</w:t>
      </w:r>
      <w:r>
        <w:rPr>
          <w:rFonts w:ascii="Times New Roman" w:hAnsi="Times New Roman" w:cs="Times New Roman" w:eastAsia="Times New Roman" w:hint="default"/>
        </w:rPr>
        <w:t>”</w:t>
      </w:r>
      <w:r>
        <w:rPr/>
        <w:t>。</w:t>
      </w:r>
    </w:p>
    <w:p>
      <w:pPr>
        <w:spacing w:after="0" w:line="256" w:lineRule="auto"/>
        <w:jc w:val="left"/>
        <w:sectPr>
          <w:pgSz w:w="11910" w:h="16840"/>
          <w:pgMar w:header="852" w:footer="979" w:top="1300" w:bottom="116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69"/>
        <w:ind w:right="1114"/>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14"/>
        <w:jc w:val="left"/>
      </w:pPr>
      <w:r>
        <w:rPr/>
        <w:t>公司以持续经营为基础，根据实际发生的交易和事项，按照财政部颁布的《企业会计准则</w:t>
      </w:r>
      <w:r>
        <w:rPr>
          <w:rFonts w:ascii="Times New Roman" w:hAnsi="Times New Roman" w:cs="Times New Roman" w:eastAsia="Times New Roman" w:hint="default"/>
        </w:rPr>
        <w:t>——</w:t>
      </w:r>
      <w:r>
        <w:rPr/>
        <w:t>基本准</w:t>
      </w:r>
      <w:r>
        <w:rPr>
          <w:w w:val="100"/>
        </w:rPr>
        <w:t> </w:t>
      </w:r>
      <w:r>
        <w:rPr>
          <w:spacing w:val="-2"/>
        </w:rPr>
        <w:t>则》和各项具体会计准则、企业会计准则应用指南、企业会计准则解释及其他相关规定（以下合称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w:t>
      </w:r>
      <w:r>
        <w:rPr>
          <w:spacing w:val="-25"/>
        </w:rPr>
        <w:t> </w:t>
      </w:r>
      <w:r>
        <w:rPr/>
        <w:t>会计准则</w:t>
      </w:r>
      <w:r>
        <w:rPr>
          <w:rFonts w:ascii="Times New Roman" w:hAnsi="Times New Roman" w:cs="Times New Roman" w:eastAsia="Times New Roman" w:hint="default"/>
        </w:rPr>
        <w:t>”</w:t>
      </w:r>
      <w:r>
        <w:rPr/>
        <w:t>），以及中国证监会《公开发行证券的公司信息披露编报规则第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w:t>
      </w:r>
      <w:r>
        <w:rPr>
          <w:w w:val="100"/>
        </w:rPr>
        <w:t> </w:t>
      </w:r>
      <w:r>
        <w:rPr/>
        <w:t>定》的披露规定编制财务报表。</w:t>
      </w:r>
    </w:p>
    <w:p>
      <w:pPr>
        <w:spacing w:line="240" w:lineRule="auto" w:before="8"/>
        <w:rPr>
          <w:rFonts w:ascii="宋体" w:hAnsi="宋体" w:cs="宋体" w:eastAsia="宋体" w:hint="default"/>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14"/>
        <w:jc w:val="left"/>
      </w:pPr>
      <w:r>
        <w:rPr>
          <w:spacing w:val="-2"/>
        </w:rPr>
        <w:t>公司综合考虑宏观政策风险、市场经营风险、企业目前或长期的盈利能力、偿债能力、财务弹性等因</w:t>
      </w:r>
      <w:r>
        <w:rPr>
          <w:spacing w:val="-22"/>
        </w:rPr>
        <w:t> </w:t>
      </w:r>
      <w:r>
        <w:rPr>
          <w:spacing w:val="-22"/>
        </w:rPr>
      </w:r>
      <w:r>
        <w:rPr/>
        <w:t>素，认为公司具有自报告期末起至少</w:t>
      </w:r>
      <w:r>
        <w:rPr>
          <w:rFonts w:ascii="Times New Roman" w:hAnsi="Times New Roman" w:cs="Times New Roman" w:eastAsia="Times New Roman" w:hint="default"/>
        </w:rPr>
        <w:t>12</w:t>
      </w:r>
      <w:r>
        <w:rPr/>
        <w:t>个月的持续经营能力。</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1"/>
          <w:szCs w:val="21"/>
        </w:rPr>
      </w:pPr>
    </w:p>
    <w:p>
      <w:pPr>
        <w:pStyle w:val="Heading3"/>
        <w:spacing w:line="240" w:lineRule="auto"/>
        <w:ind w:right="1114"/>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3" w:right="1114" w:firstLine="0"/>
        <w:jc w:val="left"/>
        <w:rPr>
          <w:rFonts w:ascii="宋体" w:hAnsi="宋体" w:cs="宋体" w:eastAsia="宋体" w:hint="default"/>
          <w:sz w:val="18"/>
          <w:szCs w:val="18"/>
        </w:rPr>
      </w:pPr>
      <w:r>
        <w:rPr>
          <w:rFonts w:ascii="宋体" w:hAnsi="宋体" w:cs="宋体" w:eastAsia="宋体" w:hint="default"/>
          <w:sz w:val="18"/>
          <w:szCs w:val="18"/>
        </w:rPr>
        <w:t>电子商务业</w:t>
      </w:r>
    </w:p>
    <w:p>
      <w:pPr>
        <w:pStyle w:val="BodyText"/>
        <w:spacing w:line="240" w:lineRule="auto" w:before="96"/>
        <w:ind w:right="1114"/>
        <w:jc w:val="left"/>
      </w:pPr>
      <w:r>
        <w:rPr/>
        <w:t>以下披露内容已涵盖了本公司根据实际生产经营特点制定的具体会计政策和会计估计，详见本附注。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14"/>
        <w:jc w:val="left"/>
      </w:pPr>
      <w:r>
        <w:rPr>
          <w:spacing w:val="-2"/>
        </w:rPr>
        <w:t>公司所编制的财务报表符合企业会计准则的要求，真实、完整地反映了报告期公司的财务状况、经营成</w:t>
      </w:r>
      <w:r>
        <w:rPr>
          <w:spacing w:val="-21"/>
        </w:rPr>
        <w:t> </w:t>
      </w:r>
      <w:r>
        <w:rPr>
          <w:spacing w:val="-21"/>
        </w:rPr>
      </w:r>
      <w:r>
        <w:rPr/>
        <w:t>果、现金流量等有关信息。</w:t>
      </w:r>
    </w:p>
    <w:p>
      <w:pPr>
        <w:spacing w:line="240" w:lineRule="auto" w:before="7"/>
        <w:rPr>
          <w:rFonts w:ascii="宋体" w:hAnsi="宋体" w:cs="宋体" w:eastAsia="宋体" w:hint="default"/>
          <w:sz w:val="23"/>
          <w:szCs w:val="23"/>
        </w:rPr>
      </w:pPr>
    </w:p>
    <w:p>
      <w:pPr>
        <w:spacing w:line="506" w:lineRule="auto" w:before="0"/>
        <w:ind w:left="153" w:right="64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日止为一个会计年度。</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66"/>
        <w:ind w:right="1114"/>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spacing w:line="506" w:lineRule="auto" w:before="0"/>
        <w:ind w:left="153" w:right="64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本公司采用人民币为记账本位币。</w:t>
      </w:r>
    </w:p>
    <w:p>
      <w:pPr>
        <w:spacing w:after="0" w:line="506" w:lineRule="auto"/>
        <w:jc w:val="left"/>
        <w:rPr>
          <w:rFonts w:ascii="宋体" w:hAnsi="宋体" w:cs="宋体" w:eastAsia="宋体" w:hint="default"/>
          <w:sz w:val="21"/>
          <w:szCs w:val="21"/>
        </w:rPr>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Heading5"/>
        <w:spacing w:line="240" w:lineRule="auto"/>
        <w:ind w:right="111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14"/>
        <w:jc w:val="left"/>
      </w:pPr>
      <w:r>
        <w:rPr>
          <w:spacing w:val="-2"/>
        </w:rPr>
        <w:t>同一控制下企业合并：本公司在企业合并中取得的资产和负债，按照合并日被合并方资产、负债（包括</w:t>
      </w:r>
      <w:r>
        <w:rPr>
          <w:spacing w:val="-21"/>
        </w:rPr>
        <w:t> </w:t>
      </w:r>
      <w:r>
        <w:rPr>
          <w:spacing w:val="-21"/>
        </w:rPr>
      </w:r>
      <w:r>
        <w:rPr>
          <w:spacing w:val="-2"/>
        </w:rPr>
        <w:t>最终控制方收购被合并方而形成的商誉）在最终控制方合并财务报表中的账面价值计量。在合并中取得</w:t>
      </w:r>
      <w:r>
        <w:rPr>
          <w:spacing w:val="-21"/>
        </w:rPr>
        <w:t> </w:t>
      </w:r>
      <w:r>
        <w:rPr>
          <w:spacing w:val="-21"/>
        </w:rPr>
      </w:r>
      <w:r>
        <w:rPr>
          <w:spacing w:val="-2"/>
        </w:rPr>
        <w:t>的净资产账面价值与支付的合并对价账面价值（或发行股份面值总额）的差额，调整资本公积中的股本</w:t>
      </w:r>
      <w:r>
        <w:rPr>
          <w:spacing w:val="-21"/>
        </w:rPr>
        <w:t> </w:t>
      </w:r>
      <w:r>
        <w:rPr>
          <w:spacing w:val="-21"/>
        </w:rPr>
      </w:r>
      <w:r>
        <w:rPr/>
        <w:t>溢价，资本公积中的股本溢价不足冲减的，调整留存收益。</w:t>
      </w:r>
      <w:r>
        <w:rPr>
          <w:w w:val="100"/>
        </w:rPr>
        <w:t> </w:t>
      </w:r>
      <w:r>
        <w:rPr>
          <w:spacing w:val="-2"/>
        </w:rPr>
        <w:t>非同一控制下企业合并：本公司在购买日对作为企业合并对价付出的资产、发生或承担的负债按照公允</w:t>
      </w:r>
      <w:r>
        <w:rPr>
          <w:spacing w:val="-21"/>
        </w:rPr>
        <w:t> </w:t>
      </w:r>
      <w:r>
        <w:rPr>
          <w:spacing w:val="-21"/>
        </w:rPr>
      </w:r>
      <w:r>
        <w:rPr>
          <w:spacing w:val="-2"/>
        </w:rPr>
        <w:t>价值计量，公允价值与其账面价值的差额，计入当期损益。本公司对合并成本大于合并中取得的被购买</w:t>
      </w:r>
      <w:r>
        <w:rPr>
          <w:spacing w:val="-21"/>
        </w:rPr>
        <w:t> </w:t>
      </w:r>
      <w:r>
        <w:rPr>
          <w:spacing w:val="-21"/>
        </w:rPr>
      </w:r>
      <w:r>
        <w:rPr>
          <w:spacing w:val="-2"/>
        </w:rPr>
        <w:t>方可辨认净资产公允价值份额的差额，确认为商誉；合并成本小于合并中取得的被购买方可辨认净资产</w:t>
      </w:r>
      <w:r>
        <w:rPr>
          <w:spacing w:val="-21"/>
        </w:rPr>
        <w:t> </w:t>
      </w:r>
      <w:r>
        <w:rPr>
          <w:spacing w:val="-21"/>
        </w:rPr>
      </w:r>
      <w:r>
        <w:rPr/>
        <w:t>公允价值份额的差额，经复核后，计入当期损益。</w:t>
      </w:r>
      <w:r>
        <w:rPr>
          <w:w w:val="100"/>
        </w:rPr>
        <w:t> </w:t>
      </w:r>
      <w:r>
        <w:rPr>
          <w:spacing w:val="-2"/>
        </w:rPr>
        <w:t>为企业合并发生的审计、法律服务、评估咨询等中介费用以及其他直接相关费用，于发生时计入当期损</w:t>
      </w:r>
      <w:r>
        <w:rPr>
          <w:spacing w:val="-21"/>
        </w:rPr>
        <w:t> </w:t>
      </w:r>
      <w:r>
        <w:rPr>
          <w:spacing w:val="-21"/>
        </w:rPr>
      </w:r>
      <w:r>
        <w:rPr/>
        <w:t>益；为企业合并而发行权益性证券的交易费用，冲减权益。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before="0"/>
        <w:ind w:right="111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right="111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100"/>
        </w:rPr>
        <w:t> </w:t>
      </w:r>
      <w:r>
        <w:rPr>
          <w:spacing w:val="-2"/>
        </w:rPr>
        <w:t>本公司合并财务报表的合并范围以控制为基础确定，所有子公司（包括本公司所控制的被投资方可分割</w:t>
      </w:r>
      <w:r>
        <w:rPr>
          <w:spacing w:val="-21"/>
        </w:rPr>
        <w:t> </w:t>
      </w:r>
      <w:r>
        <w:rPr>
          <w:spacing w:val="-21"/>
        </w:rPr>
      </w:r>
      <w:r>
        <w:rPr/>
        <w:t>的部分）均纳入合并财务报表。</w:t>
      </w:r>
    </w:p>
    <w:p>
      <w:pPr>
        <w:spacing w:line="240" w:lineRule="auto" w:before="1"/>
        <w:rPr>
          <w:rFonts w:ascii="宋体" w:hAnsi="宋体" w:cs="宋体" w:eastAsia="宋体" w:hint="default"/>
          <w:sz w:val="25"/>
          <w:szCs w:val="25"/>
        </w:rPr>
      </w:pPr>
    </w:p>
    <w:p>
      <w:pPr>
        <w:pStyle w:val="BodyText"/>
        <w:spacing w:line="271" w:lineRule="auto"/>
        <w:ind w:right="111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100"/>
        </w:rPr>
        <w:t> </w:t>
      </w:r>
      <w:r>
        <w:rPr/>
        <w:t>本公司以自身和各子公司的财务报表为基础，根据其他有关资料，编制合并财务报表。本公司编制合并</w:t>
      </w:r>
      <w:r>
        <w:rPr>
          <w:w w:val="100"/>
        </w:rPr>
        <w:t> </w:t>
      </w:r>
      <w:r>
        <w:rPr/>
        <w:t>财务报表，将整个企业集团视为一个会计主体，依据相关企业会计准则的确认、计量和列报要求，按照</w:t>
      </w:r>
      <w:r>
        <w:rPr>
          <w:w w:val="100"/>
        </w:rPr>
        <w:t> </w:t>
      </w:r>
      <w:r>
        <w:rPr/>
        <w:t>统一的会计政策，反映本企业集团整体财务状况、经营成果和现金流量。</w:t>
      </w:r>
      <w:r>
        <w:rPr>
          <w:w w:val="100"/>
        </w:rPr>
        <w:t> </w:t>
      </w:r>
      <w:r>
        <w:rPr/>
        <w:t>所有纳入合并财务报表合并范围的子公司所采用的会计政策、会计期间与本公司一致，如子公司采用的</w:t>
      </w:r>
      <w:r>
        <w:rPr>
          <w:w w:val="100"/>
        </w:rPr>
        <w:t> </w:t>
      </w:r>
      <w:r>
        <w:rPr/>
        <w:t>会计政策、会计期间与本公司不一致的，在编制合并财务报表时，按本公司的会计政策、会计期间进行</w:t>
      </w:r>
      <w:r>
        <w:rPr>
          <w:w w:val="100"/>
        </w:rPr>
        <w:t> </w:t>
      </w:r>
      <w:r>
        <w:rPr/>
        <w:t>必要的调整。对于非同一控制下企业合并取得的子公司，以购买日可辨认净资产公允价值为基础对其财</w:t>
      </w:r>
      <w:r>
        <w:rPr>
          <w:w w:val="100"/>
        </w:rPr>
        <w:t> </w:t>
      </w:r>
      <w:r>
        <w:rPr/>
        <w:t>务报表进行调整。对于同一控制下企业合并取得的子公司，以其资产、负债（包括最终控制方收购该子</w:t>
      </w:r>
      <w:r>
        <w:rPr>
          <w:w w:val="100"/>
        </w:rPr>
        <w:t> </w:t>
      </w:r>
      <w:r>
        <w:rPr/>
        <w:t>公司而形成的商誉）在最终控制方财务报表中的账面价值为基础对其财务报表进行调整。</w:t>
      </w:r>
      <w:r>
        <w:rPr>
          <w:w w:val="100"/>
        </w:rPr>
        <w:t> </w:t>
      </w:r>
      <w:r>
        <w:rPr/>
        <w:t>子公司所有者权益、当期净损益和当期综合收益中属于少数股东的份额分别在合并资产负债表中所有者</w:t>
      </w:r>
      <w:r>
        <w:rPr>
          <w:w w:val="100"/>
        </w:rPr>
        <w:t> </w:t>
      </w:r>
      <w:r>
        <w:rPr/>
        <w:t>权益项目下、合并利润表中净利润项目下和综合收益总额项目下单独列示。子公司少数股东分担的当期</w:t>
      </w:r>
      <w:r>
        <w:rPr>
          <w:w w:val="100"/>
        </w:rPr>
        <w:t> </w:t>
      </w:r>
      <w:r>
        <w:rPr/>
        <w:t>亏损超过了少数股东在该子公司期初所有者权益中所享有份额而形成的余额，冲减少数股东权益。</w:t>
      </w:r>
      <w:r>
        <w:rPr>
          <w:w w:val="100"/>
        </w:rPr>
        <w:t> </w:t>
      </w:r>
      <w:r>
        <w:rPr>
          <w:rFonts w:ascii="Times New Roman" w:hAnsi="Times New Roman" w:cs="Times New Roman" w:eastAsia="Times New Roman" w:hint="default"/>
        </w:rPr>
        <w:t>1</w:t>
      </w:r>
      <w:r>
        <w:rPr/>
        <w:t>）增加子公司或业务</w:t>
      </w:r>
      <w:r>
        <w:rPr>
          <w:w w:val="100"/>
        </w:rPr>
        <w:t> </w:t>
      </w:r>
      <w:r>
        <w:rPr/>
        <w:t>在报告期内，若因同一控制下企业合并增加子公司或业务的，则调整合并资产负债表的期初数；将子公</w:t>
      </w:r>
      <w:r>
        <w:rPr>
          <w:w w:val="100"/>
        </w:rPr>
        <w:t> </w:t>
      </w:r>
      <w:r>
        <w:rPr/>
        <w:t>司或业务合并当期期初至报告期末的收入、费用、利润纳入合并利润表；将子公司或业务合并当期期初</w:t>
      </w:r>
      <w:r>
        <w:rPr>
          <w:w w:val="100"/>
        </w:rPr>
        <w:t> </w:t>
      </w:r>
      <w:r>
        <w:rPr/>
        <w:t>至报告期末的现金流量纳入合并现金流量表，同时对比较报表的相关项目进行调整，视同合并后的报告</w:t>
      </w:r>
      <w:r>
        <w:rPr>
          <w:w w:val="100"/>
        </w:rPr>
        <w:t> </w:t>
      </w:r>
      <w:r>
        <w:rPr/>
        <w:t>主体自最终控制方开始控制时点起一直存在。</w:t>
      </w:r>
      <w:r>
        <w:rPr>
          <w:w w:val="100"/>
        </w:rPr>
        <w:t> </w:t>
      </w:r>
      <w:r>
        <w:rPr/>
        <w:t>因追加投资等原因能够对同一控制下的被投资方实施控制的，视同参与合并的各方在最终控制方开始控</w:t>
      </w:r>
      <w:r>
        <w:rPr>
          <w:w w:val="100"/>
        </w:rPr>
        <w:t> </w:t>
      </w:r>
      <w:r>
        <w:rPr/>
        <w:t>制时即以目前的状态存在进行调整。在取得被合并方控制权之前持有的股权投资，在取得原股权之日与</w:t>
      </w:r>
      <w:r>
        <w:rPr>
          <w:w w:val="100"/>
        </w:rPr>
        <w:t> </w:t>
      </w:r>
      <w:r>
        <w:rPr/>
        <w:t>合并方和被合并方同处于同一控制之日孰晚日起至合并日之间已确认有关损益、其他综合收益以及其他</w:t>
      </w:r>
      <w:r>
        <w:rPr>
          <w:w w:val="100"/>
        </w:rPr>
        <w:t> </w:t>
      </w:r>
      <w:r>
        <w:rPr/>
        <w:t>净资产变动，分别冲减比较报表期间的期初留存收益或当期损益。</w:t>
      </w:r>
      <w:r>
        <w:rPr>
          <w:w w:val="100"/>
        </w:rPr>
        <w:t> </w:t>
      </w:r>
      <w:r>
        <w:rPr/>
        <w:t>在报告期内，若因非同一控制下企业合并增加子公司或业务的，则不调整合并资产负债表期初数；将该</w:t>
      </w:r>
      <w:r>
        <w:rPr>
          <w:w w:val="100"/>
        </w:rPr>
        <w:t> </w:t>
      </w:r>
      <w:r>
        <w:rPr/>
        <w:t>子公司或业务自购买日至报告期末的收入、费用、利润纳入合并利润表；该子公司或业务自购买日至报</w:t>
      </w:r>
      <w:r>
        <w:rPr>
          <w:w w:val="100"/>
        </w:rPr>
        <w:t> </w:t>
      </w:r>
      <w:r>
        <w:rPr/>
        <w:t>告期末的现金流量纳入合并现金流量表。</w:t>
      </w:r>
    </w:p>
    <w:p>
      <w:pPr>
        <w:spacing w:after="0" w:line="271" w:lineRule="auto"/>
        <w:jc w:val="left"/>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BodyText"/>
        <w:spacing w:line="273" w:lineRule="auto" w:before="36"/>
        <w:ind w:left="230" w:right="1114"/>
        <w:jc w:val="left"/>
      </w:pPr>
      <w:r>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w:t>
      </w:r>
      <w:r>
        <w:rPr>
          <w:spacing w:val="-21"/>
        </w:rPr>
        <w:t> </w:t>
      </w:r>
      <w:r>
        <w:rPr>
          <w:spacing w:val="-21"/>
        </w:rPr>
      </w:r>
      <w:r>
        <w:rPr>
          <w:spacing w:val="-2"/>
        </w:rPr>
        <w:t>收益。购买日之前持有的被购买方的股权涉及权益法核算下的其他综合收益以及除净损益、其他综合收</w:t>
      </w:r>
      <w:r>
        <w:rPr>
          <w:spacing w:val="-21"/>
        </w:rPr>
        <w:t> </w:t>
      </w:r>
      <w:r>
        <w:rPr>
          <w:spacing w:val="-21"/>
        </w:rPr>
      </w:r>
      <w:r>
        <w:rPr>
          <w:spacing w:val="-2"/>
        </w:rPr>
        <w:t>益和利润分配之外的其他所有者权益变动的，与其相关的其他综合收益、其他所有者权益变动转为购买</w:t>
      </w:r>
      <w:r>
        <w:rPr>
          <w:spacing w:val="-21"/>
        </w:rPr>
        <w:t> </w:t>
      </w:r>
      <w:r>
        <w:rPr>
          <w:spacing w:val="-21"/>
        </w:rPr>
      </w:r>
      <w:r>
        <w:rPr>
          <w:spacing w:val="-2"/>
        </w:rPr>
        <w:t>日所属当期投资收益，由于被投资方重新计量设定受益计划净负债或净资产变动而产生的其他综合收益</w:t>
      </w:r>
      <w:r>
        <w:rPr>
          <w:spacing w:val="-21"/>
        </w:rPr>
        <w:t> </w:t>
      </w:r>
      <w:r>
        <w:rPr>
          <w:spacing w:val="-21"/>
        </w:rPr>
      </w:r>
      <w:r>
        <w:rPr/>
        <w:t>除外。</w:t>
      </w:r>
    </w:p>
    <w:p>
      <w:pPr>
        <w:pStyle w:val="BodyText"/>
        <w:spacing w:line="240" w:lineRule="auto" w:before="7"/>
        <w:ind w:left="230" w:right="1114"/>
        <w:jc w:val="left"/>
      </w:pPr>
      <w:r>
        <w:rPr>
          <w:rFonts w:ascii="Times New Roman" w:hAnsi="Times New Roman" w:cs="Times New Roman" w:eastAsia="Times New Roman" w:hint="default"/>
        </w:rPr>
        <w:t>2</w:t>
      </w:r>
      <w:r>
        <w:rPr/>
        <w:t>）处置子公司或业务</w:t>
      </w:r>
    </w:p>
    <w:p>
      <w:pPr>
        <w:pStyle w:val="BodyText"/>
        <w:spacing w:line="273" w:lineRule="auto" w:before="21"/>
        <w:ind w:right="1213"/>
        <w:jc w:val="left"/>
      </w:pPr>
      <w:r>
        <w:rPr/>
        <w:t>①一般处理方法</w:t>
      </w:r>
      <w:r>
        <w:rPr>
          <w:spacing w:val="-103"/>
        </w:rPr>
        <w:t> </w:t>
      </w:r>
      <w:r>
        <w:rPr>
          <w:spacing w:val="-103"/>
        </w:rPr>
      </w:r>
      <w:r>
        <w:rPr>
          <w:spacing w:val="-2"/>
        </w:rPr>
        <w:t>在报告期内，本公司处置子公司或业务，则该子公司或业务期初至处置日的收入、费用、利润纳入合并</w:t>
      </w:r>
      <w:r>
        <w:rPr>
          <w:spacing w:val="-22"/>
        </w:rPr>
        <w:t> </w:t>
      </w:r>
      <w:r>
        <w:rPr>
          <w:spacing w:val="-22"/>
        </w:rPr>
      </w:r>
      <w:r>
        <w:rPr/>
        <w:t>利润表；该子公司或业务期初至处置日的现金流量纳入合并现金流量表。</w:t>
      </w:r>
      <w:r>
        <w:rPr>
          <w:w w:val="100"/>
        </w:rPr>
        <w:t> </w:t>
      </w:r>
      <w:r>
        <w:rPr>
          <w:spacing w:val="-2"/>
        </w:rPr>
        <w:t>因处置部分股权投资或其他原因丧失了对被投资方控制权时，对于处置后的剩余股权投资，本公司按照</w:t>
      </w:r>
      <w:r>
        <w:rPr>
          <w:spacing w:val="-21"/>
        </w:rPr>
        <w:t> </w:t>
      </w:r>
      <w:r>
        <w:rPr>
          <w:spacing w:val="-21"/>
        </w:rPr>
      </w:r>
      <w:r>
        <w:rPr>
          <w:spacing w:val="-2"/>
        </w:rPr>
        <w:t>其在丧失控制权日的公允价值进行重新计量。处置股权取得的对价与剩余股权公允价值之和，减去按原</w:t>
      </w:r>
      <w:r>
        <w:rPr>
          <w:spacing w:val="-21"/>
        </w:rPr>
        <w:t> </w:t>
      </w:r>
      <w:r>
        <w:rPr>
          <w:spacing w:val="-21"/>
        </w:rPr>
      </w:r>
      <w:r>
        <w:rPr>
          <w:spacing w:val="-2"/>
        </w:rPr>
        <w:t>持股比例计算应享有原有子公司自购买日或合并日开始持续计算的净资产的份额与商誉之和的差额，计</w:t>
      </w:r>
      <w:r>
        <w:rPr>
          <w:spacing w:val="-21"/>
        </w:rPr>
        <w:t> </w:t>
      </w:r>
      <w:r>
        <w:rPr>
          <w:spacing w:val="-21"/>
        </w:rPr>
      </w:r>
      <w:r>
        <w:rPr>
          <w:spacing w:val="-2"/>
        </w:rPr>
        <w:t>入丧失控制权当期的投资收益。与原有子公司股权投资相关的其他综合收益或除净损益、其他综合收益</w:t>
      </w:r>
      <w:r>
        <w:rPr>
          <w:spacing w:val="-21"/>
        </w:rPr>
        <w:t> </w:t>
      </w:r>
      <w:r>
        <w:rPr>
          <w:spacing w:val="-21"/>
        </w:rPr>
      </w:r>
      <w:r>
        <w:rPr>
          <w:spacing w:val="-2"/>
        </w:rPr>
        <w:t>及利润分配之外的其他所有者权益变动，在丧失控制权时转为当期投资收益，由于被投资方重新计量设</w:t>
      </w:r>
      <w:r>
        <w:rPr>
          <w:spacing w:val="-22"/>
        </w:rPr>
        <w:t> </w:t>
      </w:r>
      <w:r>
        <w:rPr>
          <w:spacing w:val="-22"/>
        </w:rPr>
      </w:r>
      <w:r>
        <w:rPr/>
        <w:t>定受益计划净负债或净资产变动而产生的其他综合收益除外。</w:t>
      </w:r>
      <w:r>
        <w:rPr>
          <w:w w:val="100"/>
        </w:rPr>
        <w:t> </w:t>
      </w:r>
      <w:r>
        <w:rPr/>
        <w:t>因其他投资方对子公司增资而导致本公司持股比例下降从而丧失控制权的，按照上述原则进行会计处</w:t>
      </w:r>
      <w:r>
        <w:rPr>
          <w:w w:val="100"/>
        </w:rPr>
        <w:t> </w:t>
      </w:r>
      <w:r>
        <w:rPr/>
        <w:t>理。</w:t>
      </w:r>
    </w:p>
    <w:p>
      <w:pPr>
        <w:pStyle w:val="BodyText"/>
        <w:spacing w:line="273" w:lineRule="auto" w:before="7"/>
        <w:ind w:right="1114"/>
        <w:jc w:val="left"/>
      </w:pPr>
      <w:r>
        <w:rPr/>
        <w:t>②分步处置子公司</w:t>
      </w:r>
      <w:r>
        <w:rPr>
          <w:w w:val="100"/>
        </w:rPr>
        <w:t> </w:t>
      </w:r>
      <w:r>
        <w:rPr/>
        <w:t>通过多次交易分步处置对子公司股权投资直至丧失控制权的，处置对子公司股权投资的各项交易的条</w:t>
      </w:r>
      <w:r>
        <w:rPr>
          <w:w w:val="100"/>
        </w:rPr>
        <w:t> </w:t>
      </w:r>
      <w:r>
        <w:rPr>
          <w:spacing w:val="-2"/>
        </w:rPr>
        <w:t>款、条件以及经济影响符合以下一种或多种情况，通常表明应将多次交易事项作为一揽子交易进行会计</w:t>
      </w:r>
      <w:r>
        <w:rPr>
          <w:spacing w:val="-21"/>
        </w:rPr>
        <w:t> </w:t>
      </w:r>
      <w:r>
        <w:rPr>
          <w:spacing w:val="-21"/>
        </w:rPr>
      </w:r>
      <w:r>
        <w:rPr/>
        <w:t>处理：</w:t>
      </w:r>
    </w:p>
    <w:p>
      <w:pPr>
        <w:pStyle w:val="BodyText"/>
        <w:spacing w:line="273" w:lineRule="auto" w:before="8"/>
        <w:ind w:right="1213"/>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处置对子公司股权投资直至丧失控制权的各项交易属于一揽子交易的，本公司将各项交易作为一项处置</w:t>
      </w:r>
      <w:r>
        <w:rPr>
          <w:spacing w:val="-21"/>
        </w:rPr>
        <w:t> </w:t>
      </w:r>
      <w:r>
        <w:rPr>
          <w:spacing w:val="-21"/>
        </w:rPr>
      </w:r>
      <w:r>
        <w:rPr>
          <w:spacing w:val="-2"/>
        </w:rPr>
        <w:t>子公司并丧失控制权的交易进行会计处理；但是，在丧失控制权之前每一次处置价款与处置投资对应的</w:t>
      </w:r>
      <w:r>
        <w:rPr>
          <w:spacing w:val="-21"/>
        </w:rPr>
        <w:t> </w:t>
      </w:r>
      <w:r>
        <w:rPr>
          <w:spacing w:val="-21"/>
        </w:rPr>
      </w:r>
      <w:r>
        <w:rPr>
          <w:spacing w:val="-2"/>
        </w:rPr>
        <w:t>享有该子公司净资产份额的差额，在合并财务报表中确认为其他综合收益，在丧失控制权时一并转入丧</w:t>
      </w:r>
      <w:r>
        <w:rPr>
          <w:spacing w:val="-21"/>
        </w:rPr>
        <w:t> </w:t>
      </w:r>
      <w:r>
        <w:rPr>
          <w:spacing w:val="-21"/>
        </w:rPr>
      </w:r>
      <w:r>
        <w:rPr/>
        <w:t>失控制权当期的损益。</w:t>
      </w:r>
      <w:r>
        <w:rPr>
          <w:w w:val="100"/>
        </w:rPr>
        <w:t> </w:t>
      </w:r>
      <w:r>
        <w:rPr>
          <w:spacing w:val="-2"/>
        </w:rPr>
        <w:t>处置对子公司股权投资直至丧失控制权的各项交易不属于一揽子交易的，在丧失控制权之前，按不丧失</w:t>
      </w:r>
      <w:r>
        <w:rPr>
          <w:spacing w:val="-21"/>
        </w:rPr>
        <w:t> </w:t>
      </w:r>
      <w:r>
        <w:rPr>
          <w:spacing w:val="-21"/>
        </w:rPr>
      </w:r>
      <w:r>
        <w:rPr>
          <w:spacing w:val="-2"/>
        </w:rPr>
        <w:t>控制权的情况下部分处置对子公司的股权投资的相关政策进行会计处理；在丧失控制权时，按处置子公</w:t>
      </w:r>
      <w:r>
        <w:rPr>
          <w:spacing w:val="-21"/>
        </w:rPr>
        <w:t> </w:t>
      </w:r>
      <w:r>
        <w:rPr>
          <w:spacing w:val="-21"/>
        </w:rPr>
      </w:r>
      <w:r>
        <w:rPr/>
        <w:t>司一般处理方法进行会计处理。</w:t>
      </w:r>
    </w:p>
    <w:p>
      <w:pPr>
        <w:pStyle w:val="BodyText"/>
        <w:spacing w:line="268" w:lineRule="auto" w:before="7"/>
        <w:ind w:right="1114"/>
        <w:jc w:val="left"/>
      </w:pP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本公司因购买少数股权新取得的长期股权投资与按照新增持股比例计算应享有子公司自购买日（或合并</w:t>
      </w:r>
      <w:r>
        <w:rPr>
          <w:spacing w:val="-21"/>
        </w:rPr>
        <w:t> </w:t>
      </w:r>
      <w:r>
        <w:rPr>
          <w:spacing w:val="-21"/>
        </w:rPr>
      </w:r>
      <w:r>
        <w:rPr>
          <w:spacing w:val="-2"/>
        </w:rPr>
        <w:t>日）开始持续计算的净资产份额之间的差额，调整合并资产负债表中的资本公积中的股本溢价，资本公</w:t>
      </w:r>
      <w:r>
        <w:rPr>
          <w:spacing w:val="-21"/>
        </w:rPr>
        <w:t> </w:t>
      </w:r>
      <w:r>
        <w:rPr>
          <w:spacing w:val="-21"/>
        </w:rPr>
      </w:r>
      <w:r>
        <w:rPr/>
        <w:t>积中的股本溢价不足冲减的，调整留存收益。</w:t>
      </w:r>
    </w:p>
    <w:p>
      <w:pPr>
        <w:pStyle w:val="BodyText"/>
        <w:spacing w:line="266" w:lineRule="auto" w:before="12"/>
        <w:ind w:right="1114"/>
        <w:jc w:val="left"/>
      </w:pP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在不丧失控制权的情况下因部分处置对子公司的长期股权投资而取得的处置价款与处置长期股权投资相</w:t>
      </w:r>
      <w:r>
        <w:rPr>
          <w:spacing w:val="-21"/>
        </w:rPr>
        <w:t> </w:t>
      </w:r>
      <w:r>
        <w:rPr>
          <w:spacing w:val="-21"/>
        </w:rPr>
      </w:r>
      <w:r>
        <w:rPr>
          <w:spacing w:val="-2"/>
        </w:rPr>
        <w:t>对应享有子公司自购买日或合并日开始持续计算的净资产份额之间的差额，调整合并资产负债表中的资</w:t>
      </w:r>
      <w:r>
        <w:rPr>
          <w:spacing w:val="-21"/>
        </w:rPr>
        <w:t> </w:t>
      </w:r>
      <w:r>
        <w:rPr>
          <w:spacing w:val="-21"/>
        </w:rPr>
      </w:r>
      <w:r>
        <w:rPr/>
        <w:t>本公积中的股本溢价，资本公积中的股本溢价不足冲减的，调整留存收益。</w:t>
      </w:r>
    </w:p>
    <w:p>
      <w:pPr>
        <w:spacing w:after="0" w:line="266" w:lineRule="auto"/>
        <w:jc w:val="left"/>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Heading5"/>
        <w:spacing w:line="240" w:lineRule="auto"/>
        <w:ind w:right="1114"/>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4"/>
        <w:jc w:val="left"/>
      </w:pPr>
      <w:r>
        <w:rPr/>
        <w:t>在编制现金流量表时，将本公司库存现金以及可以随时用于支付的存款确认为现金。将同时具备期限短</w:t>
      </w:r>
    </w:p>
    <w:p>
      <w:pPr>
        <w:pStyle w:val="BodyText"/>
        <w:spacing w:line="273" w:lineRule="auto" w:before="37"/>
        <w:ind w:right="1114"/>
        <w:jc w:val="left"/>
      </w:pPr>
      <w:r>
        <w:rPr>
          <w:spacing w:val="-2"/>
        </w:rPr>
        <w:t>（从购买日起三个月内到期）、流动性强、易于转换为已知现金、价值变动风险很小四个条件的投资，</w:t>
      </w:r>
      <w:r>
        <w:rPr>
          <w:spacing w:val="-21"/>
        </w:rPr>
        <w:t> </w:t>
      </w:r>
      <w:r>
        <w:rPr>
          <w:spacing w:val="-21"/>
        </w:rPr>
      </w:r>
      <w:r>
        <w:rPr/>
        <w:t>确定为现金等价物。</w:t>
      </w:r>
    </w:p>
    <w:p>
      <w:pPr>
        <w:spacing w:line="240" w:lineRule="auto" w:before="7"/>
        <w:rPr>
          <w:rFonts w:ascii="宋体" w:hAnsi="宋体" w:cs="宋体" w:eastAsia="宋体" w:hint="default"/>
          <w:sz w:val="23"/>
          <w:szCs w:val="23"/>
        </w:rPr>
      </w:pPr>
    </w:p>
    <w:p>
      <w:pPr>
        <w:pStyle w:val="Heading5"/>
        <w:spacing w:line="240" w:lineRule="auto" w:before="0"/>
        <w:ind w:right="1114"/>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211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100"/>
        </w:rPr>
        <w:t> </w:t>
      </w:r>
      <w:r>
        <w:rPr>
          <w:spacing w:val="-2"/>
        </w:rPr>
        <w:t>外币业务采用交易发生日的即期汇率作为折算汇率将外币金额折合成人民币记账。</w:t>
      </w:r>
    </w:p>
    <w:p>
      <w:pPr>
        <w:pStyle w:val="BodyText"/>
        <w:spacing w:line="273" w:lineRule="auto" w:before="22"/>
        <w:ind w:right="1313"/>
        <w:jc w:val="both"/>
      </w:pPr>
      <w:r>
        <w:rPr>
          <w:spacing w:val="-2"/>
        </w:rPr>
        <w:t>资产负债表日外币货币性项目余额按资产负债表日即期汇率折算，由此产生的汇兑差额，除属于与购建</w:t>
      </w:r>
      <w:r>
        <w:rPr>
          <w:spacing w:val="-21"/>
        </w:rPr>
        <w:t> </w:t>
      </w:r>
      <w:r>
        <w:rPr>
          <w:spacing w:val="-21"/>
        </w:rPr>
      </w:r>
      <w:r>
        <w:rPr>
          <w:spacing w:val="-2"/>
        </w:rPr>
        <w:t>符合资本化条件的资产相关的外币专门借款产生的汇兑差额按照借款费用资本化的原则处理外，均计入</w:t>
      </w:r>
      <w:r>
        <w:rPr>
          <w:spacing w:val="-21"/>
        </w:rPr>
        <w:t> </w:t>
      </w:r>
      <w:r>
        <w:rPr>
          <w:spacing w:val="-21"/>
        </w:rPr>
      </w:r>
      <w:r>
        <w:rPr/>
        <w:t>当期损益。</w:t>
      </w:r>
    </w:p>
    <w:p>
      <w:pPr>
        <w:spacing w:line="240" w:lineRule="auto" w:before="6"/>
        <w:rPr>
          <w:rFonts w:ascii="宋体" w:hAnsi="宋体" w:cs="宋体" w:eastAsia="宋体" w:hint="default"/>
          <w:sz w:val="24"/>
          <w:szCs w:val="24"/>
        </w:rPr>
      </w:pPr>
    </w:p>
    <w:p>
      <w:pPr>
        <w:pStyle w:val="BodyText"/>
        <w:spacing w:line="266" w:lineRule="auto"/>
        <w:ind w:left="230" w:right="1114" w:hanging="77"/>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100"/>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7"/>
        </w:rPr>
        <w:t> </w:t>
      </w:r>
      <w:r>
        <w:rPr>
          <w:spacing w:val="-2"/>
        </w:rPr>
        <w:t>项目外，其他项目采用发生时的即期汇率折算。利润表中的收入和费用项目，采用按照系统合理的方法</w:t>
      </w:r>
      <w:r>
        <w:rPr>
          <w:spacing w:val="-98"/>
        </w:rPr>
        <w:t> </w:t>
      </w:r>
      <w:r>
        <w:rPr>
          <w:spacing w:val="-98"/>
        </w:rPr>
      </w:r>
      <w:r>
        <w:rPr/>
        <w:t>确定的、与交易发生日即期汇率近似的汇率折算。</w:t>
      </w:r>
      <w:r>
        <w:rPr>
          <w:w w:val="100"/>
        </w:rPr>
        <w:t> </w:t>
      </w:r>
      <w:r>
        <w:rPr/>
        <w:t>处置境外经营时，将与该境外经营相关的外币财务报表折算差额，自所有者权益项目转入处置当期损</w:t>
      </w:r>
      <w:r>
        <w:rPr>
          <w:w w:val="100"/>
        </w:rPr>
        <w:t> </w:t>
      </w:r>
      <w:r>
        <w:rPr/>
        <w:t>益。</w:t>
      </w:r>
    </w:p>
    <w:p>
      <w:pPr>
        <w:spacing w:line="240" w:lineRule="auto" w:before="0"/>
        <w:rPr>
          <w:rFonts w:ascii="宋体" w:hAnsi="宋体" w:cs="宋体" w:eastAsia="宋体" w:hint="default"/>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0"/>
        <w:rPr>
          <w:rFonts w:ascii="宋体" w:hAnsi="宋体" w:cs="宋体" w:eastAsia="宋体" w:hint="default"/>
          <w:b/>
          <w:bCs/>
          <w:sz w:val="24"/>
          <w:szCs w:val="24"/>
        </w:rPr>
      </w:pPr>
    </w:p>
    <w:p>
      <w:pPr>
        <w:spacing w:line="273" w:lineRule="auto" w:before="0"/>
        <w:ind w:left="153" w:right="4993" w:firstLine="0"/>
        <w:jc w:val="left"/>
        <w:rPr>
          <w:rFonts w:ascii="宋体" w:hAnsi="宋体" w:cs="宋体" w:eastAsia="宋体" w:hint="default"/>
          <w:sz w:val="21"/>
          <w:szCs w:val="21"/>
        </w:rPr>
      </w:pPr>
      <w:r>
        <w:rPr>
          <w:rFonts w:ascii="宋体" w:hAnsi="宋体" w:cs="宋体" w:eastAsia="宋体" w:hint="default"/>
          <w:spacing w:val="-2"/>
          <w:sz w:val="21"/>
          <w:szCs w:val="21"/>
        </w:rPr>
        <w:t>金融工具包括金融资产、金融负债和权益工具。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金融工具的分类</w:t>
      </w:r>
      <w:r>
        <w:rPr>
          <w:rFonts w:ascii="宋体" w:hAnsi="宋体" w:cs="宋体" w:eastAsia="宋体" w:hint="default"/>
          <w:sz w:val="21"/>
          <w:szCs w:val="21"/>
        </w:rPr>
      </w:r>
    </w:p>
    <w:p>
      <w:pPr>
        <w:pStyle w:val="BodyText"/>
        <w:spacing w:line="273" w:lineRule="auto" w:before="7"/>
        <w:ind w:right="1313"/>
        <w:jc w:val="both"/>
      </w:pPr>
      <w:r>
        <w:rPr>
          <w:spacing w:val="-2"/>
        </w:rPr>
        <w:t>金融资产和金融负债于初始确认时分类为：以公允价值计量且其变动计入当期损益的金融资产或金融负</w:t>
      </w:r>
      <w:r>
        <w:rPr>
          <w:spacing w:val="-21"/>
        </w:rPr>
        <w:t> </w:t>
      </w:r>
      <w:r>
        <w:rPr>
          <w:spacing w:val="-21"/>
        </w:rPr>
      </w:r>
      <w:r>
        <w:rPr>
          <w:spacing w:val="-2"/>
        </w:rPr>
        <w:t>债，包括交易性金融资产或金融负债和直接指定为以公允价值计量且其变动计入当期损益的金融资产或</w:t>
      </w:r>
      <w:r>
        <w:rPr>
          <w:spacing w:val="-21"/>
        </w:rPr>
        <w:t> </w:t>
      </w:r>
      <w:r>
        <w:rPr>
          <w:spacing w:val="-21"/>
        </w:rPr>
      </w:r>
      <w:r>
        <w:rPr/>
        <w:t>金融负债；持有至到期投资；应收款项；可供出售金融资产；其他金融负债等。</w:t>
      </w:r>
    </w:p>
    <w:p>
      <w:pPr>
        <w:spacing w:line="240" w:lineRule="auto" w:before="6"/>
        <w:rPr>
          <w:rFonts w:ascii="宋体" w:hAnsi="宋体" w:cs="宋体" w:eastAsia="宋体" w:hint="default"/>
          <w:sz w:val="24"/>
          <w:szCs w:val="24"/>
        </w:rPr>
      </w:pPr>
    </w:p>
    <w:p>
      <w:pPr>
        <w:pStyle w:val="Heading5"/>
        <w:spacing w:line="240" w:lineRule="auto" w:before="0"/>
        <w:ind w:right="1114"/>
        <w:jc w:val="left"/>
        <w:rPr>
          <w:b w:val="0"/>
          <w:bCs w:val="0"/>
        </w:rPr>
      </w:pPr>
      <w:r>
        <w:rPr/>
        <w:t>金融工具的确认依据和计量方法</w:t>
      </w:r>
      <w:r>
        <w:rPr>
          <w:b w:val="0"/>
          <w:bCs w:val="0"/>
        </w:rPr>
      </w:r>
    </w:p>
    <w:p>
      <w:pPr>
        <w:pStyle w:val="BodyText"/>
        <w:spacing w:line="268" w:lineRule="auto" w:before="37"/>
        <w:ind w:right="1114"/>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取得时以公允价值（扣除已宣告但尚未发放的现金股利或已到付息期但尚未领取的债券利息）作为初始</w:t>
      </w:r>
      <w:r>
        <w:rPr>
          <w:spacing w:val="-21"/>
        </w:rPr>
        <w:t> </w:t>
      </w:r>
      <w:r>
        <w:rPr>
          <w:spacing w:val="-21"/>
        </w:rPr>
      </w:r>
      <w:r>
        <w:rPr/>
        <w:t>确认金额，相关的交易费用计入当期损益。</w:t>
      </w:r>
      <w:r>
        <w:rPr>
          <w:w w:val="100"/>
        </w:rPr>
        <w:t> </w:t>
      </w:r>
      <w:r>
        <w:rPr/>
        <w:t>持有期间将取得的利息或现金股利确认为投资收益，期末将公允价值变动计入当期损益。</w:t>
      </w:r>
      <w:r>
        <w:rPr>
          <w:w w:val="100"/>
        </w:rPr>
        <w:t> </w:t>
      </w:r>
      <w:r>
        <w:rPr/>
        <w:t>处置时，其公允价值与初始入账金额之间的差额确认为投资收益，同时调整公允价值变动损益。</w:t>
      </w:r>
    </w:p>
    <w:p>
      <w:pPr>
        <w:pStyle w:val="BodyText"/>
        <w:spacing w:line="268" w:lineRule="auto" w:before="12"/>
        <w:ind w:right="1114"/>
        <w:jc w:val="left"/>
      </w:pPr>
      <w:r>
        <w:rPr/>
        <w:t>（</w:t>
      </w:r>
      <w:r>
        <w:rPr>
          <w:rFonts w:ascii="Times New Roman" w:hAnsi="Times New Roman" w:cs="Times New Roman" w:eastAsia="Times New Roman" w:hint="default"/>
        </w:rPr>
        <w:t>2</w:t>
      </w:r>
      <w:r>
        <w:rPr/>
        <w:t>）持有至到期投资</w:t>
      </w:r>
      <w:r>
        <w:rPr>
          <w:w w:val="100"/>
        </w:rPr>
        <w:t> </w:t>
      </w:r>
      <w:r>
        <w:rPr>
          <w:spacing w:val="-2"/>
        </w:rPr>
        <w:t>取得时按公允价值（扣除已到付息期但尚未领取的债券利息）和相关交易费用之和作为初始确认金额。</w:t>
      </w:r>
      <w:r>
        <w:rPr>
          <w:spacing w:val="-21"/>
        </w:rPr>
        <w:t> </w:t>
      </w:r>
      <w:r>
        <w:rPr>
          <w:spacing w:val="-21"/>
        </w:rPr>
      </w:r>
      <w:r>
        <w:rPr>
          <w:spacing w:val="-2"/>
        </w:rPr>
        <w:t>持有期间按照摊余成本和实际利率计算确认利息收入，计入投资收益。实际利率在取得时确定，在该预</w:t>
      </w:r>
      <w:r>
        <w:rPr>
          <w:spacing w:val="-21"/>
        </w:rPr>
        <w:t> </w:t>
      </w:r>
      <w:r>
        <w:rPr>
          <w:spacing w:val="-21"/>
        </w:rPr>
      </w:r>
      <w:r>
        <w:rPr/>
        <w:t>期存续期间或适用的更短期间内保持不变。</w:t>
      </w:r>
      <w:r>
        <w:rPr>
          <w:w w:val="100"/>
        </w:rPr>
        <w:t> </w:t>
      </w:r>
      <w:r>
        <w:rPr/>
        <w:t>处置时，将所取得价款与该投资账面价值之间的差额计入投资收益。</w:t>
      </w:r>
    </w:p>
    <w:p>
      <w:pPr>
        <w:pStyle w:val="BodyText"/>
        <w:spacing w:line="266" w:lineRule="auto" w:before="12"/>
        <w:ind w:right="1114"/>
        <w:jc w:val="left"/>
      </w:pPr>
      <w:r>
        <w:rPr/>
        <w:t>（</w:t>
      </w:r>
      <w:r>
        <w:rPr>
          <w:rFonts w:ascii="Times New Roman" w:hAnsi="Times New Roman" w:cs="Times New Roman" w:eastAsia="Times New Roman" w:hint="default"/>
        </w:rPr>
        <w:t>3</w:t>
      </w:r>
      <w:r>
        <w:rPr/>
        <w:t>）应收款项</w:t>
      </w:r>
      <w:r>
        <w:rPr>
          <w:w w:val="100"/>
        </w:rPr>
        <w:t> </w:t>
      </w:r>
      <w:r>
        <w:rPr>
          <w:spacing w:val="-2"/>
        </w:rPr>
        <w:t>公司对外销售商品或提供劳务形成的应收债权，以及公司持有的其他企业的不包括在活跃市场上有报价</w:t>
      </w:r>
      <w:r>
        <w:rPr>
          <w:spacing w:val="-21"/>
        </w:rPr>
        <w:t> </w:t>
      </w:r>
      <w:r>
        <w:rPr>
          <w:spacing w:val="-21"/>
        </w:rPr>
      </w:r>
      <w:r>
        <w:rPr>
          <w:spacing w:val="-2"/>
        </w:rPr>
        <w:t>的债务工具的债权，包括应收账款、其他应收款等，以向购货方应收的合同或协议价款作为初始确认金</w:t>
      </w:r>
      <w:r>
        <w:rPr>
          <w:spacing w:val="-21"/>
        </w:rPr>
        <w:t> </w:t>
      </w:r>
      <w:r>
        <w:rPr>
          <w:spacing w:val="-21"/>
        </w:rPr>
      </w:r>
      <w:r>
        <w:rPr/>
        <w:t>额；具有融资性质的，按其现值进行初始确认。</w:t>
      </w:r>
    </w:p>
    <w:p>
      <w:pPr>
        <w:spacing w:after="0" w:line="266" w:lineRule="auto"/>
        <w:jc w:val="left"/>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BodyText"/>
        <w:spacing w:line="240" w:lineRule="auto" w:before="36"/>
        <w:ind w:right="1114"/>
        <w:jc w:val="left"/>
      </w:pPr>
      <w:r>
        <w:rPr/>
        <w:t>收回或处置时，将取得的价款与该应收款项账面价值之间的差额计入当期损益。</w:t>
      </w:r>
    </w:p>
    <w:p>
      <w:pPr>
        <w:pStyle w:val="BodyText"/>
        <w:spacing w:line="271" w:lineRule="auto" w:before="37"/>
        <w:ind w:right="1114"/>
        <w:jc w:val="left"/>
      </w:pPr>
      <w:r>
        <w:rPr/>
        <w:t>（</w:t>
      </w:r>
      <w:r>
        <w:rPr>
          <w:rFonts w:ascii="Times New Roman" w:hAnsi="Times New Roman" w:cs="Times New Roman" w:eastAsia="Times New Roman" w:hint="default"/>
        </w:rPr>
        <w:t>4</w:t>
      </w:r>
      <w:r>
        <w:rPr/>
        <w:t>）可供出售金融资产</w:t>
      </w:r>
      <w:r>
        <w:rPr>
          <w:w w:val="100"/>
        </w:rPr>
        <w:t> </w:t>
      </w:r>
      <w:r>
        <w:rPr>
          <w:spacing w:val="-2"/>
        </w:rPr>
        <w:t>取得时按公允价值（扣除已宣告但尚未发放的现金股利或已到付息期但尚未领取的债券利息）和相关交</w:t>
      </w:r>
      <w:r>
        <w:rPr>
          <w:spacing w:val="-21"/>
        </w:rPr>
        <w:t> </w:t>
      </w:r>
      <w:r>
        <w:rPr>
          <w:spacing w:val="-21"/>
        </w:rPr>
      </w:r>
      <w:r>
        <w:rPr/>
        <w:t>易费用之和作为初始确认金额。</w:t>
      </w:r>
      <w:r>
        <w:rPr>
          <w:w w:val="100"/>
        </w:rPr>
        <w:t> </w:t>
      </w:r>
      <w:r>
        <w:rPr>
          <w:spacing w:val="-2"/>
        </w:rPr>
        <w:t>持有期间将取得的利息或现金股利确认为投资收益。期末以公允价值计量且将公允价值变动计入其他综</w:t>
      </w:r>
      <w:r>
        <w:rPr>
          <w:spacing w:val="-21"/>
        </w:rPr>
        <w:t> </w:t>
      </w:r>
      <w:r>
        <w:rPr>
          <w:spacing w:val="-21"/>
        </w:rPr>
      </w:r>
      <w:r>
        <w:rPr>
          <w:spacing w:val="-2"/>
        </w:rPr>
        <w:t>合收益。但是，在活跃市场中没有报价且其公允价值不能可靠计量的权益工具投资，以及与该权益工具</w:t>
      </w:r>
      <w:r>
        <w:rPr>
          <w:spacing w:val="-21"/>
        </w:rPr>
        <w:t> </w:t>
      </w:r>
      <w:r>
        <w:rPr>
          <w:spacing w:val="-21"/>
        </w:rPr>
      </w:r>
      <w:r>
        <w:rPr/>
        <w:t>挂钩并须通过交付该权益工具结算的衍生金融资产，按照成本计量。</w:t>
      </w:r>
      <w:r>
        <w:rPr>
          <w:w w:val="100"/>
        </w:rPr>
        <w:t> </w:t>
      </w:r>
      <w:r>
        <w:rPr>
          <w:spacing w:val="-2"/>
        </w:rPr>
        <w:t>处置时，将取得的价款与该金融资产账面价值之间的差额，计入投资损益；同时，将原直接计入其他综</w:t>
      </w:r>
      <w:r>
        <w:rPr>
          <w:spacing w:val="-21"/>
        </w:rPr>
        <w:t> </w:t>
      </w:r>
      <w:r>
        <w:rPr>
          <w:spacing w:val="-21"/>
        </w:rPr>
      </w:r>
      <w:r>
        <w:rPr/>
        <w:t>合收益的公允价值变动累计额对应处置部分的金额转出，计入当期损益。</w:t>
      </w:r>
    </w:p>
    <w:p>
      <w:pPr>
        <w:pStyle w:val="BodyText"/>
        <w:spacing w:line="256" w:lineRule="auto" w:before="10"/>
        <w:ind w:right="2113"/>
        <w:jc w:val="left"/>
      </w:pPr>
      <w:r>
        <w:rPr/>
        <w:t>（</w:t>
      </w:r>
      <w:r>
        <w:rPr>
          <w:rFonts w:ascii="Times New Roman" w:hAnsi="Times New Roman" w:cs="Times New Roman" w:eastAsia="Times New Roman" w:hint="default"/>
        </w:rPr>
        <w:t>5</w:t>
      </w:r>
      <w:r>
        <w:rPr/>
        <w:t>）其他金融负债</w:t>
      </w:r>
      <w:r>
        <w:rPr>
          <w:w w:val="100"/>
        </w:rPr>
        <w:t> </w:t>
      </w:r>
      <w:r>
        <w:rPr>
          <w:spacing w:val="-2"/>
        </w:rPr>
        <w:t>按其公允价值和相关交易费用之和作为初始确认金额。采用摊余成本进行后续计量。</w:t>
      </w:r>
    </w:p>
    <w:p>
      <w:pPr>
        <w:spacing w:line="240" w:lineRule="auto" w:before="8"/>
        <w:rPr>
          <w:rFonts w:ascii="宋体" w:hAnsi="宋体" w:cs="宋体" w:eastAsia="宋体" w:hint="default"/>
          <w:sz w:val="25"/>
          <w:szCs w:val="25"/>
        </w:rPr>
      </w:pPr>
    </w:p>
    <w:p>
      <w:pPr>
        <w:pStyle w:val="BodyText"/>
        <w:spacing w:line="273" w:lineRule="auto"/>
        <w:ind w:right="1114"/>
        <w:jc w:val="left"/>
      </w:pPr>
      <w:r>
        <w:rPr>
          <w:rFonts w:ascii="宋体" w:hAnsi="宋体" w:cs="宋体" w:eastAsia="宋体" w:hint="default"/>
          <w:b/>
          <w:bCs/>
        </w:rPr>
        <w:t>金融资产转移的确认依据和计量方法</w:t>
      </w:r>
      <w:r>
        <w:rPr>
          <w:rFonts w:ascii="宋体" w:hAnsi="宋体" w:cs="宋体" w:eastAsia="宋体" w:hint="default"/>
          <w:b/>
          <w:bCs/>
          <w:w w:val="100"/>
        </w:rPr>
        <w:t> </w:t>
      </w:r>
      <w:r>
        <w:rPr>
          <w:spacing w:val="-2"/>
        </w:rPr>
        <w:t>公司发生金融资产转移时，如已将金融资产所有权上几乎所有的风险和报酬转移给转入方，则终止确认</w:t>
      </w:r>
      <w:r>
        <w:rPr>
          <w:spacing w:val="-21"/>
        </w:rPr>
        <w:t> </w:t>
      </w:r>
      <w:r>
        <w:rPr>
          <w:spacing w:val="-21"/>
        </w:rPr>
      </w:r>
      <w:r>
        <w:rPr/>
        <w:t>该金融资产；如保留了金融资产所有权上几乎所有的风险和报酬的，则不终止确认该金融资产。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在判断金融资产转移是否满足上述金融资产终止确认条件时，采用实质重于形式的原则。公司将金融资</w:t>
      </w:r>
      <w:r>
        <w:rPr>
          <w:spacing w:val="-21"/>
        </w:rPr>
        <w:t> </w:t>
      </w:r>
      <w:r>
        <w:rPr>
          <w:spacing w:val="-21"/>
        </w:rPr>
      </w:r>
      <w:r>
        <w:rPr>
          <w:spacing w:val="-2"/>
        </w:rPr>
        <w:t>产转移区分为金融资产整体转移和部分转移。金融资产整体转移满足终止确认条件的，将下列两项金额</w:t>
      </w:r>
      <w:r>
        <w:rPr>
          <w:spacing w:val="-21"/>
        </w:rPr>
        <w:t> </w:t>
      </w:r>
      <w:r>
        <w:rPr>
          <w:spacing w:val="-21"/>
        </w:rPr>
      </w:r>
      <w:r>
        <w:rPr/>
        <w:t>的差额计入当期损益：</w:t>
      </w:r>
    </w:p>
    <w:p>
      <w:pPr>
        <w:pStyle w:val="BodyText"/>
        <w:spacing w:line="240" w:lineRule="auto" w:before="7"/>
        <w:ind w:right="1114"/>
        <w:jc w:val="left"/>
      </w:pPr>
      <w:r>
        <w:rPr/>
        <w:t>（</w:t>
      </w:r>
      <w:r>
        <w:rPr>
          <w:rFonts w:ascii="Times New Roman" w:hAnsi="Times New Roman" w:cs="Times New Roman" w:eastAsia="Times New Roman" w:hint="default"/>
        </w:rPr>
        <w:t>1</w:t>
      </w:r>
      <w:r>
        <w:rPr/>
        <w:t>）所转移金融资产的账面价值；</w:t>
      </w:r>
    </w:p>
    <w:p>
      <w:pPr>
        <w:pStyle w:val="BodyText"/>
        <w:spacing w:line="256" w:lineRule="auto" w:before="21"/>
        <w:ind w:right="1114"/>
        <w:jc w:val="left"/>
      </w:pPr>
      <w:r>
        <w:rPr>
          <w:spacing w:val="-2"/>
        </w:rPr>
        <w:t>（</w:t>
      </w:r>
      <w:r>
        <w:rPr>
          <w:rFonts w:ascii="Times New Roman" w:hAnsi="Times New Roman" w:cs="Times New Roman" w:eastAsia="Times New Roman" w:hint="default"/>
          <w:spacing w:val="-2"/>
        </w:rPr>
        <w:t>2</w:t>
      </w:r>
      <w:r>
        <w:rPr>
          <w:spacing w:val="-2"/>
        </w:rPr>
        <w:t>）因转移而收到的对价，与原直接计入所有者权益的公允价值变动累计额（涉及转移的金融资产为可</w:t>
      </w:r>
      <w:r>
        <w:rPr>
          <w:spacing w:val="-22"/>
        </w:rPr>
        <w:t> </w:t>
      </w:r>
      <w:r>
        <w:rPr>
          <w:spacing w:val="-22"/>
        </w:rPr>
      </w:r>
      <w:r>
        <w:rPr/>
        <w:t>供出售金融资产的情形）之和。</w:t>
      </w:r>
    </w:p>
    <w:p>
      <w:pPr>
        <w:spacing w:line="240" w:lineRule="auto" w:before="8"/>
        <w:rPr>
          <w:rFonts w:ascii="宋体" w:hAnsi="宋体" w:cs="宋体" w:eastAsia="宋体" w:hint="default"/>
          <w:sz w:val="25"/>
          <w:szCs w:val="25"/>
        </w:rPr>
      </w:pPr>
    </w:p>
    <w:p>
      <w:pPr>
        <w:pStyle w:val="BodyText"/>
        <w:spacing w:line="273" w:lineRule="auto"/>
        <w:ind w:right="1114"/>
        <w:jc w:val="left"/>
      </w:pPr>
      <w:r>
        <w:rPr>
          <w:spacing w:val="-2"/>
        </w:rPr>
        <w:t>金融资产部分转移满足终止确认条件的，将所转移金融资产整体的账面价值，在终止确认部分和未终止</w:t>
      </w:r>
      <w:r>
        <w:rPr>
          <w:spacing w:val="-21"/>
        </w:rPr>
        <w:t> </w:t>
      </w:r>
      <w:r>
        <w:rPr>
          <w:spacing w:val="-21"/>
        </w:rPr>
      </w:r>
      <w:r>
        <w:rPr/>
        <w:t>确认部分之间，按照各自的相对公允价值进行分摊，并将下列两项金额的差额计入当期损益：</w:t>
      </w:r>
    </w:p>
    <w:p>
      <w:pPr>
        <w:pStyle w:val="BodyText"/>
        <w:spacing w:line="240" w:lineRule="auto" w:before="7"/>
        <w:ind w:right="1114"/>
        <w:jc w:val="left"/>
      </w:pPr>
      <w:r>
        <w:rPr/>
        <w:t>（</w:t>
      </w:r>
      <w:r>
        <w:rPr>
          <w:rFonts w:ascii="Times New Roman" w:hAnsi="Times New Roman" w:cs="Times New Roman" w:eastAsia="Times New Roman" w:hint="default"/>
        </w:rPr>
        <w:t>1</w:t>
      </w:r>
      <w:r>
        <w:rPr/>
        <w:t>）终止确认部分的账面价值；</w:t>
      </w:r>
    </w:p>
    <w:p>
      <w:pPr>
        <w:pStyle w:val="BodyText"/>
        <w:spacing w:line="240" w:lineRule="auto" w:before="21"/>
        <w:ind w:right="1114"/>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BodyText"/>
        <w:spacing w:line="273" w:lineRule="auto" w:before="21"/>
        <w:ind w:right="1114"/>
        <w:jc w:val="left"/>
      </w:pPr>
      <w:r>
        <w:rPr/>
        <w:t>（涉及转移的金融资产为可供出售金融资产的情形）之和。</w:t>
      </w:r>
      <w:r>
        <w:rPr>
          <w:w w:val="100"/>
        </w:rPr>
        <w:t> </w:t>
      </w:r>
      <w:r>
        <w:rPr>
          <w:spacing w:val="-2"/>
        </w:rPr>
        <w:t>金融资产转移不满足终止确认条件的，继续确认该金融资产，所收到的对价确认为一项金融负债。</w:t>
      </w:r>
    </w:p>
    <w:p>
      <w:pPr>
        <w:spacing w:line="240" w:lineRule="auto" w:before="6"/>
        <w:rPr>
          <w:rFonts w:ascii="宋体" w:hAnsi="宋体" w:cs="宋体" w:eastAsia="宋体" w:hint="default"/>
          <w:sz w:val="24"/>
          <w:szCs w:val="24"/>
        </w:rPr>
      </w:pPr>
    </w:p>
    <w:p>
      <w:pPr>
        <w:pStyle w:val="BodyText"/>
        <w:spacing w:line="273" w:lineRule="auto"/>
        <w:ind w:right="1114"/>
        <w:jc w:val="left"/>
      </w:pPr>
      <w:r>
        <w:rPr>
          <w:rFonts w:ascii="宋体" w:hAnsi="宋体" w:cs="宋体" w:eastAsia="宋体" w:hint="default"/>
          <w:b/>
          <w:bCs/>
        </w:rPr>
        <w:t>金融负债终止确认条件</w:t>
      </w:r>
      <w:r>
        <w:rPr>
          <w:rFonts w:ascii="宋体" w:hAnsi="宋体" w:cs="宋体" w:eastAsia="宋体" w:hint="default"/>
          <w:b/>
          <w:bCs/>
          <w:w w:val="100"/>
        </w:rPr>
        <w:t> </w:t>
      </w:r>
      <w:r>
        <w:rPr>
          <w:spacing w:val="-2"/>
        </w:rPr>
        <w:t>金融负债的现时义务全部或部分已经解除的，则终止确认该金融负债或其一部分；本公司若与债权人签</w:t>
      </w:r>
      <w:r>
        <w:rPr>
          <w:spacing w:val="-21"/>
        </w:rPr>
        <w:t> </w:t>
      </w:r>
      <w:r>
        <w:rPr>
          <w:spacing w:val="-21"/>
        </w:rPr>
      </w:r>
      <w:r>
        <w:rPr>
          <w:spacing w:val="-2"/>
        </w:rPr>
        <w:t>定协议，以承担新金融负债方式替换现存金融负债，且新金融负债与现存金融负债的合同条款实质上不</w:t>
      </w:r>
      <w:r>
        <w:rPr>
          <w:spacing w:val="-21"/>
        </w:rPr>
        <w:t> </w:t>
      </w:r>
      <w:r>
        <w:rPr>
          <w:spacing w:val="-21"/>
        </w:rPr>
      </w:r>
      <w:r>
        <w:rPr/>
        <w:t>同的，则终止确认现存金融负债，并同时确认新金融负债。</w:t>
      </w:r>
      <w:r>
        <w:rPr>
          <w:w w:val="100"/>
        </w:rPr>
        <w:t> </w:t>
      </w:r>
      <w:r>
        <w:rPr>
          <w:spacing w:val="-2"/>
        </w:rPr>
        <w:t>对现存金融负债全部或部分合同条款作出实质性修改的，则终止确认现存金融负债或其一部分，同时将</w:t>
      </w:r>
      <w:r>
        <w:rPr>
          <w:spacing w:val="-21"/>
        </w:rPr>
        <w:t> </w:t>
      </w:r>
      <w:r>
        <w:rPr>
          <w:spacing w:val="-21"/>
        </w:rPr>
      </w:r>
      <w:r>
        <w:rPr/>
        <w:t>修改条款后的金融负债确认为一项新金融负债。</w:t>
      </w:r>
      <w:r>
        <w:rPr>
          <w:w w:val="100"/>
        </w:rPr>
        <w:t> </w:t>
      </w:r>
      <w:r>
        <w:rPr>
          <w:spacing w:val="-2"/>
        </w:rPr>
        <w:t>金融负债全部或部分终止确认时，终止确认的金融负债账面价值与支付对价（包括转出的非现金资产或</w:t>
      </w:r>
      <w:r>
        <w:rPr>
          <w:spacing w:val="-21"/>
        </w:rPr>
        <w:t> </w:t>
      </w:r>
      <w:r>
        <w:rPr>
          <w:spacing w:val="-21"/>
        </w:rPr>
      </w:r>
      <w:r>
        <w:rPr/>
        <w:t>承担的新金融负债）之间的差额，计入当期损益。</w:t>
      </w:r>
      <w:r>
        <w:rPr>
          <w:w w:val="100"/>
        </w:rPr>
        <w:t> </w:t>
      </w:r>
      <w:r>
        <w:rPr>
          <w:spacing w:val="-2"/>
        </w:rPr>
        <w:t>本公司若回购部分金融负债的，在回购日按照继续确认部分与终止确认部分的相对公允价值，将该金融</w:t>
      </w:r>
      <w:r>
        <w:rPr>
          <w:spacing w:val="-22"/>
        </w:rPr>
        <w:t> </w:t>
      </w:r>
      <w:r>
        <w:rPr>
          <w:spacing w:val="-22"/>
        </w:rPr>
      </w:r>
      <w:r>
        <w:rPr>
          <w:spacing w:val="-2"/>
        </w:rPr>
        <w:t>负债整体的账面价值进行分配。分配给终止确认部分的账面价值与支付的对价（包括转出的非现金资产</w:t>
      </w:r>
      <w:r>
        <w:rPr>
          <w:spacing w:val="-21"/>
        </w:rPr>
        <w:t> </w:t>
      </w:r>
      <w:r>
        <w:rPr>
          <w:spacing w:val="-21"/>
        </w:rPr>
      </w:r>
      <w:r>
        <w:rPr/>
        <w:t>或承担的新金融负债）之间的差额，计入当期损益。</w:t>
      </w:r>
    </w:p>
    <w:p>
      <w:pPr>
        <w:spacing w:line="240" w:lineRule="auto" w:before="6"/>
        <w:rPr>
          <w:rFonts w:ascii="宋体" w:hAnsi="宋体" w:cs="宋体" w:eastAsia="宋体" w:hint="default"/>
          <w:sz w:val="24"/>
          <w:szCs w:val="24"/>
        </w:rPr>
      </w:pPr>
    </w:p>
    <w:p>
      <w:pPr>
        <w:pStyle w:val="BodyText"/>
        <w:spacing w:line="273" w:lineRule="auto"/>
        <w:ind w:right="1114"/>
        <w:jc w:val="left"/>
      </w:pPr>
      <w:r>
        <w:rPr>
          <w:rFonts w:ascii="宋体" w:hAnsi="宋体" w:cs="宋体" w:eastAsia="宋体" w:hint="default"/>
          <w:b/>
          <w:bCs/>
        </w:rPr>
        <w:t>金融资产和金融负债的公允价值的确定方法</w:t>
      </w:r>
      <w:r>
        <w:rPr>
          <w:rFonts w:ascii="宋体" w:hAnsi="宋体" w:cs="宋体" w:eastAsia="宋体" w:hint="default"/>
          <w:b/>
          <w:bCs/>
          <w:w w:val="100"/>
        </w:rPr>
        <w:t> </w:t>
      </w:r>
      <w:r>
        <w:rPr>
          <w:spacing w:val="-2"/>
        </w:rPr>
        <w:t>存在活跃市场的金融工具，以活跃市场中的报价确定其公允价值。不存在活跃市场的金融工具，采用估</w:t>
      </w:r>
      <w:r>
        <w:rPr>
          <w:spacing w:val="-21"/>
        </w:rPr>
        <w:t> </w:t>
      </w:r>
      <w:r>
        <w:rPr>
          <w:spacing w:val="-21"/>
        </w:rPr>
      </w:r>
      <w:r>
        <w:rPr>
          <w:spacing w:val="-2"/>
        </w:rPr>
        <w:t>值技术确定其公允价值。在估值时，本公司采用在当前情况下适用并且有足够可利用数据和其他信息支</w:t>
      </w:r>
    </w:p>
    <w:p>
      <w:pPr>
        <w:spacing w:after="0" w:line="273" w:lineRule="auto"/>
        <w:jc w:val="left"/>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BodyText"/>
        <w:spacing w:line="273" w:lineRule="auto" w:before="36"/>
        <w:ind w:right="1114"/>
        <w:jc w:val="left"/>
      </w:pPr>
      <w:r>
        <w:rPr/>
        <w:t>持的估值技术，选择与市场参与者在相关资产或负债的交易中所考虑的资产或负债特征相一致的输入</w:t>
      </w:r>
      <w:r>
        <w:rPr>
          <w:w w:val="100"/>
        </w:rPr>
        <w:t> </w:t>
      </w:r>
      <w:r>
        <w:rPr>
          <w:spacing w:val="-2"/>
        </w:rPr>
        <w:t>值，并优先使用相关可观察输入值。只有在相关可观察输入值无法取得或取得不切实可行的情况下，才</w:t>
      </w:r>
      <w:r>
        <w:rPr>
          <w:spacing w:val="-21"/>
        </w:rPr>
        <w:t> </w:t>
      </w:r>
      <w:r>
        <w:rPr>
          <w:spacing w:val="-21"/>
        </w:rPr>
      </w:r>
      <w:r>
        <w:rPr/>
        <w:t>使用不可观察输入值。</w:t>
      </w:r>
    </w:p>
    <w:p>
      <w:pPr>
        <w:spacing w:line="240" w:lineRule="auto" w:before="6"/>
        <w:rPr>
          <w:rFonts w:ascii="宋体" w:hAnsi="宋体" w:cs="宋体" w:eastAsia="宋体" w:hint="default"/>
          <w:sz w:val="24"/>
          <w:szCs w:val="24"/>
        </w:rPr>
      </w:pPr>
    </w:p>
    <w:p>
      <w:pPr>
        <w:spacing w:line="273" w:lineRule="auto" w:before="0"/>
        <w:ind w:left="153" w:right="1114" w:firstLine="0"/>
        <w:jc w:val="left"/>
        <w:rPr>
          <w:rFonts w:ascii="宋体" w:hAnsi="宋体" w:cs="宋体" w:eastAsia="宋体" w:hint="default"/>
          <w:sz w:val="21"/>
          <w:szCs w:val="21"/>
        </w:rPr>
      </w:pP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除以公允价值计量且其变动计入当期损益的金融资产外，本公司于资产负债表日对金融资产的账面价值</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进行检查，如果有客观证据表明某项金融资产发生减值的，计提减值准备。</w:t>
      </w:r>
    </w:p>
    <w:p>
      <w:pPr>
        <w:pStyle w:val="BodyText"/>
        <w:spacing w:line="266" w:lineRule="auto" w:before="7"/>
        <w:ind w:right="1114"/>
        <w:jc w:val="left"/>
      </w:pPr>
      <w:r>
        <w:rPr/>
        <w:t>（</w:t>
      </w:r>
      <w:r>
        <w:rPr>
          <w:rFonts w:ascii="Times New Roman" w:hAnsi="Times New Roman" w:cs="Times New Roman" w:eastAsia="Times New Roman" w:hint="default"/>
        </w:rPr>
        <w:t>1</w:t>
      </w:r>
      <w:r>
        <w:rPr/>
        <w:t>）可供出售金融资产的减值准备：</w:t>
      </w:r>
      <w:r>
        <w:rPr>
          <w:w w:val="100"/>
        </w:rPr>
        <w:t> </w:t>
      </w:r>
      <w:r>
        <w:rPr/>
        <w:t>期末如果可供出售金融资产的公允价值发生严重下降，或在综合考虑各种相关因素后，预期这种下降趋</w:t>
      </w:r>
      <w:r>
        <w:rPr>
          <w:w w:val="100"/>
        </w:rPr>
        <w:t> </w:t>
      </w:r>
      <w:r>
        <w:rPr/>
        <w:t>势属于非暂时性的，就认定其已发生减值，将原直接计入所有者权益的公允价值下降形成的累计损失一</w:t>
      </w:r>
      <w:r>
        <w:rPr>
          <w:w w:val="100"/>
        </w:rPr>
        <w:t> </w:t>
      </w:r>
      <w:r>
        <w:rPr/>
        <w:t>并转出，确认减值损失。</w:t>
      </w:r>
      <w:r>
        <w:rPr>
          <w:w w:val="100"/>
        </w:rPr>
        <w:t> </w:t>
      </w:r>
      <w:r>
        <w:rPr/>
        <w:t>对于已确认减值损失的可供出售债务工具，在随后的会计期间公允价值已上升且客观上与确认原减值损</w:t>
      </w:r>
      <w:r>
        <w:rPr>
          <w:w w:val="100"/>
        </w:rPr>
        <w:t> </w:t>
      </w:r>
      <w:r>
        <w:rPr/>
        <w:t>失确认后发生的事项有关的，原确认的减值损失予以转回，计入当期损益。</w:t>
      </w:r>
      <w:r>
        <w:rPr>
          <w:w w:val="100"/>
        </w:rPr>
        <w:t> </w:t>
      </w:r>
      <w:r>
        <w:rPr/>
        <w:t>可供出售权益工具投资发生的减值损失，不通过损益转回。</w:t>
      </w:r>
      <w:r>
        <w:rPr>
          <w:w w:val="100"/>
        </w:rPr>
        <w:t> </w:t>
      </w:r>
      <w:r>
        <w:rPr/>
        <w:t>本公司对可供出售权益工具投资减值的认定标准为：</w:t>
      </w:r>
      <w:r>
        <w:rPr>
          <w:w w:val="100"/>
        </w:rPr>
        <w:t> </w:t>
      </w:r>
      <w:r>
        <w:rPr>
          <w:spacing w:val="-2"/>
        </w:rPr>
        <w:t>本公司对可供出售权益工具投资的公允价值下跌</w:t>
      </w:r>
      <w:r>
        <w:rPr>
          <w:rFonts w:ascii="Times New Roman" w:hAnsi="Times New Roman" w:cs="Times New Roman" w:eastAsia="Times New Roman" w:hint="default"/>
          <w:spacing w:val="-2"/>
        </w:rPr>
        <w:t>“</w:t>
      </w:r>
      <w:r>
        <w:rPr>
          <w:spacing w:val="-2"/>
        </w:rPr>
        <w:t>严重</w:t>
      </w:r>
      <w:r>
        <w:rPr>
          <w:rFonts w:ascii="Times New Roman" w:hAnsi="Times New Roman" w:cs="Times New Roman" w:eastAsia="Times New Roman" w:hint="default"/>
          <w:spacing w:val="-2"/>
        </w:rPr>
        <w:t>”</w:t>
      </w:r>
      <w:r>
        <w:rPr>
          <w:spacing w:val="-2"/>
        </w:rPr>
        <w:t>的标准为：可供出售权益工具投资的公允价值累计</w:t>
      </w:r>
      <w:r>
        <w:rPr>
          <w:spacing w:val="-22"/>
        </w:rPr>
        <w:t> </w:t>
      </w:r>
      <w:r>
        <w:rPr>
          <w:spacing w:val="-22"/>
        </w:rPr>
      </w:r>
      <w:r>
        <w:rPr/>
        <w:t>下跌超过初始成本的</w:t>
      </w:r>
      <w:r>
        <w:rPr>
          <w:rFonts w:ascii="Times New Roman" w:hAnsi="Times New Roman" w:cs="Times New Roman" w:eastAsia="Times New Roman" w:hint="default"/>
        </w:rPr>
        <w:t>40%</w:t>
      </w:r>
      <w:r>
        <w:rPr/>
        <w:t>（含</w:t>
      </w:r>
      <w:r>
        <w:rPr>
          <w:rFonts w:ascii="Times New Roman" w:hAnsi="Times New Roman" w:cs="Times New Roman" w:eastAsia="Times New Roman" w:hint="default"/>
        </w:rPr>
        <w:t>40%</w:t>
      </w:r>
      <w:r>
        <w:rPr/>
        <w:t>）。</w:t>
      </w:r>
      <w:r>
        <w:rPr>
          <w:spacing w:val="-3"/>
          <w:w w:val="100"/>
        </w:rPr>
        <w:t> </w:t>
      </w:r>
      <w:r>
        <w:rPr>
          <w:spacing w:val="-2"/>
        </w:rPr>
        <w:t>本公司对可供出售权益工具投资的公允价值下跌</w:t>
      </w:r>
      <w:r>
        <w:rPr>
          <w:rFonts w:ascii="Times New Roman" w:hAnsi="Times New Roman" w:cs="Times New Roman" w:eastAsia="Times New Roman" w:hint="default"/>
          <w:spacing w:val="-2"/>
        </w:rPr>
        <w:t>“</w:t>
      </w:r>
      <w:r>
        <w:rPr>
          <w:spacing w:val="-2"/>
        </w:rPr>
        <w:t>非暂时性</w:t>
      </w:r>
      <w:r>
        <w:rPr>
          <w:rFonts w:ascii="Times New Roman" w:hAnsi="Times New Roman" w:cs="Times New Roman" w:eastAsia="Times New Roman" w:hint="default"/>
          <w:spacing w:val="-2"/>
        </w:rPr>
        <w:t>”</w:t>
      </w:r>
      <w:r>
        <w:rPr>
          <w:spacing w:val="-2"/>
        </w:rPr>
        <w:t>的标准为：可供出售权益工具投资的公允价值</w:t>
      </w:r>
      <w:r>
        <w:rPr>
          <w:spacing w:val="-22"/>
        </w:rPr>
        <w:t> </w:t>
      </w:r>
      <w:r>
        <w:rPr>
          <w:spacing w:val="-22"/>
        </w:rPr>
      </w:r>
      <w:r>
        <w:rPr/>
        <w:t>连续下跌趋势已持续</w:t>
      </w:r>
      <w:r>
        <w:rPr>
          <w:rFonts w:ascii="Times New Roman" w:hAnsi="Times New Roman" w:cs="Times New Roman" w:eastAsia="Times New Roman" w:hint="default"/>
        </w:rPr>
        <w:t>12</w:t>
      </w:r>
      <w:r>
        <w:rPr/>
        <w:t>个月以上，且资产负债表日后</w:t>
      </w:r>
      <w:r>
        <w:rPr>
          <w:rFonts w:ascii="Times New Roman" w:hAnsi="Times New Roman" w:cs="Times New Roman" w:eastAsia="Times New Roman" w:hint="default"/>
        </w:rPr>
        <w:t>2</w:t>
      </w:r>
      <w:r>
        <w:rPr/>
        <w:t>个月无明显恢复迹象，本公司认为需按个别评估方</w:t>
      </w:r>
      <w:r>
        <w:rPr>
          <w:spacing w:val="-25"/>
        </w:rPr>
        <w:t> </w:t>
      </w:r>
      <w:r>
        <w:rPr>
          <w:spacing w:val="-25"/>
        </w:rPr>
      </w:r>
      <w:r>
        <w:rPr/>
        <w:t>式计提减值准备。</w:t>
      </w:r>
    </w:p>
    <w:p>
      <w:pPr>
        <w:pStyle w:val="BodyText"/>
        <w:spacing w:line="256" w:lineRule="auto" w:before="14"/>
        <w:ind w:right="1114"/>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持有至到期投资减值损失的计量比照应收款项减值损失计量方法处理。</w:t>
      </w:r>
    </w:p>
    <w:p>
      <w:pPr>
        <w:spacing w:line="240" w:lineRule="auto" w:before="8"/>
        <w:rPr>
          <w:rFonts w:ascii="宋体" w:hAnsi="宋体" w:cs="宋体" w:eastAsia="宋体" w:hint="default"/>
          <w:sz w:val="25"/>
          <w:szCs w:val="25"/>
        </w:rPr>
      </w:pPr>
    </w:p>
    <w:p>
      <w:pPr>
        <w:pStyle w:val="BodyText"/>
        <w:spacing w:line="273" w:lineRule="auto"/>
        <w:ind w:right="1114"/>
        <w:jc w:val="left"/>
      </w:pPr>
      <w:r>
        <w:rPr>
          <w:rFonts w:ascii="宋体" w:hAnsi="宋体" w:cs="宋体" w:eastAsia="宋体" w:hint="default"/>
          <w:b/>
          <w:bCs/>
        </w:rPr>
        <w:t>衍生金融工具</w:t>
      </w:r>
      <w:r>
        <w:rPr>
          <w:rFonts w:ascii="宋体" w:hAnsi="宋体" w:cs="宋体" w:eastAsia="宋体" w:hint="default"/>
          <w:b/>
          <w:bCs/>
          <w:spacing w:val="-104"/>
        </w:rPr>
        <w:t> </w:t>
      </w:r>
      <w:r>
        <w:rPr>
          <w:spacing w:val="-2"/>
        </w:rPr>
        <w:t>本公司使用远期外汇合约、利率掉期和股指期货合约等衍生金融工具分别规避汇率、利率和证券价格变</w:t>
      </w:r>
      <w:r>
        <w:rPr>
          <w:spacing w:val="-21"/>
        </w:rPr>
        <w:t> </w:t>
      </w:r>
      <w:r>
        <w:rPr>
          <w:spacing w:val="-21"/>
        </w:rPr>
      </w:r>
      <w:r>
        <w:rPr>
          <w:spacing w:val="-2"/>
        </w:rPr>
        <w:t>动等风险。衍生金融工具初始以衍生交易合同签订当日的公允价值进行计量，并以其公允价值进行后续</w:t>
      </w:r>
      <w:r>
        <w:rPr>
          <w:spacing w:val="-21"/>
        </w:rPr>
        <w:t> </w:t>
      </w:r>
      <w:r>
        <w:rPr>
          <w:spacing w:val="-21"/>
        </w:rPr>
      </w:r>
      <w:r>
        <w:rPr>
          <w:spacing w:val="-2"/>
        </w:rPr>
        <w:t>计量。公允价值为正数的衍生金融工具确认为一项资产，公允价值为负数的确认为一项负债。公允价值</w:t>
      </w:r>
      <w:r>
        <w:rPr>
          <w:spacing w:val="-21"/>
        </w:rPr>
        <w:t> </w:t>
      </w:r>
      <w:r>
        <w:rPr>
          <w:spacing w:val="-21"/>
        </w:rPr>
      </w:r>
      <w:r>
        <w:rPr>
          <w:spacing w:val="-2"/>
        </w:rPr>
        <w:t>从活跃市场上的公开市场报价中取得（包括最近的市场交易价格等），或使用估值技术确定（例如：现</w:t>
      </w:r>
      <w:r>
        <w:rPr>
          <w:spacing w:val="-21"/>
        </w:rPr>
        <w:t> </w:t>
      </w:r>
      <w:r>
        <w:rPr>
          <w:spacing w:val="-21"/>
        </w:rPr>
      </w:r>
      <w:r>
        <w:rPr/>
        <w:t>金流量折现法、期权定价模型等）。本公司对场外交易的衍生工具作出了信贷估值调整及债务估值调</w:t>
      </w:r>
      <w:r>
        <w:rPr>
          <w:w w:val="100"/>
        </w:rPr>
        <w:t> </w:t>
      </w:r>
      <w:r>
        <w:rPr/>
        <w:t>整，以反映交易对手和公司自身的信用风险。</w:t>
      </w:r>
    </w:p>
    <w:p>
      <w:pPr>
        <w:spacing w:line="240" w:lineRule="auto" w:before="6"/>
        <w:rPr>
          <w:rFonts w:ascii="宋体" w:hAnsi="宋体" w:cs="宋体" w:eastAsia="宋体" w:hint="default"/>
          <w:sz w:val="24"/>
          <w:szCs w:val="24"/>
        </w:rPr>
      </w:pPr>
    </w:p>
    <w:p>
      <w:pPr>
        <w:pStyle w:val="BodyText"/>
        <w:spacing w:line="273" w:lineRule="auto"/>
        <w:ind w:right="1114"/>
        <w:jc w:val="left"/>
      </w:pPr>
      <w:r>
        <w:rPr>
          <w:rFonts w:ascii="宋体" w:hAnsi="宋体" w:cs="宋体" w:eastAsia="宋体" w:hint="default"/>
          <w:b/>
          <w:bCs/>
        </w:rPr>
        <w:t>金融工具的抵销</w:t>
      </w:r>
      <w:r>
        <w:rPr>
          <w:rFonts w:ascii="宋体" w:hAnsi="宋体" w:cs="宋体" w:eastAsia="宋体" w:hint="default"/>
          <w:b/>
          <w:bCs/>
          <w:spacing w:val="-104"/>
        </w:rPr>
        <w:t> </w:t>
      </w:r>
      <w:r>
        <w:rPr>
          <w:spacing w:val="-2"/>
        </w:rPr>
        <w:t>当依法有权抵销债权债务且该法定权利现在是可执行的，同时交易双方准备按净额进行结算，或同时结</w:t>
      </w:r>
      <w:r>
        <w:rPr>
          <w:spacing w:val="-21"/>
        </w:rPr>
        <w:t> </w:t>
      </w:r>
      <w:r>
        <w:rPr>
          <w:spacing w:val="-21"/>
        </w:rPr>
      </w:r>
      <w:r>
        <w:rPr/>
        <w:t>清资产和负债时，金融资产和负债以抵销后的净额在财务报表中列示。</w:t>
      </w:r>
    </w:p>
    <w:p>
      <w:pPr>
        <w:spacing w:line="590" w:lineRule="atLeast" w:before="9"/>
        <w:ind w:left="573" w:right="120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发放贷款及垫款及坏账准备</w:t>
      </w:r>
      <w:r>
        <w:rPr>
          <w:rFonts w:ascii="宋体" w:hAnsi="宋体" w:cs="宋体" w:eastAsia="宋体" w:hint="default"/>
          <w:b/>
          <w:bCs/>
          <w:w w:val="100"/>
          <w:sz w:val="21"/>
          <w:szCs w:val="21"/>
        </w:rPr>
        <w:t> </w:t>
      </w:r>
      <w:r>
        <w:rPr>
          <w:rFonts w:ascii="宋体" w:hAnsi="宋体" w:cs="宋体" w:eastAsia="宋体" w:hint="default"/>
          <w:sz w:val="21"/>
          <w:szCs w:val="21"/>
        </w:rPr>
        <w:t>采用以风险为基础的分类方法（简称贷款风险分类法），即把贷款分为正常、关注、</w:t>
      </w:r>
      <w:r>
        <w:rPr>
          <w:rFonts w:ascii="宋体" w:hAnsi="宋体" w:cs="宋体" w:eastAsia="宋体" w:hint="default"/>
          <w:spacing w:val="-5"/>
          <w:sz w:val="21"/>
          <w:szCs w:val="21"/>
        </w:rPr>
        <w:t> </w:t>
      </w:r>
      <w:r>
        <w:rPr>
          <w:rFonts w:ascii="宋体" w:hAnsi="宋体" w:cs="宋体" w:eastAsia="宋体" w:hint="default"/>
          <w:sz w:val="21"/>
          <w:szCs w:val="21"/>
        </w:rPr>
        <w:t>次级、可疑和</w:t>
      </w:r>
    </w:p>
    <w:p>
      <w:pPr>
        <w:pStyle w:val="BodyText"/>
        <w:spacing w:line="240" w:lineRule="auto" w:before="37"/>
        <w:ind w:right="1114"/>
        <w:jc w:val="left"/>
      </w:pPr>
      <w:r>
        <w:rPr/>
        <w:t>损失五类。</w:t>
      </w:r>
    </w:p>
    <w:p>
      <w:pPr>
        <w:pStyle w:val="BodyText"/>
        <w:spacing w:line="273" w:lineRule="auto" w:before="37"/>
        <w:ind w:right="1205" w:firstLine="420"/>
        <w:jc w:val="left"/>
      </w:pPr>
      <w:r>
        <w:rPr/>
        <w:t>正常：借款人经营正常并按时还本付息</w:t>
      </w:r>
      <w:r>
        <w:rPr>
          <w:spacing w:val="-7"/>
        </w:rPr>
        <w:t> </w:t>
      </w:r>
      <w:r>
        <w:rPr/>
        <w:t>，或逾期三个月（不含）之内或欠息十个工作日（不含）之</w:t>
      </w:r>
      <w:r>
        <w:rPr>
          <w:w w:val="100"/>
        </w:rPr>
        <w:t> </w:t>
      </w:r>
      <w:r>
        <w:rPr/>
        <w:t>内，担保状态正常 ，在没有足够理由怀疑贷款本息不能足额偿还情</w:t>
      </w:r>
      <w:r>
        <w:rPr>
          <w:spacing w:val="-8"/>
        </w:rPr>
        <w:t> </w:t>
      </w:r>
      <w:r>
        <w:rPr/>
        <w:t>况下，可认定为正常类。</w:t>
      </w:r>
    </w:p>
    <w:p>
      <w:pPr>
        <w:pStyle w:val="BodyText"/>
        <w:spacing w:line="273" w:lineRule="auto" w:before="7"/>
        <w:ind w:right="1114" w:firstLine="420"/>
        <w:jc w:val="left"/>
      </w:pPr>
      <w:r>
        <w:rPr>
          <w:spacing w:val="-2"/>
        </w:rPr>
        <w:t>关注：若贷款出现逾期三个月（含）以上六个月以下（不含），或欠息十个工作日（含）以上，预</w:t>
      </w:r>
      <w:r>
        <w:rPr>
          <w:w w:val="100"/>
        </w:rPr>
        <w:t> </w:t>
      </w:r>
      <w:r>
        <w:rPr/>
        <w:t>计贷款无损失的，可以认定为关注类。</w:t>
      </w:r>
    </w:p>
    <w:p>
      <w:pPr>
        <w:pStyle w:val="BodyText"/>
        <w:spacing w:line="240" w:lineRule="auto" w:before="7"/>
        <w:ind w:left="573" w:right="1114"/>
        <w:jc w:val="left"/>
      </w:pPr>
      <w:r>
        <w:rPr/>
        <w:t>次级：若贷款出现逾期三个月（含）以上六个月（不含）以下，或欠息一个月（不含）以上，预计</w:t>
      </w:r>
    </w:p>
    <w:p>
      <w:pPr>
        <w:spacing w:after="0" w:line="240" w:lineRule="auto"/>
        <w:jc w:val="left"/>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BodyText"/>
        <w:spacing w:line="273" w:lineRule="auto" w:before="36"/>
        <w:ind w:left="573" w:right="1114" w:hanging="420"/>
        <w:jc w:val="left"/>
      </w:pPr>
      <w:r>
        <w:rPr/>
        <w:t>担保清偿后损失小于等于</w:t>
      </w:r>
      <w:r>
        <w:rPr>
          <w:spacing w:val="-4"/>
        </w:rPr>
        <w:t> </w:t>
      </w:r>
      <w:r>
        <w:rPr>
          <w:rFonts w:ascii="宋体" w:hAnsi="宋体" w:cs="宋体" w:eastAsia="宋体" w:hint="default"/>
        </w:rPr>
        <w:t>10%</w:t>
      </w:r>
      <w:r>
        <w:rPr/>
        <w:t>的，认定为次级类。</w:t>
      </w:r>
      <w:r>
        <w:rPr>
          <w:w w:val="100"/>
        </w:rPr>
        <w:t> </w:t>
      </w:r>
      <w:r>
        <w:rPr>
          <w:spacing w:val="-2"/>
        </w:rPr>
        <w:t>可疑：若贷款出现逾期六个月（含）以上，或欠息两个月（不含）以上，预计担保清偿后损失大于</w:t>
      </w:r>
    </w:p>
    <w:p>
      <w:pPr>
        <w:pStyle w:val="BodyText"/>
        <w:spacing w:line="273" w:lineRule="auto" w:before="7"/>
        <w:ind w:right="1206"/>
        <w:jc w:val="left"/>
      </w:pPr>
      <w:r>
        <w:rPr>
          <w:rFonts w:ascii="宋体" w:hAnsi="宋体" w:cs="宋体" w:eastAsia="宋体" w:hint="default"/>
        </w:rPr>
        <w:t>10%</w:t>
      </w:r>
      <w:r>
        <w:rPr/>
        <w:t>，小于等于</w:t>
      </w:r>
      <w:r>
        <w:rPr>
          <w:rFonts w:ascii="宋体" w:hAnsi="宋体" w:cs="宋体" w:eastAsia="宋体" w:hint="default"/>
        </w:rPr>
        <w:t>20%</w:t>
      </w:r>
      <w:r>
        <w:rPr>
          <w:rFonts w:ascii="宋体" w:hAnsi="宋体" w:cs="宋体" w:eastAsia="宋体" w:hint="default"/>
          <w:spacing w:val="-8"/>
        </w:rPr>
        <w:t> </w:t>
      </w:r>
      <w:r>
        <w:rPr/>
        <w:t>的，认定为可疑类。对逾期一年（含）以上或己进入法律程追索的贷款，应归入可疑</w:t>
      </w:r>
      <w:r>
        <w:rPr>
          <w:w w:val="100"/>
        </w:rPr>
        <w:t> </w:t>
      </w:r>
      <w:r>
        <w:rPr/>
        <w:t>类。</w:t>
      </w:r>
    </w:p>
    <w:p>
      <w:pPr>
        <w:pStyle w:val="BodyText"/>
        <w:spacing w:line="273" w:lineRule="auto" w:before="7"/>
        <w:ind w:right="1311" w:firstLine="420"/>
        <w:jc w:val="left"/>
      </w:pPr>
      <w:r>
        <w:rPr/>
        <w:t>损失：借款人因依法解散、关闭、撤销 、宣告破产终止法人资格</w:t>
      </w:r>
      <w:r>
        <w:rPr>
          <w:spacing w:val="-8"/>
        </w:rPr>
        <w:t> </w:t>
      </w:r>
      <w:r>
        <w:rPr/>
        <w:t>，依法追诉担保后，预计损失大</w:t>
      </w:r>
      <w:r>
        <w:rPr>
          <w:w w:val="100"/>
        </w:rPr>
        <w:t> </w:t>
      </w:r>
      <w:r>
        <w:rPr/>
        <w:t>于</w:t>
      </w:r>
      <w:r>
        <w:rPr>
          <w:rFonts w:ascii="宋体" w:hAnsi="宋体" w:cs="宋体" w:eastAsia="宋体" w:hint="default"/>
        </w:rPr>
        <w:t>20%</w:t>
      </w:r>
      <w:r>
        <w:rPr/>
        <w:t>的，应认定为损失类。</w:t>
      </w:r>
    </w:p>
    <w:p>
      <w:pPr>
        <w:pStyle w:val="BodyText"/>
        <w:spacing w:line="240" w:lineRule="auto" w:before="7"/>
        <w:ind w:right="1114"/>
        <w:jc w:val="left"/>
      </w:pPr>
      <w:r>
        <w:rPr/>
        <w:t>结合现时情况确定以下坏账准备计提的比例：</w:t>
      </w:r>
    </w:p>
    <w:p>
      <w:pPr>
        <w:spacing w:line="240" w:lineRule="auto" w:before="10"/>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4995"/>
        <w:gridCol w:w="4635"/>
      </w:tblGrid>
      <w:tr>
        <w:trPr>
          <w:trHeight w:val="341" w:hRule="exact"/>
        </w:trPr>
        <w:tc>
          <w:tcPr>
            <w:tcW w:w="49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18"/>
                <w:sz w:val="18"/>
                <w:szCs w:val="18"/>
              </w:rPr>
              <w:t> </w:t>
            </w:r>
            <w:r>
              <w:rPr>
                <w:rFonts w:ascii="宋体" w:hAnsi="宋体" w:cs="宋体" w:eastAsia="宋体" w:hint="default"/>
                <w:sz w:val="18"/>
                <w:szCs w:val="18"/>
              </w:rPr>
              <w:t>别</w:t>
            </w:r>
          </w:p>
        </w:tc>
        <w:tc>
          <w:tcPr>
            <w:tcW w:w="4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1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发放贷款及垫资计提比例</w:t>
            </w:r>
            <w:r>
              <w:rPr>
                <w:rFonts w:ascii="Times New Roman" w:hAnsi="Times New Roman" w:cs="Times New Roman" w:eastAsia="Times New Roman" w:hint="default"/>
                <w:sz w:val="18"/>
                <w:szCs w:val="18"/>
              </w:rPr>
              <w:t>(%)</w:t>
            </w:r>
          </w:p>
        </w:tc>
      </w:tr>
      <w:tr>
        <w:trPr>
          <w:trHeight w:val="343"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4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w:t>
            </w:r>
          </w:p>
        </w:tc>
      </w:tr>
      <w:tr>
        <w:trPr>
          <w:trHeight w:val="341"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关注</w:t>
            </w:r>
          </w:p>
        </w:tc>
        <w:tc>
          <w:tcPr>
            <w:tcW w:w="4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w:t>
            </w:r>
          </w:p>
        </w:tc>
      </w:tr>
      <w:tr>
        <w:trPr>
          <w:trHeight w:val="343"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次级</w:t>
            </w:r>
          </w:p>
        </w:tc>
        <w:tc>
          <w:tcPr>
            <w:tcW w:w="4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25.00</w:t>
            </w:r>
          </w:p>
        </w:tc>
      </w:tr>
      <w:tr>
        <w:trPr>
          <w:trHeight w:val="341"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可疑</w:t>
            </w:r>
          </w:p>
        </w:tc>
        <w:tc>
          <w:tcPr>
            <w:tcW w:w="4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50.00</w:t>
            </w:r>
          </w:p>
        </w:tc>
      </w:tr>
      <w:tr>
        <w:trPr>
          <w:trHeight w:val="343"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4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9"/>
              <w:jc w:val="left"/>
              <w:rPr>
                <w:rFonts w:ascii="宋体" w:hAnsi="宋体" w:cs="宋体" w:eastAsia="宋体" w:hint="default"/>
                <w:sz w:val="18"/>
                <w:szCs w:val="18"/>
              </w:rPr>
            </w:pPr>
            <w:r>
              <w:rPr>
                <w:rFonts w:ascii="宋体" w:hAnsi="宋体" w:cs="宋体" w:eastAsia="宋体" w:hint="default"/>
                <w:sz w:val="18"/>
                <w:szCs w:val="18"/>
              </w:rPr>
              <w:t>应收款项余额前五名或占应收账款余额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％以上的款项之 和。</w:t>
            </w:r>
          </w:p>
        </w:tc>
      </w:tr>
      <w:tr>
        <w:trPr>
          <w:trHeight w:val="133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8"/>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3"/>
        <w:rPr>
          <w:rFonts w:ascii="宋体" w:hAnsi="宋体" w:cs="宋体" w:eastAsia="宋体" w:hint="default"/>
          <w:b/>
          <w:bCs/>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after="0" w:line="338" w:lineRule="auto"/>
        <w:jc w:val="left"/>
        <w:rPr>
          <w:rFonts w:ascii="宋体" w:hAnsi="宋体" w:cs="宋体" w:eastAsia="宋体" w:hint="default"/>
          <w:sz w:val="18"/>
          <w:szCs w:val="18"/>
        </w:rPr>
        <w:sectPr>
          <w:pgSz w:w="11910" w:h="16840"/>
          <w:pgMar w:header="852" w:footer="979" w:top="1260" w:bottom="1160" w:left="980" w:right="0"/>
        </w:sectPr>
      </w:pPr>
    </w:p>
    <w:p>
      <w:pPr>
        <w:spacing w:line="240" w:lineRule="auto" w:before="10"/>
        <w:rPr>
          <w:rFonts w:ascii="宋体" w:hAnsi="宋体" w:cs="宋体" w:eastAsia="宋体" w:hint="default"/>
          <w:sz w:val="9"/>
          <w:szCs w:val="9"/>
        </w:rPr>
      </w:pPr>
    </w:p>
    <w:p>
      <w:pPr>
        <w:spacing w:before="44"/>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4786"/>
        <w:gridCol w:w="2393"/>
        <w:gridCol w:w="2391"/>
      </w:tblGrid>
      <w:tr>
        <w:trPr>
          <w:trHeight w:val="401"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（集团公司内部往来形成的应收款项）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单项金额不重大但经单项测试后存在减值的应收款项。</w:t>
            </w:r>
          </w:p>
        </w:tc>
      </w:tr>
      <w:tr>
        <w:trPr>
          <w:trHeight w:val="102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8"/>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单独进行减值测试。如有客观证据表明其发生了减值的，根 据其未来现金流量现值低于其账面价值的差额，确认减值损 失，计提坏账准备。</w:t>
            </w:r>
          </w:p>
        </w:tc>
      </w:tr>
    </w:tbl>
    <w:p>
      <w:pPr>
        <w:spacing w:line="240" w:lineRule="auto" w:before="3"/>
        <w:rPr>
          <w:rFonts w:ascii="宋体" w:hAnsi="宋体" w:cs="宋体" w:eastAsia="宋体" w:hint="default"/>
          <w:b/>
          <w:bCs/>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3" w:right="1114" w:firstLine="0"/>
        <w:jc w:val="left"/>
        <w:rPr>
          <w:rFonts w:ascii="宋体" w:hAnsi="宋体" w:cs="宋体" w:eastAsia="宋体" w:hint="default"/>
          <w:sz w:val="18"/>
          <w:szCs w:val="18"/>
        </w:rPr>
      </w:pPr>
      <w:r>
        <w:rPr>
          <w:rFonts w:ascii="宋体" w:hAnsi="宋体" w:cs="宋体" w:eastAsia="宋体" w:hint="default"/>
          <w:sz w:val="18"/>
          <w:szCs w:val="18"/>
        </w:rPr>
        <w:t>电子商务业</w:t>
      </w:r>
    </w:p>
    <w:p>
      <w:pPr>
        <w:pStyle w:val="BodyText"/>
        <w:spacing w:line="273" w:lineRule="auto" w:before="96"/>
        <w:ind w:right="1114"/>
        <w:jc w:val="left"/>
      </w:pPr>
      <w:r>
        <w:rPr>
          <w:rFonts w:ascii="宋体" w:hAnsi="宋体" w:cs="宋体" w:eastAsia="宋体" w:hint="default"/>
          <w:b/>
          <w:bCs/>
        </w:rPr>
        <w:t>存货的分类</w:t>
      </w:r>
      <w:r>
        <w:rPr>
          <w:rFonts w:ascii="宋体" w:hAnsi="宋体" w:cs="宋体" w:eastAsia="宋体" w:hint="default"/>
          <w:b/>
          <w:bCs/>
          <w:w w:val="100"/>
        </w:rPr>
        <w:t> </w:t>
      </w:r>
      <w:r>
        <w:rPr>
          <w:spacing w:val="-2"/>
        </w:rPr>
        <w:t>存货分类为：开发成本、拟开发土地、开发产品、出租开发产品、工程施工、库存商品、周转材料等。</w:t>
      </w:r>
    </w:p>
    <w:p>
      <w:pPr>
        <w:spacing w:line="240" w:lineRule="auto" w:before="6"/>
        <w:rPr>
          <w:rFonts w:ascii="宋体" w:hAnsi="宋体" w:cs="宋体" w:eastAsia="宋体" w:hint="default"/>
          <w:sz w:val="24"/>
          <w:szCs w:val="24"/>
        </w:rPr>
      </w:pPr>
    </w:p>
    <w:p>
      <w:pPr>
        <w:spacing w:line="273" w:lineRule="auto" w:before="0"/>
        <w:ind w:left="153" w:right="7693" w:firstLine="0"/>
        <w:jc w:val="left"/>
        <w:rPr>
          <w:rFonts w:ascii="宋体" w:hAnsi="宋体" w:cs="宋体" w:eastAsia="宋体" w:hint="default"/>
          <w:sz w:val="21"/>
          <w:szCs w:val="21"/>
        </w:rPr>
      </w:pPr>
      <w:r>
        <w:rPr>
          <w:rFonts w:ascii="宋体" w:hAnsi="宋体" w:cs="宋体" w:eastAsia="宋体" w:hint="default"/>
          <w:b/>
          <w:bCs/>
          <w:sz w:val="21"/>
          <w:szCs w:val="21"/>
        </w:rPr>
        <w:t>发出存货的计价方法</w:t>
      </w:r>
      <w:r>
        <w:rPr>
          <w:rFonts w:ascii="宋体" w:hAnsi="宋体" w:cs="宋体" w:eastAsia="宋体" w:hint="default"/>
          <w:b/>
          <w:bCs/>
          <w:spacing w:val="-103"/>
          <w:sz w:val="21"/>
          <w:szCs w:val="21"/>
        </w:rPr>
        <w:t> </w:t>
      </w:r>
      <w:r>
        <w:rPr>
          <w:rFonts w:ascii="宋体" w:hAnsi="宋体" w:cs="宋体" w:eastAsia="宋体" w:hint="default"/>
          <w:sz w:val="21"/>
          <w:szCs w:val="21"/>
        </w:rPr>
        <w:t>存货发出时按个别认定法计价。</w:t>
      </w:r>
    </w:p>
    <w:p>
      <w:pPr>
        <w:spacing w:line="240" w:lineRule="auto" w:before="6"/>
        <w:rPr>
          <w:rFonts w:ascii="宋体" w:hAnsi="宋体" w:cs="宋体" w:eastAsia="宋体" w:hint="default"/>
          <w:sz w:val="24"/>
          <w:szCs w:val="24"/>
        </w:rPr>
      </w:pPr>
    </w:p>
    <w:p>
      <w:pPr>
        <w:pStyle w:val="BodyText"/>
        <w:spacing w:line="273" w:lineRule="auto"/>
        <w:ind w:left="230" w:right="1114" w:hanging="77"/>
        <w:jc w:val="left"/>
      </w:pPr>
      <w:r>
        <w:rPr>
          <w:rFonts w:ascii="宋体" w:hAnsi="宋体" w:cs="宋体" w:eastAsia="宋体" w:hint="default"/>
          <w:b/>
          <w:bCs/>
        </w:rPr>
        <w:t>不同类别存货可变现净值的确定依据</w:t>
      </w:r>
      <w:r>
        <w:rPr>
          <w:rFonts w:ascii="宋体" w:hAnsi="宋体" w:cs="宋体" w:eastAsia="宋体" w:hint="default"/>
          <w:b/>
          <w:bCs/>
          <w:w w:val="100"/>
        </w:rPr>
        <w:t> </w:t>
      </w:r>
      <w:r>
        <w:rPr>
          <w:spacing w:val="-2"/>
        </w:rPr>
        <w:t>开发产品、库存商品和用于出售的材料等直接用于出售的商品存货，在正常生产经营过程中，以该存货</w:t>
      </w:r>
      <w:r>
        <w:rPr>
          <w:spacing w:val="-98"/>
        </w:rPr>
        <w:t> </w:t>
      </w:r>
      <w:r>
        <w:rPr>
          <w:spacing w:val="-98"/>
        </w:rPr>
      </w:r>
      <w:r>
        <w:rPr>
          <w:spacing w:val="-2"/>
        </w:rPr>
        <w:t>的估计售价减去估计的销售费用和相关税费后的金额，确定其可变现净值；需要经过建设的开发成本，</w:t>
      </w:r>
      <w:r>
        <w:rPr>
          <w:spacing w:val="-98"/>
        </w:rPr>
        <w:t> </w:t>
      </w:r>
      <w:r>
        <w:rPr>
          <w:spacing w:val="-98"/>
        </w:rPr>
      </w:r>
      <w:r>
        <w:rPr>
          <w:spacing w:val="-2"/>
        </w:rPr>
        <w:t>在正常开发或生产经营过程中，以所开发的最终开发产品或生产的产成品的估计售价减去至完工时估计</w:t>
      </w:r>
      <w:r>
        <w:rPr>
          <w:spacing w:val="-98"/>
        </w:rPr>
        <w:t> </w:t>
      </w:r>
      <w:r>
        <w:rPr>
          <w:spacing w:val="-98"/>
        </w:rPr>
      </w:r>
      <w:r>
        <w:rPr>
          <w:spacing w:val="-2"/>
        </w:rPr>
        <w:t>将要发生的成本、估计的销售费用和相关税费后的金额，确定其可变现净值；为执行销售合同或者劳务</w:t>
      </w:r>
      <w:r>
        <w:rPr>
          <w:spacing w:val="-98"/>
        </w:rPr>
        <w:t> </w:t>
      </w:r>
      <w:r>
        <w:rPr>
          <w:spacing w:val="-98"/>
        </w:rPr>
      </w:r>
      <w:r>
        <w:rPr/>
        <w:t>合同而持有的存货，其可变现净值以合同价格为基础计算，若持有存货的数量多于销售合同订购数量</w:t>
      </w:r>
      <w:r>
        <w:rPr>
          <w:w w:val="100"/>
        </w:rPr>
        <w:t> </w:t>
      </w:r>
      <w:r>
        <w:rPr/>
        <w:t>的，超出部分的存货的可变现净值以一般销售价格为基础计算。</w:t>
      </w:r>
      <w:r>
        <w:rPr>
          <w:w w:val="100"/>
        </w:rPr>
        <w:t> </w:t>
      </w:r>
      <w:r>
        <w:rPr>
          <w:spacing w:val="-2"/>
        </w:rPr>
        <w:t>期末按照单个存货项目计提存货跌价准备；但对于数量繁多、单价较低的存货，按照存货类别计提存货</w:t>
      </w:r>
      <w:r>
        <w:rPr>
          <w:spacing w:val="-98"/>
        </w:rPr>
        <w:t> </w:t>
      </w:r>
      <w:r>
        <w:rPr>
          <w:spacing w:val="-98"/>
        </w:rPr>
      </w:r>
      <w:r>
        <w:rPr>
          <w:spacing w:val="-2"/>
        </w:rPr>
        <w:t>跌价准备；与在同一地区生产和销售的产品系列相关、具有相同或类似最终用途或目的，且难以与其他</w:t>
      </w:r>
      <w:r>
        <w:rPr>
          <w:spacing w:val="-98"/>
        </w:rPr>
        <w:t> </w:t>
      </w:r>
      <w:r>
        <w:rPr>
          <w:spacing w:val="-98"/>
        </w:rPr>
      </w:r>
      <w:r>
        <w:rPr/>
        <w:t>项目分开计量的存货，则合并计提存货跌价准备。</w:t>
      </w:r>
      <w:r>
        <w:rPr>
          <w:w w:val="100"/>
        </w:rPr>
        <w:t> </w:t>
      </w:r>
      <w:r>
        <w:rPr>
          <w:spacing w:val="-2"/>
        </w:rPr>
        <w:t>除有明确证据表明资产负债表日市场价格异常外，存货项目的可变现净值以资产负债表日市场价格为基</w:t>
      </w:r>
      <w:r>
        <w:rPr>
          <w:spacing w:val="-98"/>
        </w:rPr>
        <w:t> </w:t>
      </w:r>
      <w:r>
        <w:rPr>
          <w:spacing w:val="-98"/>
        </w:rPr>
      </w:r>
      <w:r>
        <w:rPr/>
        <w:t>础确定。</w:t>
      </w:r>
    </w:p>
    <w:p>
      <w:pPr>
        <w:pStyle w:val="BodyText"/>
        <w:spacing w:line="240" w:lineRule="auto" w:before="7"/>
        <w:ind w:right="1114"/>
        <w:jc w:val="left"/>
      </w:pPr>
      <w:r>
        <w:rPr/>
        <w:t>本期期末存货项目的可变现净值以资产负债表日市场价格为基础确定。</w:t>
      </w:r>
    </w:p>
    <w:p>
      <w:pPr>
        <w:spacing w:line="240" w:lineRule="auto" w:before="9"/>
        <w:rPr>
          <w:rFonts w:ascii="宋体" w:hAnsi="宋体" w:cs="宋体" w:eastAsia="宋体" w:hint="default"/>
          <w:sz w:val="26"/>
          <w:szCs w:val="26"/>
        </w:rPr>
      </w:pPr>
    </w:p>
    <w:p>
      <w:pPr>
        <w:spacing w:line="273" w:lineRule="auto" w:before="0"/>
        <w:ind w:left="153" w:right="7693" w:firstLine="0"/>
        <w:jc w:val="left"/>
        <w:rPr>
          <w:rFonts w:ascii="宋体" w:hAnsi="宋体" w:cs="宋体" w:eastAsia="宋体" w:hint="default"/>
          <w:sz w:val="21"/>
          <w:szCs w:val="21"/>
        </w:rPr>
      </w:pPr>
      <w:r>
        <w:rPr>
          <w:rFonts w:ascii="宋体" w:hAnsi="宋体" w:cs="宋体" w:eastAsia="宋体" w:hint="default"/>
          <w:b/>
          <w:bCs/>
          <w:sz w:val="21"/>
          <w:szCs w:val="21"/>
        </w:rPr>
        <w:t>存货的盘存制度</w:t>
      </w:r>
      <w:r>
        <w:rPr>
          <w:rFonts w:ascii="宋体" w:hAnsi="宋体" w:cs="宋体" w:eastAsia="宋体" w:hint="default"/>
          <w:b/>
          <w:bCs/>
          <w:spacing w:val="-104"/>
          <w:sz w:val="21"/>
          <w:szCs w:val="21"/>
        </w:rPr>
        <w:t> </w:t>
      </w:r>
      <w:r>
        <w:rPr>
          <w:rFonts w:ascii="宋体" w:hAnsi="宋体" w:cs="宋体" w:eastAsia="宋体" w:hint="default"/>
          <w:sz w:val="21"/>
          <w:szCs w:val="21"/>
        </w:rPr>
        <w:t>采用永续盘存制。</w:t>
      </w:r>
    </w:p>
    <w:p>
      <w:pPr>
        <w:spacing w:line="240" w:lineRule="auto" w:before="6"/>
        <w:rPr>
          <w:rFonts w:ascii="宋体" w:hAnsi="宋体" w:cs="宋体" w:eastAsia="宋体" w:hint="default"/>
          <w:sz w:val="24"/>
          <w:szCs w:val="24"/>
        </w:rPr>
      </w:pPr>
    </w:p>
    <w:p>
      <w:pPr>
        <w:pStyle w:val="Heading5"/>
        <w:spacing w:line="240" w:lineRule="auto" w:before="0"/>
        <w:ind w:right="1114"/>
        <w:jc w:val="left"/>
        <w:rPr>
          <w:b w:val="0"/>
          <w:bCs w:val="0"/>
        </w:rPr>
      </w:pPr>
      <w:r>
        <w:rPr/>
        <w:t>低值易耗品和包装物的摊销方法</w:t>
      </w:r>
      <w:r>
        <w:rPr>
          <w:b w:val="0"/>
          <w:bCs w:val="0"/>
        </w:rPr>
      </w:r>
    </w:p>
    <w:p>
      <w:pPr>
        <w:pStyle w:val="BodyText"/>
        <w:spacing w:line="240" w:lineRule="auto" w:before="37"/>
        <w:ind w:right="1114"/>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21"/>
        <w:ind w:right="1114"/>
        <w:jc w:val="left"/>
      </w:pPr>
      <w:r>
        <w:rPr/>
        <w:t>（</w:t>
      </w:r>
      <w:r>
        <w:rPr>
          <w:rFonts w:ascii="Times New Roman" w:hAnsi="Times New Roman" w:cs="Times New Roman" w:eastAsia="Times New Roman" w:hint="default"/>
        </w:rPr>
        <w:t>2</w:t>
      </w:r>
      <w:r>
        <w:rPr/>
        <w:t>）包装物采用一次转销法。</w:t>
      </w:r>
    </w:p>
    <w:p>
      <w:pPr>
        <w:spacing w:after="0" w:line="240" w:lineRule="auto"/>
        <w:jc w:val="left"/>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Heading5"/>
        <w:spacing w:line="240" w:lineRule="auto"/>
        <w:ind w:right="1114"/>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14"/>
        <w:jc w:val="left"/>
      </w:pPr>
      <w:r>
        <w:rPr>
          <w:rFonts w:ascii="宋体" w:hAnsi="宋体" w:cs="宋体" w:eastAsia="宋体" w:hint="default"/>
          <w:b/>
          <w:bCs/>
        </w:rPr>
        <w:t>共同控制、重大影响的判断标准</w:t>
      </w:r>
      <w:r>
        <w:rPr>
          <w:rFonts w:ascii="宋体" w:hAnsi="宋体" w:cs="宋体" w:eastAsia="宋体" w:hint="default"/>
          <w:b/>
          <w:bCs/>
          <w:w w:val="100"/>
        </w:rPr>
        <w:t> </w:t>
      </w:r>
      <w:r>
        <w:rPr>
          <w:spacing w:val="-2"/>
        </w:rPr>
        <w:t>共同控制，是指按照相关约定对某项安排所共有的控制，并且该安排的相关活动必须经过分享控制权的</w:t>
      </w:r>
      <w:r>
        <w:rPr>
          <w:spacing w:val="-21"/>
        </w:rPr>
        <w:t> </w:t>
      </w:r>
      <w:r>
        <w:rPr>
          <w:spacing w:val="-21"/>
        </w:rPr>
      </w:r>
      <w:r>
        <w:rPr>
          <w:spacing w:val="-2"/>
        </w:rPr>
        <w:t>参与方一致同意后才能决策。本公司与其他合营方一同对被投资单位实施共同控制且对被投资单位净资</w:t>
      </w:r>
      <w:r>
        <w:rPr>
          <w:spacing w:val="-21"/>
        </w:rPr>
        <w:t> </w:t>
      </w:r>
      <w:r>
        <w:rPr>
          <w:spacing w:val="-21"/>
        </w:rPr>
      </w:r>
      <w:r>
        <w:rPr/>
        <w:t>产享有权利的，被投资单位为本公司的合营企业。</w:t>
      </w:r>
      <w:r>
        <w:rPr>
          <w:w w:val="100"/>
        </w:rPr>
        <w:t> </w:t>
      </w:r>
      <w:r>
        <w:rPr>
          <w:spacing w:val="-2"/>
        </w:rPr>
        <w:t>重大影响，是指对一个企业的财务和经营决策有参与决策的权力，但并不能够控制或者与其他方一起共</w:t>
      </w:r>
      <w:r>
        <w:rPr>
          <w:spacing w:val="-21"/>
        </w:rPr>
        <w:t> </w:t>
      </w:r>
      <w:r>
        <w:rPr>
          <w:spacing w:val="-21"/>
        </w:rPr>
      </w:r>
      <w:r>
        <w:rPr/>
        <w:t>同控制这些政策的制定。本公司能够对被投资单位施加重大影响的，被投资单位为本公司联营企业。</w:t>
      </w:r>
    </w:p>
    <w:p>
      <w:pPr>
        <w:spacing w:line="240" w:lineRule="auto" w:before="6"/>
        <w:rPr>
          <w:rFonts w:ascii="宋体" w:hAnsi="宋体" w:cs="宋体" w:eastAsia="宋体" w:hint="default"/>
          <w:sz w:val="24"/>
          <w:szCs w:val="24"/>
        </w:rPr>
      </w:pPr>
    </w:p>
    <w:p>
      <w:pPr>
        <w:pStyle w:val="Heading5"/>
        <w:spacing w:line="240" w:lineRule="auto" w:before="0"/>
        <w:ind w:right="1114"/>
        <w:jc w:val="left"/>
        <w:rPr>
          <w:b w:val="0"/>
          <w:bCs w:val="0"/>
        </w:rPr>
      </w:pPr>
      <w:r>
        <w:rPr/>
        <w:t>初始投资成本的确定</w:t>
      </w:r>
      <w:r>
        <w:rPr>
          <w:b w:val="0"/>
          <w:bCs w:val="0"/>
        </w:rPr>
      </w:r>
    </w:p>
    <w:p>
      <w:pPr>
        <w:pStyle w:val="BodyText"/>
        <w:spacing w:line="271" w:lineRule="auto" w:before="37"/>
        <w:ind w:right="1114"/>
        <w:jc w:val="left"/>
      </w:pPr>
      <w:r>
        <w:rPr/>
        <w:t>（</w:t>
      </w:r>
      <w:r>
        <w:rPr>
          <w:rFonts w:ascii="Times New Roman" w:hAnsi="Times New Roman" w:cs="Times New Roman" w:eastAsia="Times New Roman" w:hint="default"/>
        </w:rPr>
        <w:t>1</w:t>
      </w:r>
      <w:r>
        <w:rPr/>
        <w:t>）企业合并形成的长期股权投资</w:t>
      </w:r>
      <w:r>
        <w:rPr>
          <w:w w:val="100"/>
        </w:rPr>
        <w:t> </w:t>
      </w:r>
      <w:r>
        <w:rPr>
          <w:spacing w:val="-2"/>
        </w:rPr>
        <w:t>同一控制下的企业合并：公司以支付现金、转让非现金资产或承担债务方式以及以发行权益性证券作为</w:t>
      </w:r>
      <w:r>
        <w:rPr>
          <w:spacing w:val="-21"/>
        </w:rPr>
        <w:t> </w:t>
      </w:r>
      <w:r>
        <w:rPr>
          <w:spacing w:val="-21"/>
        </w:rPr>
      </w:r>
      <w:r>
        <w:rPr>
          <w:spacing w:val="-2"/>
        </w:rPr>
        <w:t>合并对价的，在合并日按照取得被合并方所有者权益在最终控制方合并财务报表中的账面价值的份额作</w:t>
      </w:r>
      <w:r>
        <w:rPr>
          <w:spacing w:val="-21"/>
        </w:rPr>
        <w:t> </w:t>
      </w:r>
      <w:r>
        <w:rPr>
          <w:spacing w:val="-21"/>
        </w:rPr>
      </w:r>
      <w:r>
        <w:rPr>
          <w:spacing w:val="-2"/>
        </w:rPr>
        <w:t>为长期股权投资的初始投资成本。因追加投资等原因能够对同一控制下的被投资单位实施控制的，在合</w:t>
      </w:r>
      <w:r>
        <w:rPr>
          <w:spacing w:val="-21"/>
        </w:rPr>
        <w:t> </w:t>
      </w:r>
      <w:r>
        <w:rPr>
          <w:spacing w:val="-21"/>
        </w:rPr>
      </w:r>
      <w:r>
        <w:rPr>
          <w:spacing w:val="-2"/>
        </w:rPr>
        <w:t>并日根据合并后应享有被合并方净资产在最终控制方合并财务报表中的账面价值的份额，确定长期股权</w:t>
      </w:r>
      <w:r>
        <w:rPr>
          <w:spacing w:val="-21"/>
        </w:rPr>
        <w:t> </w:t>
      </w:r>
      <w:r>
        <w:rPr>
          <w:spacing w:val="-21"/>
        </w:rPr>
      </w:r>
      <w:r>
        <w:rPr>
          <w:spacing w:val="-2"/>
        </w:rPr>
        <w:t>投资的初始投资成本。合并日长期股权投资的初始投资成本，与达到合并前的长期股权投资账面价值加</w:t>
      </w:r>
      <w:r>
        <w:rPr>
          <w:spacing w:val="-21"/>
        </w:rPr>
        <w:t> </w:t>
      </w:r>
      <w:r>
        <w:rPr>
          <w:spacing w:val="-21"/>
        </w:rPr>
      </w:r>
      <w:r>
        <w:rPr>
          <w:spacing w:val="-2"/>
        </w:rPr>
        <w:t>上合并日进一步取得股份新支付对价的账面价值之和的差额，调整股本溢价，股本溢价不足冲减的，冲</w:t>
      </w:r>
      <w:r>
        <w:rPr>
          <w:spacing w:val="-21"/>
        </w:rPr>
        <w:t> </w:t>
      </w:r>
      <w:r>
        <w:rPr>
          <w:spacing w:val="-21"/>
        </w:rPr>
      </w:r>
      <w:r>
        <w:rPr/>
        <w:t>减留存收益。</w:t>
      </w:r>
      <w:r>
        <w:rPr>
          <w:w w:val="100"/>
        </w:rPr>
        <w:t> </w:t>
      </w:r>
      <w:r>
        <w:rPr>
          <w:spacing w:val="-2"/>
        </w:rPr>
        <w:t>非同一控制下的企业合并：公司按照购买日确定的合并成本作为长期股权投资的初始投资成本。因追加</w:t>
      </w:r>
      <w:r>
        <w:rPr>
          <w:spacing w:val="-21"/>
        </w:rPr>
        <w:t> </w:t>
      </w:r>
      <w:r>
        <w:rPr>
          <w:spacing w:val="-21"/>
        </w:rPr>
      </w:r>
      <w:r>
        <w:rPr>
          <w:spacing w:val="-2"/>
        </w:rPr>
        <w:t>投资等原因能够对非同一控制下的被投资单位实施控制的，按照原持有的股权投资账面价值加上新增投</w:t>
      </w:r>
      <w:r>
        <w:rPr>
          <w:spacing w:val="-21"/>
        </w:rPr>
        <w:t> </w:t>
      </w:r>
      <w:r>
        <w:rPr>
          <w:spacing w:val="-21"/>
        </w:rPr>
      </w:r>
      <w:r>
        <w:rPr/>
        <w:t>资成本之和，作为改按成本法核算的初始投资成本。</w:t>
      </w:r>
    </w:p>
    <w:p>
      <w:pPr>
        <w:pStyle w:val="BodyText"/>
        <w:spacing w:line="271" w:lineRule="auto" w:before="10"/>
        <w:ind w:right="1114"/>
        <w:jc w:val="left"/>
      </w:pPr>
      <w:r>
        <w:rPr/>
        <w:t>（</w:t>
      </w: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在非货币性资产交换具备商业实质和换入资产或换出资产的公允价值能够可靠计量的前提下，非货币性资</w:t>
      </w:r>
      <w:r>
        <w:rPr>
          <w:spacing w:val="-43"/>
        </w:rPr>
        <w:t> </w:t>
      </w:r>
      <w:r>
        <w:rPr>
          <w:spacing w:val="-43"/>
        </w:rPr>
      </w:r>
      <w:r>
        <w:rPr>
          <w:spacing w:val="-2"/>
        </w:rPr>
        <w:t>产交换换入的长期股权投资以换出资产的公允价值和应支付的相关税费确定其初始投资成本，除非有确凿</w:t>
      </w:r>
      <w:r>
        <w:rPr>
          <w:spacing w:val="-43"/>
        </w:rPr>
        <w:t> </w:t>
      </w:r>
      <w:r>
        <w:rPr>
          <w:spacing w:val="-43"/>
        </w:rPr>
      </w:r>
      <w:r>
        <w:rPr>
          <w:spacing w:val="-2"/>
        </w:rPr>
        <w:t>证据表明换入资产的公允价值更加可靠；不满足上述前提的非货币性资产交换，以换出资产的账面价值和</w:t>
      </w:r>
      <w:r>
        <w:rPr>
          <w:spacing w:val="-43"/>
        </w:rPr>
        <w:t> </w:t>
      </w:r>
      <w:r>
        <w:rPr>
          <w:spacing w:val="-43"/>
        </w:rPr>
      </w:r>
      <w:r>
        <w:rPr/>
        <w:t>应支付的相关税费作为换入长期股权投资的初始投资成本。</w:t>
      </w:r>
      <w:r>
        <w:rPr>
          <w:w w:val="100"/>
        </w:rPr>
        <w:t> </w:t>
      </w:r>
      <w:r>
        <w:rPr/>
        <w:t>通过债务重组取得的长期股权投资，其初始投资成本按照公允价值为基础确定。</w:t>
      </w:r>
    </w:p>
    <w:p>
      <w:pPr>
        <w:spacing w:line="240" w:lineRule="auto" w:before="8"/>
        <w:rPr>
          <w:rFonts w:ascii="宋体" w:hAnsi="宋体" w:cs="宋体" w:eastAsia="宋体" w:hint="default"/>
          <w:sz w:val="24"/>
          <w:szCs w:val="24"/>
        </w:rPr>
      </w:pPr>
    </w:p>
    <w:p>
      <w:pPr>
        <w:pStyle w:val="Heading5"/>
        <w:spacing w:line="240" w:lineRule="auto" w:before="0"/>
        <w:ind w:right="1114"/>
        <w:jc w:val="left"/>
        <w:rPr>
          <w:b w:val="0"/>
          <w:bCs w:val="0"/>
        </w:rPr>
      </w:pPr>
      <w:r>
        <w:rPr/>
        <w:t>后续计量及损益确认方法</w:t>
      </w:r>
      <w:r>
        <w:rPr>
          <w:b w:val="0"/>
          <w:bCs w:val="0"/>
        </w:rPr>
      </w:r>
    </w:p>
    <w:p>
      <w:pPr>
        <w:pStyle w:val="BodyText"/>
        <w:spacing w:line="268" w:lineRule="auto" w:before="37"/>
        <w:ind w:right="1114"/>
        <w:jc w:val="left"/>
      </w:pPr>
      <w:r>
        <w:rPr/>
        <w:t>（</w:t>
      </w:r>
      <w:r>
        <w:rPr>
          <w:rFonts w:ascii="Times New Roman" w:hAnsi="Times New Roman" w:cs="Times New Roman" w:eastAsia="Times New Roman" w:hint="default"/>
        </w:rPr>
        <w:t>1</w:t>
      </w:r>
      <w:r>
        <w:rPr/>
        <w:t>）成本法核算的长期股权投资</w:t>
      </w:r>
      <w:r>
        <w:rPr>
          <w:w w:val="100"/>
        </w:rPr>
        <w:t> </w:t>
      </w:r>
      <w:r>
        <w:rPr>
          <w:spacing w:val="-2"/>
        </w:rPr>
        <w:t>公司对子公司的长期股权投资，采用成本法核算。除取得投资时实际支付的价款或对价中包含的已宣告</w:t>
      </w:r>
      <w:r>
        <w:rPr>
          <w:spacing w:val="-21"/>
        </w:rPr>
        <w:t> </w:t>
      </w:r>
      <w:r>
        <w:rPr>
          <w:spacing w:val="-21"/>
        </w:rPr>
      </w:r>
      <w:r>
        <w:rPr>
          <w:spacing w:val="-2"/>
        </w:rPr>
        <w:t>但尚未发放的现金股利或利润外，公司按照享有被投资单位宣告发放的现金股利或利润确认当期投资收</w:t>
      </w:r>
      <w:r>
        <w:rPr>
          <w:spacing w:val="-21"/>
        </w:rPr>
        <w:t> </w:t>
      </w:r>
      <w:r>
        <w:rPr>
          <w:spacing w:val="-21"/>
        </w:rPr>
      </w:r>
      <w:r>
        <w:rPr/>
        <w:t>益。</w:t>
      </w:r>
    </w:p>
    <w:p>
      <w:pPr>
        <w:pStyle w:val="BodyText"/>
        <w:spacing w:line="271" w:lineRule="auto" w:before="9"/>
        <w:ind w:right="1114"/>
        <w:jc w:val="left"/>
      </w:pPr>
      <w:r>
        <w:rPr/>
        <w:t>（</w:t>
      </w:r>
      <w:r>
        <w:rPr>
          <w:rFonts w:ascii="Times New Roman" w:hAnsi="Times New Roman" w:cs="Times New Roman" w:eastAsia="Times New Roman" w:hint="default"/>
        </w:rPr>
        <w:t>2</w:t>
      </w:r>
      <w:r>
        <w:rPr/>
        <w:t>）权益法核算的长期股权投资</w:t>
      </w:r>
      <w:r>
        <w:rPr>
          <w:w w:val="100"/>
        </w:rPr>
        <w:t> </w:t>
      </w:r>
      <w:r>
        <w:rPr>
          <w:spacing w:val="-2"/>
        </w:rPr>
        <w:t>对联营企业和合营企业的长期股权投资，采用权益法核算。初始投资成本大于投资时应享有被投资单位</w:t>
      </w:r>
      <w:r>
        <w:rPr>
          <w:spacing w:val="-21"/>
        </w:rPr>
        <w:t> </w:t>
      </w:r>
      <w:r>
        <w:rPr>
          <w:spacing w:val="-21"/>
        </w:rPr>
      </w:r>
      <w:r>
        <w:rPr>
          <w:spacing w:val="-2"/>
        </w:rPr>
        <w:t>可辨认净资产公允价值份额的差额，不调整长期股权投资的初始投资成本；初始投资成本小于投资时应</w:t>
      </w:r>
      <w:r>
        <w:rPr>
          <w:spacing w:val="-21"/>
        </w:rPr>
        <w:t> </w:t>
      </w:r>
      <w:r>
        <w:rPr>
          <w:spacing w:val="-21"/>
        </w:rPr>
      </w:r>
      <w:r>
        <w:rPr/>
        <w:t>享有被投资单位可辨认净资产公允价值份额的差额，计入当期损益。</w:t>
      </w:r>
      <w:r>
        <w:rPr>
          <w:w w:val="100"/>
        </w:rPr>
        <w:t> </w:t>
      </w:r>
      <w:r>
        <w:rPr>
          <w:spacing w:val="-2"/>
        </w:rPr>
        <w:t>公司按照应享有或应分担的被投资单位实现的净损益和其他综合收益的份额，分别确认投资收益和其他</w:t>
      </w:r>
      <w:r>
        <w:rPr>
          <w:spacing w:val="-21"/>
        </w:rPr>
        <w:t> </w:t>
      </w:r>
      <w:r>
        <w:rPr>
          <w:spacing w:val="-21"/>
        </w:rPr>
      </w:r>
      <w:r>
        <w:rPr>
          <w:spacing w:val="-2"/>
        </w:rPr>
        <w:t>综合收益，同时调整长期股权投资的账面价值；按照被投资单位宣告分派的利润或现金股利计算应享有</w:t>
      </w:r>
      <w:r>
        <w:rPr>
          <w:spacing w:val="-21"/>
        </w:rPr>
        <w:t> </w:t>
      </w:r>
      <w:r>
        <w:rPr>
          <w:spacing w:val="-21"/>
        </w:rPr>
      </w:r>
      <w:r>
        <w:rPr>
          <w:spacing w:val="-2"/>
        </w:rPr>
        <w:t>的部分，相应减少长期股权投资的账面价值；对于被投资单位除净损益、其他综合收益和利润分配以外</w:t>
      </w:r>
      <w:r>
        <w:rPr>
          <w:spacing w:val="-21"/>
        </w:rPr>
        <w:t> </w:t>
      </w:r>
      <w:r>
        <w:rPr>
          <w:spacing w:val="-21"/>
        </w:rPr>
      </w:r>
      <w:r>
        <w:rPr/>
        <w:t>所有者权益的其他变动，调整长期股权投资的账面价值并计入所有者权益。</w:t>
      </w:r>
      <w:r>
        <w:rPr>
          <w:w w:val="100"/>
        </w:rPr>
        <w:t> </w:t>
      </w:r>
      <w:r>
        <w:rPr>
          <w:spacing w:val="-2"/>
        </w:rPr>
        <w:t>在确认应享有被投资单位净损益的份额时，以取得投资时被投资单位可辨认净资产的公允价值为基础，</w:t>
      </w:r>
    </w:p>
    <w:p>
      <w:pPr>
        <w:spacing w:after="0" w:line="271" w:lineRule="auto"/>
        <w:jc w:val="left"/>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BodyText"/>
        <w:spacing w:line="268" w:lineRule="auto" w:before="36"/>
        <w:ind w:right="1114"/>
        <w:jc w:val="left"/>
      </w:pPr>
      <w:r>
        <w:rPr>
          <w:spacing w:val="-2"/>
        </w:rPr>
        <w:t>并按照公司的会计政策及会计期间，对被投资单位的净利润进行调整后确认。在持有投资期间，被投资</w:t>
      </w:r>
      <w:r>
        <w:rPr>
          <w:spacing w:val="-21"/>
        </w:rPr>
        <w:t> </w:t>
      </w:r>
      <w:r>
        <w:rPr>
          <w:spacing w:val="-21"/>
        </w:rPr>
      </w:r>
      <w:r>
        <w:rPr>
          <w:spacing w:val="-2"/>
        </w:rPr>
        <w:t>单位编制合并财务报表的，以合并财务报表中的净利润、其他综合收益和其他所有者权益变动中归属于</w:t>
      </w:r>
      <w:r>
        <w:rPr>
          <w:spacing w:val="-21"/>
        </w:rPr>
        <w:t> </w:t>
      </w:r>
      <w:r>
        <w:rPr>
          <w:spacing w:val="-21"/>
        </w:rPr>
      </w:r>
      <w:r>
        <w:rPr/>
        <w:t>被投资单位的金额为基础进行核算。</w:t>
      </w:r>
      <w:r>
        <w:rPr>
          <w:w w:val="100"/>
        </w:rPr>
        <w:t> </w:t>
      </w:r>
      <w:r>
        <w:rPr>
          <w:spacing w:val="-2"/>
        </w:rPr>
        <w:t>公司与联营企业、合营企业之间发生的未实现内部交易损益按照应享有的比例计算归属于公司的部分，</w:t>
      </w:r>
      <w:r>
        <w:rPr>
          <w:spacing w:val="-21"/>
        </w:rPr>
        <w:t> </w:t>
      </w:r>
      <w:r>
        <w:rPr>
          <w:spacing w:val="-21"/>
        </w:rPr>
      </w:r>
      <w:r>
        <w:rPr/>
        <w:t>予以抵销，在此基础上确认投资收益。与被投资单位发生的未实现内部交易损失，属于资产减值损失</w:t>
      </w:r>
      <w:r>
        <w:rPr>
          <w:w w:val="100"/>
        </w:rPr>
        <w:t> </w:t>
      </w:r>
      <w:r>
        <w:rPr>
          <w:spacing w:val="-2"/>
        </w:rPr>
        <w:t>的，全额确认。公司与联营企业、合营企业之间发生投出或出售资产的交易，该资产构成业务的，按照</w:t>
      </w:r>
      <w:r>
        <w:rPr>
          <w:spacing w:val="-21"/>
        </w:rPr>
        <w:t> </w:t>
      </w:r>
      <w:r>
        <w:rPr>
          <w:spacing w:val="-21"/>
        </w:rPr>
      </w:r>
      <w:r>
        <w:rPr>
          <w:spacing w:val="-2"/>
        </w:rPr>
        <w:t>本附注</w:t>
      </w:r>
      <w:r>
        <w:rPr>
          <w:rFonts w:ascii="Times New Roman" w:hAnsi="Times New Roman" w:cs="Times New Roman" w:eastAsia="Times New Roman" w:hint="default"/>
          <w:spacing w:val="-2"/>
        </w:rPr>
        <w:t>“</w:t>
      </w:r>
      <w:r>
        <w:rPr>
          <w:spacing w:val="-2"/>
        </w:rPr>
        <w:t>三、（五）同一控制下和非同一控制下企业合并的会计处理方法</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三、（六）合并财务报表的</w:t>
      </w:r>
      <w:r>
        <w:rPr>
          <w:spacing w:val="-22"/>
        </w:rPr>
        <w:t> </w:t>
      </w:r>
      <w:r>
        <w:rPr>
          <w:spacing w:val="-22"/>
        </w:rPr>
      </w:r>
      <w:r>
        <w:rPr/>
        <w:t>编制方法</w:t>
      </w:r>
      <w:r>
        <w:rPr>
          <w:rFonts w:ascii="Times New Roman" w:hAnsi="Times New Roman" w:cs="Times New Roman" w:eastAsia="Times New Roman" w:hint="default"/>
        </w:rPr>
        <w:t>”</w:t>
      </w:r>
      <w:r>
        <w:rPr/>
        <w:t>中披露的相关政策进行会计处理。</w:t>
      </w:r>
      <w:r>
        <w:rPr>
          <w:w w:val="100"/>
        </w:rPr>
        <w:t> </w:t>
      </w:r>
      <w:r>
        <w:rPr>
          <w:spacing w:val="-2"/>
        </w:rPr>
        <w:t>在公司确认应分担被投资单位发生的亏损时，按照以下顺序进行处理：首先，冲减长期股权投资的账面</w:t>
      </w:r>
      <w:r>
        <w:rPr>
          <w:spacing w:val="-21"/>
        </w:rPr>
        <w:t> </w:t>
      </w:r>
      <w:r>
        <w:rPr>
          <w:spacing w:val="-21"/>
        </w:rPr>
      </w:r>
      <w:r>
        <w:rPr>
          <w:spacing w:val="-2"/>
        </w:rPr>
        <w:t>价值。其次，长期股权投资的账面价值不足以冲减的，以其他实质上构成对被投资单位净投资的长期权</w:t>
      </w:r>
      <w:r>
        <w:rPr>
          <w:spacing w:val="-21"/>
        </w:rPr>
        <w:t> </w:t>
      </w:r>
      <w:r>
        <w:rPr>
          <w:spacing w:val="-21"/>
        </w:rPr>
      </w:r>
      <w:r>
        <w:rPr>
          <w:spacing w:val="-2"/>
        </w:rPr>
        <w:t>益账面价值为限继续确认投资损失，冲减长期应收项目等的账面价值。最后，经过上述处理，按照投资</w:t>
      </w:r>
      <w:r>
        <w:rPr>
          <w:spacing w:val="-21"/>
        </w:rPr>
        <w:t> </w:t>
      </w:r>
      <w:r>
        <w:rPr>
          <w:spacing w:val="-21"/>
        </w:rPr>
      </w:r>
      <w:r>
        <w:rPr/>
        <w:t>合同或协议约定企业仍承担额外义务的，按预计承担的义务确认预计负债，计入当期投资损失。</w:t>
      </w:r>
    </w:p>
    <w:p>
      <w:pPr>
        <w:pStyle w:val="BodyText"/>
        <w:spacing w:line="256" w:lineRule="auto" w:before="12"/>
        <w:ind w:right="2113"/>
        <w:jc w:val="left"/>
      </w:pPr>
      <w:r>
        <w:rPr/>
        <w:t>（</w:t>
      </w:r>
      <w:r>
        <w:rPr>
          <w:rFonts w:ascii="Times New Roman" w:hAnsi="Times New Roman" w:cs="Times New Roman" w:eastAsia="Times New Roman" w:hint="default"/>
        </w:rPr>
        <w:t>3</w:t>
      </w:r>
      <w:r>
        <w:rPr/>
        <w:t>）长期股权投资的处置</w:t>
      </w:r>
      <w:r>
        <w:rPr>
          <w:w w:val="100"/>
        </w:rPr>
        <w:t> </w:t>
      </w:r>
      <w:r>
        <w:rPr>
          <w:spacing w:val="-2"/>
        </w:rPr>
        <w:t>处置长期股权投资，其账面价值与实际取得价款的差额，计入当期损益。</w:t>
      </w:r>
    </w:p>
    <w:p>
      <w:pPr>
        <w:pStyle w:val="BodyText"/>
        <w:spacing w:line="273" w:lineRule="auto" w:before="22"/>
        <w:ind w:right="1114"/>
        <w:jc w:val="left"/>
      </w:pPr>
      <w:r>
        <w:rPr>
          <w:spacing w:val="-2"/>
        </w:rPr>
        <w:t>采用权益法核算的长期股权投资，在处置该项投资时，采用与被投资单位直接处置相关资产或负债相同</w:t>
      </w:r>
      <w:r>
        <w:rPr>
          <w:spacing w:val="-21"/>
        </w:rPr>
        <w:t> </w:t>
      </w:r>
      <w:r>
        <w:rPr>
          <w:spacing w:val="-21"/>
        </w:rPr>
      </w:r>
      <w:r>
        <w:rPr>
          <w:spacing w:val="-2"/>
        </w:rPr>
        <w:t>的基础，按相应比例对原计入其他综合收益的部分进行会计处理。因被投资单位除净损益、其他综合收</w:t>
      </w:r>
      <w:r>
        <w:rPr>
          <w:spacing w:val="-21"/>
        </w:rPr>
        <w:t> </w:t>
      </w:r>
      <w:r>
        <w:rPr>
          <w:spacing w:val="-21"/>
        </w:rPr>
      </w:r>
      <w:r>
        <w:rPr>
          <w:spacing w:val="-2"/>
        </w:rPr>
        <w:t>益和利润分配以外的其他所有者权益变动而确认的所有者权益，按比例结转入当期损益，由于被投资方</w:t>
      </w:r>
      <w:r>
        <w:rPr>
          <w:spacing w:val="-21"/>
        </w:rPr>
        <w:t> </w:t>
      </w:r>
      <w:r>
        <w:rPr>
          <w:spacing w:val="-21"/>
        </w:rPr>
      </w:r>
      <w:r>
        <w:rPr/>
        <w:t>重新计量设定受益计划净负债或净资产变动而产生的其他综合收益除外。</w:t>
      </w:r>
      <w:r>
        <w:rPr>
          <w:w w:val="100"/>
        </w:rPr>
        <w:t> </w:t>
      </w:r>
      <w:r>
        <w:rPr>
          <w:spacing w:val="-2"/>
        </w:rPr>
        <w:t>因处置部分股权投资等原因丧失了对被投资单位的共同控制或重大影响的，处置后的剩余股权改按金融</w:t>
      </w:r>
      <w:r>
        <w:rPr>
          <w:spacing w:val="-21"/>
        </w:rPr>
        <w:t> </w:t>
      </w:r>
      <w:r>
        <w:rPr>
          <w:spacing w:val="-21"/>
        </w:rPr>
      </w:r>
      <w:r>
        <w:rPr>
          <w:spacing w:val="-2"/>
        </w:rPr>
        <w:t>工具确认和计量准则核算，其在丧失共同控制或重大影响之日的公允价值与账面价值之间的差额计入当</w:t>
      </w:r>
      <w:r>
        <w:rPr>
          <w:spacing w:val="-24"/>
        </w:rPr>
        <w:t> </w:t>
      </w:r>
      <w:r>
        <w:rPr>
          <w:spacing w:val="-24"/>
        </w:rPr>
      </w:r>
      <w:r>
        <w:rPr>
          <w:spacing w:val="-2"/>
        </w:rPr>
        <w:t>期损益。原股权投资因采用权益法核算而确认的其他综合收益，在终止采用权益法核算时采用与被投资</w:t>
      </w:r>
      <w:r>
        <w:rPr>
          <w:spacing w:val="-21"/>
        </w:rPr>
        <w:t> </w:t>
      </w:r>
      <w:r>
        <w:rPr>
          <w:spacing w:val="-21"/>
        </w:rPr>
      </w:r>
      <w:r>
        <w:rPr>
          <w:spacing w:val="-2"/>
        </w:rPr>
        <w:t>单位直接处置相关资产或负债相同的基础进行会计处理。因被投资方除净损益、其他综合收益和利润分</w:t>
      </w:r>
      <w:r>
        <w:rPr>
          <w:spacing w:val="-21"/>
        </w:rPr>
        <w:t> </w:t>
      </w:r>
      <w:r>
        <w:rPr>
          <w:spacing w:val="-21"/>
        </w:rPr>
      </w:r>
      <w:r>
        <w:rPr/>
        <w:t>配以外的其他所有者权益变动而确认的所有者权益，在终止采用权益法核算时全部转入当期损益。</w:t>
      </w:r>
      <w:r>
        <w:rPr>
          <w:w w:val="100"/>
        </w:rPr>
        <w:t> </w:t>
      </w:r>
      <w:r>
        <w:rPr>
          <w:spacing w:val="-2"/>
        </w:rPr>
        <w:t>因处置部分股权投资、因其他投资方对子公司增资而导致本公司持股比例下降等原因丧失了对被投资单</w:t>
      </w:r>
      <w:r>
        <w:rPr>
          <w:spacing w:val="-21"/>
        </w:rPr>
        <w:t> </w:t>
      </w:r>
      <w:r>
        <w:rPr>
          <w:spacing w:val="-21"/>
        </w:rPr>
      </w:r>
      <w:r>
        <w:rPr>
          <w:spacing w:val="-2"/>
        </w:rPr>
        <w:t>位控制权的，在编制个别财务报表时，剩余股权能够对被投资单位实施共同控制或重大影响的，改按权</w:t>
      </w:r>
      <w:r>
        <w:rPr>
          <w:spacing w:val="-21"/>
        </w:rPr>
        <w:t> </w:t>
      </w:r>
      <w:r>
        <w:rPr>
          <w:spacing w:val="-21"/>
        </w:rPr>
      </w:r>
      <w:r>
        <w:rPr>
          <w:spacing w:val="-2"/>
        </w:rPr>
        <w:t>益法核算，并对该剩余股权视同自取得时即采用权益法核算进行调整；剩余股权不能对被投资单位实施</w:t>
      </w:r>
      <w:r>
        <w:rPr>
          <w:spacing w:val="-22"/>
        </w:rPr>
        <w:t> </w:t>
      </w:r>
      <w:r>
        <w:rPr>
          <w:spacing w:val="-22"/>
        </w:rPr>
      </w:r>
      <w:r>
        <w:rPr>
          <w:spacing w:val="-2"/>
        </w:rPr>
        <w:t>共同控制或施加重大影响的，改按金融工具确认和计量准则的有关规定进行会计处理，其在丧失控制之</w:t>
      </w:r>
      <w:r>
        <w:rPr>
          <w:spacing w:val="-21"/>
        </w:rPr>
        <w:t> </w:t>
      </w:r>
      <w:r>
        <w:rPr>
          <w:spacing w:val="-21"/>
        </w:rPr>
      </w:r>
      <w:r>
        <w:rPr/>
        <w:t>日的公允价值与账面价值间的差额计入当期损益。</w:t>
      </w:r>
      <w:r>
        <w:rPr>
          <w:w w:val="100"/>
        </w:rPr>
        <w:t> </w:t>
      </w:r>
      <w:r>
        <w:rPr>
          <w:spacing w:val="-2"/>
        </w:rPr>
        <w:t>处置的股权是因追加投资等原因通过企业合并取得的，在编制个别财务报表时，处置后的剩余股权采用</w:t>
      </w:r>
      <w:r>
        <w:rPr>
          <w:spacing w:val="-21"/>
        </w:rPr>
        <w:t> </w:t>
      </w:r>
      <w:r>
        <w:rPr>
          <w:spacing w:val="-21"/>
        </w:rPr>
      </w:r>
      <w:r>
        <w:rPr>
          <w:spacing w:val="-2"/>
        </w:rPr>
        <w:t>成本法或权益法核算的，购买日之前持有的股权投资因采用权益法核算而确认的其他综合收益和其他所</w:t>
      </w:r>
      <w:r>
        <w:rPr>
          <w:spacing w:val="-21"/>
        </w:rPr>
        <w:t> </w:t>
      </w:r>
      <w:r>
        <w:rPr>
          <w:spacing w:val="-21"/>
        </w:rPr>
      </w:r>
      <w:r>
        <w:rPr>
          <w:spacing w:val="-2"/>
        </w:rPr>
        <w:t>有者权益按比例结转；处置后的剩余股权改按金融工具确认和计量准则进行会计处理的，其他综合收益</w:t>
      </w:r>
      <w:r>
        <w:rPr>
          <w:spacing w:val="-21"/>
        </w:rPr>
        <w:t> </w:t>
      </w:r>
      <w:r>
        <w:rPr>
          <w:spacing w:val="-21"/>
        </w:rPr>
      </w:r>
      <w:r>
        <w:rPr/>
        <w:t>和其他所有者权益全部结转。</w:t>
      </w:r>
    </w:p>
    <w:p>
      <w:pPr>
        <w:spacing w:line="240" w:lineRule="auto" w:before="7"/>
        <w:rPr>
          <w:rFonts w:ascii="宋体" w:hAnsi="宋体" w:cs="宋体" w:eastAsia="宋体" w:hint="default"/>
          <w:sz w:val="23"/>
          <w:szCs w:val="23"/>
        </w:rPr>
      </w:pPr>
    </w:p>
    <w:p>
      <w:pPr>
        <w:pStyle w:val="Heading5"/>
        <w:spacing w:line="240" w:lineRule="auto" w:before="0"/>
        <w:ind w:right="1114"/>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spacing w:line="309" w:lineRule="auto" w:before="0"/>
        <w:ind w:left="153" w:right="1213" w:firstLine="0"/>
        <w:jc w:val="left"/>
        <w:rPr>
          <w:rFonts w:ascii="宋体" w:hAnsi="宋体" w:cs="宋体" w:eastAsia="宋体" w:hint="default"/>
          <w:sz w:val="18"/>
          <w:szCs w:val="18"/>
        </w:rPr>
      </w:pPr>
      <w:r>
        <w:rPr>
          <w:rFonts w:ascii="宋体" w:hAnsi="宋体" w:cs="宋体" w:eastAsia="宋体" w:hint="default"/>
          <w:sz w:val="18"/>
          <w:szCs w:val="18"/>
        </w:rPr>
        <w:t>固定资产指为生产商品、提供劳务、出租或经营管理而持有，并且使用寿命超过一个会计年度的有形资产。固定资产在同 时满足下列条件时予以确认： </w:t>
      </w:r>
      <w:r>
        <w:rPr>
          <w:rFonts w:ascii="Times New Roman" w:hAnsi="Times New Roman" w:cs="Times New Roman" w:eastAsia="Times New Roman" w:hint="default"/>
          <w:sz w:val="18"/>
          <w:szCs w:val="18"/>
        </w:rPr>
        <w:t>1</w:t>
      </w:r>
      <w:r>
        <w:rPr>
          <w:rFonts w:ascii="宋体" w:hAnsi="宋体" w:cs="宋体" w:eastAsia="宋体" w:hint="default"/>
          <w:sz w:val="18"/>
          <w:szCs w:val="18"/>
        </w:rPr>
        <w:t>）与该固定资产有关的经济利益很可能流入企业；</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）该固定资产的成本能够可靠地计 量。</w:t>
      </w:r>
    </w:p>
    <w:p>
      <w:pPr>
        <w:spacing w:line="240" w:lineRule="auto" w:before="3"/>
        <w:rPr>
          <w:rFonts w:ascii="宋体" w:hAnsi="宋体" w:cs="宋体" w:eastAsia="宋体" w:hint="default"/>
          <w:sz w:val="23"/>
          <w:szCs w:val="23"/>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b/>
          <w:bCs/>
          <w:sz w:val="12"/>
          <w:szCs w:val="12"/>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32.33%</w:t>
            </w:r>
            <w:r>
              <w:rPr>
                <w:rFonts w:ascii="宋体" w:hAnsi="宋体" w:cs="宋体" w:eastAsia="宋体" w:hint="default"/>
                <w:sz w:val="18"/>
                <w:szCs w:val="18"/>
              </w:rPr>
              <w:t>～</w:t>
            </w:r>
            <w:r>
              <w:rPr>
                <w:rFonts w:ascii="Times New Roman" w:hAnsi="Times New Roman" w:cs="Times New Roman" w:eastAsia="Times New Roman" w:hint="default"/>
                <w:sz w:val="18"/>
                <w:szCs w:val="18"/>
              </w:rPr>
              <w:t>8.82%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16.17%</w:t>
            </w:r>
            <w:r>
              <w:rPr>
                <w:rFonts w:ascii="宋体" w:hAnsi="宋体" w:cs="宋体" w:eastAsia="宋体" w:hint="default"/>
                <w:sz w:val="18"/>
                <w:szCs w:val="18"/>
              </w:rPr>
              <w:t>～</w:t>
            </w:r>
            <w:r>
              <w:rPr>
                <w:rFonts w:ascii="Times New Roman" w:hAnsi="Times New Roman" w:cs="Times New Roman" w:eastAsia="Times New Roman" w:hint="default"/>
                <w:sz w:val="18"/>
                <w:szCs w:val="18"/>
              </w:rPr>
              <w:t>19.00%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4"/>
        <w:rPr>
          <w:rFonts w:ascii="宋体" w:hAnsi="宋体" w:cs="宋体" w:eastAsia="宋体" w:hint="default"/>
          <w:b/>
          <w:bCs/>
          <w:sz w:val="26"/>
          <w:szCs w:val="26"/>
        </w:rPr>
      </w:pPr>
    </w:p>
    <w:p>
      <w:pPr>
        <w:spacing w:line="357"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3" w:right="1114" w:firstLine="0"/>
        <w:jc w:val="left"/>
        <w:rPr>
          <w:rFonts w:ascii="宋体" w:hAnsi="宋体" w:cs="宋体" w:eastAsia="宋体" w:hint="default"/>
          <w:sz w:val="18"/>
          <w:szCs w:val="18"/>
        </w:rPr>
      </w:pPr>
      <w:r>
        <w:rPr>
          <w:rFonts w:ascii="宋体" w:hAnsi="宋体" w:cs="宋体" w:eastAsia="宋体" w:hint="default"/>
          <w:sz w:val="18"/>
          <w:szCs w:val="18"/>
        </w:rPr>
        <w:t>电子商务业</w:t>
      </w:r>
    </w:p>
    <w:p>
      <w:pPr>
        <w:pStyle w:val="BodyText"/>
        <w:spacing w:line="273" w:lineRule="auto" w:before="97"/>
        <w:ind w:right="1114"/>
        <w:jc w:val="left"/>
      </w:pPr>
      <w:r>
        <w:rPr>
          <w:spacing w:val="-2"/>
        </w:rPr>
        <w:t>在建工程项目按建造该项资产达到预定可使用状态前所发生的必要支出，作为固定资产的入账价值。所</w:t>
      </w:r>
      <w:r>
        <w:rPr>
          <w:spacing w:val="-21"/>
        </w:rPr>
        <w:t> </w:t>
      </w:r>
      <w:r>
        <w:rPr>
          <w:spacing w:val="-21"/>
        </w:rPr>
      </w:r>
      <w:r>
        <w:rPr/>
        <w:t>建造的固定资产在工程已达到预定可使用状态，但尚未办理竣工决算的，自达到预定可使用状态之日</w:t>
      </w:r>
      <w:r>
        <w:rPr>
          <w:w w:val="100"/>
        </w:rPr>
        <w:t> </w:t>
      </w:r>
      <w:r>
        <w:rPr>
          <w:spacing w:val="-2"/>
        </w:rPr>
        <w:t>起，根据工程预算、造价或者工程实际成本等，按估计的价值转入固定资产，并按本公司固定资产折旧</w:t>
      </w:r>
      <w:r>
        <w:rPr>
          <w:spacing w:val="-21"/>
        </w:rPr>
        <w:t> </w:t>
      </w:r>
      <w:r>
        <w:rPr>
          <w:spacing w:val="-21"/>
        </w:rPr>
      </w:r>
      <w:r>
        <w:rPr>
          <w:spacing w:val="-2"/>
        </w:rPr>
        <w:t>政策计提固定资产的折旧，待办理竣工决算后，再按实际成本调整原来的暂估价值，但不调整原已计提</w:t>
      </w:r>
      <w:r>
        <w:rPr>
          <w:spacing w:val="-21"/>
        </w:rPr>
        <w:t> </w:t>
      </w:r>
      <w:r>
        <w:rPr>
          <w:spacing w:val="-21"/>
        </w:rPr>
      </w:r>
      <w:r>
        <w:rPr/>
        <w:t>的折旧额。</w:t>
      </w:r>
    </w:p>
    <w:p>
      <w:pPr>
        <w:pStyle w:val="Heading5"/>
        <w:spacing w:line="590" w:lineRule="atLeast" w:before="8"/>
        <w:ind w:right="8235"/>
        <w:jc w:val="left"/>
        <w:rPr>
          <w:b w:val="0"/>
          <w:bCs w:val="0"/>
        </w:rPr>
      </w:pPr>
      <w:r>
        <w:rPr>
          <w:rFonts w:ascii="Times New Roman" w:hAnsi="Times New Roman" w:cs="Times New Roman" w:eastAsia="Times New Roman" w:hint="default"/>
        </w:rPr>
        <w:t>16</w:t>
      </w:r>
      <w:r>
        <w:rPr/>
        <w:t>、借款费用</w:t>
      </w:r>
      <w:r>
        <w:rPr>
          <w:w w:val="100"/>
        </w:rPr>
        <w:t> </w:t>
      </w:r>
      <w:r>
        <w:rPr>
          <w:spacing w:val="-1"/>
        </w:rPr>
        <w:t>借款费用资本化的确认原则</w:t>
      </w:r>
      <w:r>
        <w:rPr>
          <w:b w:val="0"/>
          <w:bCs w:val="0"/>
          <w:spacing w:val="-1"/>
        </w:rPr>
      </w:r>
    </w:p>
    <w:p>
      <w:pPr>
        <w:pStyle w:val="BodyText"/>
        <w:spacing w:line="273" w:lineRule="auto" w:before="37"/>
        <w:ind w:right="1114"/>
        <w:jc w:val="left"/>
      </w:pPr>
      <w:r>
        <w:rPr/>
        <w:t>借款费用，包括借款利息、折价或者溢价的摊销、辅助费用以及因外币借款而发生的汇兑差额等。</w:t>
      </w:r>
      <w:r>
        <w:rPr>
          <w:w w:val="100"/>
        </w:rPr>
        <w:t> </w:t>
      </w:r>
      <w:r>
        <w:rPr>
          <w:spacing w:val="-2"/>
        </w:rPr>
        <w:t>公司发生的借款费用，可直接归属于符合资本化条件的资产的购建或者生产的，予以资本化，计入相关</w:t>
      </w:r>
      <w:r>
        <w:rPr>
          <w:spacing w:val="-21"/>
        </w:rPr>
        <w:t> </w:t>
      </w:r>
      <w:r>
        <w:rPr>
          <w:spacing w:val="-21"/>
        </w:rPr>
      </w:r>
      <w:r>
        <w:rPr/>
        <w:t>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符合资本化条件的资产，是指需要经过相当长时间的购建或者生产活动才能达到预定可使用或者可销售</w:t>
      </w:r>
      <w:r>
        <w:rPr>
          <w:spacing w:val="-21"/>
        </w:rPr>
        <w:t> </w:t>
      </w:r>
      <w:r>
        <w:rPr>
          <w:spacing w:val="-21"/>
        </w:rPr>
      </w:r>
      <w:r>
        <w:rPr/>
        <w:t>状态的固定资产、投资性房地产和存货等资产。</w:t>
      </w:r>
    </w:p>
    <w:p>
      <w:pPr>
        <w:pStyle w:val="BodyText"/>
        <w:spacing w:line="240" w:lineRule="auto" w:before="7"/>
        <w:ind w:right="1114"/>
        <w:jc w:val="left"/>
      </w:pPr>
      <w:r>
        <w:rPr/>
        <w:t>借款费用同时满足下列条件时开始资本化：</w:t>
      </w:r>
    </w:p>
    <w:p>
      <w:pPr>
        <w:pStyle w:val="BodyText"/>
        <w:spacing w:line="256" w:lineRule="auto" w:before="37"/>
        <w:ind w:right="1114"/>
        <w:jc w:val="left"/>
      </w:pPr>
      <w:r>
        <w:rPr>
          <w:spacing w:val="-2"/>
        </w:rPr>
        <w:t>（</w:t>
      </w:r>
      <w:r>
        <w:rPr>
          <w:rFonts w:ascii="Times New Roman" w:hAnsi="Times New Roman" w:cs="Times New Roman" w:eastAsia="Times New Roman" w:hint="default"/>
          <w:spacing w:val="-2"/>
        </w:rPr>
        <w:t>1</w:t>
      </w:r>
      <w:r>
        <w:rPr>
          <w:spacing w:val="-2"/>
        </w:rPr>
        <w:t>）资产支出已经发生，资产支出包括为购建或者生产符合资本化条件的资产而以支付现金、转移非现</w:t>
      </w:r>
      <w:r>
        <w:rPr>
          <w:spacing w:val="-22"/>
        </w:rPr>
        <w:t> </w:t>
      </w:r>
      <w:r>
        <w:rPr>
          <w:spacing w:val="-22"/>
        </w:rPr>
      </w:r>
      <w:r>
        <w:rPr/>
        <w:t>金资产或者承担带息债务形式发生的支出；</w:t>
      </w:r>
    </w:p>
    <w:p>
      <w:pPr>
        <w:pStyle w:val="BodyText"/>
        <w:spacing w:line="240" w:lineRule="auto" w:before="22"/>
        <w:ind w:right="1114"/>
        <w:jc w:val="left"/>
      </w:pPr>
      <w:r>
        <w:rPr/>
        <w:t>（</w:t>
      </w:r>
      <w:r>
        <w:rPr>
          <w:rFonts w:ascii="Times New Roman" w:hAnsi="Times New Roman" w:cs="Times New Roman" w:eastAsia="Times New Roman" w:hint="default"/>
        </w:rPr>
        <w:t>2</w:t>
      </w:r>
      <w:r>
        <w:rPr/>
        <w:t>）借款费用已经发生；</w:t>
      </w:r>
    </w:p>
    <w:p>
      <w:pPr>
        <w:pStyle w:val="BodyText"/>
        <w:spacing w:line="240" w:lineRule="auto" w:before="21"/>
        <w:ind w:right="1114"/>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6"/>
        <w:rPr>
          <w:rFonts w:ascii="宋体" w:hAnsi="宋体" w:cs="宋体" w:eastAsia="宋体" w:hint="default"/>
          <w:sz w:val="25"/>
          <w:szCs w:val="25"/>
        </w:rPr>
      </w:pPr>
    </w:p>
    <w:p>
      <w:pPr>
        <w:pStyle w:val="BodyText"/>
        <w:spacing w:line="273" w:lineRule="auto"/>
        <w:ind w:right="1114"/>
        <w:jc w:val="left"/>
      </w:pPr>
      <w:r>
        <w:rPr>
          <w:rFonts w:ascii="宋体" w:hAnsi="宋体" w:cs="宋体" w:eastAsia="宋体" w:hint="default"/>
          <w:b/>
          <w:bCs/>
        </w:rPr>
        <w:t>借款费用资本化期间</w:t>
      </w:r>
      <w:r>
        <w:rPr>
          <w:rFonts w:ascii="宋体" w:hAnsi="宋体" w:cs="宋体" w:eastAsia="宋体" w:hint="default"/>
          <w:b/>
          <w:bCs/>
          <w:spacing w:val="-103"/>
        </w:rPr>
        <w:t> </w:t>
      </w:r>
      <w:r>
        <w:rPr>
          <w:spacing w:val="-2"/>
        </w:rPr>
        <w:t>资本化期间，指从借款费用开始资本化时点到停止资本化时点的期间，借款费用暂停资本化的期间不包</w:t>
      </w:r>
      <w:r>
        <w:rPr>
          <w:spacing w:val="-21"/>
        </w:rPr>
        <w:t> </w:t>
      </w:r>
      <w:r>
        <w:rPr>
          <w:spacing w:val="-21"/>
        </w:rPr>
      </w:r>
      <w:r>
        <w:rPr/>
        <w:t>括在内。</w:t>
      </w:r>
      <w:r>
        <w:rPr>
          <w:w w:val="100"/>
        </w:rPr>
        <w:t> </w:t>
      </w: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当购建或者生产符合资本化条件的资产中部分项目分别完工且可单独使用时，该部分资产借款费用停止</w:t>
      </w:r>
      <w:r>
        <w:rPr>
          <w:spacing w:val="-21"/>
        </w:rPr>
        <w:t> </w:t>
      </w:r>
      <w:r>
        <w:rPr>
          <w:spacing w:val="-21"/>
        </w:rPr>
      </w:r>
      <w:r>
        <w:rPr/>
        <w:t>资本化。</w:t>
      </w:r>
      <w:r>
        <w:rPr>
          <w:w w:val="100"/>
        </w:rPr>
        <w:t> </w:t>
      </w:r>
      <w:r>
        <w:rPr>
          <w:spacing w:val="-2"/>
        </w:rPr>
        <w:t>购建或者生产的资产的各部分分别完工，但必须等到整体完工后才可使用或可对外销售的，在该资产整</w:t>
      </w:r>
      <w:r>
        <w:rPr>
          <w:spacing w:val="-21"/>
        </w:rPr>
        <w:t> </w:t>
      </w:r>
      <w:r>
        <w:rPr>
          <w:spacing w:val="-21"/>
        </w:rPr>
      </w:r>
      <w:r>
        <w:rPr/>
        <w:t>体完工时停止借款费用资本化。</w:t>
      </w:r>
    </w:p>
    <w:p>
      <w:pPr>
        <w:spacing w:line="240" w:lineRule="auto" w:before="6"/>
        <w:rPr>
          <w:rFonts w:ascii="宋体" w:hAnsi="宋体" w:cs="宋体" w:eastAsia="宋体" w:hint="default"/>
          <w:sz w:val="24"/>
          <w:szCs w:val="24"/>
        </w:rPr>
      </w:pPr>
    </w:p>
    <w:p>
      <w:pPr>
        <w:pStyle w:val="BodyText"/>
        <w:spacing w:line="266" w:lineRule="auto"/>
        <w:ind w:right="1114"/>
        <w:jc w:val="left"/>
      </w:pPr>
      <w:r>
        <w:rPr>
          <w:rFonts w:ascii="宋体" w:hAnsi="宋体" w:cs="宋体" w:eastAsia="宋体" w:hint="default"/>
          <w:b/>
          <w:bCs/>
        </w:rPr>
        <w:t>暂停资本化期间</w:t>
      </w:r>
      <w:r>
        <w:rPr>
          <w:rFonts w:ascii="宋体" w:hAnsi="宋体" w:cs="宋体" w:eastAsia="宋体" w:hint="default"/>
          <w:b/>
          <w:bCs/>
          <w:spacing w:val="-104"/>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w:t>
      </w:r>
      <w:r>
        <w:rPr>
          <w:spacing w:val="-22"/>
        </w:rPr>
        <w:t> </w:t>
      </w:r>
      <w:r>
        <w:rPr>
          <w:spacing w:val="-22"/>
        </w:rPr>
      </w:r>
      <w:r>
        <w:rPr/>
        <w:t>用暂停资本化；该项中断如是所购建或生产的符合资本化条件的资产达到预定可使用状态或者可销售状</w:t>
      </w:r>
      <w:r>
        <w:rPr>
          <w:w w:val="100"/>
        </w:rPr>
        <w:t> </w:t>
      </w:r>
      <w:r>
        <w:rPr/>
        <w:t>态必要的程序，则借款费用继续资本化。在中断期间发生的借款费用确认为当期损益，直至资产的购建</w:t>
      </w:r>
    </w:p>
    <w:p>
      <w:pPr>
        <w:spacing w:after="0" w:line="266" w:lineRule="auto"/>
        <w:jc w:val="left"/>
        <w:sectPr>
          <w:footerReference w:type="default" r:id="rId22"/>
          <w:pgSz w:w="11910" w:h="16840"/>
          <w:pgMar w:footer="979" w:header="852" w:top="1260" w:bottom="1160" w:left="980" w:right="0"/>
        </w:sectPr>
      </w:pPr>
    </w:p>
    <w:p>
      <w:pPr>
        <w:spacing w:line="240" w:lineRule="auto" w:before="11"/>
        <w:rPr>
          <w:rFonts w:ascii="宋体" w:hAnsi="宋体" w:cs="宋体" w:eastAsia="宋体" w:hint="default"/>
          <w:sz w:val="8"/>
          <w:szCs w:val="8"/>
        </w:rPr>
      </w:pPr>
    </w:p>
    <w:p>
      <w:pPr>
        <w:pStyle w:val="BodyText"/>
        <w:spacing w:line="240" w:lineRule="auto" w:before="36"/>
        <w:ind w:right="1114"/>
        <w:jc w:val="left"/>
      </w:pPr>
      <w:r>
        <w:rPr/>
        <w:t>或者生产活动重新开始后借款费用继续资本化。</w:t>
      </w:r>
    </w:p>
    <w:p>
      <w:pPr>
        <w:spacing w:line="240" w:lineRule="auto" w:before="9"/>
        <w:rPr>
          <w:rFonts w:ascii="宋体" w:hAnsi="宋体" w:cs="宋体" w:eastAsia="宋体" w:hint="default"/>
          <w:sz w:val="26"/>
          <w:szCs w:val="26"/>
        </w:rPr>
      </w:pPr>
    </w:p>
    <w:p>
      <w:pPr>
        <w:pStyle w:val="BodyText"/>
        <w:spacing w:line="273" w:lineRule="auto"/>
        <w:ind w:right="1114"/>
        <w:jc w:val="left"/>
      </w:pPr>
      <w:r>
        <w:rPr>
          <w:rFonts w:ascii="宋体" w:hAnsi="宋体" w:cs="宋体" w:eastAsia="宋体" w:hint="default"/>
          <w:b/>
          <w:bCs/>
        </w:rPr>
        <w:t>借款费用资本化率、资本化金额的计算方法</w:t>
      </w:r>
      <w:r>
        <w:rPr>
          <w:rFonts w:ascii="宋体" w:hAnsi="宋体" w:cs="宋体" w:eastAsia="宋体" w:hint="default"/>
          <w:b/>
          <w:bCs/>
          <w:w w:val="100"/>
        </w:rPr>
        <w:t> </w:t>
      </w:r>
      <w:r>
        <w:rPr>
          <w:spacing w:val="-2"/>
        </w:rPr>
        <w:t>对于为购建或者生产符合资本化条件的资产而借入的专门借款，以专门借款当期实际发生的借款费用，</w:t>
      </w:r>
      <w:r>
        <w:rPr>
          <w:spacing w:val="-21"/>
        </w:rPr>
        <w:t> </w:t>
      </w:r>
      <w:r>
        <w:rPr>
          <w:spacing w:val="-21"/>
        </w:rPr>
      </w:r>
      <w:r>
        <w:rPr>
          <w:spacing w:val="-2"/>
        </w:rPr>
        <w:t>减去尚未动用的借款资金存入银行取得的利息收入或进行暂时性投资取得的投资收益后的金额，来确定</w:t>
      </w:r>
      <w:r>
        <w:rPr>
          <w:spacing w:val="-21"/>
        </w:rPr>
        <w:t> </w:t>
      </w:r>
      <w:r>
        <w:rPr>
          <w:spacing w:val="-21"/>
        </w:rPr>
      </w:r>
      <w:r>
        <w:rPr/>
        <w:t>借款费用的资本化金额。</w:t>
      </w:r>
      <w:r>
        <w:rPr>
          <w:w w:val="100"/>
        </w:rPr>
        <w:t> </w:t>
      </w:r>
      <w:r>
        <w:rPr>
          <w:spacing w:val="-2"/>
        </w:rPr>
        <w:t>对于为购建或者生产符合资本化条件的资产而占用的一般借款，根据累计资产支出超过专门借款部分的</w:t>
      </w:r>
      <w:r>
        <w:rPr>
          <w:spacing w:val="-21"/>
        </w:rPr>
        <w:t> </w:t>
      </w:r>
      <w:r>
        <w:rPr>
          <w:spacing w:val="-21"/>
        </w:rPr>
      </w:r>
      <w:r>
        <w:rPr>
          <w:spacing w:val="-2"/>
        </w:rPr>
        <w:t>资产支出加权平均数乘以所占用一般借款的资本化率，计算确定一般借款应予资本化的借款费用金额。</w:t>
      </w:r>
      <w:r>
        <w:rPr>
          <w:spacing w:val="-21"/>
        </w:rPr>
        <w:t> </w:t>
      </w:r>
      <w:r>
        <w:rPr>
          <w:spacing w:val="-21"/>
        </w:rPr>
      </w:r>
      <w:r>
        <w:rPr/>
        <w:t>资本化率根据一般借款加权平均利率计算确定。</w:t>
      </w:r>
    </w:p>
    <w:p>
      <w:pPr>
        <w:spacing w:line="240" w:lineRule="auto" w:before="7"/>
        <w:rPr>
          <w:rFonts w:ascii="宋体" w:hAnsi="宋体" w:cs="宋体" w:eastAsia="宋体" w:hint="default"/>
          <w:sz w:val="23"/>
          <w:szCs w:val="23"/>
        </w:rPr>
      </w:pPr>
    </w:p>
    <w:p>
      <w:pPr>
        <w:pStyle w:val="Heading5"/>
        <w:spacing w:line="240" w:lineRule="auto" w:before="0"/>
        <w:ind w:right="1114"/>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3" w:right="1114" w:firstLine="0"/>
        <w:jc w:val="left"/>
        <w:rPr>
          <w:rFonts w:ascii="宋体" w:hAnsi="宋体" w:cs="宋体" w:eastAsia="宋体" w:hint="default"/>
          <w:sz w:val="18"/>
          <w:szCs w:val="18"/>
        </w:rPr>
      </w:pPr>
      <w:r>
        <w:rPr>
          <w:rFonts w:ascii="宋体" w:hAnsi="宋体" w:cs="宋体" w:eastAsia="宋体" w:hint="default"/>
          <w:sz w:val="18"/>
          <w:szCs w:val="18"/>
        </w:rPr>
        <w:t>电子商务业</w:t>
      </w:r>
    </w:p>
    <w:p>
      <w:pPr>
        <w:pStyle w:val="BodyText"/>
        <w:spacing w:line="271" w:lineRule="auto" w:before="96"/>
        <w:ind w:right="1114"/>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2"/>
        </w:rPr>
        <w:t>外购无形资产的成本，包括购买价款、相关税费以及直接归属于使该项资产达到预定用途所发生的其他</w:t>
      </w:r>
      <w:r>
        <w:rPr>
          <w:spacing w:val="-21"/>
        </w:rPr>
        <w:t> </w:t>
      </w:r>
      <w:r>
        <w:rPr>
          <w:spacing w:val="-21"/>
        </w:rPr>
      </w:r>
      <w:r>
        <w:rPr>
          <w:spacing w:val="-2"/>
        </w:rPr>
        <w:t>支出。购买无形资产的价款超过正常信用条件延期支付，实质上具有融资性质的，无形资产的成本以购</w:t>
      </w:r>
      <w:r>
        <w:rPr>
          <w:spacing w:val="-21"/>
        </w:rPr>
        <w:t> </w:t>
      </w:r>
      <w:r>
        <w:rPr>
          <w:spacing w:val="-21"/>
        </w:rPr>
      </w:r>
      <w:r>
        <w:rPr/>
        <w:t>买价款的现值为基础确定。</w:t>
      </w:r>
      <w:r>
        <w:rPr>
          <w:w w:val="100"/>
        </w:rPr>
        <w:t> </w:t>
      </w:r>
      <w:r>
        <w:rPr>
          <w:spacing w:val="-2"/>
        </w:rPr>
        <w:t>债务重组取得债务人用以抵债的无形资产，以该无形资产的公允价值为基础确定其入账价值，并将重组</w:t>
      </w:r>
      <w:r>
        <w:rPr>
          <w:spacing w:val="-21"/>
        </w:rPr>
        <w:t> </w:t>
      </w:r>
      <w:r>
        <w:rPr>
          <w:spacing w:val="-21"/>
        </w:rPr>
      </w:r>
      <w:r>
        <w:rPr/>
        <w:t>债务的账面价值与该用以抵债的无形资产公允价值之间的差额，计入当期损益。</w:t>
      </w:r>
      <w:r>
        <w:rPr>
          <w:w w:val="100"/>
        </w:rPr>
        <w:t> </w:t>
      </w:r>
      <w:r>
        <w:rPr>
          <w:spacing w:val="-2"/>
        </w:rPr>
        <w:t>在非货币性资产交换具备商业实质且换入资产或换出资产的公允价值能够可靠计量的前提下，非货币性</w:t>
      </w:r>
      <w:r>
        <w:rPr>
          <w:spacing w:val="-21"/>
        </w:rPr>
        <w:t> </w:t>
      </w:r>
      <w:r>
        <w:rPr>
          <w:spacing w:val="-21"/>
        </w:rPr>
      </w:r>
      <w:r>
        <w:rPr>
          <w:spacing w:val="-2"/>
        </w:rPr>
        <w:t>资产交换换入的无形资产以换出资产的公允价值为基础确定其入账价值，除非有确凿证据表明换入资产</w:t>
      </w:r>
      <w:r>
        <w:rPr>
          <w:spacing w:val="-21"/>
        </w:rPr>
        <w:t> </w:t>
      </w:r>
      <w:r>
        <w:rPr>
          <w:spacing w:val="-21"/>
        </w:rPr>
      </w:r>
      <w:r>
        <w:rPr>
          <w:spacing w:val="-2"/>
        </w:rPr>
        <w:t>的公允价值更加可靠；不满足上述前提的非货币性资产交换，以换出资产的账面价值和应支付的相关税</w:t>
      </w:r>
      <w:r>
        <w:rPr>
          <w:spacing w:val="-21"/>
        </w:rPr>
        <w:t> </w:t>
      </w:r>
      <w:r>
        <w:rPr>
          <w:spacing w:val="-21"/>
        </w:rPr>
      </w:r>
      <w:r>
        <w:rPr/>
        <w:t>费作为换入无形资产的成本，不确认损益。</w:t>
      </w:r>
    </w:p>
    <w:p>
      <w:pPr>
        <w:pStyle w:val="BodyText"/>
        <w:spacing w:line="256" w:lineRule="auto" w:before="10"/>
        <w:ind w:right="6473"/>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273" w:lineRule="auto" w:before="22"/>
        <w:ind w:right="1114"/>
        <w:jc w:val="left"/>
      </w:pPr>
      <w:r>
        <w:rPr>
          <w:spacing w:val="-2"/>
        </w:rPr>
        <w:t>对于使用寿命有限的无形资产，在为企业带来经济利益的期限内按直线法摊销；无法预见无形资产为企</w:t>
      </w:r>
      <w:r>
        <w:rPr>
          <w:spacing w:val="-21"/>
        </w:rPr>
        <w:t> </w:t>
      </w:r>
      <w:r>
        <w:rPr>
          <w:spacing w:val="-21"/>
        </w:rPr>
      </w:r>
      <w:r>
        <w:rPr/>
        <w:t>业带来经济利益期限的，视为使用寿命不确定的无形资产，不予摊销。</w:t>
      </w:r>
    </w:p>
    <w:p>
      <w:pPr>
        <w:spacing w:line="240" w:lineRule="auto" w:before="6"/>
        <w:rPr>
          <w:rFonts w:ascii="宋体" w:hAnsi="宋体" w:cs="宋体" w:eastAsia="宋体" w:hint="default"/>
          <w:sz w:val="24"/>
          <w:szCs w:val="24"/>
        </w:rPr>
      </w:pPr>
    </w:p>
    <w:p>
      <w:pPr>
        <w:pStyle w:val="Heading5"/>
        <w:spacing w:line="240" w:lineRule="auto" w:before="0"/>
        <w:ind w:right="1114"/>
        <w:jc w:val="left"/>
        <w:rPr>
          <w:b w:val="0"/>
          <w:bCs w:val="0"/>
        </w:rPr>
      </w:pPr>
      <w:r>
        <w:rPr/>
        <w:t>使用寿命有限的无形资产的使用寿命估计情况：</w:t>
      </w:r>
      <w:r>
        <w:rPr>
          <w:b w:val="0"/>
          <w:bCs w:val="0"/>
        </w:rPr>
      </w:r>
    </w:p>
    <w:p>
      <w:pPr>
        <w:spacing w:line="240" w:lineRule="auto" w:before="10"/>
        <w:rPr>
          <w:rFonts w:ascii="宋体" w:hAnsi="宋体" w:cs="宋体" w:eastAsia="宋体" w:hint="default"/>
          <w:b/>
          <w:bCs/>
          <w:sz w:val="3"/>
          <w:szCs w:val="3"/>
        </w:rPr>
      </w:pPr>
    </w:p>
    <w:tbl>
      <w:tblPr>
        <w:tblW w:w="0" w:type="auto"/>
        <w:jc w:val="left"/>
        <w:tblInd w:w="153" w:type="dxa"/>
        <w:tblLayout w:type="fixed"/>
        <w:tblCellMar>
          <w:top w:w="0" w:type="dxa"/>
          <w:left w:w="0" w:type="dxa"/>
          <w:bottom w:w="0" w:type="dxa"/>
          <w:right w:w="0" w:type="dxa"/>
        </w:tblCellMar>
        <w:tblLook w:val="01E0"/>
      </w:tblPr>
      <w:tblGrid>
        <w:gridCol w:w="3764"/>
        <w:gridCol w:w="2360"/>
        <w:gridCol w:w="3507"/>
      </w:tblGrid>
      <w:tr>
        <w:trPr>
          <w:trHeight w:val="344" w:hRule="exact"/>
        </w:trPr>
        <w:tc>
          <w:tcPr>
            <w:tcW w:w="37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1"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3"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公司网站域名</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1"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交易席位费</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3"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期货经营权</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1"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期货公司名称</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年</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2"/>
        <w:rPr>
          <w:rFonts w:ascii="宋体" w:hAnsi="宋体" w:cs="宋体" w:eastAsia="宋体" w:hint="default"/>
          <w:b/>
          <w:bCs/>
          <w:sz w:val="20"/>
          <w:szCs w:val="20"/>
        </w:rPr>
      </w:pPr>
    </w:p>
    <w:p>
      <w:pPr>
        <w:pStyle w:val="BodyText"/>
        <w:spacing w:line="273" w:lineRule="auto" w:before="36"/>
        <w:ind w:right="1114"/>
        <w:jc w:val="left"/>
      </w:pPr>
      <w:r>
        <w:rPr>
          <w:spacing w:val="-2"/>
        </w:rPr>
        <w:t>每年度终了，对使用寿命有限的无形资产的使用寿命及摊销方法进行复核。</w:t>
      </w:r>
      <w:r>
        <w:rPr>
          <w:spacing w:val="-42"/>
        </w:rPr>
        <w:t> </w:t>
      </w:r>
      <w:r>
        <w:rPr>
          <w:spacing w:val="-42"/>
        </w:rPr>
      </w:r>
      <w:r>
        <w:rPr/>
        <w:t>经复核，本年期末无形资产的使用寿命及摊销方法与以前估计未有不同。</w:t>
      </w:r>
    </w:p>
    <w:p>
      <w:pPr>
        <w:spacing w:after="0" w:line="273" w:lineRule="auto"/>
        <w:jc w:val="left"/>
        <w:sectPr>
          <w:footerReference w:type="default" r:id="rId23"/>
          <w:pgSz w:w="11910" w:h="16840"/>
          <w:pgMar w:footer="979" w:header="852" w:top="1260" w:bottom="1160" w:left="980" w:right="0"/>
          <w:pgNumType w:start="101"/>
        </w:sectPr>
      </w:pPr>
    </w:p>
    <w:p>
      <w:pPr>
        <w:spacing w:line="240" w:lineRule="auto" w:before="11"/>
        <w:rPr>
          <w:rFonts w:ascii="宋体" w:hAnsi="宋体" w:cs="宋体" w:eastAsia="宋体" w:hint="default"/>
          <w:sz w:val="8"/>
          <w:szCs w:val="8"/>
        </w:rPr>
      </w:pPr>
    </w:p>
    <w:p>
      <w:pPr>
        <w:pStyle w:val="Heading5"/>
        <w:spacing w:line="240" w:lineRule="auto"/>
        <w:ind w:right="1114"/>
        <w:jc w:val="left"/>
        <w:rPr>
          <w:b w:val="0"/>
          <w:bCs w:val="0"/>
        </w:rPr>
      </w:pPr>
      <w:r>
        <w:rPr/>
        <w:t>使用寿命不确定的无形资产的判断依据以及对其使用寿命进行复核的程序</w:t>
      </w:r>
      <w:r>
        <w:rPr>
          <w:b w:val="0"/>
          <w:bCs w:val="0"/>
        </w:rPr>
      </w:r>
    </w:p>
    <w:p>
      <w:pPr>
        <w:spacing w:line="240" w:lineRule="auto" w:before="10"/>
        <w:rPr>
          <w:rFonts w:ascii="宋体" w:hAnsi="宋体" w:cs="宋体" w:eastAsia="宋体" w:hint="default"/>
          <w:b/>
          <w:bCs/>
          <w:sz w:val="3"/>
          <w:szCs w:val="3"/>
        </w:rPr>
      </w:pPr>
    </w:p>
    <w:tbl>
      <w:tblPr>
        <w:tblW w:w="0" w:type="auto"/>
        <w:jc w:val="left"/>
        <w:tblInd w:w="153" w:type="dxa"/>
        <w:tblLayout w:type="fixed"/>
        <w:tblCellMar>
          <w:top w:w="0" w:type="dxa"/>
          <w:left w:w="0" w:type="dxa"/>
          <w:bottom w:w="0" w:type="dxa"/>
          <w:right w:w="0" w:type="dxa"/>
        </w:tblCellMar>
        <w:tblLook w:val="01E0"/>
      </w:tblPr>
      <w:tblGrid>
        <w:gridCol w:w="2326"/>
        <w:gridCol w:w="7305"/>
      </w:tblGrid>
      <w:tr>
        <w:trPr>
          <w:trHeight w:val="341" w:hRule="exact"/>
        </w:trPr>
        <w:tc>
          <w:tcPr>
            <w:tcW w:w="23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判断依据</w:t>
            </w:r>
          </w:p>
        </w:tc>
      </w:tr>
      <w:tr>
        <w:trPr>
          <w:trHeight w:val="343" w:hRule="exac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期货会员资格投资</w:t>
            </w:r>
          </w:p>
        </w:tc>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在公司经营期间内期货会员资格投资将带给公司预期的经济利益流入，不再经营时可退回。</w:t>
            </w:r>
          </w:p>
        </w:tc>
      </w:tr>
      <w:tr>
        <w:trPr>
          <w:trHeight w:val="343" w:hRule="exac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上海地区小型车辆车牌</w:t>
            </w:r>
          </w:p>
        </w:tc>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本公司认为在可预见的将来该车牌均会使用并带给公司预期的经济利益流入</w:t>
            </w:r>
          </w:p>
        </w:tc>
      </w:tr>
    </w:tbl>
    <w:p>
      <w:pPr>
        <w:spacing w:line="240" w:lineRule="auto" w:before="3"/>
        <w:rPr>
          <w:rFonts w:ascii="宋体" w:hAnsi="宋体" w:cs="宋体" w:eastAsia="宋体" w:hint="default"/>
          <w:b/>
          <w:bCs/>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313"/>
        <w:jc w:val="left"/>
      </w:pPr>
      <w:r>
        <w:rPr>
          <w:rFonts w:ascii="宋体" w:hAnsi="宋体" w:cs="宋体" w:eastAsia="宋体" w:hint="default"/>
          <w:b/>
          <w:bCs/>
        </w:rPr>
        <w:t>划分研究阶段和开发阶段的具体标准</w:t>
      </w:r>
      <w:r>
        <w:rPr>
          <w:rFonts w:ascii="宋体" w:hAnsi="宋体" w:cs="宋体" w:eastAsia="宋体" w:hint="default"/>
          <w:b/>
          <w:bCs/>
          <w:w w:val="100"/>
        </w:rPr>
        <w:t> </w:t>
      </w: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开发阶段：在进行商业性生产或使用前，将研究成果或其他知识应用于某项计划或设计，以生产出新的</w:t>
      </w:r>
      <w:r>
        <w:rPr>
          <w:spacing w:val="-21"/>
        </w:rPr>
        <w:t> </w:t>
      </w:r>
      <w:r>
        <w:rPr>
          <w:spacing w:val="-21"/>
        </w:rPr>
      </w:r>
      <w:r>
        <w:rPr/>
        <w:t>或具有实质性改进的材料、装置、产品等活动的阶段。</w:t>
      </w:r>
    </w:p>
    <w:p>
      <w:pPr>
        <w:spacing w:line="240" w:lineRule="auto" w:before="6"/>
        <w:rPr>
          <w:rFonts w:ascii="宋体" w:hAnsi="宋体" w:cs="宋体" w:eastAsia="宋体" w:hint="default"/>
          <w:sz w:val="24"/>
          <w:szCs w:val="24"/>
        </w:rPr>
      </w:pPr>
    </w:p>
    <w:p>
      <w:pPr>
        <w:spacing w:line="273" w:lineRule="auto" w:before="0"/>
        <w:ind w:left="153" w:right="1114" w:firstLine="0"/>
        <w:jc w:val="left"/>
        <w:rPr>
          <w:rFonts w:ascii="宋体" w:hAnsi="宋体" w:cs="宋体" w:eastAsia="宋体" w:hint="default"/>
          <w:sz w:val="21"/>
          <w:szCs w:val="21"/>
        </w:rPr>
      </w:pPr>
      <w:r>
        <w:rPr>
          <w:rFonts w:ascii="宋体" w:hAnsi="宋体" w:cs="宋体" w:eastAsia="宋体" w:hint="default"/>
          <w:b/>
          <w:bCs/>
          <w:sz w:val="21"/>
          <w:szCs w:val="21"/>
        </w:rPr>
        <w:t>开发阶段支出资本化的具体条件</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before="7"/>
        <w:ind w:right="1114"/>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right="1114"/>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1114"/>
        <w:jc w:val="left"/>
      </w:pPr>
      <w:r>
        <w:rPr>
          <w:spacing w:val="-2"/>
        </w:rPr>
        <w:t>（</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）无形资产产生经济利益的方式，包括能够证明运用该无形资产生产的产品存在市场或无形资产自身</w:t>
      </w:r>
      <w:r>
        <w:rPr>
          <w:spacing w:val="-22"/>
        </w:rPr>
        <w:t> </w:t>
      </w:r>
      <w:r>
        <w:rPr>
          <w:spacing w:val="-22"/>
        </w:rPr>
      </w:r>
      <w:r>
        <w:rPr/>
        <w:t>存在市场，无形资产将在内部使用的，能够证明其有用性；</w:t>
      </w:r>
    </w:p>
    <w:p>
      <w:pPr>
        <w:spacing w:line="240" w:lineRule="auto" w:before="8"/>
        <w:rPr>
          <w:rFonts w:ascii="宋体" w:hAnsi="宋体" w:cs="宋体" w:eastAsia="宋体" w:hint="default"/>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18</w:t>
      </w:r>
      <w:r>
        <w:rPr/>
        <w:t>、长期资产减值</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313"/>
        <w:jc w:val="both"/>
      </w:pPr>
      <w:r>
        <w:rPr>
          <w:spacing w:val="-2"/>
        </w:rPr>
        <w:t>长期股权投资、固定资产、在建工程、使用寿命有限的无形资产等长期资产，于资产负债表日存在减值</w:t>
      </w:r>
      <w:r>
        <w:rPr>
          <w:spacing w:val="-21"/>
        </w:rPr>
        <w:t> </w:t>
      </w:r>
      <w:r>
        <w:rPr>
          <w:spacing w:val="-21"/>
        </w:rPr>
      </w:r>
      <w:r>
        <w:rPr>
          <w:spacing w:val="-2"/>
        </w:rPr>
        <w:t>迹象的，进行减值测试。减值测试结果表明资产的可收回金额低于其账面价值的，按其差额计提减值准</w:t>
      </w:r>
      <w:r>
        <w:rPr>
          <w:spacing w:val="-21"/>
        </w:rPr>
        <w:t> </w:t>
      </w:r>
      <w:r>
        <w:rPr>
          <w:spacing w:val="-21"/>
        </w:rPr>
      </w:r>
      <w:r>
        <w:rPr>
          <w:spacing w:val="-2"/>
        </w:rPr>
        <w:t>备并计入减值损失。可收回金额为资产的公允价值减去处置费用后的净额与资产预计未来现金流量的现</w:t>
      </w:r>
      <w:r>
        <w:rPr>
          <w:spacing w:val="-21"/>
        </w:rPr>
        <w:t> </w:t>
      </w:r>
      <w:r>
        <w:rPr>
          <w:spacing w:val="-21"/>
        </w:rPr>
      </w:r>
      <w:r>
        <w:rPr>
          <w:spacing w:val="-2"/>
        </w:rPr>
        <w:t>值两者之间的较高者。资产减值准备按单项资产为基础计算并确认，如果难以对单项资产的可收回金额</w:t>
      </w:r>
      <w:r>
        <w:rPr>
          <w:spacing w:val="-21"/>
        </w:rPr>
        <w:t> </w:t>
      </w:r>
      <w:r>
        <w:rPr>
          <w:spacing w:val="-21"/>
        </w:rPr>
      </w:r>
      <w:r>
        <w:rPr>
          <w:spacing w:val="-2"/>
        </w:rPr>
        <w:t>进行估计的，以该资产所属的资产组确定资产组的可收回金额。资产组是能够独立产生现金流入的最小</w:t>
      </w:r>
      <w:r>
        <w:rPr>
          <w:spacing w:val="-21"/>
        </w:rPr>
        <w:t> </w:t>
      </w:r>
      <w:r>
        <w:rPr>
          <w:spacing w:val="-21"/>
        </w:rPr>
      </w:r>
      <w:r>
        <w:rPr/>
        <w:t>资产组合。</w:t>
      </w:r>
    </w:p>
    <w:p>
      <w:pPr>
        <w:pStyle w:val="BodyText"/>
        <w:spacing w:line="273" w:lineRule="auto" w:before="7"/>
        <w:ind w:right="1224"/>
        <w:jc w:val="left"/>
      </w:pPr>
      <w:r>
        <w:rPr/>
        <w:t>商誉和使用寿命不确定的无形资产至少在每年年度终了进行减值测试。</w:t>
      </w:r>
      <w:r>
        <w:rPr>
          <w:w w:val="100"/>
        </w:rPr>
        <w:t> </w:t>
      </w:r>
      <w:r>
        <w:rPr/>
        <w:t>本公司进行商誉减值测试，对于因企业合并形成的商誉的账面价值，自购买日起按照合理的方法分摊至</w:t>
      </w:r>
      <w:r>
        <w:rPr>
          <w:w w:val="100"/>
        </w:rPr>
        <w:t> </w:t>
      </w:r>
      <w:r>
        <w:rPr/>
        <w:t>相关的资产组；难以分摊至相关的资产组的，将其分摊至相关的资产组组合。在将商誉的账面价值分摊</w:t>
      </w:r>
      <w:r>
        <w:rPr>
          <w:w w:val="100"/>
        </w:rPr>
        <w:t> </w:t>
      </w:r>
      <w:r>
        <w:rPr/>
        <w:t>至相关的资产组或者资产组组合时，按照各资产组或者资产组组合的公允价值占相关资产组或者资产组</w:t>
      </w:r>
      <w:r>
        <w:rPr>
          <w:w w:val="100"/>
        </w:rPr>
        <w:t> </w:t>
      </w:r>
      <w:r>
        <w:rPr/>
        <w:t>组合公允价值总额的比例进行分摊。公允价值难以可靠计量的，按照各资产组或者资产组组合的账面价</w:t>
      </w:r>
      <w:r>
        <w:rPr>
          <w:w w:val="100"/>
        </w:rPr>
        <w:t> </w:t>
      </w:r>
      <w:r>
        <w:rPr/>
        <w:t>值占相关资产组或者资产组组合账面价值总额的比例进行分摊。</w:t>
      </w:r>
      <w:r>
        <w:rPr>
          <w:w w:val="100"/>
        </w:rPr>
        <w:t> </w:t>
      </w:r>
      <w:r>
        <w:rPr/>
        <w:t>在对包含商誉的相关资产组或者资产组组合进行减值测试时，如与商誉相关的资产组或者资产组组合存</w:t>
      </w:r>
      <w:r>
        <w:rPr>
          <w:w w:val="100"/>
        </w:rPr>
        <w:t> </w:t>
      </w:r>
      <w:r>
        <w:rPr/>
        <w:t>在减值迹象的，先对不包含商誉的资产组或者资产组组合进行减值测试，计算可收回金额，并与相关账</w:t>
      </w:r>
      <w:r>
        <w:rPr>
          <w:w w:val="100"/>
        </w:rPr>
        <w:t> </w:t>
      </w:r>
      <w:r>
        <w:rPr/>
        <w:t>面价值相比较，确认相应的减值损失。再对包含商誉的资产组或者资产组组合进行减值测试，比较这些</w:t>
      </w:r>
      <w:r>
        <w:rPr>
          <w:w w:val="100"/>
        </w:rPr>
        <w:t> </w:t>
      </w:r>
      <w:r>
        <w:rPr/>
        <w:t>相关资产组或者资产组组合的账面价值（包括所分摊的商誉的账面价值部分）与其可收回金额，如相关</w:t>
      </w:r>
      <w:r>
        <w:rPr>
          <w:w w:val="100"/>
        </w:rPr>
        <w:t> </w:t>
      </w:r>
      <w:r>
        <w:rPr/>
        <w:t>资产组或者资产组组合的可收回金额低于其账面价值的，确认商誉的减值损失。</w:t>
      </w:r>
      <w:r>
        <w:rPr>
          <w:spacing w:val="-26"/>
        </w:rPr>
        <w:t> </w:t>
      </w:r>
      <w:r>
        <w:rPr/>
        <w:t>上述资产减值损失一经</w:t>
      </w:r>
      <w:r>
        <w:rPr>
          <w:w w:val="100"/>
        </w:rPr>
        <w:t> </w:t>
      </w:r>
      <w:r>
        <w:rPr/>
        <w:t>确认，在以后会计期间不予转回。</w:t>
      </w:r>
    </w:p>
    <w:p>
      <w:pPr>
        <w:spacing w:line="240" w:lineRule="auto" w:before="7"/>
        <w:rPr>
          <w:rFonts w:ascii="宋体" w:hAnsi="宋体" w:cs="宋体" w:eastAsia="宋体" w:hint="default"/>
          <w:sz w:val="23"/>
          <w:szCs w:val="23"/>
        </w:rPr>
      </w:pPr>
    </w:p>
    <w:p>
      <w:pPr>
        <w:pStyle w:val="BodyText"/>
        <w:spacing w:line="506" w:lineRule="auto"/>
        <w:ind w:right="1114"/>
        <w:jc w:val="left"/>
      </w:pPr>
      <w:r>
        <w:rPr>
          <w:rFonts w:ascii="Times New Roman" w:hAnsi="Times New Roman" w:cs="Times New Roman" w:eastAsia="Times New Roman" w:hint="default"/>
          <w:b/>
          <w:bCs/>
        </w:rPr>
        <w:t>19</w:t>
      </w:r>
      <w:r>
        <w:rPr>
          <w:rFonts w:ascii="宋体" w:hAnsi="宋体" w:cs="宋体" w:eastAsia="宋体" w:hint="default"/>
          <w:b/>
          <w:bCs/>
        </w:rPr>
        <w:t>、长期待摊费用</w:t>
      </w:r>
      <w:r>
        <w:rPr>
          <w:rFonts w:ascii="宋体" w:hAnsi="宋体" w:cs="宋体" w:eastAsia="宋体" w:hint="default"/>
          <w:b/>
          <w:bCs/>
          <w:w w:val="100"/>
        </w:rPr>
        <w:t> </w:t>
      </w:r>
      <w:r>
        <w:rPr>
          <w:spacing w:val="-2"/>
        </w:rPr>
        <w:t>长期待摊费用为已经发生但应由本期和以后各期负担的分摊期限在一年以上的各项费用。本公司长期待</w:t>
      </w:r>
    </w:p>
    <w:p>
      <w:pPr>
        <w:spacing w:after="0" w:line="506" w:lineRule="auto"/>
        <w:jc w:val="left"/>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BodyText"/>
        <w:spacing w:line="240" w:lineRule="auto" w:before="36"/>
        <w:ind w:right="1114"/>
        <w:jc w:val="left"/>
      </w:pPr>
      <w:r>
        <w:rPr/>
        <w:t>摊费用主要为租赁房屋的装修费。</w:t>
      </w:r>
    </w:p>
    <w:p>
      <w:pPr>
        <w:spacing w:line="256" w:lineRule="auto" w:before="37"/>
        <w:ind w:left="153" w:right="647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长期待摊费用在受益期内平均摊销</w:t>
      </w:r>
    </w:p>
    <w:p>
      <w:pPr>
        <w:pStyle w:val="Heading5"/>
        <w:spacing w:line="240" w:lineRule="auto" w:before="22"/>
        <w:ind w:right="1114"/>
        <w:jc w:val="left"/>
        <w:rPr>
          <w:b w:val="0"/>
          <w:bCs w:val="0"/>
        </w:rPr>
      </w:pPr>
      <w:r>
        <w:rPr/>
        <w:t>（</w:t>
      </w:r>
      <w:r>
        <w:rPr>
          <w:rFonts w:ascii="Times New Roman" w:hAnsi="Times New Roman" w:cs="Times New Roman" w:eastAsia="Times New Roman" w:hint="default"/>
        </w:rPr>
        <w:t>2</w:t>
      </w:r>
      <w:r>
        <w:rPr/>
        <w:t>）摊销年限</w:t>
      </w:r>
      <w:r>
        <w:rPr>
          <w:b w:val="0"/>
          <w:bCs w:val="0"/>
        </w:rPr>
      </w:r>
    </w:p>
    <w:p>
      <w:pPr>
        <w:spacing w:line="240" w:lineRule="auto" w:before="8"/>
        <w:rPr>
          <w:rFonts w:ascii="宋体" w:hAnsi="宋体" w:cs="宋体" w:eastAsia="宋体" w:hint="default"/>
          <w:b/>
          <w:bCs/>
          <w:sz w:val="2"/>
          <w:szCs w:val="2"/>
        </w:rPr>
      </w:pPr>
    </w:p>
    <w:tbl>
      <w:tblPr>
        <w:tblW w:w="0" w:type="auto"/>
        <w:jc w:val="left"/>
        <w:tblInd w:w="153" w:type="dxa"/>
        <w:tblLayout w:type="fixed"/>
        <w:tblCellMar>
          <w:top w:w="0" w:type="dxa"/>
          <w:left w:w="0" w:type="dxa"/>
          <w:bottom w:w="0" w:type="dxa"/>
          <w:right w:w="0" w:type="dxa"/>
        </w:tblCellMar>
        <w:tblLook w:val="01E0"/>
      </w:tblPr>
      <w:tblGrid>
        <w:gridCol w:w="4673"/>
        <w:gridCol w:w="4957"/>
      </w:tblGrid>
      <w:tr>
        <w:trPr>
          <w:trHeight w:val="341" w:hRule="exact"/>
        </w:trPr>
        <w:tc>
          <w:tcPr>
            <w:tcW w:w="4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按房屋租赁期限</w:t>
            </w:r>
          </w:p>
        </w:tc>
      </w:tr>
    </w:tbl>
    <w:p>
      <w:pPr>
        <w:spacing w:line="240" w:lineRule="auto" w:before="3"/>
        <w:rPr>
          <w:rFonts w:ascii="宋体" w:hAnsi="宋体" w:cs="宋体" w:eastAsia="宋体" w:hint="default"/>
          <w:b/>
          <w:bCs/>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14"/>
        <w:jc w:val="left"/>
      </w:pPr>
      <w:r>
        <w:rPr>
          <w:spacing w:val="-2"/>
        </w:rPr>
        <w:t>本公司在职工为本公司提供服务的会计期间，将实际发生的短期薪酬确认为负债，并计入当期损益或相</w:t>
      </w:r>
      <w:r>
        <w:rPr>
          <w:spacing w:val="-21"/>
        </w:rPr>
        <w:t> </w:t>
      </w:r>
      <w:r>
        <w:rPr>
          <w:spacing w:val="-21"/>
        </w:rPr>
      </w:r>
      <w:r>
        <w:rPr/>
        <w:t>关资产成本。</w:t>
      </w:r>
      <w:r>
        <w:rPr>
          <w:w w:val="100"/>
        </w:rPr>
        <w:t> </w:t>
      </w:r>
      <w:r>
        <w:rPr>
          <w:spacing w:val="-2"/>
        </w:rPr>
        <w:t>本公司为职工缴纳的社会保险费和住房公积金，以及按规定提取的工会经费和职工教育经费，在职工为</w:t>
      </w:r>
      <w:r>
        <w:rPr>
          <w:spacing w:val="-21"/>
        </w:rPr>
        <w:t> </w:t>
      </w:r>
      <w:r>
        <w:rPr>
          <w:spacing w:val="-21"/>
        </w:rPr>
      </w:r>
      <w:r>
        <w:rPr/>
        <w:t>本公司提供服务的会计期间，根据规定的计提基础和计提比例计算确定相应的职工薪酬金额。</w:t>
      </w:r>
      <w:r>
        <w:rPr>
          <w:w w:val="100"/>
        </w:rPr>
        <w:t> </w:t>
      </w:r>
      <w:r>
        <w:rPr/>
        <w:t>职工福利费为非货币性福利的，如能够可靠计量的，按照公允价值计量。</w:t>
      </w:r>
    </w:p>
    <w:p>
      <w:pPr>
        <w:spacing w:line="240" w:lineRule="auto" w:before="7"/>
        <w:rPr>
          <w:rFonts w:ascii="宋体" w:hAnsi="宋体" w:cs="宋体" w:eastAsia="宋体" w:hint="default"/>
          <w:sz w:val="23"/>
          <w:szCs w:val="23"/>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66" w:lineRule="auto"/>
        <w:ind w:right="1114"/>
        <w:jc w:val="left"/>
      </w:pPr>
      <w:r>
        <w:rPr>
          <w:rFonts w:ascii="Times New Roman" w:hAnsi="Times New Roman" w:cs="Times New Roman" w:eastAsia="Times New Roman" w:hint="default"/>
        </w:rPr>
        <w:t>1</w:t>
      </w:r>
      <w:r>
        <w:rPr/>
        <w:t>）设定提存计划</w:t>
      </w:r>
      <w:r>
        <w:rPr>
          <w:w w:val="100"/>
        </w:rPr>
        <w:t> </w:t>
      </w:r>
      <w:r>
        <w:rPr/>
        <w:t>本公司按当地政府的相关规定为职工缴纳基本养老保险和失业保险，在职工为本公司提供服务的会计期</w:t>
      </w:r>
      <w:r>
        <w:rPr>
          <w:w w:val="100"/>
        </w:rPr>
        <w:t> </w:t>
      </w:r>
      <w:r>
        <w:rPr/>
        <w:t>间，按以当地规定的缴纳基数和比例计算应缴纳金额，确认为负债，并计入当期损益或相关资产成本。</w:t>
      </w:r>
      <w:r>
        <w:rPr>
          <w:w w:val="100"/>
        </w:rPr>
        <w:t> </w:t>
      </w:r>
      <w:r>
        <w:rPr/>
        <w:t>除基本养老保险外，本公司还依据国家企业年金制度的相关政策建立了企业年金缴费制度（补充养老保</w:t>
      </w:r>
      <w:r>
        <w:rPr>
          <w:w w:val="100"/>
        </w:rPr>
        <w:t> </w:t>
      </w:r>
      <w:r>
        <w:rPr>
          <w:spacing w:val="-2"/>
        </w:rPr>
        <w:t>险）</w:t>
      </w:r>
      <w:r>
        <w:rPr>
          <w:rFonts w:ascii="Times New Roman" w:hAnsi="Times New Roman" w:cs="Times New Roman" w:eastAsia="Times New Roman" w:hint="default"/>
          <w:spacing w:val="-2"/>
        </w:rPr>
        <w:t>/</w:t>
      </w:r>
      <w:r>
        <w:rPr>
          <w:spacing w:val="-2"/>
        </w:rPr>
        <w:t>企业年金计划。本公司按职工工资总额的一定比例向当地社会保险机构缴费</w:t>
      </w:r>
      <w:r>
        <w:rPr>
          <w:rFonts w:ascii="Times New Roman" w:hAnsi="Times New Roman" w:cs="Times New Roman" w:eastAsia="Times New Roman" w:hint="default"/>
          <w:spacing w:val="-2"/>
        </w:rPr>
        <w:t>/</w:t>
      </w:r>
      <w:r>
        <w:rPr>
          <w:spacing w:val="-2"/>
        </w:rPr>
        <w:t>年金计划缴费，相应支</w:t>
      </w:r>
      <w:r>
        <w:rPr>
          <w:spacing w:val="-21"/>
        </w:rPr>
        <w:t> </w:t>
      </w:r>
      <w:r>
        <w:rPr>
          <w:spacing w:val="-21"/>
        </w:rPr>
      </w:r>
      <w:r>
        <w:rPr/>
        <w:t>出计入当期损益或相关资产成本。</w:t>
      </w:r>
    </w:p>
    <w:p>
      <w:pPr>
        <w:pStyle w:val="BodyText"/>
        <w:spacing w:line="256" w:lineRule="auto" w:before="14"/>
        <w:ind w:right="7693"/>
        <w:jc w:val="left"/>
      </w:pPr>
      <w:r>
        <w:rPr>
          <w:rFonts w:ascii="Times New Roman" w:hAnsi="Times New Roman" w:cs="Times New Roman" w:eastAsia="Times New Roman" w:hint="default"/>
        </w:rPr>
        <w:t>2</w:t>
      </w:r>
      <w:r>
        <w:rPr/>
        <w:t>）设定受益计划</w:t>
      </w:r>
      <w:r>
        <w:rPr>
          <w:w w:val="100"/>
        </w:rPr>
        <w:t> </w:t>
      </w:r>
      <w:r>
        <w:rPr>
          <w:spacing w:val="-2"/>
        </w:rPr>
        <w:t>本公司无设定收益计划。</w:t>
      </w:r>
    </w:p>
    <w:p>
      <w:pPr>
        <w:spacing w:line="240" w:lineRule="auto" w:before="8"/>
        <w:rPr>
          <w:rFonts w:ascii="宋体" w:hAnsi="宋体" w:cs="宋体" w:eastAsia="宋体" w:hint="default"/>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14"/>
        <w:jc w:val="left"/>
      </w:pPr>
      <w:r>
        <w:rPr>
          <w:spacing w:val="-2"/>
        </w:rPr>
        <w:t>本公司在不能单方面撤回因解除劳动关系计划或裁减建议所提供的辞退福利时，或确认与涉及支付辞退</w:t>
      </w:r>
      <w:r>
        <w:rPr>
          <w:spacing w:val="-21"/>
        </w:rPr>
        <w:t> </w:t>
      </w:r>
      <w:r>
        <w:rPr>
          <w:spacing w:val="-21"/>
        </w:rPr>
      </w:r>
      <w:r>
        <w:rPr>
          <w:spacing w:val="-2"/>
        </w:rPr>
        <w:t>福利的重组相关的成本或费用时（两者孰早），确认辞退福利产生的职工薪酬负债，并计入当期损益。</w:t>
      </w:r>
    </w:p>
    <w:p>
      <w:pPr>
        <w:spacing w:line="240" w:lineRule="auto" w:before="7"/>
        <w:rPr>
          <w:rFonts w:ascii="宋体" w:hAnsi="宋体" w:cs="宋体" w:eastAsia="宋体" w:hint="default"/>
          <w:sz w:val="23"/>
          <w:szCs w:val="23"/>
        </w:rPr>
      </w:pPr>
    </w:p>
    <w:p>
      <w:pPr>
        <w:pStyle w:val="Heading5"/>
        <w:spacing w:line="240" w:lineRule="auto" w:before="0"/>
        <w:ind w:right="1114"/>
        <w:jc w:val="left"/>
        <w:rPr>
          <w:b w:val="0"/>
          <w:bCs w:val="0"/>
        </w:rPr>
      </w:pPr>
      <w:r>
        <w:rPr>
          <w:rFonts w:ascii="Times New Roman" w:hAnsi="Times New Roman" w:cs="Times New Roman" w:eastAsia="Times New Roman" w:hint="default"/>
        </w:rPr>
        <w:t>21</w:t>
      </w:r>
      <w:r>
        <w:rPr/>
        <w:t>、股份支付</w:t>
      </w:r>
      <w:r>
        <w:rPr>
          <w:b w:val="0"/>
          <w:bCs w:val="0"/>
        </w:rPr>
      </w:r>
    </w:p>
    <w:p>
      <w:pPr>
        <w:spacing w:line="240" w:lineRule="auto" w:before="10"/>
        <w:rPr>
          <w:rFonts w:ascii="宋体" w:hAnsi="宋体" w:cs="宋体" w:eastAsia="宋体" w:hint="default"/>
          <w:b/>
          <w:bCs/>
          <w:sz w:val="24"/>
          <w:szCs w:val="24"/>
        </w:rPr>
      </w:pPr>
    </w:p>
    <w:p>
      <w:pPr>
        <w:pStyle w:val="BodyText"/>
        <w:spacing w:line="271" w:lineRule="auto"/>
        <w:ind w:right="1114"/>
        <w:jc w:val="left"/>
      </w:pPr>
      <w:r>
        <w:rPr>
          <w:spacing w:val="-2"/>
        </w:rPr>
        <w:t>本公司的股份支付是为了获取职工</w:t>
      </w:r>
      <w:r>
        <w:rPr>
          <w:rFonts w:ascii="Times New Roman" w:hAnsi="Times New Roman" w:cs="Times New Roman" w:eastAsia="Times New Roman" w:hint="default"/>
          <w:spacing w:val="-2"/>
        </w:rPr>
        <w:t>[</w:t>
      </w:r>
      <w:r>
        <w:rPr>
          <w:spacing w:val="-2"/>
        </w:rPr>
        <w:t>或其他方</w:t>
      </w:r>
      <w:r>
        <w:rPr>
          <w:rFonts w:ascii="Times New Roman" w:hAnsi="Times New Roman" w:cs="Times New Roman" w:eastAsia="Times New Roman" w:hint="default"/>
          <w:spacing w:val="-2"/>
        </w:rPr>
        <w:t>]</w:t>
      </w:r>
      <w:r>
        <w:rPr>
          <w:spacing w:val="-2"/>
        </w:rPr>
        <w:t>提供服务而授予权益工具或者承担以权益工具为基础确定的</w:t>
      </w:r>
      <w:r>
        <w:rPr>
          <w:spacing w:val="-19"/>
        </w:rPr>
        <w:t> </w:t>
      </w:r>
      <w:r>
        <w:rPr>
          <w:spacing w:val="-19"/>
        </w:rPr>
      </w:r>
      <w:r>
        <w:rPr/>
        <w:t>负债的交易。本公司的股份支付分为以权益结算的股份支付和以现金结算的股份支付。</w:t>
      </w:r>
      <w:r>
        <w:rPr>
          <w:w w:val="100"/>
        </w:rPr>
        <w:t> </w:t>
      </w:r>
      <w:r>
        <w:rPr>
          <w:rFonts w:ascii="宋体" w:hAnsi="宋体" w:cs="宋体" w:eastAsia="宋体" w:hint="default"/>
          <w:b/>
          <w:bCs/>
        </w:rPr>
        <w:t>以权益结算的股份支付及权益工具</w:t>
      </w:r>
      <w:r>
        <w:rPr>
          <w:rFonts w:ascii="宋体" w:hAnsi="宋体" w:cs="宋体" w:eastAsia="宋体" w:hint="default"/>
          <w:b/>
          <w:bCs/>
          <w:w w:val="100"/>
        </w:rPr>
        <w:t> </w:t>
      </w:r>
      <w:r>
        <w:rPr/>
        <w:t>以权益结算的股份支付换取职工提供服务的，以授予职工权益工具的公允价值计量。在等待期内每个资</w:t>
      </w:r>
      <w:r>
        <w:rPr>
          <w:w w:val="100"/>
        </w:rPr>
        <w:t> </w:t>
      </w:r>
      <w:r>
        <w:rPr/>
        <w:t>产负债表日，本公司根据最新取得的可行权职工人数变动</w:t>
      </w:r>
      <w:r>
        <w:rPr>
          <w:spacing w:val="-25"/>
        </w:rPr>
        <w:t> </w:t>
      </w:r>
      <w:r>
        <w:rPr/>
        <w:t>、是否达到规定业绩条件等后续信息对可行权</w:t>
      </w:r>
      <w:r>
        <w:rPr>
          <w:w w:val="100"/>
        </w:rPr>
        <w:t> </w:t>
      </w:r>
      <w:r>
        <w:rPr/>
        <w:t>权益工具数量作出最佳估计，以此为基础，按照授予日的公允价值，将当期取得的服务计入相关成本或</w:t>
      </w:r>
      <w:r>
        <w:rPr>
          <w:w w:val="100"/>
        </w:rPr>
        <w:t> </w:t>
      </w:r>
      <w:r>
        <w:rPr/>
        <w:t>费用，相应增加资本公积。在可行权日之后不再对已确认的相关成本或费用和所有者权益总额进行调</w:t>
      </w:r>
      <w:r>
        <w:rPr>
          <w:w w:val="100"/>
        </w:rPr>
        <w:t> </w:t>
      </w:r>
      <w:r>
        <w:rPr/>
        <w:t>整。但授予后立即可行权的，在授予日按照公允价值计入相关成本或费用，相应增加资本公积。</w:t>
      </w:r>
      <w:r>
        <w:rPr>
          <w:w w:val="100"/>
        </w:rPr>
        <w:t> </w:t>
      </w:r>
      <w:r>
        <w:rPr/>
        <w:t>对于最终未能行权的股份支付，不确认成本或费用，除非行权条件是市场条件或非可行权条件，此时无</w:t>
      </w:r>
    </w:p>
    <w:p>
      <w:pPr>
        <w:spacing w:after="0" w:line="271" w:lineRule="auto"/>
        <w:jc w:val="left"/>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BodyText"/>
        <w:spacing w:line="240" w:lineRule="auto" w:before="36"/>
        <w:ind w:right="1114"/>
        <w:jc w:val="left"/>
      </w:pPr>
      <w:r>
        <w:rPr/>
        <w:t>论是否满足市场条件或非可行权条件，只要满足所有可行权条件中的非市场条件，即视为可行权。</w:t>
      </w:r>
    </w:p>
    <w:p>
      <w:pPr>
        <w:spacing w:line="240" w:lineRule="auto" w:before="9"/>
        <w:rPr>
          <w:rFonts w:ascii="宋体" w:hAnsi="宋体" w:cs="宋体" w:eastAsia="宋体" w:hint="default"/>
          <w:sz w:val="26"/>
          <w:szCs w:val="26"/>
        </w:rPr>
      </w:pPr>
    </w:p>
    <w:p>
      <w:pPr>
        <w:pStyle w:val="BodyText"/>
        <w:spacing w:line="273" w:lineRule="auto"/>
        <w:ind w:right="1114"/>
        <w:jc w:val="left"/>
      </w:pPr>
      <w:r>
        <w:rPr>
          <w:spacing w:val="-2"/>
        </w:rPr>
        <w:t>如果修改了以权益结算的股份支付的条款，至少按照未修改条款的情况确认取得的服务。此外，任何增</w:t>
      </w:r>
      <w:r>
        <w:rPr>
          <w:spacing w:val="-21"/>
        </w:rPr>
        <w:t> </w:t>
      </w:r>
      <w:r>
        <w:rPr>
          <w:spacing w:val="-21"/>
        </w:rPr>
      </w:r>
      <w:r>
        <w:rPr/>
        <w:t>加所授予权益工具公允价值的修改，或在修改日对职工有利的变更，均确认取得服务的增加。</w:t>
      </w:r>
      <w:r>
        <w:rPr>
          <w:w w:val="100"/>
        </w:rPr>
        <w:t> </w:t>
      </w:r>
      <w:r>
        <w:rPr>
          <w:spacing w:val="-2"/>
        </w:rPr>
        <w:t>如果取消了以权益结算的股份支付，则于取消日作为加速行权处理，立即确认尚未确认的金额。职工或</w:t>
      </w:r>
      <w:r>
        <w:rPr>
          <w:spacing w:val="-21"/>
        </w:rPr>
        <w:t> </w:t>
      </w:r>
      <w:r>
        <w:rPr>
          <w:spacing w:val="-21"/>
        </w:rPr>
      </w:r>
      <w:r>
        <w:rPr/>
        <w:t>其他方能够选择满足非可行权条件但在等待期内未满足的，作为取消以权益结算的股份支付处理。但</w:t>
      </w:r>
      <w:r>
        <w:rPr>
          <w:w w:val="100"/>
        </w:rPr>
        <w:t> </w:t>
      </w:r>
      <w:r>
        <w:rPr>
          <w:spacing w:val="-2"/>
        </w:rPr>
        <w:t>是，如果授予新的权益工具，并在新权益工具授予日认定所授予的新权益工具是用于替代被取消的权益</w:t>
      </w:r>
      <w:r>
        <w:rPr>
          <w:spacing w:val="-21"/>
        </w:rPr>
        <w:t> </w:t>
      </w:r>
      <w:r>
        <w:rPr>
          <w:spacing w:val="-21"/>
        </w:rPr>
      </w:r>
      <w:r>
        <w:rPr/>
        <w:t>工具的，则以与处理原权益工具条款和条件修改相同的方式，对所授予的替代权</w:t>
      </w:r>
    </w:p>
    <w:p>
      <w:pPr>
        <w:spacing w:line="240" w:lineRule="auto" w:before="7"/>
        <w:rPr>
          <w:rFonts w:ascii="宋体" w:hAnsi="宋体" w:cs="宋体" w:eastAsia="宋体" w:hint="default"/>
          <w:sz w:val="23"/>
          <w:szCs w:val="23"/>
        </w:rPr>
      </w:pPr>
    </w:p>
    <w:p>
      <w:pPr>
        <w:pStyle w:val="Heading5"/>
        <w:spacing w:line="240" w:lineRule="auto" w:before="0"/>
        <w:ind w:right="1114"/>
        <w:jc w:val="left"/>
        <w:rPr>
          <w:b w:val="0"/>
          <w:bCs w:val="0"/>
        </w:rPr>
      </w:pPr>
      <w:r>
        <w:rPr>
          <w:rFonts w:ascii="Times New Roman" w:hAnsi="Times New Roman" w:cs="Times New Roman" w:eastAsia="Times New Roman" w:hint="default"/>
        </w:rPr>
        <w:t>22</w:t>
      </w:r>
      <w:r>
        <w:rPr/>
        <w:t>、 可转换公司债券</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313"/>
        <w:jc w:val="both"/>
      </w:pPr>
      <w:r>
        <w:rPr>
          <w:spacing w:val="-2"/>
        </w:rPr>
        <w:t>本公司发行可转换公司债券时依据条款确定其是否同时包含负债和权益成份。发行的可转换公司债券既</w:t>
      </w:r>
      <w:r>
        <w:rPr>
          <w:spacing w:val="-21"/>
        </w:rPr>
        <w:t> </w:t>
      </w:r>
      <w:r>
        <w:rPr>
          <w:spacing w:val="-21"/>
        </w:rPr>
      </w:r>
      <w:r>
        <w:rPr>
          <w:spacing w:val="-2"/>
        </w:rPr>
        <w:t>包含负债也包含权益成份的，在初始确认时将负债和权益成份进行分拆，并分别进行处理。在进行分拆</w:t>
      </w:r>
      <w:r>
        <w:rPr>
          <w:spacing w:val="-21"/>
        </w:rPr>
        <w:t> </w:t>
      </w:r>
      <w:r>
        <w:rPr>
          <w:spacing w:val="-21"/>
        </w:rPr>
      </w:r>
      <w:r>
        <w:rPr>
          <w:spacing w:val="-2"/>
        </w:rPr>
        <w:t>时，先确定负债成份的公允价值并以此作为其初始确认金额，再按照可转换公司债券整体的发行价格扣</w:t>
      </w:r>
      <w:r>
        <w:rPr>
          <w:spacing w:val="-21"/>
        </w:rPr>
        <w:t> </w:t>
      </w:r>
      <w:r>
        <w:rPr>
          <w:spacing w:val="-21"/>
        </w:rPr>
      </w:r>
      <w:r>
        <w:rPr>
          <w:spacing w:val="-2"/>
        </w:rPr>
        <w:t>除负债成份初始确认金额后的金额确定权益成份的初始确认金额。交易费用在负债成份和权益成份之间</w:t>
      </w:r>
      <w:r>
        <w:rPr>
          <w:spacing w:val="-21"/>
        </w:rPr>
        <w:t> </w:t>
      </w:r>
      <w:r>
        <w:rPr>
          <w:spacing w:val="-21"/>
        </w:rPr>
      </w:r>
      <w:r>
        <w:rPr>
          <w:spacing w:val="-2"/>
        </w:rPr>
        <w:t>按照各自的相对公允价值进行分摊。负债成份作为负债列示，以摊余成本进行后续计量，直至被撤销、</w:t>
      </w:r>
      <w:r>
        <w:rPr>
          <w:spacing w:val="-21"/>
        </w:rPr>
        <w:t> </w:t>
      </w:r>
      <w:r>
        <w:rPr>
          <w:spacing w:val="-21"/>
        </w:rPr>
      </w:r>
      <w:r>
        <w:rPr/>
        <w:t>转换或赎回。权益成份作为权益列示，不进行后续计量。</w:t>
      </w:r>
    </w:p>
    <w:p>
      <w:pPr>
        <w:spacing w:line="240" w:lineRule="auto" w:before="7"/>
        <w:rPr>
          <w:rFonts w:ascii="宋体" w:hAnsi="宋体" w:cs="宋体" w:eastAsia="宋体" w:hint="default"/>
          <w:sz w:val="23"/>
          <w:szCs w:val="23"/>
        </w:rPr>
      </w:pPr>
    </w:p>
    <w:p>
      <w:pPr>
        <w:pStyle w:val="Heading5"/>
        <w:spacing w:line="240" w:lineRule="auto" w:before="0"/>
        <w:ind w:right="1114"/>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2"/>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3" w:right="1114" w:firstLine="0"/>
        <w:jc w:val="left"/>
        <w:rPr>
          <w:rFonts w:ascii="宋体" w:hAnsi="宋体" w:cs="宋体" w:eastAsia="宋体" w:hint="default"/>
          <w:sz w:val="18"/>
          <w:szCs w:val="18"/>
        </w:rPr>
      </w:pPr>
      <w:r>
        <w:rPr>
          <w:rFonts w:ascii="宋体" w:hAnsi="宋体" w:cs="宋体" w:eastAsia="宋体" w:hint="default"/>
          <w:sz w:val="18"/>
          <w:szCs w:val="18"/>
        </w:rPr>
        <w:t>电子商务业</w:t>
      </w:r>
    </w:p>
    <w:p>
      <w:pPr>
        <w:pStyle w:val="Heading5"/>
        <w:spacing w:line="240" w:lineRule="auto" w:before="96"/>
        <w:ind w:right="1114"/>
        <w:jc w:val="left"/>
        <w:rPr>
          <w:b w:val="0"/>
          <w:bCs w:val="0"/>
        </w:rPr>
      </w:pPr>
      <w:r>
        <w:rPr/>
        <w:t>销售商品收入确认的一般原则</w:t>
      </w:r>
      <w:r>
        <w:rPr>
          <w:b w:val="0"/>
          <w:bCs w:val="0"/>
        </w:rPr>
      </w:r>
    </w:p>
    <w:p>
      <w:pPr>
        <w:pStyle w:val="BodyText"/>
        <w:spacing w:line="240" w:lineRule="auto" w:before="37"/>
        <w:ind w:right="1114"/>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21"/>
        <w:ind w:right="1114"/>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21"/>
        <w:ind w:right="1114"/>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21"/>
        <w:ind w:right="1114"/>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21"/>
        <w:ind w:right="1114"/>
        <w:jc w:val="left"/>
      </w:pPr>
      <w:r>
        <w:rPr/>
        <w:t>（</w:t>
      </w:r>
      <w:r>
        <w:rPr>
          <w:rFonts w:ascii="Times New Roman" w:hAnsi="Times New Roman" w:cs="Times New Roman" w:eastAsia="Times New Roman" w:hint="default"/>
        </w:rPr>
        <w:t>5</w:t>
      </w:r>
      <w:r>
        <w:rPr/>
        <w:t>）相关的、已发生或将发生的成本能够可靠地计量。</w:t>
      </w:r>
    </w:p>
    <w:p>
      <w:pPr>
        <w:spacing w:line="240" w:lineRule="auto" w:before="6"/>
        <w:rPr>
          <w:rFonts w:ascii="宋体" w:hAnsi="宋体" w:cs="宋体" w:eastAsia="宋体" w:hint="default"/>
          <w:sz w:val="25"/>
          <w:szCs w:val="25"/>
        </w:rPr>
      </w:pPr>
    </w:p>
    <w:p>
      <w:pPr>
        <w:spacing w:line="273" w:lineRule="auto" w:before="0"/>
        <w:ind w:left="153" w:right="1114" w:firstLine="0"/>
        <w:jc w:val="left"/>
        <w:rPr>
          <w:rFonts w:ascii="宋体" w:hAnsi="宋体" w:cs="宋体" w:eastAsia="宋体" w:hint="default"/>
          <w:sz w:val="21"/>
          <w:szCs w:val="21"/>
        </w:rPr>
      </w:pPr>
      <w:r>
        <w:rPr>
          <w:rFonts w:ascii="宋体" w:hAnsi="宋体" w:cs="宋体" w:eastAsia="宋体" w:hint="default"/>
          <w:b/>
          <w:bCs/>
          <w:sz w:val="21"/>
          <w:szCs w:val="21"/>
        </w:rPr>
        <w:t>让渡资产使用权收入的确认和计量原则</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与交易相关的经济利益很可能流入企业，收入的金额能够可靠地计量时。分别下列情况确定让渡资产使用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权收入金额：</w:t>
      </w:r>
    </w:p>
    <w:p>
      <w:pPr>
        <w:pStyle w:val="BodyText"/>
        <w:spacing w:line="240" w:lineRule="auto" w:before="8"/>
        <w:ind w:right="1114"/>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21"/>
        <w:ind w:right="1114"/>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6"/>
        <w:rPr>
          <w:rFonts w:ascii="宋体" w:hAnsi="宋体" w:cs="宋体" w:eastAsia="宋体" w:hint="default"/>
          <w:sz w:val="25"/>
          <w:szCs w:val="25"/>
        </w:rPr>
      </w:pPr>
    </w:p>
    <w:p>
      <w:pPr>
        <w:pStyle w:val="Heading5"/>
        <w:spacing w:line="240" w:lineRule="auto" w:before="0"/>
        <w:ind w:right="1114"/>
        <w:jc w:val="left"/>
        <w:rPr>
          <w:b w:val="0"/>
          <w:bCs w:val="0"/>
        </w:rPr>
      </w:pPr>
      <w:r>
        <w:rPr/>
        <w:t>信息技术服务业务收入确认具体原则</w:t>
      </w:r>
      <w:r>
        <w:rPr>
          <w:b w:val="0"/>
          <w:bCs w:val="0"/>
        </w:rPr>
      </w:r>
    </w:p>
    <w:p>
      <w:pPr>
        <w:pStyle w:val="BodyText"/>
        <w:spacing w:line="264" w:lineRule="auto" w:before="37"/>
        <w:ind w:right="1114"/>
        <w:jc w:val="left"/>
      </w:pPr>
      <w:r>
        <w:rPr/>
        <w:t>（</w:t>
      </w:r>
      <w:r>
        <w:rPr>
          <w:rFonts w:ascii="Times New Roman" w:hAnsi="Times New Roman" w:cs="Times New Roman" w:eastAsia="Times New Roman" w:hint="default"/>
        </w:rPr>
        <w:t>1</w:t>
      </w:r>
      <w:r>
        <w:rPr/>
        <w:t>）金融数据服务收入</w:t>
      </w:r>
      <w:r>
        <w:rPr>
          <w:w w:val="100"/>
        </w:rPr>
        <w:t> </w:t>
      </w:r>
      <w:r>
        <w:rPr>
          <w:spacing w:val="-2"/>
        </w:rPr>
        <w:t>服务订单或合同已经签订，已经收到服务款或取得收款凭证，自服务开始提供月份起在约定服务期限内按</w:t>
      </w:r>
      <w:r>
        <w:rPr>
          <w:spacing w:val="-43"/>
        </w:rPr>
        <w:t> </w:t>
      </w:r>
      <w:r>
        <w:rPr>
          <w:spacing w:val="-43"/>
        </w:rPr>
      </w:r>
      <w:r>
        <w:rPr/>
        <w:t>直线法分期确认收入。</w:t>
      </w:r>
    </w:p>
    <w:p>
      <w:pPr>
        <w:pStyle w:val="BodyText"/>
        <w:spacing w:line="264" w:lineRule="auto" w:before="16"/>
        <w:ind w:right="1114"/>
        <w:jc w:val="left"/>
      </w:pPr>
      <w:r>
        <w:rPr/>
        <w:t>（</w:t>
      </w:r>
      <w:r>
        <w:rPr>
          <w:rFonts w:ascii="Times New Roman" w:hAnsi="Times New Roman" w:cs="Times New Roman" w:eastAsia="Times New Roman" w:hint="default"/>
        </w:rPr>
        <w:t>2</w:t>
      </w:r>
      <w:r>
        <w:rPr/>
        <w:t>）广告收入：</w:t>
      </w:r>
      <w:r>
        <w:rPr>
          <w:w w:val="100"/>
        </w:rPr>
        <w:t> </w:t>
      </w:r>
      <w:r>
        <w:rPr>
          <w:spacing w:val="-2"/>
        </w:rPr>
        <w:t>广告合同已经签订或广告执行单（广告排期）已经客户确认，广告已经发布，在提供服务时按照合同金额</w:t>
      </w:r>
      <w:r>
        <w:rPr>
          <w:spacing w:val="-47"/>
        </w:rPr>
        <w:t> </w:t>
      </w:r>
      <w:r>
        <w:rPr>
          <w:spacing w:val="-47"/>
        </w:rPr>
      </w:r>
      <w:r>
        <w:rPr/>
        <w:t>与广告发布执行单计算确认收入。</w:t>
      </w:r>
    </w:p>
    <w:p>
      <w:pPr>
        <w:pStyle w:val="BodyText"/>
        <w:spacing w:line="240" w:lineRule="auto" w:before="16"/>
        <w:ind w:right="1114"/>
        <w:jc w:val="left"/>
      </w:pPr>
      <w:r>
        <w:rPr/>
        <w:t>（</w:t>
      </w:r>
      <w:r>
        <w:rPr>
          <w:rFonts w:ascii="Times New Roman" w:hAnsi="Times New Roman" w:cs="Times New Roman" w:eastAsia="Times New Roman" w:hint="default"/>
        </w:rPr>
        <w:t>3</w:t>
      </w:r>
      <w:r>
        <w:rPr/>
        <w:t>）金融电子商务服务收入：</w:t>
      </w:r>
    </w:p>
    <w:p>
      <w:pPr>
        <w:spacing w:after="0" w:line="240" w:lineRule="auto"/>
        <w:jc w:val="left"/>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BodyText"/>
        <w:spacing w:line="273" w:lineRule="auto" w:before="36"/>
        <w:ind w:right="1114"/>
        <w:jc w:val="left"/>
      </w:pPr>
      <w:r>
        <w:rPr>
          <w:spacing w:val="-2"/>
        </w:rPr>
        <w:t>服务合同或协议已经签订，已经通过代理买卖平台提供服务和相关信息，根据合同约定的比例，在完成代</w:t>
      </w:r>
      <w:r>
        <w:rPr>
          <w:spacing w:val="-44"/>
        </w:rPr>
        <w:t> </w:t>
      </w:r>
      <w:r>
        <w:rPr>
          <w:spacing w:val="-44"/>
        </w:rPr>
      </w:r>
      <w:r>
        <w:rPr/>
        <w:t>理交易事项的时点确认收入。</w:t>
      </w:r>
    </w:p>
    <w:p>
      <w:pPr>
        <w:spacing w:line="240" w:lineRule="auto" w:before="6"/>
        <w:rPr>
          <w:rFonts w:ascii="宋体" w:hAnsi="宋体" w:cs="宋体" w:eastAsia="宋体" w:hint="default"/>
          <w:sz w:val="24"/>
          <w:szCs w:val="24"/>
        </w:rPr>
      </w:pPr>
    </w:p>
    <w:p>
      <w:pPr>
        <w:pStyle w:val="Heading5"/>
        <w:spacing w:line="240" w:lineRule="auto" w:before="0"/>
        <w:ind w:right="1114"/>
        <w:jc w:val="left"/>
        <w:rPr>
          <w:b w:val="0"/>
          <w:bCs w:val="0"/>
        </w:rPr>
      </w:pPr>
      <w:r>
        <w:rPr/>
        <w:t>手续费及佣金收入</w:t>
      </w:r>
      <w:r>
        <w:rPr>
          <w:b w:val="0"/>
          <w:bCs w:val="0"/>
        </w:rPr>
      </w:r>
    </w:p>
    <w:p>
      <w:pPr>
        <w:pStyle w:val="BodyText"/>
        <w:spacing w:line="256" w:lineRule="auto" w:before="37"/>
        <w:ind w:right="4993"/>
        <w:jc w:val="left"/>
      </w:pPr>
      <w:r>
        <w:rPr/>
        <w:t>（</w:t>
      </w:r>
      <w:r>
        <w:rPr>
          <w:rFonts w:ascii="Times New Roman" w:hAnsi="Times New Roman" w:cs="Times New Roman" w:eastAsia="Times New Roman" w:hint="default"/>
        </w:rPr>
        <w:t>1</w:t>
      </w:r>
      <w:r>
        <w:rPr/>
        <w:t>）经纪业务手续费收入</w:t>
      </w:r>
      <w:r>
        <w:rPr>
          <w:w w:val="100"/>
        </w:rPr>
        <w:t> </w:t>
      </w:r>
      <w:r>
        <w:rPr>
          <w:spacing w:val="-2"/>
        </w:rPr>
        <w:t>代理买卖证券手续费收入：于代理买卖证券交易日予以确认。</w:t>
      </w:r>
    </w:p>
    <w:p>
      <w:pPr>
        <w:pStyle w:val="BodyText"/>
        <w:spacing w:line="240" w:lineRule="auto" w:before="22"/>
        <w:ind w:right="1114"/>
        <w:jc w:val="left"/>
      </w:pPr>
      <w:r>
        <w:rPr/>
        <w:t>代理兑付债券手续费收入：于代理兑付证券业务完成且实际收讫价款或取得收款证据时予以确认。</w:t>
      </w:r>
    </w:p>
    <w:p>
      <w:pPr>
        <w:pStyle w:val="BodyText"/>
        <w:spacing w:line="268" w:lineRule="auto" w:before="37"/>
        <w:ind w:right="0"/>
        <w:jc w:val="left"/>
      </w:pPr>
      <w:r>
        <w:rPr/>
        <w:t>（</w:t>
      </w:r>
      <w:r>
        <w:rPr>
          <w:rFonts w:ascii="Times New Roman" w:hAnsi="Times New Roman" w:cs="Times New Roman" w:eastAsia="Times New Roman" w:hint="default"/>
        </w:rPr>
        <w:t>2</w:t>
      </w:r>
      <w:r>
        <w:rPr/>
        <w:t>）投资银行业务手续费收入</w:t>
      </w:r>
      <w:r>
        <w:rPr>
          <w:w w:val="100"/>
        </w:rPr>
        <w:t> </w:t>
      </w:r>
      <w:r>
        <w:rPr>
          <w:spacing w:val="-2"/>
        </w:rPr>
        <w:t>证券承销收入：以全额承购包销方式出售代发行的证券在将证券转售给投资者时，按发行价格抵减承购价</w:t>
      </w:r>
      <w:r>
        <w:rPr>
          <w:spacing w:val="-42"/>
        </w:rPr>
        <w:t> </w:t>
      </w:r>
      <w:r>
        <w:rPr>
          <w:spacing w:val="-42"/>
        </w:rPr>
      </w:r>
      <w:r>
        <w:rPr/>
        <w:t>及相关发行费用后确认为证券承销收入；以余额承购包销或代销方式进行承销业务的证券于发行结束后，</w:t>
      </w:r>
      <w:r>
        <w:rPr>
          <w:spacing w:val="-24"/>
        </w:rPr>
        <w:t> </w:t>
      </w:r>
      <w:r>
        <w:rPr>
          <w:spacing w:val="-24"/>
        </w:rPr>
      </w:r>
      <w:r>
        <w:rPr/>
        <w:t>与发行人结算发行价款时，按约定收取的手续费抵减相关发行费用后确认。</w:t>
      </w:r>
      <w:r>
        <w:rPr>
          <w:w w:val="100"/>
        </w:rPr>
        <w:t> </w:t>
      </w:r>
      <w:r>
        <w:rPr/>
        <w:t>证券保荐业务收入和财务顾问收入：于各项业务提供的相关服务完成时确认收入。</w:t>
      </w:r>
    </w:p>
    <w:p>
      <w:pPr>
        <w:pStyle w:val="BodyText"/>
        <w:spacing w:line="271" w:lineRule="auto" w:before="12"/>
        <w:ind w:right="0"/>
        <w:jc w:val="left"/>
      </w:pPr>
      <w:r>
        <w:rPr/>
        <w:t>（</w:t>
      </w:r>
      <w:r>
        <w:rPr>
          <w:rFonts w:ascii="Times New Roman" w:hAnsi="Times New Roman" w:cs="Times New Roman" w:eastAsia="Times New Roman" w:hint="default"/>
        </w:rPr>
        <w:t>3</w:t>
      </w:r>
      <w:r>
        <w:rPr/>
        <w:t>）资产管理业务手续费收入</w:t>
      </w:r>
      <w:r>
        <w:rPr>
          <w:w w:val="100"/>
        </w:rPr>
        <w:t> </w:t>
      </w:r>
      <w:r>
        <w:rPr>
          <w:spacing w:val="-2"/>
        </w:rPr>
        <w:t>定向资产管理业务于受托投资管理合同到期，与委托人结算时，按合同对规定的比例计算应由公司享有的</w:t>
      </w:r>
      <w:r>
        <w:rPr>
          <w:spacing w:val="-43"/>
        </w:rPr>
        <w:t> </w:t>
      </w:r>
      <w:r>
        <w:rPr>
          <w:spacing w:val="-43"/>
        </w:rPr>
      </w:r>
      <w:r>
        <w:rPr>
          <w:spacing w:val="-2"/>
        </w:rPr>
        <w:t>管理费收益，确认为当期收益；或合同中规定公司按约定比例收取管理费和业绩报酬，则在合同期内分期</w:t>
      </w:r>
      <w:r>
        <w:rPr>
          <w:spacing w:val="-45"/>
        </w:rPr>
        <w:t> </w:t>
      </w:r>
      <w:r>
        <w:rPr>
          <w:spacing w:val="-45"/>
        </w:rPr>
      </w:r>
      <w:r>
        <w:rPr/>
        <w:t>确认管理费和业绩报酬收益。</w:t>
      </w:r>
      <w:r>
        <w:rPr>
          <w:w w:val="100"/>
        </w:rPr>
        <w:t> </w:t>
      </w:r>
      <w:r>
        <w:rPr>
          <w:spacing w:val="-2"/>
        </w:rPr>
        <w:t>集合资产管理按合同约定收取管理费的按合同规定的比例计算应由公司享有的管理费收益，确认为当期收</w:t>
      </w:r>
      <w:r>
        <w:rPr>
          <w:spacing w:val="-43"/>
        </w:rPr>
        <w:t> </w:t>
      </w:r>
      <w:r>
        <w:rPr>
          <w:spacing w:val="-43"/>
        </w:rPr>
      </w:r>
      <w:r>
        <w:rPr/>
        <w:t>益；按合同约定收取业绩报酬的于集合资产计划到期时或投资者退出计划时，按约定比例收取业绩报酬，</w:t>
      </w:r>
      <w:r>
        <w:rPr>
          <w:spacing w:val="-24"/>
        </w:rPr>
        <w:t> </w:t>
      </w:r>
      <w:r>
        <w:rPr>
          <w:spacing w:val="-24"/>
        </w:rPr>
      </w:r>
      <w:r>
        <w:rPr/>
        <w:t>确认当期收益。</w:t>
      </w:r>
      <w:r>
        <w:rPr>
          <w:spacing w:val="-103"/>
        </w:rPr>
        <w:t> </w:t>
      </w:r>
      <w:r>
        <w:rPr>
          <w:spacing w:val="-103"/>
        </w:rPr>
      </w:r>
      <w:r>
        <w:rPr>
          <w:spacing w:val="-2"/>
        </w:rPr>
        <w:t>专项资产管理业务于受托投资管理合同到期，与委托人结算时，按合同对规定的比例计算应由公司享有的</w:t>
      </w:r>
      <w:r>
        <w:rPr>
          <w:spacing w:val="-43"/>
        </w:rPr>
        <w:t> </w:t>
      </w:r>
      <w:r>
        <w:rPr>
          <w:spacing w:val="-43"/>
        </w:rPr>
      </w:r>
      <w:r>
        <w:rPr>
          <w:spacing w:val="-2"/>
        </w:rPr>
        <w:t>管理费收益，确认为当期收益；或合同中规定公司按约定比例收取管理费和业绩报酬，则在合同期内分期</w:t>
      </w:r>
      <w:r>
        <w:rPr>
          <w:spacing w:val="-44"/>
        </w:rPr>
        <w:t> </w:t>
      </w:r>
      <w:r>
        <w:rPr>
          <w:spacing w:val="-44"/>
        </w:rPr>
      </w:r>
      <w:r>
        <w:rPr/>
        <w:t>确认管理费和业绩报酬收益。</w:t>
      </w:r>
    </w:p>
    <w:p>
      <w:pPr>
        <w:pStyle w:val="BodyText"/>
        <w:spacing w:line="264" w:lineRule="auto" w:before="10"/>
        <w:ind w:right="1114"/>
        <w:jc w:val="left"/>
      </w:pPr>
      <w:r>
        <w:rPr/>
        <w:t>（</w:t>
      </w:r>
      <w:r>
        <w:rPr>
          <w:rFonts w:ascii="Times New Roman" w:hAnsi="Times New Roman" w:cs="Times New Roman" w:eastAsia="Times New Roman" w:hint="default"/>
        </w:rPr>
        <w:t>4</w:t>
      </w:r>
      <w:r>
        <w:rPr/>
        <w:t>）期货代理业务手续费收入</w:t>
      </w:r>
      <w:r>
        <w:rPr>
          <w:w w:val="100"/>
        </w:rPr>
        <w:t> </w:t>
      </w:r>
      <w:r>
        <w:rPr>
          <w:spacing w:val="-2"/>
        </w:rPr>
        <w:t>根据期货代理合同书确定的收费标准，在代理交易发生时，确定每笔交易的手续费，交易业务发生后直接</w:t>
      </w:r>
      <w:r>
        <w:rPr>
          <w:spacing w:val="-42"/>
        </w:rPr>
        <w:t> </w:t>
      </w:r>
      <w:r>
        <w:rPr>
          <w:spacing w:val="-42"/>
        </w:rPr>
      </w:r>
      <w:r>
        <w:rPr/>
        <w:t>在客户保证金账户中结算扣除。</w:t>
      </w:r>
    </w:p>
    <w:p>
      <w:pPr>
        <w:pStyle w:val="BodyText"/>
        <w:spacing w:line="264" w:lineRule="auto" w:before="16"/>
        <w:ind w:right="1114"/>
        <w:jc w:val="left"/>
      </w:pPr>
      <w:r>
        <w:rPr/>
        <w:t>（</w:t>
      </w:r>
      <w:r>
        <w:rPr>
          <w:rFonts w:ascii="Times New Roman" w:hAnsi="Times New Roman" w:cs="Times New Roman" w:eastAsia="Times New Roman" w:hint="default"/>
        </w:rPr>
        <w:t>5</w:t>
      </w:r>
      <w:r>
        <w:rPr/>
        <w:t>）投资咨询业务收入</w:t>
      </w:r>
      <w:r>
        <w:rPr>
          <w:w w:val="100"/>
        </w:rPr>
        <w:t> </w:t>
      </w:r>
      <w:r>
        <w:rPr>
          <w:spacing w:val="-2"/>
        </w:rPr>
        <w:t>相关的投资咨询已经提供，合同约定的经济利益能够流入企业，收入能够可靠计量时，按合同或协议规定</w:t>
      </w:r>
      <w:r>
        <w:rPr>
          <w:spacing w:val="-44"/>
        </w:rPr>
        <w:t> </w:t>
      </w:r>
      <w:r>
        <w:rPr>
          <w:spacing w:val="-44"/>
        </w:rPr>
      </w:r>
      <w:r>
        <w:rPr/>
        <w:t>确认收入。</w:t>
      </w:r>
    </w:p>
    <w:p>
      <w:pPr>
        <w:spacing w:line="240" w:lineRule="auto" w:before="1"/>
        <w:rPr>
          <w:rFonts w:ascii="宋体" w:hAnsi="宋体" w:cs="宋体" w:eastAsia="宋体" w:hint="default"/>
          <w:sz w:val="25"/>
          <w:szCs w:val="25"/>
        </w:rPr>
      </w:pPr>
    </w:p>
    <w:p>
      <w:pPr>
        <w:pStyle w:val="BodyText"/>
        <w:spacing w:line="273" w:lineRule="auto"/>
        <w:ind w:right="1114"/>
        <w:jc w:val="left"/>
      </w:pPr>
      <w:r>
        <w:rPr>
          <w:rFonts w:ascii="宋体" w:hAnsi="宋体" w:cs="宋体" w:eastAsia="宋体" w:hint="default"/>
          <w:b/>
          <w:bCs/>
        </w:rPr>
        <w:t>利息收入</w:t>
      </w:r>
      <w:r>
        <w:rPr>
          <w:rFonts w:ascii="宋体" w:hAnsi="宋体" w:cs="宋体" w:eastAsia="宋体" w:hint="default"/>
          <w:b/>
          <w:bCs/>
          <w:w w:val="100"/>
        </w:rPr>
        <w:t> </w:t>
      </w:r>
      <w:r>
        <w:rPr>
          <w:spacing w:val="-7"/>
        </w:rPr>
        <w:t>本公司的利息收入主要是东方财富证券、东财国际证券、东方财富期货、西藏东方财富投资管理有限公司、</w:t>
      </w:r>
      <w:r>
        <w:rPr>
          <w:spacing w:val="-20"/>
        </w:rPr>
        <w:t> </w:t>
      </w:r>
      <w:r>
        <w:rPr>
          <w:spacing w:val="-20"/>
        </w:rPr>
      </w:r>
      <w:r>
        <w:rPr>
          <w:spacing w:val="-2"/>
        </w:rPr>
        <w:t>东财基金、小额贷款公司、东方财富国际期货有限公司作为主营业务产生的利息收入，其他公司的利息收</w:t>
      </w:r>
      <w:r>
        <w:rPr>
          <w:spacing w:val="-45"/>
        </w:rPr>
        <w:t> </w:t>
      </w:r>
      <w:r>
        <w:rPr>
          <w:spacing w:val="-45"/>
        </w:rPr>
      </w:r>
      <w:r>
        <w:rPr/>
        <w:t>入计入财务费用，以下会计政策适用于利息收入作为主营业务的公司。</w:t>
      </w:r>
    </w:p>
    <w:p>
      <w:pPr>
        <w:spacing w:line="240" w:lineRule="auto" w:before="6"/>
        <w:rPr>
          <w:rFonts w:ascii="宋体" w:hAnsi="宋体" w:cs="宋体" w:eastAsia="宋体" w:hint="default"/>
          <w:sz w:val="24"/>
          <w:szCs w:val="24"/>
        </w:rPr>
      </w:pPr>
    </w:p>
    <w:p>
      <w:pPr>
        <w:pStyle w:val="BodyText"/>
        <w:spacing w:line="273" w:lineRule="auto"/>
        <w:ind w:right="1126"/>
        <w:jc w:val="both"/>
      </w:pPr>
      <w:r>
        <w:rPr>
          <w:spacing w:val="-2"/>
        </w:rPr>
        <w:t>在与交易相关的经济利益能够流入企业，收入的金额能够可靠地计量时，按资金使用时间和实际利率确认</w:t>
      </w:r>
      <w:r>
        <w:rPr>
          <w:spacing w:val="-43"/>
        </w:rPr>
        <w:t> </w:t>
      </w:r>
      <w:r>
        <w:rPr>
          <w:spacing w:val="-43"/>
        </w:rPr>
      </w:r>
      <w:r>
        <w:rPr>
          <w:spacing w:val="-2"/>
        </w:rPr>
        <w:t>利息收入；融资融券业务根据与客户合约的约定，按出借资金或证券的时间和约定利率确认收入；买入返</w:t>
      </w:r>
      <w:r>
        <w:rPr>
          <w:spacing w:val="-44"/>
        </w:rPr>
        <w:t> </w:t>
      </w:r>
      <w:r>
        <w:rPr>
          <w:spacing w:val="-44"/>
        </w:rPr>
      </w:r>
      <w:r>
        <w:rPr>
          <w:spacing w:val="-2"/>
        </w:rPr>
        <w:t>售证券收入在当期到期返售的，按返售价格与买入成本之间的实际差额确认为当期收入，在当期没有到期</w:t>
      </w:r>
      <w:r>
        <w:rPr>
          <w:spacing w:val="-43"/>
        </w:rPr>
        <w:t> </w:t>
      </w:r>
      <w:r>
        <w:rPr>
          <w:spacing w:val="-43"/>
        </w:rPr>
      </w:r>
      <w:r>
        <w:rPr/>
        <w:t>的，期末按权责发生制原则计提利息，确认为当期收入。</w:t>
      </w:r>
    </w:p>
    <w:p>
      <w:pPr>
        <w:spacing w:line="240" w:lineRule="auto" w:before="6"/>
        <w:rPr>
          <w:rFonts w:ascii="宋体" w:hAnsi="宋体" w:cs="宋体" w:eastAsia="宋体" w:hint="default"/>
          <w:sz w:val="24"/>
          <w:szCs w:val="24"/>
        </w:rPr>
      </w:pPr>
    </w:p>
    <w:p>
      <w:pPr>
        <w:pStyle w:val="BodyText"/>
        <w:spacing w:line="273" w:lineRule="auto"/>
        <w:ind w:right="3553"/>
        <w:jc w:val="left"/>
      </w:pPr>
      <w:r>
        <w:rPr>
          <w:rFonts w:ascii="宋体" w:hAnsi="宋体" w:cs="宋体" w:eastAsia="宋体" w:hint="default"/>
          <w:b/>
          <w:bCs/>
        </w:rPr>
        <w:t>投资收益</w:t>
      </w:r>
      <w:r>
        <w:rPr>
          <w:rFonts w:ascii="宋体" w:hAnsi="宋体" w:cs="宋体" w:eastAsia="宋体" w:hint="default"/>
          <w:b/>
          <w:bCs/>
          <w:w w:val="100"/>
        </w:rPr>
        <w:t> </w:t>
      </w:r>
      <w:r>
        <w:rPr>
          <w:spacing w:val="-2"/>
        </w:rPr>
        <w:t>公司持有金融资产期间取得的红利、股息或现金股利等，计入当期损益；</w:t>
      </w:r>
    </w:p>
    <w:p>
      <w:pPr>
        <w:pStyle w:val="BodyText"/>
        <w:spacing w:line="273" w:lineRule="auto" w:before="7"/>
        <w:ind w:right="1114"/>
        <w:jc w:val="left"/>
      </w:pPr>
      <w:r>
        <w:rPr>
          <w:spacing w:val="-2"/>
        </w:rPr>
        <w:t>处置金融资产时，按取得的价款与账面价值之间的差额，计入当期损益，同时，调整公允价值变动损益或</w:t>
      </w:r>
      <w:r>
        <w:rPr>
          <w:spacing w:val="-47"/>
        </w:rPr>
        <w:t> </w:t>
      </w:r>
      <w:r>
        <w:rPr>
          <w:spacing w:val="-47"/>
        </w:rPr>
      </w:r>
      <w:r>
        <w:rPr/>
        <w:t>将原直接计入其他综合收益的公允价值变动累计额对应处置部分的金额转出，计入投资损益。</w:t>
      </w:r>
      <w:r>
        <w:rPr>
          <w:w w:val="100"/>
        </w:rPr>
        <w:t> </w:t>
      </w:r>
      <w:r>
        <w:rPr>
          <w:spacing w:val="-2"/>
        </w:rPr>
        <w:t>采用成本法核算长期股权投资的，按被投资单位宣告发放的现金股利或利润中属于本公司的部分确认当期</w:t>
      </w:r>
    </w:p>
    <w:p>
      <w:pPr>
        <w:spacing w:after="0" w:line="273" w:lineRule="auto"/>
        <w:jc w:val="left"/>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BodyText"/>
        <w:spacing w:line="273" w:lineRule="auto" w:before="36"/>
        <w:ind w:right="1114"/>
        <w:jc w:val="left"/>
      </w:pPr>
      <w:r>
        <w:rPr/>
        <w:t>损益；</w:t>
      </w:r>
      <w:r>
        <w:rPr>
          <w:spacing w:val="-102"/>
        </w:rPr>
        <w:t> </w:t>
      </w:r>
      <w:r>
        <w:rPr>
          <w:spacing w:val="-2"/>
        </w:rPr>
        <w:t>采用权益法核算长期股权投资的，按被投资单位实现的净利润或经调整的净利润计算应享有的份额确认当</w:t>
      </w:r>
      <w:r>
        <w:rPr>
          <w:spacing w:val="-43"/>
        </w:rPr>
        <w:t> </w:t>
      </w:r>
      <w:r>
        <w:rPr>
          <w:spacing w:val="-43"/>
        </w:rPr>
      </w:r>
      <w:r>
        <w:rPr/>
        <w:t>期损益。</w:t>
      </w:r>
    </w:p>
    <w:p>
      <w:pPr>
        <w:pStyle w:val="Heading5"/>
        <w:spacing w:line="600" w:lineRule="atLeast" w:before="0"/>
        <w:ind w:right="9489"/>
        <w:jc w:val="left"/>
        <w:rPr>
          <w:b w:val="0"/>
          <w:bCs w:val="0"/>
        </w:rPr>
      </w:pPr>
      <w:r>
        <w:rPr>
          <w:rFonts w:ascii="Times New Roman" w:hAnsi="Times New Roman" w:cs="Times New Roman" w:eastAsia="Times New Roman" w:hint="default"/>
        </w:rPr>
        <w:t>24</w:t>
      </w:r>
      <w:r>
        <w:rPr/>
        <w:t>、政府补助</w:t>
      </w:r>
      <w:r>
        <w:rPr>
          <w:w w:val="100"/>
        </w:rPr>
        <w:t> </w:t>
      </w:r>
      <w:r>
        <w:rPr/>
        <w:t>类型</w:t>
      </w:r>
      <w:r>
        <w:rPr>
          <w:b w:val="0"/>
          <w:bCs w:val="0"/>
        </w:rPr>
      </w:r>
    </w:p>
    <w:p>
      <w:pPr>
        <w:pStyle w:val="BodyText"/>
        <w:spacing w:line="273" w:lineRule="auto" w:before="37"/>
        <w:ind w:right="1114"/>
        <w:jc w:val="left"/>
      </w:pPr>
      <w:r>
        <w:rPr>
          <w:spacing w:val="-2"/>
        </w:rPr>
        <w:t>政府补助，是本公司从政府无偿取得的货币性资产与非货币性资产。分为与资产相关的政府补助和与收</w:t>
      </w:r>
      <w:r>
        <w:rPr>
          <w:spacing w:val="-21"/>
        </w:rPr>
        <w:t> </w:t>
      </w:r>
      <w:r>
        <w:rPr>
          <w:spacing w:val="-21"/>
        </w:rPr>
      </w:r>
      <w:r>
        <w:rPr/>
        <w:t>益相关的政府补助。</w:t>
      </w:r>
      <w:r>
        <w:rPr>
          <w:w w:val="100"/>
        </w:rPr>
        <w:t> </w:t>
      </w:r>
      <w:r>
        <w:rPr>
          <w:spacing w:val="-2"/>
        </w:rPr>
        <w:t>与资产相关的政府补助，是指本公司取得的、用于购建或以其他方式形成长期资产的政府补助。与收益</w:t>
      </w:r>
      <w:r>
        <w:rPr>
          <w:spacing w:val="-21"/>
        </w:rPr>
        <w:t> </w:t>
      </w:r>
      <w:r>
        <w:rPr>
          <w:spacing w:val="-21"/>
        </w:rPr>
      </w:r>
      <w:r>
        <w:rPr/>
        <w:t>相关的政府补助，是指除与资产相关的政府补助之外的政府补助。</w:t>
      </w:r>
    </w:p>
    <w:p>
      <w:pPr>
        <w:spacing w:line="240" w:lineRule="auto" w:before="6"/>
        <w:rPr>
          <w:rFonts w:ascii="宋体" w:hAnsi="宋体" w:cs="宋体" w:eastAsia="宋体" w:hint="default"/>
          <w:sz w:val="24"/>
          <w:szCs w:val="24"/>
        </w:rPr>
      </w:pPr>
    </w:p>
    <w:p>
      <w:pPr>
        <w:pStyle w:val="BodyText"/>
        <w:spacing w:line="273" w:lineRule="auto"/>
        <w:ind w:right="1114"/>
        <w:jc w:val="left"/>
      </w:pPr>
      <w:r>
        <w:rPr/>
        <w:t>本公司将政府补助划分为与资产相关的具体标准为：</w:t>
      </w:r>
      <w:r>
        <w:rPr>
          <w:w w:val="100"/>
        </w:rPr>
        <w:t> </w:t>
      </w:r>
      <w:r>
        <w:rPr/>
        <w:t>本公司取得的、用于购建或以其他方式形成长期资产的政府补助。</w:t>
      </w:r>
      <w:r>
        <w:rPr>
          <w:w w:val="100"/>
        </w:rPr>
        <w:t> </w:t>
      </w:r>
      <w:r>
        <w:rPr/>
        <w:t>本公司将政府补助划分为与收益相关的具体标准为：</w:t>
      </w:r>
      <w:r>
        <w:rPr>
          <w:w w:val="100"/>
        </w:rPr>
        <w:t> </w:t>
      </w:r>
      <w:r>
        <w:rPr/>
        <w:t>本公司取得的除与资产相关的政府补助之外的政府补助。</w:t>
      </w:r>
      <w:r>
        <w:rPr>
          <w:w w:val="100"/>
        </w:rPr>
        <w:t> </w:t>
      </w:r>
      <w:r>
        <w:rPr>
          <w:spacing w:val="-2"/>
        </w:rPr>
        <w:t>对于政府文件未明确规定补助对象的，本公司将该政府补助划分为与资产相关或与收益相关的判断依据</w:t>
      </w:r>
      <w:r>
        <w:rPr>
          <w:spacing w:val="-21"/>
        </w:rPr>
        <w:t> </w:t>
      </w:r>
      <w:r>
        <w:rPr>
          <w:spacing w:val="-21"/>
        </w:rPr>
      </w:r>
      <w:r>
        <w:rPr/>
        <w:t>为：</w:t>
      </w:r>
    </w:p>
    <w:p>
      <w:pPr>
        <w:pStyle w:val="BodyText"/>
        <w:spacing w:line="240" w:lineRule="auto" w:before="7"/>
        <w:ind w:right="1114"/>
        <w:jc w:val="left"/>
      </w:pPr>
      <w:r>
        <w:rPr/>
        <w:t>将政府补助整体归类为与收益相关的政府补助。</w:t>
      </w:r>
    </w:p>
    <w:p>
      <w:pPr>
        <w:spacing w:line="240" w:lineRule="auto" w:before="9"/>
        <w:rPr>
          <w:rFonts w:ascii="宋体" w:hAnsi="宋体" w:cs="宋体" w:eastAsia="宋体" w:hint="default"/>
          <w:sz w:val="26"/>
          <w:szCs w:val="26"/>
        </w:rPr>
      </w:pPr>
    </w:p>
    <w:p>
      <w:pPr>
        <w:spacing w:line="273" w:lineRule="auto" w:before="0"/>
        <w:ind w:left="153" w:right="6793" w:firstLine="0"/>
        <w:jc w:val="left"/>
        <w:rPr>
          <w:rFonts w:ascii="宋体" w:hAnsi="宋体" w:cs="宋体" w:eastAsia="宋体" w:hint="default"/>
          <w:sz w:val="21"/>
          <w:szCs w:val="21"/>
        </w:rPr>
      </w:pPr>
      <w:r>
        <w:rPr>
          <w:rFonts w:ascii="宋体" w:hAnsi="宋体" w:cs="宋体" w:eastAsia="宋体" w:hint="default"/>
          <w:b/>
          <w:bCs/>
          <w:sz w:val="21"/>
          <w:szCs w:val="21"/>
        </w:rPr>
        <w:t>确认时点</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本公司政府补助于实际收到时确认。</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会计处理</w:t>
      </w:r>
      <w:r>
        <w:rPr>
          <w:rFonts w:ascii="宋体" w:hAnsi="宋体" w:cs="宋体" w:eastAsia="宋体" w:hint="default"/>
          <w:sz w:val="21"/>
          <w:szCs w:val="21"/>
        </w:rPr>
      </w:r>
    </w:p>
    <w:p>
      <w:pPr>
        <w:pStyle w:val="BodyText"/>
        <w:spacing w:line="273" w:lineRule="auto" w:before="8"/>
        <w:ind w:right="1114"/>
        <w:jc w:val="left"/>
      </w:pPr>
      <w:r>
        <w:rPr>
          <w:spacing w:val="-2"/>
        </w:rPr>
        <w:t>与资产相关的政府补助，确认为递延收益。在相关资产使用寿命内按照合理、系统的方法分期计入当期损</w:t>
      </w:r>
      <w:r>
        <w:rPr>
          <w:spacing w:val="-44"/>
        </w:rPr>
        <w:t> </w:t>
      </w:r>
      <w:r>
        <w:rPr>
          <w:spacing w:val="-44"/>
        </w:rPr>
      </w:r>
      <w:r>
        <w:rPr/>
        <w:t>益（与本公司日常活动相关的，计入其他收益；与本公司日常活动无关的，计入营业外收入）；</w:t>
      </w:r>
      <w:r>
        <w:rPr>
          <w:w w:val="100"/>
        </w:rPr>
        <w:t> </w:t>
      </w:r>
      <w:r>
        <w:rPr>
          <w:spacing w:val="-2"/>
        </w:rPr>
        <w:t>与收益相关的政府补助，用于补偿本公司以后期间的相关成本费用或损失的，确认为递延收益，并在确认</w:t>
      </w:r>
      <w:r>
        <w:rPr>
          <w:spacing w:val="-44"/>
        </w:rPr>
        <w:t> </w:t>
      </w:r>
      <w:r>
        <w:rPr>
          <w:spacing w:val="-44"/>
        </w:rPr>
      </w:r>
      <w:r>
        <w:rPr>
          <w:spacing w:val="-2"/>
        </w:rPr>
        <w:t>相关成本费用或损失的期间，计入当期损益（与本公司日常活动相关的，计入其他收益；与本公司日常活</w:t>
      </w:r>
      <w:r>
        <w:rPr>
          <w:spacing w:val="-47"/>
        </w:rPr>
        <w:t> </w:t>
      </w:r>
      <w:r>
        <w:rPr>
          <w:spacing w:val="-47"/>
        </w:rPr>
      </w:r>
      <w:r>
        <w:rPr>
          <w:spacing w:val="-2"/>
        </w:rPr>
        <w:t>动无关的，计入营业外收入）；用于补偿本公司已发生的相关成本费用或损失的，直接计入当期损益（与</w:t>
      </w:r>
      <w:r>
        <w:rPr>
          <w:spacing w:val="-43"/>
        </w:rPr>
        <w:t> </w:t>
      </w:r>
      <w:r>
        <w:rPr>
          <w:spacing w:val="-43"/>
        </w:rPr>
      </w:r>
      <w:r>
        <w:rPr/>
        <w:t>本公司日常活动相关的，计入其他收益；与本公司日常活动无关的，计入营业外收入）。</w:t>
      </w:r>
    </w:p>
    <w:p>
      <w:pPr>
        <w:spacing w:line="240" w:lineRule="auto" w:before="7"/>
        <w:rPr>
          <w:rFonts w:ascii="宋体" w:hAnsi="宋体" w:cs="宋体" w:eastAsia="宋体" w:hint="default"/>
          <w:sz w:val="23"/>
          <w:szCs w:val="23"/>
        </w:rPr>
      </w:pPr>
    </w:p>
    <w:p>
      <w:pPr>
        <w:pStyle w:val="Heading5"/>
        <w:spacing w:line="240" w:lineRule="auto" w:before="0"/>
        <w:ind w:right="1114"/>
        <w:jc w:val="left"/>
        <w:rPr>
          <w:b w:val="0"/>
          <w:bCs w:val="0"/>
        </w:rPr>
      </w:pP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14"/>
        <w:jc w:val="left"/>
      </w:pPr>
      <w:r>
        <w:rPr>
          <w:spacing w:val="-2"/>
        </w:rPr>
        <w:t>对于可抵扣暂时性差异确认递延所得税资产，以未来期间很可能取得的用来抵扣可抵扣暂时性差异的应</w:t>
      </w:r>
      <w:r>
        <w:rPr>
          <w:spacing w:val="-21"/>
        </w:rPr>
        <w:t> </w:t>
      </w:r>
      <w:r>
        <w:rPr>
          <w:spacing w:val="-21"/>
        </w:rPr>
      </w:r>
      <w:r>
        <w:rPr>
          <w:spacing w:val="-2"/>
        </w:rPr>
        <w:t>纳税所得额为限。对于能够结转以后年度的可抵扣亏损和税款抵减，以很可能获得用来抵扣可抵扣亏损</w:t>
      </w:r>
      <w:r>
        <w:rPr>
          <w:spacing w:val="-21"/>
        </w:rPr>
        <w:t> </w:t>
      </w:r>
      <w:r>
        <w:rPr>
          <w:spacing w:val="-21"/>
        </w:rPr>
      </w:r>
      <w:r>
        <w:rPr/>
        <w:t>和税款抵减的未来应纳税所得额为限，确认相应的递延所得税资产。</w:t>
      </w:r>
      <w:r>
        <w:rPr>
          <w:w w:val="100"/>
        </w:rPr>
        <w:t> </w:t>
      </w: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不确认递延所得税资产或递延所得税负债的特殊情况包括：商誉的初始确认；除企业合并以外的发生时</w:t>
      </w:r>
      <w:r>
        <w:rPr>
          <w:spacing w:val="-21"/>
        </w:rPr>
        <w:t> </w:t>
      </w:r>
      <w:r>
        <w:rPr>
          <w:spacing w:val="-21"/>
        </w:rPr>
      </w:r>
      <w:r>
        <w:rPr/>
        <w:t>既不影响会计利润也不影响应纳税所得额（或可抵扣亏损）的其他交易或事项。</w:t>
      </w:r>
      <w:r>
        <w:rPr>
          <w:w w:val="100"/>
        </w:rPr>
        <w:t> </w:t>
      </w:r>
      <w:r>
        <w:rPr>
          <w:spacing w:val="-2"/>
        </w:rPr>
        <w:t>当拥有以净额结算的法定权利，且意图以净额结算或取得资产、清偿负债同时进行时，当期所得税资产</w:t>
      </w:r>
      <w:r>
        <w:rPr>
          <w:spacing w:val="-21"/>
        </w:rPr>
        <w:t> </w:t>
      </w:r>
      <w:r>
        <w:rPr>
          <w:spacing w:val="-21"/>
        </w:rPr>
      </w:r>
      <w:r>
        <w:rPr/>
        <w:t>及当期所得税负债以抵销后的净额列报。</w:t>
      </w:r>
      <w:r>
        <w:rPr>
          <w:w w:val="100"/>
        </w:rPr>
        <w:t> </w:t>
      </w:r>
      <w:r>
        <w:rPr>
          <w:spacing w:val="-2"/>
        </w:rPr>
        <w:t>当拥有以净额结算当期所得税资产及当期所得税负债的法定权利，且递延所得税资产及递延所得税负债</w:t>
      </w:r>
      <w:r>
        <w:rPr>
          <w:spacing w:val="-21"/>
        </w:rPr>
        <w:t> </w:t>
      </w:r>
      <w:r>
        <w:rPr>
          <w:spacing w:val="-21"/>
        </w:rPr>
      </w:r>
      <w:r>
        <w:rPr>
          <w:spacing w:val="-2"/>
        </w:rPr>
        <w:t>是与同一税收征管部门对同一纳税主体征收的所得税相关或者是对不同的纳税主体相关，但在未来每一</w:t>
      </w:r>
      <w:r>
        <w:rPr>
          <w:spacing w:val="-21"/>
        </w:rPr>
        <w:t> </w:t>
      </w:r>
      <w:r>
        <w:rPr>
          <w:spacing w:val="-21"/>
        </w:rPr>
      </w:r>
      <w:r>
        <w:rPr>
          <w:spacing w:val="-2"/>
        </w:rPr>
        <w:t>具有重要性的递延所得税资产及负债转回的期间内，涉及的纳税主体意图以净额结算当期所得税资产和</w:t>
      </w:r>
      <w:r>
        <w:rPr>
          <w:spacing w:val="-21"/>
        </w:rPr>
        <w:t> </w:t>
      </w:r>
      <w:r>
        <w:rPr>
          <w:spacing w:val="-21"/>
        </w:rPr>
      </w:r>
      <w:r>
        <w:rPr/>
        <w:t>负债或是同时取得资产、清偿负债时，递延所得税资产及递延所得税负债以抵销后的净额列报。</w:t>
      </w:r>
    </w:p>
    <w:p>
      <w:pPr>
        <w:spacing w:after="0" w:line="273" w:lineRule="auto"/>
        <w:jc w:val="left"/>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Heading5"/>
        <w:spacing w:line="240" w:lineRule="auto"/>
        <w:ind w:right="1114"/>
        <w:jc w:val="left"/>
        <w:rPr>
          <w:b w:val="0"/>
          <w:bCs w:val="0"/>
        </w:rPr>
      </w:pPr>
      <w:r>
        <w:rPr>
          <w:rFonts w:ascii="Times New Roman" w:hAnsi="Times New Roman" w:cs="Times New Roman" w:eastAsia="Times New Roman" w:hint="default"/>
        </w:rPr>
        <w:t>26</w:t>
      </w:r>
      <w:r>
        <w:rPr/>
        <w:t>、</w:t>
      </w:r>
      <w:r>
        <w:rPr>
          <w:spacing w:val="-2"/>
        </w:rPr>
        <w:t> </w:t>
      </w:r>
      <w:r>
        <w:rPr/>
        <w:t>附回购条件的资产转让</w:t>
      </w:r>
      <w:r>
        <w:rPr>
          <w:b w:val="0"/>
          <w:bCs w:val="0"/>
        </w:rPr>
      </w:r>
    </w:p>
    <w:p>
      <w:pPr>
        <w:spacing w:line="240" w:lineRule="auto" w:before="10"/>
        <w:rPr>
          <w:rFonts w:ascii="宋体" w:hAnsi="宋体" w:cs="宋体" w:eastAsia="宋体" w:hint="default"/>
          <w:b/>
          <w:bCs/>
          <w:sz w:val="24"/>
          <w:szCs w:val="24"/>
        </w:rPr>
      </w:pPr>
    </w:p>
    <w:p>
      <w:pPr>
        <w:pStyle w:val="BodyText"/>
        <w:spacing w:line="266" w:lineRule="auto"/>
        <w:ind w:right="111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）买入返售金融资产</w:t>
      </w:r>
      <w:r>
        <w:rPr>
          <w:rFonts w:ascii="宋体" w:hAnsi="宋体" w:cs="宋体" w:eastAsia="宋体" w:hint="default"/>
          <w:b/>
          <w:bCs/>
          <w:w w:val="100"/>
        </w:rPr>
        <w:t> </w:t>
      </w:r>
      <w:r>
        <w:rPr>
          <w:spacing w:val="-2"/>
        </w:rPr>
        <w:t>根据协议承诺将于未来某确定日期返售的金融资产不在资产负债表内予以确认。买入该等资产所支付的</w:t>
      </w:r>
      <w:r>
        <w:rPr>
          <w:spacing w:val="-21"/>
        </w:rPr>
        <w:t> </w:t>
      </w:r>
      <w:r>
        <w:rPr>
          <w:spacing w:val="-21"/>
        </w:rPr>
      </w:r>
      <w:r>
        <w:rPr>
          <w:spacing w:val="-2"/>
        </w:rPr>
        <w:t>成本，在资产负债表中作为买入返售金融资产列示。买入价与返售价之间的差额在协议期内按实际利率</w:t>
      </w:r>
      <w:r>
        <w:rPr>
          <w:spacing w:val="-21"/>
        </w:rPr>
        <w:t> </w:t>
      </w:r>
      <w:r>
        <w:rPr>
          <w:spacing w:val="-21"/>
        </w:rPr>
      </w:r>
      <w:r>
        <w:rPr/>
        <w:t>法确认，计入利息收入。</w:t>
      </w:r>
    </w:p>
    <w:p>
      <w:pPr>
        <w:spacing w:line="240" w:lineRule="auto" w:before="12"/>
        <w:rPr>
          <w:rFonts w:ascii="宋体" w:hAnsi="宋体" w:cs="宋体" w:eastAsia="宋体" w:hint="default"/>
          <w:sz w:val="24"/>
          <w:szCs w:val="24"/>
        </w:rPr>
      </w:pPr>
    </w:p>
    <w:p>
      <w:pPr>
        <w:pStyle w:val="BodyText"/>
        <w:spacing w:line="266" w:lineRule="auto"/>
        <w:ind w:right="111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）卖出回购金融资产款</w:t>
      </w:r>
      <w:r>
        <w:rPr>
          <w:rFonts w:ascii="宋体" w:hAnsi="宋体" w:cs="宋体" w:eastAsia="宋体" w:hint="default"/>
          <w:b/>
          <w:bCs/>
          <w:w w:val="100"/>
        </w:rPr>
        <w:t> </w:t>
      </w:r>
      <w:r>
        <w:rPr>
          <w:spacing w:val="-2"/>
        </w:rPr>
        <w:t>根据协议承诺将于未来某确定日期回购的已售出的金融资产不在资产负债表内予以终止确认。出售该等</w:t>
      </w:r>
      <w:r>
        <w:rPr>
          <w:spacing w:val="-21"/>
        </w:rPr>
        <w:t> </w:t>
      </w:r>
      <w:r>
        <w:rPr>
          <w:spacing w:val="-21"/>
        </w:rPr>
      </w:r>
      <w:r>
        <w:rPr>
          <w:spacing w:val="-2"/>
        </w:rPr>
        <w:t>资产所得的款项，在资产负债表中作为卖出回购金融资产款列示。售价与回购价之间的差额在协议期内</w:t>
      </w:r>
      <w:r>
        <w:rPr>
          <w:spacing w:val="-21"/>
        </w:rPr>
        <w:t> </w:t>
      </w:r>
      <w:r>
        <w:rPr>
          <w:spacing w:val="-21"/>
        </w:rPr>
      </w:r>
      <w:r>
        <w:rPr/>
        <w:t>按实际利率法确认，计入利息支出。</w:t>
      </w:r>
    </w:p>
    <w:p>
      <w:pPr>
        <w:spacing w:line="240" w:lineRule="auto" w:before="1"/>
        <w:rPr>
          <w:rFonts w:ascii="宋体" w:hAnsi="宋体" w:cs="宋体" w:eastAsia="宋体" w:hint="default"/>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32"/>
          <w:szCs w:val="32"/>
        </w:rPr>
      </w:pPr>
    </w:p>
    <w:p>
      <w:pPr>
        <w:pStyle w:val="Heading5"/>
        <w:spacing w:line="240" w:lineRule="auto" w:before="0"/>
        <w:ind w:right="1114"/>
        <w:jc w:val="left"/>
        <w:rPr>
          <w:b w:val="0"/>
          <w:bCs w:val="0"/>
        </w:rPr>
      </w:pPr>
      <w:r>
        <w:rPr/>
        <w:t>经营租赁会计处理</w:t>
      </w:r>
      <w:r>
        <w:rPr>
          <w:b w:val="0"/>
          <w:bCs w:val="0"/>
        </w:rPr>
      </w:r>
    </w:p>
    <w:p>
      <w:pPr>
        <w:pStyle w:val="BodyText"/>
        <w:spacing w:line="273" w:lineRule="auto" w:before="20"/>
        <w:ind w:right="1114"/>
        <w:jc w:val="left"/>
      </w:pPr>
      <w:r>
        <w:rPr>
          <w:spacing w:val="-2"/>
        </w:rPr>
        <w:t>（</w:t>
      </w:r>
      <w:r>
        <w:rPr>
          <w:rFonts w:ascii="宋体" w:hAnsi="宋体" w:cs="宋体" w:eastAsia="宋体" w:hint="default"/>
          <w:spacing w:val="-2"/>
        </w:rPr>
        <w:t>1</w:t>
      </w:r>
      <w:r>
        <w:rPr>
          <w:spacing w:val="-2"/>
        </w:rPr>
        <w:t>）公司租入资产所支付的租赁费，在不扣除免租期的整个租赁期内，按直线法进行分摊，计入当期费</w:t>
      </w:r>
      <w:r>
        <w:rPr>
          <w:spacing w:val="-22"/>
        </w:rPr>
        <w:t> </w:t>
      </w:r>
      <w:r>
        <w:rPr>
          <w:spacing w:val="-22"/>
        </w:rPr>
      </w:r>
      <w:r>
        <w:rPr/>
        <w:t>用。公司支付的与租赁交易相关的初始直接费用，计入当期费用。</w:t>
      </w:r>
      <w:r>
        <w:rPr>
          <w:w w:val="100"/>
        </w:rPr>
        <w:t> </w:t>
      </w:r>
      <w:r>
        <w:rPr/>
        <w:t>资产出租方承担了应由公司承担的与租赁相关的费用时，公司将该部分费用从租金总额中扣除，按扣除</w:t>
      </w:r>
      <w:r>
        <w:rPr>
          <w:w w:val="100"/>
        </w:rPr>
        <w:t> </w:t>
      </w:r>
      <w:r>
        <w:rPr/>
        <w:t>后的租金费用在租赁期内分摊，计入当期费用。</w:t>
      </w:r>
    </w:p>
    <w:p>
      <w:pPr>
        <w:pStyle w:val="BodyText"/>
        <w:spacing w:line="273" w:lineRule="auto" w:before="7"/>
        <w:ind w:right="1114"/>
        <w:jc w:val="left"/>
      </w:pPr>
      <w:r>
        <w:rPr>
          <w:spacing w:val="-2"/>
        </w:rPr>
        <w:t>（</w:t>
      </w:r>
      <w:r>
        <w:rPr>
          <w:rFonts w:ascii="宋体" w:hAnsi="宋体" w:cs="宋体" w:eastAsia="宋体" w:hint="default"/>
          <w:spacing w:val="-2"/>
        </w:rPr>
        <w:t>2</w:t>
      </w:r>
      <w:r>
        <w:rPr>
          <w:spacing w:val="-2"/>
        </w:rPr>
        <w:t>）公司出租资产所收取的租赁费，在不扣除免租期的整个租赁期内，按直线法进行分摊，确认为租赁</w:t>
      </w:r>
      <w:r>
        <w:rPr>
          <w:spacing w:val="-22"/>
        </w:rPr>
        <w:t> </w:t>
      </w:r>
      <w:r>
        <w:rPr>
          <w:spacing w:val="-22"/>
        </w:rPr>
      </w:r>
      <w:r>
        <w:rPr/>
        <w:t>相关收入。公司支付的与租赁交易相关的初始直接费用，计入当期费用；如金额较大的，则予以资本</w:t>
      </w:r>
      <w:r>
        <w:rPr>
          <w:w w:val="100"/>
        </w:rPr>
        <w:t> </w:t>
      </w:r>
      <w:r>
        <w:rPr/>
        <w:t>化，在整个租赁期间内按照与租赁相关收入确认相同的基础分期计入当期收益。</w:t>
      </w:r>
      <w:r>
        <w:rPr>
          <w:w w:val="100"/>
        </w:rPr>
        <w:t> </w:t>
      </w:r>
      <w:r>
        <w:rPr/>
        <w:t>公司承担了应由承租方承担的与租赁相关的费用时，公司将该部分费用从租金收入总额中扣除，按扣除</w:t>
      </w:r>
      <w:r>
        <w:rPr>
          <w:w w:val="100"/>
        </w:rPr>
        <w:t> </w:t>
      </w:r>
      <w:r>
        <w:rPr/>
        <w:t>后的租金费用在租赁期内分配。</w:t>
      </w:r>
    </w:p>
    <w:p>
      <w:pPr>
        <w:spacing w:line="240" w:lineRule="auto" w:before="7"/>
        <w:rPr>
          <w:rFonts w:ascii="宋体" w:hAnsi="宋体" w:cs="宋体" w:eastAsia="宋体" w:hint="default"/>
          <w:sz w:val="23"/>
          <w:szCs w:val="23"/>
        </w:rPr>
      </w:pPr>
    </w:p>
    <w:p>
      <w:pPr>
        <w:pStyle w:val="Heading5"/>
        <w:spacing w:line="240" w:lineRule="auto" w:before="0"/>
        <w:ind w:right="1114"/>
        <w:jc w:val="left"/>
        <w:rPr>
          <w:b w:val="0"/>
          <w:bCs w:val="0"/>
        </w:rPr>
      </w:pPr>
      <w:r>
        <w:rPr>
          <w:rFonts w:ascii="Times New Roman" w:hAnsi="Times New Roman" w:cs="Times New Roman" w:eastAsia="Times New Roman" w:hint="default"/>
        </w:rPr>
        <w:t>28</w:t>
      </w:r>
      <w:r>
        <w:rPr/>
        <w:t>、</w:t>
      </w:r>
      <w:r>
        <w:rPr>
          <w:spacing w:val="-1"/>
        </w:rPr>
        <w:t> </w:t>
      </w:r>
      <w:r>
        <w:rPr/>
        <w:t>融资融券业务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14"/>
        <w:jc w:val="left"/>
      </w:pPr>
      <w:r>
        <w:rPr/>
        <w:t>融资融券业务，是指本公司向客户出借资金供其买入证券或者出借证券供其卖出，并由客户交存相应担</w:t>
      </w:r>
      <w:r>
        <w:rPr>
          <w:w w:val="100"/>
        </w:rPr>
        <w:t> </w:t>
      </w:r>
      <w:r>
        <w:rPr/>
        <w:t>保物的经营活动。融资融券业务，分为融资业务和融券业务两类。</w:t>
      </w:r>
      <w:r>
        <w:rPr>
          <w:w w:val="100"/>
        </w:rPr>
        <w:t> </w:t>
      </w:r>
      <w:r>
        <w:rPr/>
        <w:t>本公司对融出的资金，确认应收债权，并确认相应利息收入；对融出的证券，不终止确认该证券，仍按</w:t>
      </w:r>
      <w:r>
        <w:rPr>
          <w:w w:val="100"/>
        </w:rPr>
        <w:t> </w:t>
      </w:r>
      <w:r>
        <w:rPr/>
        <w:t>原金融资产类别进行会计处理，并确认相应利息收入。</w:t>
      </w:r>
      <w:r>
        <w:rPr>
          <w:w w:val="100"/>
        </w:rPr>
        <w:t> </w:t>
      </w:r>
      <w:r>
        <w:rPr/>
        <w:t>对客户融资融券并代客户买卖证券时，作为证券经纪业务进行会计处理。</w:t>
      </w:r>
      <w:r>
        <w:rPr>
          <w:w w:val="100"/>
        </w:rPr>
        <w:t> </w:t>
      </w:r>
      <w:r>
        <w:rPr>
          <w:spacing w:val="-2"/>
        </w:rPr>
        <w:t>公司对融资类业务计提坏账准备，包括专项坏账准备和一般坏账准备，对于有充分客观证据、可识别具体</w:t>
      </w:r>
      <w:r>
        <w:rPr>
          <w:spacing w:val="-43"/>
        </w:rPr>
        <w:t> </w:t>
      </w:r>
      <w:r>
        <w:rPr>
          <w:spacing w:val="-43"/>
        </w:rPr>
      </w:r>
      <w:r>
        <w:rPr>
          <w:spacing w:val="-2"/>
        </w:rPr>
        <w:t>损失的融资类项目，公司根据客户状况和可能损失金额，分析交易对手的信用状况、抵押证券、担保比例</w:t>
      </w:r>
      <w:r>
        <w:rPr>
          <w:spacing w:val="-47"/>
        </w:rPr>
        <w:t> </w:t>
      </w:r>
      <w:r>
        <w:rPr>
          <w:spacing w:val="-47"/>
        </w:rPr>
      </w:r>
      <w:r>
        <w:rPr/>
        <w:t>及偿债能力等，进行单项减值测试，以此计提专项坏账准备。</w:t>
      </w:r>
      <w:r>
        <w:rPr>
          <w:w w:val="100"/>
        </w:rPr>
        <w:t> </w:t>
      </w:r>
      <w:r>
        <w:rPr>
          <w:spacing w:val="-2"/>
        </w:rPr>
        <w:t>对未计提专项减值准备的融资类业务，根据信用风险分类，采用余额百分比法计提坏账准备，计提比例如</w:t>
      </w:r>
      <w:r>
        <w:rPr>
          <w:spacing w:val="-43"/>
        </w:rPr>
        <w:t> </w:t>
      </w:r>
      <w:r>
        <w:rPr>
          <w:spacing w:val="-43"/>
        </w:rPr>
      </w:r>
      <w:r>
        <w:rPr/>
        <w:t>下：</w:t>
      </w:r>
    </w:p>
    <w:p>
      <w:pPr>
        <w:spacing w:line="240" w:lineRule="auto" w:before="0"/>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4801"/>
        <w:gridCol w:w="4830"/>
      </w:tblGrid>
      <w:tr>
        <w:trPr>
          <w:trHeight w:val="338" w:hRule="exact"/>
        </w:trPr>
        <w:tc>
          <w:tcPr>
            <w:tcW w:w="48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48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1" w:hRule="exact"/>
        </w:trPr>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0.2%</w:t>
            </w:r>
          </w:p>
        </w:tc>
      </w:tr>
      <w:tr>
        <w:trPr>
          <w:trHeight w:val="343" w:hRule="exact"/>
        </w:trPr>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买入返售金融资产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约定购回</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0.3%</w:t>
            </w:r>
          </w:p>
        </w:tc>
      </w:tr>
      <w:tr>
        <w:trPr>
          <w:trHeight w:val="341" w:hRule="exact"/>
        </w:trPr>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买入返售金融资产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股票质押式回购</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Heading5"/>
        <w:spacing w:line="240" w:lineRule="auto"/>
        <w:ind w:right="1114"/>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4503"/>
        <w:gridCol w:w="1877"/>
        <w:gridCol w:w="3190"/>
      </w:tblGrid>
      <w:tr>
        <w:trPr>
          <w:trHeight w:val="401"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6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76"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 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 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 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 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公司董事会审议通过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200"/>
              <w:jc w:val="both"/>
              <w:rPr>
                <w:rFonts w:ascii="Times New Roman" w:hAnsi="Times New Roman" w:cs="Times New Roman" w:eastAsia="Times New Roman" w:hint="default"/>
                <w:sz w:val="18"/>
                <w:szCs w:val="18"/>
              </w:rPr>
            </w:pPr>
            <w:r>
              <w:rPr>
                <w:rFonts w:ascii="宋体" w:hAnsi="宋体" w:cs="宋体" w:eastAsia="宋体" w:hint="default"/>
                <w:sz w:val="18"/>
                <w:szCs w:val="18"/>
              </w:rPr>
              <w:t>应收利息重分类至其他应收款，调增</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259,791,948.93</w:t>
            </w:r>
          </w:p>
          <w:p>
            <w:pPr>
              <w:pStyle w:val="TableParagraph"/>
              <w:spacing w:line="300" w:lineRule="auto" w:before="13"/>
              <w:ind w:left="23" w:right="139"/>
              <w:jc w:val="both"/>
              <w:rPr>
                <w:rFonts w:ascii="宋体" w:hAnsi="宋体" w:cs="宋体" w:eastAsia="宋体" w:hint="default"/>
                <w:sz w:val="18"/>
                <w:szCs w:val="18"/>
              </w:rPr>
            </w:pPr>
            <w:r>
              <w:rPr>
                <w:rFonts w:ascii="宋体" w:hAnsi="宋体" w:cs="宋体" w:eastAsia="宋体" w:hint="default"/>
                <w:sz w:val="18"/>
                <w:szCs w:val="18"/>
              </w:rPr>
              <w:t>元，上期金额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184,989,231.61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元；应付 利息重分类至其他应付款，调增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 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54,151,525.51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78,593,355.18 </w:t>
            </w:r>
            <w:r>
              <w:rPr>
                <w:rFonts w:ascii="宋体" w:hAnsi="宋体" w:cs="宋体" w:eastAsia="宋体" w:hint="default"/>
                <w:sz w:val="18"/>
                <w:szCs w:val="18"/>
              </w:rPr>
              <w:t>元；</w:t>
            </w:r>
          </w:p>
        </w:tc>
      </w:tr>
      <w:tr>
        <w:trPr>
          <w:trHeight w:val="1337"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中的研发费用重分类至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单独列示；在利润表 中财务费用项下新增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 目。比较数据相应调整。</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公司董事会审议通过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250,328,059.28</w:t>
            </w:r>
          </w:p>
          <w:p>
            <w:pPr>
              <w:pStyle w:val="TableParagraph"/>
              <w:spacing w:line="300" w:lineRule="auto" w:before="63"/>
              <w:ind w:left="23" w:right="144"/>
              <w:jc w:val="left"/>
              <w:rPr>
                <w:rFonts w:ascii="宋体" w:hAnsi="宋体" w:cs="宋体" w:eastAsia="宋体" w:hint="default"/>
                <w:sz w:val="18"/>
                <w:szCs w:val="18"/>
              </w:rPr>
            </w:pPr>
            <w:r>
              <w:rPr>
                <w:rFonts w:ascii="宋体" w:hAnsi="宋体" w:cs="宋体" w:eastAsia="宋体" w:hint="default"/>
                <w:sz w:val="18"/>
                <w:szCs w:val="18"/>
              </w:rPr>
              <w:t>元，上期金额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182,042,674.11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元，重分 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339"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5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）企业作为个人所得税的扣缴义务人，根据《中华人 民共和国个人所得税法》收到的扣缴税款手续费，应作 为其他与日常活动相关的项目在利润表的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 目中填列。比较数据相应调整。</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公司董事会审议通过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36"/>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上期金额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5,608,864.45 </w:t>
            </w:r>
            <w:r>
              <w:rPr>
                <w:rFonts w:ascii="宋体" w:hAnsi="宋体" w:cs="宋体" w:eastAsia="宋体" w:hint="default"/>
                <w:sz w:val="18"/>
                <w:szCs w:val="18"/>
              </w:rPr>
              <w:t>元，本期金额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1,353,892.49</w:t>
            </w:r>
            <w:r>
              <w:rPr>
                <w:rFonts w:ascii="宋体" w:hAnsi="宋体" w:cs="宋体" w:eastAsia="宋体" w:hint="default"/>
                <w:sz w:val="18"/>
                <w:szCs w:val="18"/>
              </w:rPr>
              <w:t>，重分类至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14"/>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668"/>
        <w:gridCol w:w="5531"/>
        <w:gridCol w:w="2372"/>
      </w:tblGrid>
      <w:tr>
        <w:trPr>
          <w:trHeight w:val="401"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6"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76"/>
              <w:jc w:val="left"/>
              <w:rPr>
                <w:rFonts w:ascii="宋体" w:hAnsi="宋体" w:cs="宋体" w:eastAsia="宋体" w:hint="default"/>
                <w:sz w:val="18"/>
                <w:szCs w:val="18"/>
              </w:rPr>
            </w:pPr>
            <w:r>
              <w:rPr>
                <w:rFonts w:ascii="宋体" w:hAnsi="宋体" w:cs="宋体" w:eastAsia="宋体" w:hint="default"/>
                <w:sz w:val="18"/>
                <w:szCs w:val="18"/>
              </w:rPr>
              <w:t>按应税收入为基础计算销项税额，在扣除当期允许抵扣的进项税额 后，差额部分为应交增值税</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81"/>
        <w:gridCol w:w="4787"/>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东方财富证券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4781"/>
        <w:gridCol w:w="4787"/>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西藏东方财富投资管理有限公司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东财基金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执行香港地区税收政策适用的税率</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东财国际证券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执行香港地区税收政策适用的税率</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东方财富金融有限公司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执行开曼群岛税收政策适用的税率</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东方财富国际期货有限公司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执行香港地区税收政策适用的税率</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合并范围其他子（孙）公司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1114"/>
        <w:jc w:val="left"/>
      </w:pPr>
      <w:r>
        <w:rPr/>
        <w:t>企业所得税优惠情况：</w:t>
      </w:r>
    </w:p>
    <w:p>
      <w:pPr>
        <w:pStyle w:val="BodyText"/>
        <w:spacing w:line="256" w:lineRule="auto" w:before="37"/>
        <w:ind w:right="111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）东方财富</w:t>
      </w:r>
      <w:r>
        <w:rPr>
          <w:rFonts w:ascii="宋体" w:hAnsi="宋体" w:cs="宋体" w:eastAsia="宋体" w:hint="default"/>
          <w:b/>
          <w:bCs/>
          <w:w w:val="100"/>
        </w:rPr>
        <w:t> </w:t>
      </w: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日取得由上海市科学技术委员会、上海市财政局、上海市国家税务局以及上海市地</w:t>
      </w:r>
      <w:r>
        <w:rPr>
          <w:w w:val="100"/>
        </w:rPr>
        <w:t> </w:t>
      </w:r>
      <w:r>
        <w:rPr>
          <w:spacing w:val="-2"/>
        </w:rPr>
        <w:t>方税务局联合颁发的高新技术企业证书（证书编号</w:t>
      </w:r>
      <w:r>
        <w:rPr>
          <w:rFonts w:ascii="Times New Roman" w:hAnsi="Times New Roman" w:cs="Times New Roman" w:eastAsia="Times New Roman" w:hint="default"/>
          <w:spacing w:val="-2"/>
        </w:rPr>
        <w:t>GR201631000670</w:t>
      </w:r>
      <w:r>
        <w:rPr>
          <w:spacing w:val="-2"/>
        </w:rPr>
        <w:t>），有效期三年。公司可享受自</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t>年度至</w:t>
      </w:r>
      <w:r>
        <w:rPr>
          <w:rFonts w:ascii="Times New Roman" w:hAnsi="Times New Roman" w:cs="Times New Roman" w:eastAsia="Times New Roman" w:hint="default"/>
        </w:rPr>
        <w:t>2018</w:t>
      </w:r>
      <w:r>
        <w:rPr/>
        <w:t>年度三年</w:t>
      </w:r>
      <w:r>
        <w:rPr>
          <w:rFonts w:ascii="Times New Roman" w:hAnsi="Times New Roman" w:cs="Times New Roman" w:eastAsia="Times New Roman" w:hint="default"/>
        </w:rPr>
        <w:t>15%</w:t>
      </w:r>
      <w:r>
        <w:rPr/>
        <w:t>的企业所得税税收优惠。本年适用企业所得税税率为</w:t>
      </w:r>
      <w:r>
        <w:rPr>
          <w:rFonts w:ascii="Times New Roman" w:hAnsi="Times New Roman" w:cs="Times New Roman" w:eastAsia="Times New Roman" w:hint="default"/>
        </w:rPr>
        <w:t>15%</w:t>
      </w:r>
      <w:r>
        <w:rPr/>
        <w:t>。</w:t>
      </w:r>
    </w:p>
    <w:p>
      <w:pPr>
        <w:spacing w:line="240" w:lineRule="auto" w:before="3"/>
        <w:rPr>
          <w:rFonts w:ascii="宋体" w:hAnsi="宋体" w:cs="宋体" w:eastAsia="宋体" w:hint="default"/>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2</w:t>
      </w:r>
      <w:r>
        <w:rPr/>
        <w:t>）东财研究所</w:t>
      </w:r>
      <w:r>
        <w:rPr>
          <w:b w:val="0"/>
          <w:bCs w:val="0"/>
        </w:rPr>
      </w:r>
    </w:p>
    <w:p>
      <w:pPr>
        <w:pStyle w:val="BodyText"/>
        <w:spacing w:line="256" w:lineRule="auto" w:before="21"/>
        <w:ind w:right="1114"/>
        <w:jc w:val="left"/>
      </w:pPr>
      <w:r>
        <w:rPr/>
        <w:t>根据上海市高新技术企业认定办公室</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rFonts w:ascii="Times New Roman" w:hAnsi="Times New Roman" w:cs="Times New Roman" w:eastAsia="Times New Roman" w:hint="default"/>
          <w:spacing w:val="27"/>
        </w:rPr>
        <w:t> </w:t>
      </w:r>
      <w:r>
        <w:rPr/>
        <w:t>日发布的《关于公示</w:t>
      </w:r>
      <w:r>
        <w:rPr>
          <w:rFonts w:ascii="Times New Roman" w:hAnsi="Times New Roman" w:cs="Times New Roman" w:eastAsia="Times New Roman" w:hint="default"/>
        </w:rPr>
        <w:t>2018</w:t>
      </w:r>
      <w:r>
        <w:rPr/>
        <w:t>年度上海市第一批拟认定高</w:t>
      </w:r>
      <w:r>
        <w:rPr>
          <w:w w:val="100"/>
        </w:rPr>
        <w:t> </w:t>
      </w:r>
      <w:r>
        <w:rPr/>
        <w:t>新技术企业名单的通知》，东财研究所在</w:t>
      </w:r>
      <w:r>
        <w:rPr>
          <w:rFonts w:ascii="Times New Roman" w:hAnsi="Times New Roman" w:cs="Times New Roman" w:eastAsia="Times New Roman" w:hint="default"/>
        </w:rPr>
        <w:t>2018</w:t>
      </w:r>
      <w:r>
        <w:rPr/>
        <w:t>年度上海市第一批拟认定高新技术企业名单中。若东财研</w:t>
      </w:r>
      <w:r>
        <w:rPr>
          <w:w w:val="100"/>
        </w:rPr>
        <w:t> </w:t>
      </w:r>
      <w:r>
        <w:rPr>
          <w:spacing w:val="-2"/>
        </w:rPr>
        <w:t>究所最终被认定为高新技术企业，将享受自</w:t>
      </w:r>
      <w:r>
        <w:rPr>
          <w:rFonts w:ascii="Times New Roman" w:hAnsi="Times New Roman" w:cs="Times New Roman" w:eastAsia="Times New Roman" w:hint="default"/>
          <w:spacing w:val="-2"/>
        </w:rPr>
        <w:t>2018</w:t>
      </w:r>
      <w:r>
        <w:rPr>
          <w:spacing w:val="-2"/>
        </w:rPr>
        <w:t>年度至</w:t>
      </w:r>
      <w:r>
        <w:rPr>
          <w:rFonts w:ascii="Times New Roman" w:hAnsi="Times New Roman" w:cs="Times New Roman" w:eastAsia="Times New Roman" w:hint="default"/>
          <w:spacing w:val="-2"/>
        </w:rPr>
        <w:t>2020</w:t>
      </w:r>
      <w:r>
        <w:rPr>
          <w:spacing w:val="-2"/>
        </w:rPr>
        <w:t>年度三年</w:t>
      </w:r>
      <w:r>
        <w:rPr>
          <w:rFonts w:ascii="Times New Roman" w:hAnsi="Times New Roman" w:cs="Times New Roman" w:eastAsia="Times New Roman" w:hint="default"/>
          <w:spacing w:val="-2"/>
        </w:rPr>
        <w:t>15%</w:t>
      </w:r>
      <w:r>
        <w:rPr>
          <w:spacing w:val="-2"/>
        </w:rPr>
        <w:t>的企业所得税税收优惠。本年适</w:t>
      </w:r>
      <w:r>
        <w:rPr>
          <w:spacing w:val="-13"/>
        </w:rPr>
        <w:t> </w:t>
      </w:r>
      <w:r>
        <w:rPr>
          <w:spacing w:val="-13"/>
        </w:rPr>
      </w:r>
      <w:r>
        <w:rPr/>
        <w:t>用企业所得税税率为</w:t>
      </w:r>
      <w:r>
        <w:rPr>
          <w:rFonts w:ascii="Times New Roman" w:hAnsi="Times New Roman" w:cs="Times New Roman" w:eastAsia="Times New Roman" w:hint="default"/>
        </w:rPr>
        <w:t>15%</w:t>
      </w:r>
      <w:r>
        <w:rPr/>
        <w:t>。</w:t>
      </w:r>
    </w:p>
    <w:p>
      <w:pPr>
        <w:spacing w:line="240" w:lineRule="auto" w:before="3"/>
        <w:rPr>
          <w:rFonts w:ascii="宋体" w:hAnsi="宋体" w:cs="宋体" w:eastAsia="宋体" w:hint="default"/>
          <w:sz w:val="24"/>
          <w:szCs w:val="24"/>
        </w:rPr>
      </w:pPr>
    </w:p>
    <w:p>
      <w:pPr>
        <w:pStyle w:val="BodyText"/>
        <w:spacing w:line="256" w:lineRule="auto"/>
        <w:ind w:right="1114"/>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）东方财富证券、西藏东方财富投资管理有限公司、东财基金</w:t>
      </w:r>
      <w:r>
        <w:rPr>
          <w:rFonts w:ascii="宋体" w:hAnsi="宋体" w:cs="宋体" w:eastAsia="宋体" w:hint="default"/>
          <w:b/>
          <w:bCs/>
          <w:w w:val="100"/>
        </w:rPr>
        <w:t> </w:t>
      </w:r>
      <w:r>
        <w:rPr>
          <w:spacing w:val="-2"/>
        </w:rPr>
        <w:t>根据藏政发</w:t>
      </w:r>
      <w:r>
        <w:rPr>
          <w:rFonts w:ascii="Times New Roman" w:hAnsi="Times New Roman" w:cs="Times New Roman" w:eastAsia="Times New Roman" w:hint="default"/>
          <w:spacing w:val="-2"/>
        </w:rPr>
        <w:t>[2014]51</w:t>
      </w:r>
      <w:r>
        <w:rPr>
          <w:spacing w:val="-2"/>
        </w:rPr>
        <w:t>号《西藏自治区企业所得税政策实施办法》，西藏自治区的企业统一执行西部大开发</w:t>
      </w:r>
      <w:r>
        <w:rPr>
          <w:spacing w:val="-14"/>
        </w:rPr>
        <w:t> </w:t>
      </w:r>
      <w:r>
        <w:rPr>
          <w:spacing w:val="-14"/>
        </w:rPr>
      </w:r>
      <w:r>
        <w:rPr>
          <w:spacing w:val="-2"/>
        </w:rPr>
        <w:t>战略中企业所得税</w:t>
      </w:r>
      <w:r>
        <w:rPr>
          <w:rFonts w:ascii="Times New Roman" w:hAnsi="Times New Roman" w:cs="Times New Roman" w:eastAsia="Times New Roman" w:hint="default"/>
          <w:spacing w:val="-2"/>
        </w:rPr>
        <w:t>15%</w:t>
      </w:r>
      <w:r>
        <w:rPr>
          <w:spacing w:val="-2"/>
        </w:rPr>
        <w:t>的税率。同时，自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日止，暂免征收西藏自治区企业</w:t>
      </w:r>
      <w:r>
        <w:rPr>
          <w:spacing w:val="-11"/>
        </w:rPr>
        <w:t> </w:t>
      </w:r>
      <w:r>
        <w:rPr>
          <w:spacing w:val="-11"/>
        </w:rPr>
      </w:r>
      <w:r>
        <w:rPr>
          <w:spacing w:val="-2"/>
        </w:rPr>
        <w:t>应缴纳的企业所得税中属于西藏自治区地方分享的部分。</w:t>
      </w:r>
      <w:r>
        <w:rPr>
          <w:rFonts w:ascii="Times New Roman" w:hAnsi="Times New Roman" w:cs="Times New Roman" w:eastAsia="Times New Roman" w:hint="default"/>
          <w:spacing w:val="-2"/>
        </w:rPr>
        <w:t>2017</w:t>
      </w:r>
      <w:r>
        <w:rPr>
          <w:spacing w:val="-2"/>
        </w:rPr>
        <w:t>年度适用企业所得税税率为</w:t>
      </w:r>
      <w:r>
        <w:rPr>
          <w:rFonts w:ascii="Times New Roman" w:hAnsi="Times New Roman" w:cs="Times New Roman" w:eastAsia="Times New Roman" w:hint="default"/>
          <w:spacing w:val="-2"/>
        </w:rPr>
        <w:t>15%</w:t>
      </w:r>
      <w:r>
        <w:rPr>
          <w:spacing w:val="-2"/>
        </w:rPr>
        <w:t>，同时减免</w:t>
      </w:r>
      <w:r>
        <w:rPr>
          <w:spacing w:val="-13"/>
        </w:rPr>
        <w:t> </w:t>
      </w:r>
      <w:r>
        <w:rPr>
          <w:spacing w:val="-13"/>
        </w:rPr>
      </w:r>
      <w:r>
        <w:rPr/>
        <w:t>了属于西藏自治区地方分享的部分。</w:t>
      </w:r>
      <w:r>
        <w:rPr>
          <w:rFonts w:ascii="Times New Roman" w:hAnsi="Times New Roman" w:cs="Times New Roman" w:eastAsia="Times New Roman" w:hint="default"/>
        </w:rPr>
        <w:t>2018</w:t>
      </w:r>
      <w:r>
        <w:rPr/>
        <w:t>年度，东方财富证券及其注册在西藏的子公司仍按上述企业所</w:t>
      </w:r>
      <w:r>
        <w:rPr>
          <w:w w:val="100"/>
        </w:rPr>
        <w:t> </w:t>
      </w:r>
      <w:r>
        <w:rPr/>
        <w:t>得税优惠政策计算应纳所得税额。</w:t>
      </w:r>
    </w:p>
    <w:p>
      <w:pPr>
        <w:spacing w:line="240" w:lineRule="auto" w:before="9"/>
        <w:rPr>
          <w:rFonts w:ascii="宋体" w:hAnsi="宋体" w:cs="宋体" w:eastAsia="宋体" w:hint="default"/>
          <w:sz w:val="22"/>
          <w:szCs w:val="22"/>
        </w:rPr>
      </w:pPr>
    </w:p>
    <w:p>
      <w:pPr>
        <w:pStyle w:val="Heading3"/>
        <w:spacing w:line="240" w:lineRule="auto"/>
        <w:ind w:right="1114"/>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191,307.71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203,538.75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11,333,841,165.72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12,072,071,347.42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293,429.33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8,002,033.67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11,334,325,902.76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12,080,276,919.84</w:t>
            </w:r>
          </w:p>
        </w:tc>
      </w:tr>
    </w:tbl>
    <w:p>
      <w:pPr>
        <w:spacing w:line="240" w:lineRule="auto" w:before="2"/>
        <w:rPr>
          <w:rFonts w:ascii="宋体" w:hAnsi="宋体" w:cs="宋体" w:eastAsia="宋体" w:hint="default"/>
          <w:sz w:val="20"/>
          <w:szCs w:val="20"/>
        </w:rPr>
      </w:pPr>
    </w:p>
    <w:p>
      <w:pPr>
        <w:pStyle w:val="BodyText"/>
        <w:spacing w:line="240" w:lineRule="auto" w:before="36"/>
        <w:ind w:right="1114"/>
        <w:jc w:val="left"/>
      </w:pPr>
      <w:r>
        <w:rPr/>
        <w:t>其中，融资融券业务：</w:t>
      </w:r>
    </w:p>
    <w:p>
      <w:pPr>
        <w:spacing w:after="0" w:line="240" w:lineRule="auto"/>
        <w:jc w:val="left"/>
        <w:sectPr>
          <w:pgSz w:w="11910" w:h="16840"/>
          <w:pgMar w:header="852" w:footer="979" w:top="12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153" w:type="dxa"/>
        <w:tblLayout w:type="fixed"/>
        <w:tblCellMar>
          <w:top w:w="0" w:type="dxa"/>
          <w:left w:w="0" w:type="dxa"/>
          <w:bottom w:w="0" w:type="dxa"/>
          <w:right w:w="0" w:type="dxa"/>
        </w:tblCellMar>
        <w:tblLook w:val="01E0"/>
      </w:tblPr>
      <w:tblGrid>
        <w:gridCol w:w="1656"/>
        <w:gridCol w:w="1165"/>
        <w:gridCol w:w="996"/>
        <w:gridCol w:w="1661"/>
        <w:gridCol w:w="1164"/>
        <w:gridCol w:w="997"/>
        <w:gridCol w:w="1992"/>
      </w:tblGrid>
      <w:tr>
        <w:trPr>
          <w:trHeight w:val="337" w:hRule="exact"/>
        </w:trPr>
        <w:tc>
          <w:tcPr>
            <w:tcW w:w="165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2"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5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1656" w:type="dxa"/>
            <w:vMerge/>
            <w:tcBorders>
              <w:left w:val="single" w:sz="4" w:space="0" w:color="000000"/>
              <w:bottom w:val="single" w:sz="4" w:space="0" w:color="000000"/>
              <w:right w:val="single" w:sz="4" w:space="0" w:color="000000"/>
            </w:tcBorders>
            <w:shd w:val="clear" w:color="auto" w:fill="D9D9D9"/>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21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22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285"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21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22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451"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343" w:hRule="exact"/>
        </w:trPr>
        <w:tc>
          <w:tcPr>
            <w:tcW w:w="16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自有信用资金</w:t>
            </w:r>
          </w:p>
        </w:tc>
        <w:tc>
          <w:tcPr>
            <w:tcW w:w="1165" w:type="dxa"/>
            <w:tcBorders>
              <w:top w:val="single" w:sz="8" w:space="0" w:color="000000"/>
              <w:left w:val="single" w:sz="4" w:space="0" w:color="000000"/>
              <w:bottom w:val="single" w:sz="4" w:space="0" w:color="000000"/>
              <w:right w:val="single" w:sz="4" w:space="0" w:color="000000"/>
            </w:tcBorders>
          </w:tcPr>
          <w:p>
            <w:pPr/>
          </w:p>
        </w:tc>
        <w:tc>
          <w:tcPr>
            <w:tcW w:w="996" w:type="dxa"/>
            <w:tcBorders>
              <w:top w:val="single" w:sz="8" w:space="0" w:color="000000"/>
              <w:left w:val="single" w:sz="4" w:space="0" w:color="000000"/>
              <w:bottom w:val="single" w:sz="4" w:space="0" w:color="000000"/>
              <w:right w:val="single" w:sz="4" w:space="0" w:color="000000"/>
            </w:tcBorders>
          </w:tcPr>
          <w:p>
            <w:pPr/>
          </w:p>
        </w:tc>
        <w:tc>
          <w:tcPr>
            <w:tcW w:w="166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250,696.87</w:t>
            </w:r>
          </w:p>
        </w:tc>
        <w:tc>
          <w:tcPr>
            <w:tcW w:w="1164" w:type="dxa"/>
            <w:tcBorders>
              <w:top w:val="single" w:sz="8" w:space="0" w:color="000000"/>
              <w:left w:val="single" w:sz="4" w:space="0" w:color="000000"/>
              <w:bottom w:val="single" w:sz="4" w:space="0" w:color="000000"/>
              <w:right w:val="single" w:sz="4" w:space="0" w:color="000000"/>
            </w:tcBorders>
          </w:tcPr>
          <w:p>
            <w:pPr/>
          </w:p>
        </w:tc>
        <w:tc>
          <w:tcPr>
            <w:tcW w:w="997" w:type="dxa"/>
            <w:tcBorders>
              <w:top w:val="single" w:sz="8" w:space="0" w:color="000000"/>
              <w:left w:val="single" w:sz="4" w:space="0" w:color="000000"/>
              <w:bottom w:val="single" w:sz="4" w:space="0" w:color="000000"/>
              <w:right w:val="single" w:sz="4" w:space="0" w:color="000000"/>
            </w:tcBorders>
          </w:tcPr>
          <w:p>
            <w:pPr/>
          </w:p>
        </w:tc>
        <w:tc>
          <w:tcPr>
            <w:tcW w:w="199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560.39</w:t>
            </w:r>
          </w:p>
        </w:tc>
      </w:tr>
      <w:tr>
        <w:trPr>
          <w:trHeight w:val="341" w:hRule="exact"/>
        </w:trPr>
        <w:tc>
          <w:tcPr>
            <w:tcW w:w="16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250,696.87</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560.39</w:t>
            </w:r>
          </w:p>
        </w:tc>
      </w:tr>
      <w:tr>
        <w:trPr>
          <w:trHeight w:val="343" w:hRule="exact"/>
        </w:trPr>
        <w:tc>
          <w:tcPr>
            <w:tcW w:w="16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客户信用资金</w:t>
            </w:r>
          </w:p>
        </w:tc>
        <w:tc>
          <w:tcPr>
            <w:tcW w:w="11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769,071,520.57</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845,981,806.07</w:t>
            </w:r>
          </w:p>
        </w:tc>
      </w:tr>
      <w:tr>
        <w:trPr>
          <w:trHeight w:val="341" w:hRule="exact"/>
        </w:trPr>
        <w:tc>
          <w:tcPr>
            <w:tcW w:w="16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769,071,520.57</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845,981,806.07</w:t>
            </w:r>
          </w:p>
        </w:tc>
      </w:tr>
    </w:tbl>
    <w:p>
      <w:pPr>
        <w:pStyle w:val="BodyText"/>
        <w:spacing w:line="256" w:lineRule="auto"/>
        <w:ind w:right="1114"/>
        <w:jc w:val="left"/>
      </w:pP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日，东财国际证券和东方财富国际期货有限公司合计存放于香港的货币资金共计人民</w:t>
      </w:r>
      <w:r>
        <w:rPr>
          <w:spacing w:val="-13"/>
        </w:rPr>
        <w:t> </w:t>
      </w:r>
      <w:r>
        <w:rPr>
          <w:spacing w:val="-13"/>
        </w:rPr>
      </w:r>
      <w:r>
        <w:rPr/>
        <w:t>币</w:t>
      </w:r>
      <w:r>
        <w:rPr>
          <w:rFonts w:ascii="Times New Roman" w:hAnsi="Times New Roman" w:cs="Times New Roman" w:eastAsia="Times New Roman" w:hint="default"/>
        </w:rPr>
        <w:t>519,580,849.78</w:t>
      </w:r>
      <w:r>
        <w:rPr/>
        <w:t>元。</w:t>
      </w:r>
    </w:p>
    <w:p>
      <w:pPr>
        <w:spacing w:line="240" w:lineRule="auto" w:before="4"/>
        <w:rPr>
          <w:rFonts w:ascii="宋体" w:hAnsi="宋体" w:cs="宋体" w:eastAsia="宋体" w:hint="default"/>
          <w:sz w:val="23"/>
          <w:szCs w:val="23"/>
        </w:rPr>
      </w:pPr>
    </w:p>
    <w:p>
      <w:pPr>
        <w:pStyle w:val="Heading5"/>
        <w:spacing w:line="240" w:lineRule="auto" w:before="0"/>
        <w:ind w:right="1114"/>
        <w:jc w:val="left"/>
        <w:rPr>
          <w:b w:val="0"/>
          <w:bCs w:val="0"/>
        </w:rPr>
      </w:pPr>
      <w:r>
        <w:rPr>
          <w:rFonts w:ascii="Times New Roman" w:hAnsi="Times New Roman" w:cs="Times New Roman" w:eastAsia="Times New Roman" w:hint="default"/>
        </w:rPr>
        <w:t>2</w:t>
      </w:r>
      <w:r>
        <w:rPr/>
        <w:t>、</w:t>
      </w:r>
      <w:r>
        <w:rPr>
          <w:spacing w:val="1"/>
        </w:rPr>
        <w:t> </w:t>
      </w:r>
      <w:r>
        <w:rPr/>
        <w:t>结算备付金</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1555"/>
        <w:gridCol w:w="1275"/>
        <w:gridCol w:w="922"/>
        <w:gridCol w:w="1476"/>
        <w:gridCol w:w="1714"/>
        <w:gridCol w:w="1213"/>
        <w:gridCol w:w="1476"/>
      </w:tblGrid>
      <w:tr>
        <w:trPr>
          <w:trHeight w:val="322" w:hRule="exact"/>
        </w:trPr>
        <w:tc>
          <w:tcPr>
            <w:tcW w:w="1555" w:type="dxa"/>
            <w:vMerge w:val="restart"/>
            <w:tcBorders>
              <w:top w:val="single" w:sz="4" w:space="0" w:color="000000"/>
              <w:left w:val="single" w:sz="4" w:space="0" w:color="000000"/>
              <w:right w:val="single" w:sz="4" w:space="0" w:color="000000"/>
            </w:tcBorders>
            <w:shd w:val="clear" w:color="auto" w:fill="C8C8C8"/>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73" w:type="dxa"/>
            <w:gridSpan w:val="3"/>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2" w:type="dxa"/>
            <w:gridSpan w:val="3"/>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2" w:hRule="exact"/>
        </w:trPr>
        <w:tc>
          <w:tcPr>
            <w:tcW w:w="1555" w:type="dxa"/>
            <w:vMerge/>
            <w:tcBorders>
              <w:left w:val="single" w:sz="4" w:space="0" w:color="000000"/>
              <w:bottom w:val="single" w:sz="4" w:space="0" w:color="000000"/>
              <w:right w:val="single" w:sz="4" w:space="0" w:color="000000"/>
            </w:tcBorders>
            <w:shd w:val="clear" w:color="auto" w:fill="C8C8C8"/>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2"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8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76"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91"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714"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49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13"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334"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76"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91"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客户备付金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27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2,459,898,376.76</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1,875,984,322.97</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10"/>
              <w:ind w:right="444"/>
              <w:jc w:val="right"/>
              <w:rPr>
                <w:rFonts w:ascii="宋体" w:hAnsi="宋体" w:cs="宋体" w:eastAsia="宋体" w:hint="default"/>
                <w:sz w:val="18"/>
                <w:szCs w:val="18"/>
              </w:rPr>
            </w:pPr>
            <w:r>
              <w:rPr>
                <w:rFonts w:ascii="宋体" w:hAnsi="宋体" w:cs="宋体" w:eastAsia="宋体" w:hint="default"/>
                <w:sz w:val="18"/>
                <w:szCs w:val="18"/>
              </w:rPr>
              <w:t>美元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1,638,154.50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6.8632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11,242,981.96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486,375.05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6.5342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3,178,071.82</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444"/>
              <w:jc w:val="right"/>
              <w:rPr>
                <w:rFonts w:ascii="宋体" w:hAnsi="宋体" w:cs="宋体" w:eastAsia="宋体" w:hint="default"/>
                <w:sz w:val="18"/>
                <w:szCs w:val="18"/>
              </w:rPr>
            </w:pPr>
            <w:r>
              <w:rPr>
                <w:rFonts w:ascii="宋体" w:hAnsi="宋体" w:cs="宋体" w:eastAsia="宋体" w:hint="default"/>
                <w:sz w:val="18"/>
                <w:szCs w:val="18"/>
              </w:rPr>
              <w:t>港币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12,731,538.91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0.8762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11,155,374.39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1,809,773.02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0.83591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1,512,807.37</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444"/>
              <w:jc w:val="right"/>
              <w:rPr>
                <w:rFonts w:ascii="宋体" w:hAnsi="宋体" w:cs="宋体" w:eastAsia="宋体" w:hint="default"/>
                <w:sz w:val="18"/>
                <w:szCs w:val="18"/>
              </w:rPr>
            </w:pPr>
            <w:r>
              <w:rPr>
                <w:rFonts w:ascii="宋体" w:hAnsi="宋体" w:cs="宋体" w:eastAsia="宋体" w:hint="default"/>
                <w:sz w:val="18"/>
                <w:szCs w:val="18"/>
              </w:rPr>
              <w:t>小计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2,482,296,733.11</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1,880,675,202.16</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自有备付金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27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12,869,198.63</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104,137,018.76</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444"/>
              <w:jc w:val="right"/>
              <w:rPr>
                <w:rFonts w:ascii="宋体" w:hAnsi="宋体" w:cs="宋体" w:eastAsia="宋体" w:hint="default"/>
                <w:sz w:val="18"/>
                <w:szCs w:val="18"/>
              </w:rPr>
            </w:pPr>
            <w:r>
              <w:rPr>
                <w:rFonts w:ascii="宋体" w:hAnsi="宋体" w:cs="宋体" w:eastAsia="宋体" w:hint="default"/>
                <w:sz w:val="18"/>
                <w:szCs w:val="18"/>
              </w:rPr>
              <w:t>美元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208,742.48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6.8632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1,432,641.39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231,252.99</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6.5342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1,511,053.29</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10"/>
              <w:ind w:right="444"/>
              <w:jc w:val="right"/>
              <w:rPr>
                <w:rFonts w:ascii="宋体" w:hAnsi="宋体" w:cs="宋体" w:eastAsia="宋体" w:hint="default"/>
                <w:sz w:val="18"/>
                <w:szCs w:val="18"/>
              </w:rPr>
            </w:pPr>
            <w:r>
              <w:rPr>
                <w:rFonts w:ascii="宋体" w:hAnsi="宋体" w:cs="宋体" w:eastAsia="宋体" w:hint="default"/>
                <w:sz w:val="18"/>
                <w:szCs w:val="18"/>
              </w:rPr>
              <w:t>港币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993,401.24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0.8762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870,418.17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944,435.11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0.83591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789,462.75</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444"/>
              <w:jc w:val="right"/>
              <w:rPr>
                <w:rFonts w:ascii="宋体" w:hAnsi="宋体" w:cs="宋体" w:eastAsia="宋体" w:hint="default"/>
                <w:sz w:val="18"/>
                <w:szCs w:val="18"/>
              </w:rPr>
            </w:pPr>
            <w:r>
              <w:rPr>
                <w:rFonts w:ascii="宋体" w:hAnsi="宋体" w:cs="宋体" w:eastAsia="宋体" w:hint="default"/>
                <w:sz w:val="18"/>
                <w:szCs w:val="18"/>
              </w:rPr>
              <w:t>小计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15,172,258.19</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106,437,534.80</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信用备付金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27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278,688,395.13</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347,823,264.91</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444"/>
              <w:jc w:val="right"/>
              <w:rPr>
                <w:rFonts w:ascii="宋体" w:hAnsi="宋体" w:cs="宋体" w:eastAsia="宋体" w:hint="default"/>
                <w:sz w:val="18"/>
                <w:szCs w:val="18"/>
              </w:rPr>
            </w:pPr>
            <w:r>
              <w:rPr>
                <w:rFonts w:ascii="宋体" w:hAnsi="宋体" w:cs="宋体" w:eastAsia="宋体" w:hint="default"/>
                <w:sz w:val="18"/>
                <w:szCs w:val="18"/>
              </w:rPr>
              <w:t>小计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278,688,395.13</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347,823,264.91</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2,776,157,386.43</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2,334,936,001.87</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3</w:t>
      </w:r>
      <w:r>
        <w:rPr/>
        <w:t>、以公允价值计量且其变动计入当期损益的金融资产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5,561,729,689.79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2,667,725,513.29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54"/>
              <w:jc w:val="righ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312,783,898.77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1,249,808,584.60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54"/>
              <w:jc w:val="right"/>
              <w:rPr>
                <w:rFonts w:ascii="宋体" w:hAnsi="宋体" w:cs="宋体" w:eastAsia="宋体" w:hint="default"/>
                <w:sz w:val="18"/>
                <w:szCs w:val="18"/>
              </w:rPr>
            </w:pPr>
            <w:r>
              <w:rPr>
                <w:rFonts w:ascii="宋体" w:hAnsi="宋体" w:cs="宋体" w:eastAsia="宋体" w:hint="default"/>
                <w:sz w:val="18"/>
                <w:szCs w:val="18"/>
              </w:rPr>
              <w:t>权益工具投资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2,186,129,210.60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39,026,659.00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3,062,816,580.42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1,378,890,269.69</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1,052,960.76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1,099,307.24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54"/>
              <w:jc w:val="righ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1,052,960.76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1,099,307.24</w:t>
            </w:r>
          </w:p>
        </w:tc>
      </w:tr>
    </w:tbl>
    <w:p>
      <w:pPr>
        <w:spacing w:after="0" w:line="240" w:lineRule="auto"/>
        <w:jc w:val="right"/>
        <w:rPr>
          <w:rFonts w:ascii="Times New Roman" w:hAnsi="Times New Roman" w:cs="Times New Roman" w:eastAsia="Times New Roman" w:hint="default"/>
          <w:sz w:val="18"/>
          <w:szCs w:val="18"/>
        </w:rPr>
        <w:sectPr>
          <w:footerReference w:type="default" r:id="rId24"/>
          <w:pgSz w:w="11910" w:h="16840"/>
          <w:pgMar w:footer="979" w:header="852" w:top="1260" w:bottom="1160" w:left="980" w:right="0"/>
          <w:pgNumType w:start="110"/>
        </w:sectPr>
      </w:pPr>
    </w:p>
    <w:p>
      <w:pPr>
        <w:spacing w:line="240" w:lineRule="auto" w:before="7"/>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0"/>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5,562,782,650.55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2,668,824,820.53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2" w:footer="979" w:top="1260" w:bottom="1160" w:left="980" w:right="0"/>
        </w:sectPr>
      </w:pPr>
    </w:p>
    <w:p>
      <w:pPr>
        <w:pStyle w:val="BodyText"/>
        <w:spacing w:line="240" w:lineRule="auto" w:before="36"/>
        <w:ind w:right="0"/>
        <w:jc w:val="left"/>
      </w:pPr>
      <w:r>
        <w:rPr>
          <w:spacing w:val="-2"/>
        </w:rPr>
        <w:t>以公允价值计量且其变动计入当期损益的金融资产中已融出证券情况</w:t>
      </w:r>
    </w:p>
    <w:p>
      <w:pPr>
        <w:spacing w:line="240" w:lineRule="auto" w:before="0"/>
        <w:rPr>
          <w:rFonts w:ascii="宋体" w:hAnsi="宋体" w:cs="宋体" w:eastAsia="宋体" w:hint="default"/>
          <w:sz w:val="18"/>
          <w:szCs w:val="18"/>
        </w:rPr>
      </w:pPr>
      <w:r>
        <w:rPr/>
        <w:br w:type="column"/>
      </w:r>
      <w:r>
        <w:rPr>
          <w:rFonts w:ascii="宋体"/>
          <w:sz w:val="18"/>
        </w:rPr>
      </w:r>
    </w:p>
    <w:p>
      <w:pPr>
        <w:spacing w:before="133"/>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8"/>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6460" w:space="2388"/>
            <w:col w:w="2082"/>
          </w:cols>
        </w:sectPr>
      </w:pPr>
    </w:p>
    <w:p>
      <w:pPr>
        <w:spacing w:line="240" w:lineRule="auto" w:before="3"/>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3257"/>
        <w:gridCol w:w="3118"/>
        <w:gridCol w:w="3255"/>
      </w:tblGrid>
      <w:tr>
        <w:trPr>
          <w:trHeight w:val="322"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1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2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年初公允价值</w:t>
            </w:r>
          </w:p>
        </w:tc>
      </w:tr>
      <w:tr>
        <w:trPr>
          <w:trHeight w:val="324"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融出证券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25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交易性金融资产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59" w:right="0"/>
              <w:jc w:val="left"/>
              <w:rPr>
                <w:rFonts w:ascii="Times New Roman" w:hAnsi="Times New Roman" w:cs="Times New Roman" w:eastAsia="Times New Roman" w:hint="default"/>
                <w:sz w:val="18"/>
                <w:szCs w:val="18"/>
              </w:rPr>
            </w:pPr>
            <w:r>
              <w:rPr>
                <w:rFonts w:ascii="Times New Roman"/>
                <w:sz w:val="18"/>
              </w:rPr>
              <w:t>4,125,658.01</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8,809,434.34</w:t>
            </w:r>
          </w:p>
        </w:tc>
      </w:tr>
      <w:tr>
        <w:trPr>
          <w:trHeight w:val="324"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转融通融入证券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2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700" w:left="980" w:right="0"/>
        </w:sectPr>
      </w:pPr>
    </w:p>
    <w:p>
      <w:pPr>
        <w:pStyle w:val="BodyText"/>
        <w:spacing w:line="240" w:lineRule="auto" w:before="36"/>
        <w:ind w:right="0"/>
        <w:jc w:val="left"/>
      </w:pPr>
      <w:r>
        <w:rPr>
          <w:spacing w:val="-2"/>
        </w:rPr>
        <w:t>有承诺条件的金融资产</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2256" w:space="6572"/>
            <w:col w:w="2102"/>
          </w:cols>
        </w:sectPr>
      </w:pPr>
    </w:p>
    <w:p>
      <w:pPr>
        <w:spacing w:line="240" w:lineRule="auto" w:before="3"/>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3257"/>
        <w:gridCol w:w="3118"/>
        <w:gridCol w:w="3255"/>
      </w:tblGrid>
      <w:tr>
        <w:trPr>
          <w:trHeight w:val="324"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32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卖出回购交易质押</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147,013,089.22</w:t>
            </w:r>
          </w:p>
        </w:tc>
      </w:tr>
      <w:tr>
        <w:trPr>
          <w:trHeight w:val="324"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5" w:right="0"/>
              <w:jc w:val="left"/>
              <w:rPr>
                <w:rFonts w:ascii="Times New Roman" w:hAnsi="Times New Roman" w:cs="Times New Roman" w:eastAsia="Times New Roman" w:hint="default"/>
                <w:sz w:val="18"/>
                <w:szCs w:val="18"/>
              </w:rPr>
            </w:pPr>
            <w:r>
              <w:rPr>
                <w:rFonts w:ascii="Times New Roman"/>
                <w:sz w:val="18"/>
              </w:rPr>
              <w:t>ETF</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证券已融出</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4,125,658.01</w:t>
            </w:r>
          </w:p>
        </w:tc>
      </w:tr>
      <w:tr>
        <w:trPr>
          <w:trHeight w:val="322"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4" w:space="0" w:color="000000"/>
              <w:left w:val="single" w:sz="4" w:space="0" w:color="000000"/>
              <w:bottom w:val="single" w:sz="4" w:space="0" w:color="000000"/>
              <w:right w:val="single" w:sz="4" w:space="0" w:color="000000"/>
            </w:tcBorders>
          </w:tcPr>
          <w:p>
            <w:pP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151,138,747.23</w:t>
            </w:r>
          </w:p>
        </w:tc>
      </w:tr>
    </w:tbl>
    <w:p>
      <w:pPr>
        <w:spacing w:line="316" w:lineRule="auto" w:before="8"/>
        <w:ind w:left="153" w:right="1213"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日，以公允价值计量且其变动计入当期损益的金融资产期末余额较上年期末余额增加</w:t>
      </w:r>
      <w:r>
        <w:rPr>
          <w:rFonts w:ascii="宋体" w:hAnsi="宋体" w:cs="宋体" w:eastAsia="宋体" w:hint="default"/>
          <w:sz w:val="18"/>
          <w:szCs w:val="18"/>
        </w:rPr>
        <w:t>2,893,957,830.02 </w:t>
      </w:r>
      <w:r>
        <w:rPr>
          <w:rFonts w:ascii="宋体" w:hAnsi="宋体" w:cs="宋体" w:eastAsia="宋体" w:hint="default"/>
          <w:sz w:val="18"/>
          <w:szCs w:val="18"/>
        </w:rPr>
        <w:t>元，增长比例为</w:t>
      </w:r>
      <w:r>
        <w:rPr>
          <w:rFonts w:ascii="宋体" w:hAnsi="宋体" w:cs="宋体" w:eastAsia="宋体" w:hint="default"/>
          <w:sz w:val="18"/>
          <w:szCs w:val="18"/>
        </w:rPr>
        <w:t>108.44%</w:t>
      </w:r>
      <w:r>
        <w:rPr>
          <w:rFonts w:ascii="宋体" w:hAnsi="宋体" w:cs="宋体" w:eastAsia="宋体" w:hint="default"/>
          <w:sz w:val="18"/>
          <w:szCs w:val="18"/>
        </w:rPr>
        <w:t>。主要为购买理财产品增加。</w:t>
      </w:r>
    </w:p>
    <w:p>
      <w:pPr>
        <w:spacing w:line="240" w:lineRule="auto" w:before="10"/>
        <w:rPr>
          <w:rFonts w:ascii="宋体" w:hAnsi="宋体" w:cs="宋体" w:eastAsia="宋体" w:hint="default"/>
          <w:sz w:val="22"/>
          <w:szCs w:val="22"/>
        </w:rPr>
      </w:pPr>
    </w:p>
    <w:p>
      <w:pPr>
        <w:pStyle w:val="Heading5"/>
        <w:spacing w:line="240" w:lineRule="auto" w:before="0"/>
        <w:ind w:right="1114"/>
        <w:jc w:val="left"/>
        <w:rPr>
          <w:b w:val="0"/>
          <w:bCs w:val="0"/>
        </w:rPr>
      </w:pPr>
      <w:r>
        <w:rPr>
          <w:rFonts w:ascii="Times New Roman" w:hAnsi="Times New Roman" w:cs="Times New Roman" w:eastAsia="Times New Roman" w:hint="default"/>
        </w:rPr>
        <w:t>4</w:t>
      </w:r>
      <w:r>
        <w:rPr/>
        <w:t>、</w:t>
      </w:r>
      <w:r>
        <w:rPr>
          <w:spacing w:val="1"/>
        </w:rPr>
        <w:t> </w:t>
      </w:r>
      <w:r>
        <w:rPr/>
        <w:t>融出资金</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4" w:type="dxa"/>
        <w:tblLayout w:type="fixed"/>
        <w:tblCellMar>
          <w:top w:w="0" w:type="dxa"/>
          <w:left w:w="0" w:type="dxa"/>
          <w:bottom w:w="0" w:type="dxa"/>
          <w:right w:w="0" w:type="dxa"/>
        </w:tblCellMar>
        <w:tblLook w:val="01E0"/>
      </w:tblPr>
      <w:tblGrid>
        <w:gridCol w:w="3211"/>
        <w:gridCol w:w="3209"/>
        <w:gridCol w:w="3209"/>
      </w:tblGrid>
      <w:tr>
        <w:trPr>
          <w:trHeight w:val="322" w:hRule="exact"/>
        </w:trPr>
        <w:tc>
          <w:tcPr>
            <w:tcW w:w="3211"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9"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09"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211"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8,156,720,578.16</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9,654,303,022.83</w:t>
            </w:r>
          </w:p>
        </w:tc>
      </w:tr>
      <w:tr>
        <w:trPr>
          <w:trHeight w:val="322" w:hRule="exact"/>
        </w:trPr>
        <w:tc>
          <w:tcPr>
            <w:tcW w:w="3211"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48,411,367.27</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209,544,769.70</w:t>
            </w:r>
          </w:p>
        </w:tc>
      </w:tr>
      <w:tr>
        <w:trPr>
          <w:trHeight w:val="322" w:hRule="exact"/>
        </w:trPr>
        <w:tc>
          <w:tcPr>
            <w:tcW w:w="3211"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8,205,131,945.43</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9,863,847,792.53</w:t>
            </w:r>
          </w:p>
        </w:tc>
      </w:tr>
      <w:tr>
        <w:trPr>
          <w:trHeight w:val="322" w:hRule="exact"/>
        </w:trPr>
        <w:tc>
          <w:tcPr>
            <w:tcW w:w="3211"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18,805,199.63</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20,880,269.23</w:t>
            </w:r>
          </w:p>
        </w:tc>
      </w:tr>
      <w:tr>
        <w:trPr>
          <w:trHeight w:val="324" w:hRule="exact"/>
        </w:trPr>
        <w:tc>
          <w:tcPr>
            <w:tcW w:w="3211"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8,186,326,745.80</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9,842,967,523.30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700" w:left="980" w:right="0"/>
        </w:sectPr>
      </w:pPr>
    </w:p>
    <w:p>
      <w:pPr>
        <w:pStyle w:val="BodyText"/>
        <w:spacing w:line="240" w:lineRule="auto" w:before="36"/>
        <w:ind w:right="0"/>
        <w:jc w:val="left"/>
      </w:pPr>
      <w:r>
        <w:rPr>
          <w:spacing w:val="-2"/>
        </w:rPr>
        <w:t>客户因融资融券业务向公司提供的担保物公允价值情况</w:t>
      </w:r>
    </w:p>
    <w:p>
      <w:pPr>
        <w:spacing w:line="240" w:lineRule="auto" w:before="0"/>
        <w:rPr>
          <w:rFonts w:ascii="宋体" w:hAnsi="宋体" w:cs="宋体" w:eastAsia="宋体" w:hint="default"/>
          <w:sz w:val="18"/>
          <w:szCs w:val="18"/>
        </w:rPr>
      </w:pPr>
      <w:r>
        <w:rPr/>
        <w:br w:type="column"/>
      </w:r>
      <w:r>
        <w:rPr>
          <w:rFonts w:ascii="宋体"/>
          <w:sz w:val="18"/>
        </w:rPr>
      </w:r>
    </w:p>
    <w:p>
      <w:pPr>
        <w:spacing w:before="133"/>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8"/>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5199" w:space="3649"/>
            <w:col w:w="2082"/>
          </w:cols>
        </w:sectPr>
      </w:pPr>
    </w:p>
    <w:p>
      <w:pPr>
        <w:spacing w:line="240" w:lineRule="auto" w:before="3"/>
        <w:rPr>
          <w:rFonts w:ascii="宋体" w:hAnsi="宋体" w:cs="宋体" w:eastAsia="宋体" w:hint="default"/>
          <w:sz w:val="5"/>
          <w:szCs w:val="5"/>
        </w:rPr>
      </w:pPr>
    </w:p>
    <w:tbl>
      <w:tblPr>
        <w:tblW w:w="0" w:type="auto"/>
        <w:jc w:val="left"/>
        <w:tblInd w:w="154" w:type="dxa"/>
        <w:tblLayout w:type="fixed"/>
        <w:tblCellMar>
          <w:top w:w="0" w:type="dxa"/>
          <w:left w:w="0" w:type="dxa"/>
          <w:bottom w:w="0" w:type="dxa"/>
          <w:right w:w="0" w:type="dxa"/>
        </w:tblCellMar>
        <w:tblLook w:val="01E0"/>
      </w:tblPr>
      <w:tblGrid>
        <w:gridCol w:w="3211"/>
        <w:gridCol w:w="3209"/>
        <w:gridCol w:w="3209"/>
      </w:tblGrid>
      <w:tr>
        <w:trPr>
          <w:trHeight w:val="322" w:hRule="exact"/>
        </w:trPr>
        <w:tc>
          <w:tcPr>
            <w:tcW w:w="3211"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担保物类别</w:t>
            </w:r>
          </w:p>
        </w:tc>
        <w:tc>
          <w:tcPr>
            <w:tcW w:w="3209"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209"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6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322" w:hRule="exact"/>
        </w:trPr>
        <w:tc>
          <w:tcPr>
            <w:tcW w:w="3211"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947,796,076.57</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915,283,937.82</w:t>
            </w:r>
          </w:p>
        </w:tc>
      </w:tr>
      <w:tr>
        <w:trPr>
          <w:trHeight w:val="322" w:hRule="exact"/>
        </w:trPr>
        <w:tc>
          <w:tcPr>
            <w:tcW w:w="3211"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21,711,905,635.64</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27,183,485,712.80</w:t>
            </w:r>
          </w:p>
        </w:tc>
      </w:tr>
      <w:tr>
        <w:trPr>
          <w:trHeight w:val="322" w:hRule="exact"/>
        </w:trPr>
        <w:tc>
          <w:tcPr>
            <w:tcW w:w="3211"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342,657,651.22</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236,944,802.73</w:t>
            </w:r>
          </w:p>
        </w:tc>
      </w:tr>
      <w:tr>
        <w:trPr>
          <w:trHeight w:val="324" w:hRule="exact"/>
        </w:trPr>
        <w:tc>
          <w:tcPr>
            <w:tcW w:w="3211"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22,670,411.68</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10,355,188.82</w:t>
            </w:r>
          </w:p>
        </w:tc>
      </w:tr>
      <w:tr>
        <w:trPr>
          <w:trHeight w:val="322" w:hRule="exact"/>
        </w:trPr>
        <w:tc>
          <w:tcPr>
            <w:tcW w:w="3211"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23,025,029,775.11</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28,346,069,642.17</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5</w:t>
      </w:r>
      <w:r>
        <w:rPr/>
        <w:t>、衍生金融资产</w:t>
      </w:r>
      <w:r>
        <w:rPr>
          <w:b w:val="0"/>
          <w:bCs w:val="0"/>
        </w:rPr>
      </w:r>
    </w:p>
    <w:p>
      <w:pPr>
        <w:spacing w:line="240" w:lineRule="auto" w:before="12"/>
        <w:rPr>
          <w:rFonts w:ascii="宋体" w:hAnsi="宋体" w:cs="宋体" w:eastAsia="宋体" w:hint="default"/>
          <w:b/>
          <w:bCs/>
          <w:sz w:val="22"/>
          <w:szCs w:val="22"/>
        </w:rPr>
      </w:pPr>
    </w:p>
    <w:p>
      <w:pPr>
        <w:spacing w:before="44"/>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580" w:bottom="700" w:left="980" w:right="0"/>
        </w:sectPr>
      </w:pPr>
    </w:p>
    <w:p>
      <w:pPr>
        <w:spacing w:line="240" w:lineRule="auto" w:before="7"/>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利率衍生工具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487,181.33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248,268.00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利率互换业务（注）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316,352.73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6,660,907.09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抵消：应付款项</w:t>
            </w:r>
            <w:r>
              <w:rPr>
                <w:rFonts w:ascii="Times New Roman" w:hAnsi="Times New Roman" w:cs="Times New Roman" w:eastAsia="Times New Roman" w:hint="default"/>
                <w:sz w:val="18"/>
                <w:szCs w:val="18"/>
              </w:rPr>
              <w:t>-</w:t>
            </w:r>
            <w:r>
              <w:rPr>
                <w:rFonts w:ascii="宋体" w:hAnsi="宋体" w:cs="宋体" w:eastAsia="宋体" w:hint="default"/>
                <w:sz w:val="18"/>
                <w:szCs w:val="18"/>
              </w:rPr>
              <w:t>利率互换待结算款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-316,352.73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-6,660,907.09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487,181.33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248,268.00</w:t>
            </w:r>
          </w:p>
        </w:tc>
      </w:tr>
    </w:tbl>
    <w:p>
      <w:pPr>
        <w:spacing w:line="304" w:lineRule="auto" w:before="8"/>
        <w:ind w:left="153" w:right="1169" w:firstLine="0"/>
        <w:jc w:val="both"/>
        <w:rPr>
          <w:rFonts w:ascii="宋体" w:hAnsi="宋体" w:cs="宋体" w:eastAsia="宋体" w:hint="default"/>
          <w:sz w:val="18"/>
          <w:szCs w:val="18"/>
        </w:rPr>
      </w:pPr>
      <w:r>
        <w:rPr>
          <w:rFonts w:ascii="宋体" w:hAnsi="宋体" w:cs="宋体" w:eastAsia="宋体" w:hint="default"/>
          <w:sz w:val="18"/>
          <w:szCs w:val="18"/>
        </w:rPr>
        <w:t>注：公司持有的利率互换业务按结算方式分为每日无负债结算和非每日无负债结算，在每日无负债结算制度下，公司其他 货币资金已经包括</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日所有利率互换业务产生的持仓损益金额，因此每日无负债结算下的利率互换按抵消后的 净额列示，为人民币零元，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日，公司该类利率互换业务的名义金额为</w:t>
      </w:r>
      <w:r>
        <w:rPr>
          <w:rFonts w:ascii="Times New Roman" w:hAnsi="Times New Roman" w:cs="Times New Roman" w:eastAsia="Times New Roman" w:hint="default"/>
          <w:sz w:val="18"/>
          <w:szCs w:val="18"/>
        </w:rPr>
        <w:t>59.70</w:t>
      </w:r>
      <w:r>
        <w:rPr>
          <w:rFonts w:ascii="宋体" w:hAnsi="宋体" w:cs="宋体" w:eastAsia="宋体" w:hint="default"/>
          <w:sz w:val="18"/>
          <w:szCs w:val="18"/>
        </w:rPr>
        <w:t>亿元，公允价值浮盈为</w:t>
      </w:r>
      <w:r>
        <w:rPr>
          <w:rFonts w:ascii="Times New Roman" w:hAnsi="Times New Roman" w:cs="Times New Roman" w:eastAsia="Times New Roman" w:hint="default"/>
          <w:sz w:val="18"/>
          <w:szCs w:val="18"/>
        </w:rPr>
        <w:t>316,352.73 </w:t>
      </w:r>
      <w:r>
        <w:rPr>
          <w:rFonts w:ascii="宋体" w:hAnsi="宋体" w:cs="宋体" w:eastAsia="宋体" w:hint="default"/>
          <w:sz w:val="18"/>
          <w:szCs w:val="18"/>
        </w:rPr>
        <w:t>元，与应付款项</w:t>
      </w:r>
      <w:r>
        <w:rPr>
          <w:rFonts w:ascii="Times New Roman" w:hAnsi="Times New Roman" w:cs="Times New Roman" w:eastAsia="Times New Roman" w:hint="default"/>
          <w:sz w:val="18"/>
          <w:szCs w:val="18"/>
        </w:rPr>
        <w:t>-</w:t>
      </w:r>
      <w:r>
        <w:rPr>
          <w:rFonts w:ascii="宋体" w:hAnsi="宋体" w:cs="宋体" w:eastAsia="宋体" w:hint="default"/>
          <w:sz w:val="18"/>
          <w:szCs w:val="18"/>
        </w:rPr>
        <w:t>利率互换待结算款互相抵消。非每日无负债结算下的利率互换按全额列示，</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日，公司该类利 率互换业务的名义金额共计</w:t>
      </w:r>
      <w:r>
        <w:rPr>
          <w:rFonts w:ascii="Times New Roman" w:hAnsi="Times New Roman" w:cs="Times New Roman" w:eastAsia="Times New Roman" w:hint="default"/>
          <w:sz w:val="18"/>
          <w:szCs w:val="18"/>
        </w:rPr>
        <w:t>1.30</w:t>
      </w:r>
      <w:r>
        <w:rPr>
          <w:rFonts w:ascii="宋体" w:hAnsi="宋体" w:cs="宋体" w:eastAsia="宋体" w:hint="default"/>
          <w:sz w:val="18"/>
          <w:szCs w:val="18"/>
        </w:rPr>
        <w:t>亿元。其中，名义金额</w:t>
      </w:r>
      <w:r>
        <w:rPr>
          <w:rFonts w:ascii="Times New Roman" w:hAnsi="Times New Roman" w:cs="Times New Roman" w:eastAsia="Times New Roman" w:hint="default"/>
          <w:sz w:val="18"/>
          <w:szCs w:val="18"/>
        </w:rPr>
        <w:t>1.30</w:t>
      </w:r>
      <w:r>
        <w:rPr>
          <w:rFonts w:ascii="宋体" w:hAnsi="宋体" w:cs="宋体" w:eastAsia="宋体" w:hint="default"/>
          <w:sz w:val="18"/>
          <w:szCs w:val="18"/>
        </w:rPr>
        <w:t>亿元，公允价值浮盈</w:t>
      </w:r>
      <w:r>
        <w:rPr>
          <w:rFonts w:ascii="Times New Roman" w:hAnsi="Times New Roman" w:cs="Times New Roman" w:eastAsia="Times New Roman" w:hint="default"/>
          <w:sz w:val="18"/>
          <w:szCs w:val="18"/>
        </w:rPr>
        <w:t>487,181.33</w:t>
      </w:r>
      <w:r>
        <w:rPr>
          <w:rFonts w:ascii="宋体" w:hAnsi="宋体" w:cs="宋体" w:eastAsia="宋体" w:hint="default"/>
          <w:sz w:val="18"/>
          <w:szCs w:val="18"/>
        </w:rPr>
        <w:t>元。</w:t>
      </w:r>
    </w:p>
    <w:p>
      <w:pPr>
        <w:spacing w:line="240" w:lineRule="auto" w:before="1"/>
        <w:rPr>
          <w:rFonts w:ascii="宋体" w:hAnsi="宋体" w:cs="宋体" w:eastAsia="宋体" w:hint="default"/>
          <w:sz w:val="22"/>
          <w:szCs w:val="22"/>
        </w:rPr>
      </w:pPr>
    </w:p>
    <w:p>
      <w:pPr>
        <w:pStyle w:val="Heading5"/>
        <w:spacing w:line="240" w:lineRule="auto" w:before="0"/>
        <w:ind w:right="0"/>
        <w:jc w:val="both"/>
        <w:rPr>
          <w:b w:val="0"/>
          <w:bCs w:val="0"/>
        </w:rPr>
      </w:pPr>
      <w:r>
        <w:rPr>
          <w:rFonts w:ascii="Times New Roman" w:hAnsi="Times New Roman" w:cs="Times New Roman" w:eastAsia="Times New Roman" w:hint="default"/>
        </w:rPr>
        <w:t>6</w:t>
      </w:r>
      <w:r>
        <w:rPr/>
        <w:t>、应收票据及应收账款</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257,906,912.27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329,333,537.27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257,906,912.27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329,333,537.27</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634"/>
        <w:gridCol w:w="764"/>
        <w:gridCol w:w="761"/>
        <w:gridCol w:w="763"/>
        <w:gridCol w:w="761"/>
        <w:gridCol w:w="790"/>
        <w:gridCol w:w="655"/>
        <w:gridCol w:w="761"/>
        <w:gridCol w:w="814"/>
        <w:gridCol w:w="931"/>
        <w:gridCol w:w="934"/>
      </w:tblGrid>
      <w:tr>
        <w:trPr>
          <w:trHeight w:val="399"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276,791,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645.37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18,884,7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33.10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257,906,9</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12.27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353,940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,324.55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99.66%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24,606,78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329,333,53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7.27</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968,160.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968,160.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1,205,6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60.17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1,205,660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277,759,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805.54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19,852,8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93.27</w:t>
            </w: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257,906,9</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12.27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355,145</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,984.72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25,812,44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7.45</w:t>
            </w:r>
          </w:p>
        </w:tc>
        <w:tc>
          <w:tcPr>
            <w:tcW w:w="93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329,333,53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7.27</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260" w:bottom="116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4294" w:space="4535"/>
            <w:col w:w="2101"/>
          </w:cols>
        </w:sectPr>
      </w:pP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580" w:bottom="700" w:left="980" w:right="0"/>
        </w:sectPr>
      </w:pPr>
    </w:p>
    <w:p>
      <w:pPr>
        <w:spacing w:line="240" w:lineRule="auto" w:before="7"/>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266,874,379.27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13,343,718.97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2,964,176.75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889,253.02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4,602,656.48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2,301,328.24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2,350,432.87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2,350,432.87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276,791,645.37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18,884,733.10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60" w:bottom="1160" w:left="980" w:right="0"/>
        </w:sectPr>
      </w:pPr>
    </w:p>
    <w:p>
      <w:pPr>
        <w:spacing w:line="357" w:lineRule="auto" w:before="49"/>
        <w:ind w:left="153" w:right="198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8" w:lineRule="auto" w:before="29"/>
        <w:ind w:left="153" w:right="2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4"/>
        <w:ind w:left="153"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-2,822,054.18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3" w:right="19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6"/>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6474" w:space="2355"/>
            <w:col w:w="2101"/>
          </w:cols>
        </w:sectPr>
      </w:pP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3,137,500.00</w:t>
            </w:r>
          </w:p>
        </w:tc>
      </w:tr>
    </w:tbl>
    <w:p>
      <w:pPr>
        <w:spacing w:line="338" w:lineRule="auto" w:before="49"/>
        <w:ind w:left="153" w:right="68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r>
        <w:rPr>
          <w:rFonts w:ascii="宋体" w:hAnsi="宋体" w:cs="宋体" w:eastAsia="宋体" w:hint="default"/>
          <w:w w:val="99"/>
          <w:sz w:val="18"/>
          <w:szCs w:val="18"/>
        </w:rPr>
        <w:t> </w:t>
      </w:r>
      <w:r>
        <w:rPr>
          <w:rFonts w:ascii="宋体" w:hAnsi="宋体" w:cs="宋体" w:eastAsia="宋体" w:hint="default"/>
          <w:sz w:val="18"/>
          <w:szCs w:val="18"/>
        </w:rPr>
        <w:t>公司是否需要遵守特殊行业的披露要求</w:t>
      </w:r>
    </w:p>
    <w:p>
      <w:pPr>
        <w:spacing w:line="357" w:lineRule="auto" w:before="43"/>
        <w:ind w:left="153" w:right="9853" w:firstLine="0"/>
        <w:jc w:val="left"/>
        <w:rPr>
          <w:rFonts w:ascii="宋体" w:hAnsi="宋体" w:cs="宋体" w:eastAsia="宋体" w:hint="default"/>
          <w:sz w:val="18"/>
          <w:szCs w:val="18"/>
        </w:rPr>
      </w:pPr>
      <w:r>
        <w:rPr>
          <w:rFonts w:ascii="宋体" w:hAnsi="宋体" w:cs="宋体" w:eastAsia="宋体" w:hint="default"/>
          <w:sz w:val="18"/>
          <w:szCs w:val="18"/>
        </w:rPr>
        <w:t>是 电子商务业</w:t>
      </w:r>
    </w:p>
    <w:p>
      <w:pPr>
        <w:spacing w:line="300" w:lineRule="auto" w:before="29"/>
        <w:ind w:left="153" w:right="1243" w:firstLine="0"/>
        <w:jc w:val="left"/>
        <w:rPr>
          <w:rFonts w:ascii="宋体" w:hAnsi="宋体" w:cs="宋体" w:eastAsia="宋体" w:hint="default"/>
          <w:sz w:val="18"/>
          <w:szCs w:val="18"/>
        </w:rPr>
      </w:pPr>
      <w:r>
        <w:rPr>
          <w:rFonts w:ascii="宋体" w:hAnsi="宋体" w:cs="宋体" w:eastAsia="宋体" w:hint="default"/>
          <w:sz w:val="18"/>
          <w:szCs w:val="18"/>
        </w:rPr>
        <w:t>按欠款方归集的期末余额前五名应收账款汇总金额</w:t>
      </w:r>
      <w:r>
        <w:rPr>
          <w:rFonts w:ascii="Times New Roman" w:hAnsi="Times New Roman" w:cs="Times New Roman" w:eastAsia="Times New Roman" w:hint="default"/>
          <w:sz w:val="18"/>
          <w:szCs w:val="18"/>
        </w:rPr>
        <w:t>83,218,788.34</w:t>
      </w:r>
      <w:r>
        <w:rPr>
          <w:rFonts w:ascii="宋体" w:hAnsi="宋体" w:cs="宋体" w:eastAsia="宋体" w:hint="default"/>
          <w:sz w:val="18"/>
          <w:szCs w:val="18"/>
        </w:rPr>
        <w:t>元，占应收账款期末余额合计数的比例</w:t>
      </w:r>
      <w:r>
        <w:rPr>
          <w:rFonts w:ascii="Times New Roman" w:hAnsi="Times New Roman" w:cs="Times New Roman" w:eastAsia="Times New Roman" w:hint="default"/>
          <w:sz w:val="18"/>
          <w:szCs w:val="18"/>
        </w:rPr>
        <w:t>29.96%</w:t>
      </w:r>
      <w:r>
        <w:rPr>
          <w:rFonts w:ascii="宋体" w:hAnsi="宋体" w:cs="宋体" w:eastAsia="宋体" w:hint="default"/>
          <w:sz w:val="18"/>
          <w:szCs w:val="18"/>
        </w:rPr>
        <w:t>，相应计提 的坏账准备期末余额汇总金额</w:t>
      </w:r>
      <w:r>
        <w:rPr>
          <w:rFonts w:ascii="Times New Roman" w:hAnsi="Times New Roman" w:cs="Times New Roman" w:eastAsia="Times New Roman" w:hint="default"/>
          <w:sz w:val="18"/>
          <w:szCs w:val="18"/>
        </w:rPr>
        <w:t>4,255,939.42</w:t>
      </w:r>
      <w:r>
        <w:rPr>
          <w:rFonts w:ascii="宋体" w:hAnsi="宋体" w:cs="宋体" w:eastAsia="宋体" w:hint="default"/>
          <w:sz w:val="18"/>
          <w:szCs w:val="18"/>
        </w:rPr>
        <w:t>元。</w:t>
      </w:r>
    </w:p>
    <w:p>
      <w:pPr>
        <w:spacing w:line="240" w:lineRule="auto" w:before="4"/>
        <w:rPr>
          <w:rFonts w:ascii="宋体" w:hAnsi="宋体" w:cs="宋体" w:eastAsia="宋体" w:hint="default"/>
          <w:sz w:val="22"/>
          <w:szCs w:val="22"/>
        </w:rPr>
      </w:pPr>
    </w:p>
    <w:p>
      <w:pPr>
        <w:pStyle w:val="Heading5"/>
        <w:spacing w:line="240" w:lineRule="auto" w:before="0"/>
        <w:ind w:right="1114"/>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6"/>
        <w:gridCol w:w="1916"/>
        <w:gridCol w:w="1913"/>
        <w:gridCol w:w="1915"/>
      </w:tblGrid>
      <w:tr>
        <w:trPr>
          <w:trHeight w:val="402" w:hRule="exact"/>
        </w:trPr>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0"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58,197,940.94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54,985,279.53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97.04%</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5,898,730.37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1,345,434.50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2.37%</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11,753.03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267,696.98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3,450.95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70,471.81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0.12%</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64,111,875.29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56,668,882.82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按预付对象集中度归集的期末余额前五名预付款项汇总金额</w:t>
      </w:r>
      <w:r>
        <w:rPr>
          <w:rFonts w:ascii="Times New Roman" w:hAnsi="Times New Roman" w:cs="Times New Roman" w:eastAsia="Times New Roman" w:hint="default"/>
          <w:sz w:val="18"/>
          <w:szCs w:val="18"/>
        </w:rPr>
        <w:t>18,188,099.09</w:t>
      </w:r>
      <w:r>
        <w:rPr>
          <w:rFonts w:ascii="宋体" w:hAnsi="宋体" w:cs="宋体" w:eastAsia="宋体" w:hint="default"/>
          <w:sz w:val="18"/>
          <w:szCs w:val="18"/>
        </w:rPr>
        <w:t>元，占预付款项期末余额合计数的比例</w:t>
      </w:r>
      <w:r>
        <w:rPr>
          <w:rFonts w:ascii="Times New Roman" w:hAnsi="Times New Roman" w:cs="Times New Roman" w:eastAsia="Times New Roman" w:hint="default"/>
          <w:sz w:val="18"/>
          <w:szCs w:val="18"/>
        </w:rPr>
        <w:t>28.37%</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1580" w:bottom="700" w:left="980" w:right="0"/>
        </w:sectPr>
      </w:pPr>
    </w:p>
    <w:p>
      <w:pPr>
        <w:spacing w:line="240" w:lineRule="auto" w:before="11"/>
        <w:rPr>
          <w:rFonts w:ascii="宋体" w:hAnsi="宋体" w:cs="宋体" w:eastAsia="宋体" w:hint="default"/>
          <w:sz w:val="8"/>
          <w:szCs w:val="8"/>
        </w:rPr>
      </w:pPr>
    </w:p>
    <w:p>
      <w:pPr>
        <w:pStyle w:val="Heading5"/>
        <w:spacing w:line="240" w:lineRule="auto"/>
        <w:ind w:right="1114"/>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259,791,948.93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184,989,231.61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2,840,947,325.89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2,295,419,855.40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3,100,739,274.82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2,480,409,087.01</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467,770.58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10,075,074.05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17,717,365.18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存放金融同业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11,743,455.70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19,122,818.06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融资融券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187,387,153.06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90,328,323.25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买入返售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50,260,248.43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57,188,326.13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107,392.69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12,927.57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151,700.84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259,791,948.93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184,989,231.61</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634"/>
        <w:gridCol w:w="764"/>
        <w:gridCol w:w="761"/>
        <w:gridCol w:w="763"/>
        <w:gridCol w:w="761"/>
        <w:gridCol w:w="790"/>
        <w:gridCol w:w="732"/>
        <w:gridCol w:w="850"/>
        <w:gridCol w:w="853"/>
        <w:gridCol w:w="727"/>
        <w:gridCol w:w="934"/>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5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0"/>
              <w:ind w:left="196" w:right="19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268" w:right="8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193,515,</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770.55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193,515,</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770.55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177,825,</w:t>
            </w:r>
          </w:p>
          <w:p>
            <w:pPr>
              <w:pStyle w:val="TableParagraph"/>
              <w:spacing w:line="240" w:lineRule="auto" w:before="102"/>
              <w:ind w:left="180" w:right="0"/>
              <w:jc w:val="center"/>
              <w:rPr>
                <w:rFonts w:ascii="Times New Roman" w:hAnsi="Times New Roman" w:cs="Times New Roman" w:eastAsia="Times New Roman" w:hint="default"/>
                <w:sz w:val="18"/>
                <w:szCs w:val="18"/>
              </w:rPr>
            </w:pPr>
            <w:r>
              <w:rPr>
                <w:rFonts w:ascii="Times New Roman"/>
                <w:sz w:val="18"/>
              </w:rPr>
              <w:t>420.00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177,825,4</w:t>
            </w:r>
          </w:p>
          <w:p>
            <w:pPr>
              <w:pStyle w:val="TableParagraph"/>
              <w:spacing w:line="240" w:lineRule="auto" w:before="102"/>
              <w:ind w:left="413" w:right="0"/>
              <w:jc w:val="left"/>
              <w:rPr>
                <w:rFonts w:ascii="Times New Roman" w:hAnsi="Times New Roman" w:cs="Times New Roman" w:eastAsia="Times New Roman" w:hint="default"/>
                <w:sz w:val="18"/>
                <w:szCs w:val="18"/>
              </w:rPr>
            </w:pPr>
            <w:r>
              <w:rPr>
                <w:rFonts w:ascii="Times New Roman"/>
                <w:sz w:val="18"/>
              </w:rPr>
              <w:t>20.00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26,424,7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31.28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10,809,8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52.61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15,614,87</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8.67</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24,808,3</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47.48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8,978,006.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36.19%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15,830,340.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2,839,72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7,333.72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92.82%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14,394,8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86.50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2,825,332</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,447.22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2,289,21</w:t>
            </w:r>
          </w:p>
          <w:p>
            <w:pPr>
              <w:pStyle w:val="TableParagraph"/>
              <w:spacing w:line="240" w:lineRule="auto" w:before="102"/>
              <w:ind w:left="67" w:right="0"/>
              <w:jc w:val="left"/>
              <w:rPr>
                <w:rFonts w:ascii="Times New Roman" w:hAnsi="Times New Roman" w:cs="Times New Roman" w:eastAsia="Times New Roman" w:hint="default"/>
                <w:sz w:val="18"/>
                <w:szCs w:val="18"/>
              </w:rPr>
            </w:pPr>
            <w:r>
              <w:rPr>
                <w:rFonts w:ascii="Times New Roman"/>
                <w:sz w:val="18"/>
              </w:rPr>
              <w:t>0,445.90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91.86%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9,620,931.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2,279,589,5</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14.61</w:t>
            </w: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9" w:right="0"/>
              <w:jc w:val="center"/>
              <w:rPr>
                <w:rFonts w:ascii="Times New Roman" w:hAnsi="Times New Roman" w:cs="Times New Roman" w:eastAsia="Times New Roman" w:hint="default"/>
                <w:sz w:val="18"/>
                <w:szCs w:val="18"/>
              </w:rPr>
            </w:pPr>
            <w:r>
              <w:rPr>
                <w:rFonts w:ascii="Times New Roman"/>
                <w:sz w:val="18"/>
              </w:rPr>
              <w:t>3,059,66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5" w:right="0"/>
              <w:jc w:val="center"/>
              <w:rPr>
                <w:rFonts w:ascii="Times New Roman" w:hAnsi="Times New Roman" w:cs="Times New Roman" w:eastAsia="Times New Roman" w:hint="default"/>
                <w:sz w:val="18"/>
                <w:szCs w:val="18"/>
              </w:rPr>
            </w:pPr>
            <w:r>
              <w:rPr>
                <w:rFonts w:ascii="Times New Roman"/>
                <w:sz w:val="18"/>
              </w:rPr>
              <w:t>218,720,</w:t>
            </w: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8" w:right="0"/>
              <w:jc w:val="left"/>
              <w:rPr>
                <w:rFonts w:ascii="Times New Roman" w:hAnsi="Times New Roman" w:cs="Times New Roman" w:eastAsia="Times New Roman" w:hint="default"/>
                <w:sz w:val="18"/>
                <w:szCs w:val="18"/>
              </w:rPr>
            </w:pPr>
            <w:r>
              <w:rPr>
                <w:rFonts w:ascii="Times New Roman"/>
                <w:sz w:val="18"/>
              </w:rPr>
              <w:t>2,840,947</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center"/>
              <w:rPr>
                <w:rFonts w:ascii="Times New Roman" w:hAnsi="Times New Roman" w:cs="Times New Roman" w:eastAsia="Times New Roman" w:hint="default"/>
                <w:sz w:val="18"/>
                <w:szCs w:val="18"/>
              </w:rPr>
            </w:pPr>
            <w:r>
              <w:rPr>
                <w:rFonts w:ascii="Times New Roman"/>
                <w:sz w:val="18"/>
              </w:rPr>
              <w:t>2,491,84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4" w:right="0"/>
              <w:jc w:val="center"/>
              <w:rPr>
                <w:rFonts w:ascii="Times New Roman" w:hAnsi="Times New Roman" w:cs="Times New Roman" w:eastAsia="Times New Roman" w:hint="default"/>
                <w:sz w:val="18"/>
                <w:szCs w:val="18"/>
              </w:rPr>
            </w:pPr>
            <w:r>
              <w:rPr>
                <w:rFonts w:ascii="Times New Roman"/>
                <w:sz w:val="18"/>
              </w:rPr>
              <w:t>196,424,3</w:t>
            </w:r>
          </w:p>
        </w:tc>
        <w:tc>
          <w:tcPr>
            <w:tcW w:w="72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2,295,419,8</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634"/>
        <w:gridCol w:w="764"/>
        <w:gridCol w:w="761"/>
        <w:gridCol w:w="763"/>
        <w:gridCol w:w="761"/>
        <w:gridCol w:w="790"/>
        <w:gridCol w:w="732"/>
        <w:gridCol w:w="850"/>
        <w:gridCol w:w="853"/>
        <w:gridCol w:w="727"/>
        <w:gridCol w:w="936"/>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7,835.55</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5" w:right="0"/>
              <w:jc w:val="left"/>
              <w:rPr>
                <w:rFonts w:ascii="Times New Roman" w:hAnsi="Times New Roman" w:cs="Times New Roman" w:eastAsia="Times New Roman" w:hint="default"/>
                <w:sz w:val="18"/>
                <w:szCs w:val="18"/>
              </w:rPr>
            </w:pPr>
            <w:r>
              <w:rPr>
                <w:rFonts w:ascii="Times New Roman"/>
                <w:sz w:val="18"/>
              </w:rPr>
              <w:t>509.66</w:t>
            </w: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8" w:right="0"/>
              <w:jc w:val="left"/>
              <w:rPr>
                <w:rFonts w:ascii="Times New Roman" w:hAnsi="Times New Roman" w:cs="Times New Roman" w:eastAsia="Times New Roman" w:hint="default"/>
                <w:sz w:val="18"/>
                <w:szCs w:val="18"/>
              </w:rPr>
            </w:pPr>
            <w:r>
              <w:rPr>
                <w:rFonts w:ascii="Times New Roman"/>
                <w:sz w:val="18"/>
              </w:rPr>
              <w:t>,325.89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7" w:right="0"/>
              <w:jc w:val="left"/>
              <w:rPr>
                <w:rFonts w:ascii="Times New Roman" w:hAnsi="Times New Roman" w:cs="Times New Roman" w:eastAsia="Times New Roman" w:hint="default"/>
                <w:sz w:val="18"/>
                <w:szCs w:val="18"/>
              </w:rPr>
            </w:pPr>
            <w:r>
              <w:rPr>
                <w:rFonts w:ascii="Times New Roman"/>
                <w:sz w:val="18"/>
              </w:rPr>
              <w:t>4,213.38</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3" w:right="0"/>
              <w:jc w:val="left"/>
              <w:rPr>
                <w:rFonts w:ascii="Times New Roman" w:hAnsi="Times New Roman" w:cs="Times New Roman" w:eastAsia="Times New Roman" w:hint="default"/>
                <w:sz w:val="18"/>
                <w:szCs w:val="18"/>
              </w:rPr>
            </w:pPr>
            <w:r>
              <w:rPr>
                <w:rFonts w:ascii="Times New Roman"/>
                <w:sz w:val="18"/>
              </w:rPr>
              <w:t>57.98</w:t>
            </w:r>
          </w:p>
        </w:tc>
        <w:tc>
          <w:tcPr>
            <w:tcW w:w="72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4" w:right="0"/>
              <w:jc w:val="left"/>
              <w:rPr>
                <w:rFonts w:ascii="Times New Roman" w:hAnsi="Times New Roman" w:cs="Times New Roman" w:eastAsia="Times New Roman" w:hint="default"/>
                <w:sz w:val="18"/>
                <w:szCs w:val="18"/>
              </w:rPr>
            </w:pPr>
            <w:r>
              <w:rPr>
                <w:rFonts w:ascii="Times New Roman"/>
                <w:sz w:val="18"/>
              </w:rPr>
              <w:t>55.40</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260" w:bottom="116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5"/>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4474" w:space="4355"/>
            <w:col w:w="2101"/>
          </w:cols>
        </w:sectPr>
      </w:pP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229"/>
        <w:gridCol w:w="1558"/>
        <w:gridCol w:w="1560"/>
        <w:gridCol w:w="1561"/>
        <w:gridCol w:w="1663"/>
      </w:tblGrid>
      <w:tr>
        <w:trPr>
          <w:trHeight w:val="401" w:hRule="exact"/>
        </w:trPr>
        <w:tc>
          <w:tcPr>
            <w:tcW w:w="32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34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229" w:type="dxa"/>
            <w:vMerge/>
            <w:tcBorders>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7"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安徽蓝博旺机械集团合诚机械有限公司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70,923,420.00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70,923,420.00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保定天威集团集团有限公司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59,702,000.00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59,702,000.00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上海盈方微电子技术有限公司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4" w:hRule="exact"/>
        </w:trPr>
        <w:tc>
          <w:tcPr>
            <w:tcW w:w="32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盛海燕</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15,690,350.55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15,690,350.55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193,515,770.55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193,515,770.55</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580" w:bottom="70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4294" w:space="4535"/>
            <w:col w:w="2101"/>
          </w:cols>
        </w:sectPr>
      </w:pP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228"/>
        <w:gridCol w:w="1556"/>
        <w:gridCol w:w="2393"/>
        <w:gridCol w:w="2391"/>
      </w:tblGrid>
      <w:tr>
        <w:trPr>
          <w:trHeight w:val="206" w:hRule="exact"/>
        </w:trPr>
        <w:tc>
          <w:tcPr>
            <w:tcW w:w="3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3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32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339"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3228" w:type="dxa"/>
            <w:vMerge/>
            <w:tcBorders>
              <w:left w:val="single" w:sz="4" w:space="0" w:color="000000"/>
              <w:bottom w:val="nil" w:sz="6" w:space="0" w:color="auto"/>
              <w:right w:val="single" w:sz="4" w:space="0" w:color="000000"/>
            </w:tcBorders>
            <w:shd w:val="clear" w:color="auto" w:fill="D2D2D2"/>
          </w:tcPr>
          <w:p>
            <w:pPr/>
          </w:p>
        </w:tc>
        <w:tc>
          <w:tcPr>
            <w:tcW w:w="15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3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6"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10,546,556.93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527,327.85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6,035,049.00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1,810,514.71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2,742,230.61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1,371,115.31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7,100,894.74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7,100,894.74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26,424,731.28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10,809,852.61</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357" w:lineRule="auto" w:before="49"/>
        <w:ind w:left="153" w:right="18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3" w:right="2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3" w:right="1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3" w:right="1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02"/>
        <w:ind w:left="153"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22,296,151.68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1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6548" w:space="2280"/>
            <w:col w:w="2102"/>
          </w:cols>
        </w:sectPr>
      </w:pP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应收基金销售业务赎回款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398,494,808.48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728,328,181.63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代垫基金销售业务赎回款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36,256,427.27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920,751,827.03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应收经纪业务清算款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2,388,729,975.43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630,429,399.95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应收逾期投资款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130,625,420.00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130,625,420.00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17,415,266.57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16,322,305.10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7"/>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应收第三方支付平台结算款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4,842,563.11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3,967,814.99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83,303,374.69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61,419,264.68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3,059,667,835.55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2,491,844,213.38</w:t>
            </w:r>
          </w:p>
        </w:tc>
      </w:tr>
    </w:tbl>
    <w:p>
      <w:pPr>
        <w:spacing w:before="49"/>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按欠款方归集的期末余额前五名的其他应收款情况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518"/>
        <w:gridCol w:w="1560"/>
        <w:gridCol w:w="1277"/>
        <w:gridCol w:w="1020"/>
        <w:gridCol w:w="1597"/>
        <w:gridCol w:w="1596"/>
      </w:tblGrid>
      <w:tr>
        <w:trPr>
          <w:trHeight w:val="71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4"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2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42"/>
              <w:jc w:val="left"/>
              <w:rPr>
                <w:rFonts w:ascii="宋体" w:hAnsi="宋体" w:cs="宋体" w:eastAsia="宋体" w:hint="default"/>
                <w:sz w:val="18"/>
                <w:szCs w:val="18"/>
              </w:rPr>
            </w:pPr>
            <w:r>
              <w:rPr>
                <w:rFonts w:ascii="宋体" w:hAnsi="宋体" w:cs="宋体" w:eastAsia="宋体" w:hint="default"/>
                <w:sz w:val="18"/>
                <w:szCs w:val="18"/>
              </w:rPr>
              <w:t>安微蓝博旺机械集团合诚机械 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应收逾期投资款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70,923,420.00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70,923,420.00</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保定天威集团集团有限公司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应收逾期投资款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59,702,000.00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59,702,000.00</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上海盈方微电子技术有限公司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逾期应收款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47,200,000.00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47,200,000.00</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盛海燕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应收逾期融资款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15,690,350.55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15,690,350.55</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上海东湖宾馆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1,681,000.00</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195,196,770.55</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195,196,770.55</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52" w:footer="979" w:top="1260" w:bottom="1160" w:left="980" w:right="0"/>
        </w:sectPr>
      </w:pPr>
    </w:p>
    <w:p>
      <w:pPr>
        <w:spacing w:line="360" w:lineRule="auto"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3394" w:space="5435"/>
            <w:col w:w="2101"/>
          </w:cols>
        </w:sectPr>
      </w:pP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145,708,168.60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145,708,168.60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142,249,974.42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142,249,974.42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145,708,168.60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145,708,168.60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142,249,974.42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142,249,974.42</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10</w:t>
      </w:r>
      <w:r>
        <w:rPr/>
        <w:t>、</w:t>
      </w:r>
      <w:r>
        <w:rPr>
          <w:spacing w:val="-1"/>
        </w:rPr>
        <w:t> </w:t>
      </w:r>
      <w:r>
        <w:rPr/>
        <w:t>存出保证金</w:t>
      </w:r>
      <w:r>
        <w:rPr>
          <w:b w:val="0"/>
          <w:bCs w:val="0"/>
        </w:rPr>
      </w:r>
    </w:p>
    <w:p>
      <w:pPr>
        <w:spacing w:line="240" w:lineRule="auto" w:before="12"/>
        <w:rPr>
          <w:rFonts w:ascii="宋体" w:hAnsi="宋体" w:cs="宋体" w:eastAsia="宋体" w:hint="default"/>
          <w:b/>
          <w:bCs/>
          <w:sz w:val="22"/>
          <w:szCs w:val="22"/>
        </w:rPr>
      </w:pPr>
    </w:p>
    <w:p>
      <w:pPr>
        <w:spacing w:before="44"/>
        <w:ind w:left="153"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）项目列示</w:t>
      </w:r>
    </w:p>
    <w:p>
      <w:pPr>
        <w:spacing w:before="6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8"/>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54" w:type="dxa"/>
        <w:tblLayout w:type="fixed"/>
        <w:tblCellMar>
          <w:top w:w="0" w:type="dxa"/>
          <w:left w:w="0" w:type="dxa"/>
          <w:bottom w:w="0" w:type="dxa"/>
          <w:right w:w="0" w:type="dxa"/>
        </w:tblCellMar>
        <w:tblLook w:val="01E0"/>
      </w:tblPr>
      <w:tblGrid>
        <w:gridCol w:w="3211"/>
        <w:gridCol w:w="3209"/>
        <w:gridCol w:w="3209"/>
      </w:tblGrid>
      <w:tr>
        <w:trPr>
          <w:trHeight w:val="322" w:hRule="exact"/>
        </w:trPr>
        <w:tc>
          <w:tcPr>
            <w:tcW w:w="3211"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9"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09"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211"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交易保证金</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572,494,156.13</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578,423,588.30</w:t>
            </w:r>
          </w:p>
        </w:tc>
      </w:tr>
      <w:tr>
        <w:trPr>
          <w:trHeight w:val="322" w:hRule="exact"/>
        </w:trPr>
        <w:tc>
          <w:tcPr>
            <w:tcW w:w="3211"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信用保证金</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14,396,156.51</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15,106,041.41</w:t>
            </w:r>
          </w:p>
        </w:tc>
      </w:tr>
      <w:tr>
        <w:trPr>
          <w:trHeight w:val="322" w:hRule="exact"/>
        </w:trPr>
        <w:tc>
          <w:tcPr>
            <w:tcW w:w="3211"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586,890,312.64</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593,529,629.71</w:t>
            </w:r>
          </w:p>
        </w:tc>
      </w:tr>
    </w:tbl>
    <w:p>
      <w:pPr>
        <w:spacing w:line="240" w:lineRule="auto" w:before="1"/>
        <w:rPr>
          <w:rFonts w:ascii="宋体" w:hAnsi="宋体" w:cs="宋体" w:eastAsia="宋体" w:hint="default"/>
          <w:sz w:val="21"/>
          <w:szCs w:val="21"/>
        </w:rPr>
      </w:pPr>
    </w:p>
    <w:p>
      <w:pPr>
        <w:spacing w:before="44"/>
        <w:ind w:left="153"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）按币种列示</w:t>
      </w:r>
    </w:p>
    <w:p>
      <w:pPr>
        <w:spacing w:before="6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8"/>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5"/>
          <w:szCs w:val="5"/>
        </w:rPr>
      </w:pPr>
    </w:p>
    <w:tbl>
      <w:tblPr>
        <w:tblW w:w="0" w:type="auto"/>
        <w:jc w:val="left"/>
        <w:tblInd w:w="154" w:type="dxa"/>
        <w:tblLayout w:type="fixed"/>
        <w:tblCellMar>
          <w:top w:w="0" w:type="dxa"/>
          <w:left w:w="0" w:type="dxa"/>
          <w:bottom w:w="0" w:type="dxa"/>
          <w:right w:w="0" w:type="dxa"/>
        </w:tblCellMar>
        <w:tblLook w:val="01E0"/>
      </w:tblPr>
      <w:tblGrid>
        <w:gridCol w:w="1837"/>
        <w:gridCol w:w="1213"/>
        <w:gridCol w:w="1198"/>
        <w:gridCol w:w="1702"/>
        <w:gridCol w:w="1537"/>
        <w:gridCol w:w="802"/>
        <w:gridCol w:w="1342"/>
      </w:tblGrid>
      <w:tr>
        <w:trPr>
          <w:trHeight w:val="323" w:hRule="exact"/>
        </w:trPr>
        <w:tc>
          <w:tcPr>
            <w:tcW w:w="1837" w:type="dxa"/>
            <w:vMerge w:val="restart"/>
            <w:tcBorders>
              <w:top w:val="single" w:sz="4" w:space="0" w:color="000000"/>
              <w:left w:val="single" w:sz="4" w:space="0" w:color="000000"/>
              <w:right w:val="single" w:sz="4" w:space="0" w:color="000000"/>
            </w:tcBorders>
            <w:shd w:val="clear" w:color="auto" w:fill="C8C8C8"/>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80" w:type="dxa"/>
            <w:gridSpan w:val="3"/>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837" w:type="dxa"/>
            <w:vMerge/>
            <w:tcBorders>
              <w:left w:val="single" w:sz="4" w:space="0" w:color="000000"/>
              <w:bottom w:val="single" w:sz="4" w:space="0" w:color="000000"/>
              <w:right w:val="single" w:sz="4" w:space="0" w:color="000000"/>
            </w:tcBorders>
            <w:shd w:val="clear" w:color="auto" w:fill="C8C8C8"/>
          </w:tcPr>
          <w:p>
            <w:pPr/>
          </w:p>
        </w:tc>
        <w:tc>
          <w:tcPr>
            <w:tcW w:w="1213"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24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98"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32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702"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53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40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02"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2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342"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322" w:hRule="exact"/>
        </w:trPr>
        <w:tc>
          <w:tcPr>
            <w:tcW w:w="183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交易保证金</w:t>
            </w:r>
          </w:p>
        </w:tc>
        <w:tc>
          <w:tcPr>
            <w:tcW w:w="12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7"/>
        <w:rPr>
          <w:rFonts w:ascii="宋体" w:hAnsi="宋体" w:cs="宋体" w:eastAsia="宋体" w:hint="default"/>
          <w:sz w:val="12"/>
          <w:szCs w:val="12"/>
        </w:rPr>
      </w:pPr>
    </w:p>
    <w:tbl>
      <w:tblPr>
        <w:tblW w:w="0" w:type="auto"/>
        <w:jc w:val="left"/>
        <w:tblInd w:w="154" w:type="dxa"/>
        <w:tblLayout w:type="fixed"/>
        <w:tblCellMar>
          <w:top w:w="0" w:type="dxa"/>
          <w:left w:w="0" w:type="dxa"/>
          <w:bottom w:w="0" w:type="dxa"/>
          <w:right w:w="0" w:type="dxa"/>
        </w:tblCellMar>
        <w:tblLook w:val="01E0"/>
      </w:tblPr>
      <w:tblGrid>
        <w:gridCol w:w="1837"/>
        <w:gridCol w:w="1213"/>
        <w:gridCol w:w="1198"/>
        <w:gridCol w:w="1702"/>
        <w:gridCol w:w="1537"/>
        <w:gridCol w:w="802"/>
        <w:gridCol w:w="1342"/>
      </w:tblGrid>
      <w:tr>
        <w:trPr>
          <w:trHeight w:val="322" w:hRule="exact"/>
        </w:trPr>
        <w:tc>
          <w:tcPr>
            <w:tcW w:w="183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2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568,931,016.13</w:t>
            </w:r>
          </w:p>
        </w:tc>
        <w:tc>
          <w:tcPr>
            <w:tcW w:w="153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573,773,108.30</w:t>
            </w:r>
          </w:p>
        </w:tc>
      </w:tr>
      <w:tr>
        <w:trPr>
          <w:trHeight w:val="322" w:hRule="exact"/>
        </w:trPr>
        <w:tc>
          <w:tcPr>
            <w:tcW w:w="183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6.8632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1,372,640.00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6" w:right="0"/>
              <w:jc w:val="center"/>
              <w:rPr>
                <w:rFonts w:ascii="Times New Roman" w:hAnsi="Times New Roman" w:cs="Times New Roman" w:eastAsia="Times New Roman" w:hint="default"/>
                <w:sz w:val="18"/>
                <w:szCs w:val="18"/>
              </w:rPr>
            </w:pPr>
            <w:r>
              <w:rPr>
                <w:rFonts w:ascii="Times New Roman"/>
                <w:sz w:val="18"/>
              </w:rPr>
              <w:t>6.5342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1,306,840.00</w:t>
            </w:r>
          </w:p>
        </w:tc>
      </w:tr>
      <w:tr>
        <w:trPr>
          <w:trHeight w:val="322" w:hRule="exact"/>
        </w:trPr>
        <w:tc>
          <w:tcPr>
            <w:tcW w:w="183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0.8762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2,190,500.00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4,000,000.00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0.83591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3,343,640.00</w:t>
            </w:r>
          </w:p>
        </w:tc>
      </w:tr>
      <w:tr>
        <w:trPr>
          <w:trHeight w:val="324" w:hRule="exact"/>
        </w:trPr>
        <w:tc>
          <w:tcPr>
            <w:tcW w:w="183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572,494,156.13</w:t>
            </w:r>
          </w:p>
        </w:tc>
        <w:tc>
          <w:tcPr>
            <w:tcW w:w="153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578,423,588.30</w:t>
            </w:r>
          </w:p>
        </w:tc>
      </w:tr>
      <w:tr>
        <w:trPr>
          <w:trHeight w:val="322" w:hRule="exact"/>
        </w:trPr>
        <w:tc>
          <w:tcPr>
            <w:tcW w:w="183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信用保证金</w:t>
            </w:r>
          </w:p>
        </w:tc>
        <w:tc>
          <w:tcPr>
            <w:tcW w:w="12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2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14,396,156.51</w:t>
            </w:r>
          </w:p>
        </w:tc>
        <w:tc>
          <w:tcPr>
            <w:tcW w:w="153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15,106,041.41</w:t>
            </w:r>
          </w:p>
        </w:tc>
      </w:tr>
      <w:tr>
        <w:trPr>
          <w:trHeight w:val="322" w:hRule="exact"/>
        </w:trPr>
        <w:tc>
          <w:tcPr>
            <w:tcW w:w="183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14,396,156.51</w:t>
            </w:r>
          </w:p>
        </w:tc>
        <w:tc>
          <w:tcPr>
            <w:tcW w:w="153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15,106,041.41</w:t>
            </w:r>
          </w:p>
        </w:tc>
      </w:tr>
      <w:tr>
        <w:trPr>
          <w:trHeight w:val="322" w:hRule="exact"/>
        </w:trPr>
        <w:tc>
          <w:tcPr>
            <w:tcW w:w="183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586,890,312.64</w:t>
            </w:r>
          </w:p>
        </w:tc>
        <w:tc>
          <w:tcPr>
            <w:tcW w:w="153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593,529,629.71</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11</w:t>
      </w:r>
      <w:r>
        <w:rPr/>
        <w:t>、 买入返售金融资产</w:t>
      </w:r>
      <w:r>
        <w:rPr>
          <w:b w:val="0"/>
          <w:bCs w:val="0"/>
        </w:rPr>
      </w:r>
    </w:p>
    <w:p>
      <w:pPr>
        <w:spacing w:line="240" w:lineRule="auto" w:before="13"/>
        <w:rPr>
          <w:rFonts w:ascii="宋体" w:hAnsi="宋体" w:cs="宋体" w:eastAsia="宋体" w:hint="default"/>
          <w:b/>
          <w:bCs/>
          <w:sz w:val="22"/>
          <w:szCs w:val="22"/>
        </w:rPr>
      </w:pPr>
    </w:p>
    <w:p>
      <w:pPr>
        <w:spacing w:before="44"/>
        <w:ind w:left="153"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）按金融资产种类</w:t>
      </w:r>
    </w:p>
    <w:p>
      <w:pPr>
        <w:spacing w:before="6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8"/>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2897"/>
        <w:gridCol w:w="3365"/>
        <w:gridCol w:w="3368"/>
      </w:tblGrid>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标的物类别</w:t>
            </w:r>
          </w:p>
        </w:tc>
        <w:tc>
          <w:tcPr>
            <w:tcW w:w="336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68"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1,098,405,392.73</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2,581,561,518.84</w:t>
            </w:r>
          </w:p>
        </w:tc>
      </w:tr>
      <w:tr>
        <w:trPr>
          <w:trHeight w:val="324"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416,000,000.00</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2,902,784,583.56</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1,514,405,392.73</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5,484,346,102.40</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5,518,542.51</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16,095,167.11</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1,508,886,850.22</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5,468,250,935.29</w:t>
            </w:r>
          </w:p>
        </w:tc>
      </w:tr>
    </w:tbl>
    <w:p>
      <w:pPr>
        <w:spacing w:line="240" w:lineRule="auto" w:before="1"/>
        <w:rPr>
          <w:rFonts w:ascii="宋体" w:hAnsi="宋体" w:cs="宋体" w:eastAsia="宋体" w:hint="default"/>
          <w:sz w:val="21"/>
          <w:szCs w:val="21"/>
        </w:rPr>
      </w:pPr>
    </w:p>
    <w:p>
      <w:pPr>
        <w:spacing w:before="44"/>
        <w:ind w:left="153"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）按业务类别列示</w:t>
      </w:r>
    </w:p>
    <w:p>
      <w:pPr>
        <w:spacing w:before="6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2897"/>
        <w:gridCol w:w="3365"/>
        <w:gridCol w:w="3368"/>
      </w:tblGrid>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6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68"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质押式回购证券</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1,514,405,392.73</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5,199,861,518.84</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其中：股票质押式回购</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1,098,405,392.73</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2,581,561,518.84</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新质押式国债回购</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416,000,000.00</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2,618,300,000.00</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债券买断式回购</w:t>
            </w:r>
          </w:p>
        </w:tc>
        <w:tc>
          <w:tcPr>
            <w:tcW w:w="3365" w:type="dxa"/>
            <w:tcBorders>
              <w:top w:val="single" w:sz="4" w:space="0" w:color="000000"/>
              <w:left w:val="single" w:sz="4" w:space="0" w:color="000000"/>
              <w:bottom w:val="single" w:sz="4" w:space="0" w:color="000000"/>
              <w:right w:val="single" w:sz="4" w:space="0" w:color="000000"/>
            </w:tcBorders>
          </w:tcPr>
          <w:p>
            <w:pP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284,484,583.56</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1,514,405,392.73</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5,484,346,102.40</w:t>
            </w:r>
          </w:p>
        </w:tc>
      </w:tr>
    </w:tbl>
    <w:p>
      <w:pPr>
        <w:spacing w:line="240" w:lineRule="auto" w:before="1"/>
        <w:rPr>
          <w:rFonts w:ascii="宋体" w:hAnsi="宋体" w:cs="宋体" w:eastAsia="宋体" w:hint="default"/>
          <w:sz w:val="21"/>
          <w:szCs w:val="21"/>
        </w:rPr>
      </w:pPr>
    </w:p>
    <w:p>
      <w:pPr>
        <w:spacing w:before="44"/>
        <w:ind w:left="153"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）股票质押式回购按剩余期限分类</w:t>
      </w:r>
    </w:p>
    <w:p>
      <w:pPr>
        <w:spacing w:before="6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2897"/>
        <w:gridCol w:w="3365"/>
        <w:gridCol w:w="3368"/>
      </w:tblGrid>
      <w:tr>
        <w:trPr>
          <w:trHeight w:val="323"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剩余期限</w:t>
            </w:r>
          </w:p>
        </w:tc>
        <w:tc>
          <w:tcPr>
            <w:tcW w:w="336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68"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一个月以内</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93,642,582.24</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77,226,311.56</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一个月至三个月内</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147,942,134.79</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183,480,508.37</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三个月至一年内</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835,861,287.00</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2,222,224,630.91</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20,959,388.70</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98,630,068.00</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1,098,405,392.73</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2,581,561,518.84</w:t>
            </w:r>
          </w:p>
        </w:tc>
      </w:tr>
    </w:tbl>
    <w:p>
      <w:pPr>
        <w:spacing w:line="240" w:lineRule="auto" w:before="1"/>
        <w:rPr>
          <w:rFonts w:ascii="宋体" w:hAnsi="宋体" w:cs="宋体" w:eastAsia="宋体" w:hint="default"/>
          <w:sz w:val="21"/>
          <w:szCs w:val="21"/>
        </w:rPr>
      </w:pPr>
    </w:p>
    <w:p>
      <w:pPr>
        <w:spacing w:before="44"/>
        <w:ind w:left="153"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）新质押式国债回购按剩余期限分类</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2897"/>
        <w:gridCol w:w="3365"/>
        <w:gridCol w:w="3368"/>
      </w:tblGrid>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剩余期限</w:t>
            </w:r>
          </w:p>
        </w:tc>
        <w:tc>
          <w:tcPr>
            <w:tcW w:w="3365"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68"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一个月以内</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416,000,000.00</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2,618,300,000.00</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416,000,000.00</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2,618,300,000.00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line="300" w:lineRule="auto" w:before="0"/>
        <w:ind w:left="153" w:right="119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）买入返售金融资产的担保物情况 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日，公司开展股票质押式回购业务收取的担保物价值为</w:t>
      </w:r>
      <w:r>
        <w:rPr>
          <w:rFonts w:ascii="Times New Roman" w:hAnsi="Times New Roman" w:cs="Times New Roman" w:eastAsia="Times New Roman" w:hint="default"/>
          <w:sz w:val="18"/>
          <w:szCs w:val="18"/>
        </w:rPr>
        <w:t>2,506,802,883.81</w:t>
      </w:r>
      <w:r>
        <w:rPr>
          <w:rFonts w:ascii="宋体" w:hAnsi="宋体" w:cs="宋体" w:eastAsia="宋体" w:hint="default"/>
          <w:sz w:val="18"/>
          <w:szCs w:val="18"/>
        </w:rPr>
        <w:t>元。 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日，买入返售金融资产期末余额较上年期末余额减少</w:t>
      </w:r>
      <w:r>
        <w:rPr>
          <w:rFonts w:ascii="Times New Roman" w:hAnsi="Times New Roman" w:cs="Times New Roman" w:eastAsia="Times New Roman" w:hint="default"/>
          <w:sz w:val="18"/>
          <w:szCs w:val="18"/>
        </w:rPr>
        <w:t>3,959,364,085.07</w:t>
      </w:r>
      <w:r>
        <w:rPr>
          <w:rFonts w:ascii="宋体" w:hAnsi="宋体" w:cs="宋体" w:eastAsia="宋体" w:hint="default"/>
          <w:sz w:val="18"/>
          <w:szCs w:val="18"/>
        </w:rPr>
        <w:t>元，下降比例为</w:t>
      </w:r>
      <w:r>
        <w:rPr>
          <w:rFonts w:ascii="Times New Roman" w:hAnsi="Times New Roman" w:cs="Times New Roman" w:eastAsia="Times New Roman" w:hint="default"/>
          <w:sz w:val="18"/>
          <w:szCs w:val="18"/>
        </w:rPr>
        <w:t>72.41%</w:t>
      </w:r>
      <w:r>
        <w:rPr>
          <w:rFonts w:ascii="宋体" w:hAnsi="宋体" w:cs="宋体" w:eastAsia="宋体" w:hint="default"/>
          <w:sz w:val="18"/>
          <w:szCs w:val="18"/>
        </w:rPr>
        <w:t>。主要为子 公司东方财富证券股票质押式回购业务规模下降。</w:t>
      </w:r>
    </w:p>
    <w:p>
      <w:pPr>
        <w:spacing w:line="240" w:lineRule="auto" w:before="10"/>
        <w:rPr>
          <w:rFonts w:ascii="宋体" w:hAnsi="宋体" w:cs="宋体" w:eastAsia="宋体" w:hint="default"/>
          <w:sz w:val="23"/>
          <w:szCs w:val="23"/>
        </w:rPr>
      </w:pPr>
    </w:p>
    <w:p>
      <w:pPr>
        <w:pStyle w:val="Heading5"/>
        <w:spacing w:line="240" w:lineRule="auto" w:before="0"/>
        <w:ind w:right="1114"/>
        <w:jc w:val="left"/>
        <w:rPr>
          <w:b w:val="0"/>
          <w:bCs w:val="0"/>
        </w:rPr>
      </w:pPr>
      <w:r>
        <w:rPr>
          <w:rFonts w:ascii="Times New Roman" w:hAnsi="Times New Roman" w:cs="Times New Roman" w:eastAsia="Times New Roman" w:hint="default"/>
        </w:rPr>
        <w:t>12</w:t>
      </w:r>
      <w:r>
        <w:rPr/>
        <w:t>、其他流动资产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4,462,858.29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1,841,066.71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待抵扣及留抵进项税额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29,324,210.78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99,133,528.04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16,539,824.88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392,335.88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预缴资管流转税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7,141,012.05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847,467,906.00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342,366,930.63</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13</w:t>
      </w:r>
      <w:r>
        <w:rPr/>
        <w:t>、 发放贷款及垫款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4" w:type="dxa"/>
        <w:tblLayout w:type="fixed"/>
        <w:tblCellMar>
          <w:top w:w="0" w:type="dxa"/>
          <w:left w:w="0" w:type="dxa"/>
          <w:bottom w:w="0" w:type="dxa"/>
          <w:right w:w="0" w:type="dxa"/>
        </w:tblCellMar>
        <w:tblLook w:val="01E0"/>
      </w:tblPr>
      <w:tblGrid>
        <w:gridCol w:w="1979"/>
        <w:gridCol w:w="1592"/>
        <w:gridCol w:w="744"/>
        <w:gridCol w:w="1632"/>
        <w:gridCol w:w="1997"/>
        <w:gridCol w:w="749"/>
        <w:gridCol w:w="936"/>
      </w:tblGrid>
      <w:tr>
        <w:trPr>
          <w:trHeight w:val="317" w:hRule="exact"/>
        </w:trPr>
        <w:tc>
          <w:tcPr>
            <w:tcW w:w="1979" w:type="dxa"/>
            <w:vMerge w:val="restart"/>
            <w:tcBorders>
              <w:top w:val="single" w:sz="4" w:space="0" w:color="000000"/>
              <w:left w:val="single" w:sz="4" w:space="0" w:color="000000"/>
              <w:right w:val="single" w:sz="4" w:space="0" w:color="000000"/>
            </w:tcBorders>
            <w:shd w:val="clear" w:color="auto" w:fill="C8C8C8"/>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68" w:type="dxa"/>
            <w:gridSpan w:val="3"/>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82" w:type="dxa"/>
            <w:gridSpan w:val="3"/>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8" w:hRule="exact"/>
        </w:trPr>
        <w:tc>
          <w:tcPr>
            <w:tcW w:w="1979" w:type="dxa"/>
            <w:vMerge/>
            <w:tcBorders>
              <w:left w:val="single" w:sz="4" w:space="0" w:color="000000"/>
              <w:right w:val="single" w:sz="4" w:space="0" w:color="000000"/>
            </w:tcBorders>
            <w:shd w:val="clear" w:color="auto" w:fill="C8C8C8"/>
          </w:tcPr>
          <w:p>
            <w:pPr/>
          </w:p>
        </w:tc>
        <w:tc>
          <w:tcPr>
            <w:tcW w:w="2336" w:type="dxa"/>
            <w:gridSpan w:val="2"/>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32" w:type="dxa"/>
            <w:vMerge w:val="restart"/>
            <w:tcBorders>
              <w:top w:val="single" w:sz="4" w:space="0" w:color="000000"/>
              <w:left w:val="single" w:sz="4" w:space="0" w:color="000000"/>
              <w:right w:val="single" w:sz="4" w:space="0" w:color="000000"/>
            </w:tcBorders>
            <w:shd w:val="clear" w:color="auto" w:fill="C8C8C8"/>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46" w:type="dxa"/>
            <w:gridSpan w:val="2"/>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36" w:type="dxa"/>
            <w:vMerge w:val="restart"/>
            <w:tcBorders>
              <w:top w:val="single" w:sz="4" w:space="0" w:color="000000"/>
              <w:left w:val="single" w:sz="4" w:space="0" w:color="000000"/>
              <w:right w:val="single" w:sz="4" w:space="0" w:color="000000"/>
            </w:tcBorders>
            <w:shd w:val="clear" w:color="auto" w:fill="C8C8C8"/>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35" w:hRule="exact"/>
        </w:trPr>
        <w:tc>
          <w:tcPr>
            <w:tcW w:w="1979" w:type="dxa"/>
            <w:vMerge/>
            <w:tcBorders>
              <w:left w:val="single" w:sz="4" w:space="0" w:color="000000"/>
              <w:bottom w:val="single" w:sz="4" w:space="0" w:color="000000"/>
              <w:right w:val="single" w:sz="4" w:space="0" w:color="000000"/>
            </w:tcBorders>
            <w:shd w:val="clear" w:color="auto" w:fill="C8C8C8"/>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44"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9"/>
              <w:ind w:left="18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32" w:type="dxa"/>
            <w:vMerge/>
            <w:tcBorders>
              <w:left w:val="single" w:sz="4" w:space="0" w:color="000000"/>
              <w:bottom w:val="single" w:sz="4" w:space="0" w:color="000000"/>
              <w:right w:val="single" w:sz="4" w:space="0" w:color="000000"/>
            </w:tcBorders>
            <w:shd w:val="clear" w:color="auto" w:fill="C8C8C8"/>
          </w:tcPr>
          <w:p>
            <w:pPr/>
          </w:p>
        </w:tc>
        <w:tc>
          <w:tcPr>
            <w:tcW w:w="1997"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9"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9"/>
              <w:ind w:left="18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36" w:type="dxa"/>
            <w:vMerge/>
            <w:tcBorders>
              <w:left w:val="single" w:sz="4" w:space="0" w:color="000000"/>
              <w:bottom w:val="single" w:sz="4" w:space="0" w:color="000000"/>
              <w:right w:val="single" w:sz="4" w:space="0" w:color="000000"/>
            </w:tcBorders>
            <w:shd w:val="clear" w:color="auto" w:fill="C8C8C8"/>
          </w:tcPr>
          <w:p>
            <w:pPr/>
          </w:p>
        </w:tc>
      </w:tr>
      <w:tr>
        <w:trPr>
          <w:trHeight w:val="322" w:hRule="exact"/>
        </w:trPr>
        <w:tc>
          <w:tcPr>
            <w:tcW w:w="1979"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15,141,480.40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378,537.01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2,915,700.00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29,157.00</w:t>
            </w:r>
          </w:p>
        </w:tc>
      </w:tr>
      <w:tr>
        <w:trPr>
          <w:trHeight w:val="322" w:hRule="exact"/>
        </w:trPr>
        <w:tc>
          <w:tcPr>
            <w:tcW w:w="1979"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15,141,480.40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378,537.01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2,915,700.00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29,157.00</w:t>
            </w:r>
          </w:p>
        </w:tc>
      </w:tr>
    </w:tbl>
    <w:p>
      <w:pPr>
        <w:spacing w:line="240" w:lineRule="auto" w:before="1"/>
        <w:rPr>
          <w:rFonts w:ascii="宋体" w:hAnsi="宋体" w:cs="宋体" w:eastAsia="宋体" w:hint="default"/>
          <w:sz w:val="21"/>
          <w:szCs w:val="21"/>
        </w:rPr>
      </w:pPr>
    </w:p>
    <w:p>
      <w:pPr>
        <w:spacing w:before="44"/>
        <w:ind w:left="153" w:right="1114" w:firstLine="0"/>
        <w:jc w:val="left"/>
        <w:rPr>
          <w:rFonts w:ascii="宋体" w:hAnsi="宋体" w:cs="宋体" w:eastAsia="宋体" w:hint="default"/>
          <w:sz w:val="18"/>
          <w:szCs w:val="18"/>
        </w:rPr>
      </w:pPr>
      <w:r>
        <w:rPr>
          <w:rFonts w:ascii="宋体" w:hAnsi="宋体" w:cs="宋体" w:eastAsia="宋体" w:hint="default"/>
          <w:sz w:val="18"/>
          <w:szCs w:val="18"/>
        </w:rPr>
        <w:t>发放贷款及垫款按种类披露：</w:t>
      </w:r>
    </w:p>
    <w:p>
      <w:pPr>
        <w:spacing w:before="7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8"/>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54" w:type="dxa"/>
        <w:tblLayout w:type="fixed"/>
        <w:tblCellMar>
          <w:top w:w="0" w:type="dxa"/>
          <w:left w:w="0" w:type="dxa"/>
          <w:bottom w:w="0" w:type="dxa"/>
          <w:right w:w="0" w:type="dxa"/>
        </w:tblCellMar>
        <w:tblLook w:val="01E0"/>
      </w:tblPr>
      <w:tblGrid>
        <w:gridCol w:w="748"/>
        <w:gridCol w:w="1253"/>
        <w:gridCol w:w="1114"/>
        <w:gridCol w:w="1133"/>
        <w:gridCol w:w="1234"/>
        <w:gridCol w:w="1414"/>
        <w:gridCol w:w="1136"/>
        <w:gridCol w:w="936"/>
        <w:gridCol w:w="1090"/>
      </w:tblGrid>
      <w:tr>
        <w:trPr>
          <w:trHeight w:val="322" w:hRule="exact"/>
        </w:trPr>
        <w:tc>
          <w:tcPr>
            <w:tcW w:w="748" w:type="dxa"/>
            <w:vMerge w:val="restart"/>
            <w:tcBorders>
              <w:top w:val="single" w:sz="4" w:space="0" w:color="000000"/>
              <w:left w:val="single" w:sz="4" w:space="0" w:color="000000"/>
              <w:right w:val="single" w:sz="4" w:space="0" w:color="000000"/>
            </w:tcBorders>
            <w:shd w:val="clear" w:color="auto" w:fill="C8C8C8"/>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734" w:type="dxa"/>
            <w:gridSpan w:val="4"/>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75" w:type="dxa"/>
            <w:gridSpan w:val="4"/>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748" w:type="dxa"/>
            <w:vMerge/>
            <w:tcBorders>
              <w:left w:val="single" w:sz="4" w:space="0" w:color="000000"/>
              <w:right w:val="single" w:sz="4" w:space="0" w:color="000000"/>
            </w:tcBorders>
            <w:shd w:val="clear" w:color="auto" w:fill="C8C8C8"/>
          </w:tcPr>
          <w:p>
            <w:pPr/>
          </w:p>
        </w:tc>
        <w:tc>
          <w:tcPr>
            <w:tcW w:w="2367" w:type="dxa"/>
            <w:gridSpan w:val="2"/>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67" w:type="dxa"/>
            <w:gridSpan w:val="2"/>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549" w:type="dxa"/>
            <w:gridSpan w:val="2"/>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26" w:type="dxa"/>
            <w:gridSpan w:val="2"/>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64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35" w:hRule="exact"/>
        </w:trPr>
        <w:tc>
          <w:tcPr>
            <w:tcW w:w="748" w:type="dxa"/>
            <w:vMerge/>
            <w:tcBorders>
              <w:left w:val="single" w:sz="4" w:space="0" w:color="000000"/>
              <w:bottom w:val="single" w:sz="4" w:space="0" w:color="000000"/>
              <w:right w:val="single" w:sz="4" w:space="0" w:color="000000"/>
            </w:tcBorders>
            <w:shd w:val="clear" w:color="auto" w:fill="C8C8C8"/>
          </w:tcPr>
          <w:p>
            <w:pPr/>
          </w:p>
        </w:tc>
        <w:tc>
          <w:tcPr>
            <w:tcW w:w="1253"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4"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4"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4"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6"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936"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0"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748"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15,141,480.40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center"/>
              <w:rPr>
                <w:rFonts w:ascii="Times New Roman" w:hAnsi="Times New Roman" w:cs="Times New Roman" w:eastAsia="Times New Roman" w:hint="default"/>
                <w:sz w:val="18"/>
                <w:szCs w:val="18"/>
              </w:rPr>
            </w:pPr>
            <w:r>
              <w:rPr>
                <w:rFonts w:ascii="Times New Roman"/>
                <w:sz w:val="18"/>
              </w:rPr>
              <w:t>378,537.01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2.5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2,915,700.00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29,157.00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w:t>
            </w:r>
          </w:p>
        </w:tc>
      </w:tr>
      <w:tr>
        <w:trPr>
          <w:trHeight w:val="322" w:hRule="exact"/>
        </w:trPr>
        <w:tc>
          <w:tcPr>
            <w:tcW w:w="748"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15,141,480.40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center"/>
              <w:rPr>
                <w:rFonts w:ascii="Times New Roman" w:hAnsi="Times New Roman" w:cs="Times New Roman" w:eastAsia="Times New Roman" w:hint="default"/>
                <w:sz w:val="18"/>
                <w:szCs w:val="18"/>
              </w:rPr>
            </w:pPr>
            <w:r>
              <w:rPr>
                <w:rFonts w:ascii="Times New Roman"/>
                <w:sz w:val="18"/>
              </w:rPr>
              <w:t>378,537.01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2.5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2,915,700.00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29,157.00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999"/>
        <w:gridCol w:w="1196"/>
        <w:gridCol w:w="1195"/>
        <w:gridCol w:w="1198"/>
        <w:gridCol w:w="1248"/>
        <w:gridCol w:w="1366"/>
        <w:gridCol w:w="1368"/>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99"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80,857,000.00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80,857,000.00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81,500,000.00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5,857,000.00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5,857,000.00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81,500,000.00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券商资产管理计划</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8,151,982.93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8,151,982.93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8,488,086.30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8,488,086.30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89,008,982.93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89,008,982.93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89,988,086.30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89,988,086.30</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4" w:type="dxa"/>
        <w:tblLayout w:type="fixed"/>
        <w:tblCellMar>
          <w:top w:w="0" w:type="dxa"/>
          <w:left w:w="0" w:type="dxa"/>
          <w:bottom w:w="0" w:type="dxa"/>
          <w:right w:w="0" w:type="dxa"/>
        </w:tblCellMar>
        <w:tblLook w:val="01E0"/>
      </w:tblPr>
      <w:tblGrid>
        <w:gridCol w:w="3256"/>
        <w:gridCol w:w="2124"/>
        <w:gridCol w:w="2125"/>
        <w:gridCol w:w="2124"/>
      </w:tblGrid>
      <w:tr>
        <w:trPr>
          <w:trHeight w:val="401" w:hRule="exact"/>
        </w:trPr>
        <w:tc>
          <w:tcPr>
            <w:tcW w:w="3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券商资产管理计划</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3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债务工具的摊余成本</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15,500,000.00</w:t>
            </w:r>
          </w:p>
        </w:tc>
      </w:tr>
      <w:tr>
        <w:trPr>
          <w:trHeight w:val="401" w:hRule="exact"/>
        </w:trPr>
        <w:tc>
          <w:tcPr>
            <w:tcW w:w="3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8,151,982.93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5,857,000.00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14,008,982.93</w:t>
            </w:r>
          </w:p>
        </w:tc>
      </w:tr>
      <w:tr>
        <w:trPr>
          <w:trHeight w:val="715" w:hRule="exact"/>
        </w:trPr>
        <w:tc>
          <w:tcPr>
            <w:tcW w:w="3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 金额</w:t>
            </w:r>
          </w:p>
        </w:tc>
        <w:tc>
          <w:tcPr>
            <w:tcW w:w="2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-848,017.07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-1,491,017.07</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77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015"/>
        <w:gridCol w:w="1097"/>
        <w:gridCol w:w="872"/>
        <w:gridCol w:w="1022"/>
        <w:gridCol w:w="1172"/>
        <w:gridCol w:w="850"/>
        <w:gridCol w:w="852"/>
        <w:gridCol w:w="850"/>
        <w:gridCol w:w="626"/>
        <w:gridCol w:w="648"/>
        <w:gridCol w:w="1092"/>
      </w:tblGrid>
      <w:tr>
        <w:trPr>
          <w:trHeight w:val="403" w:hRule="exact"/>
        </w:trPr>
        <w:tc>
          <w:tcPr>
            <w:tcW w:w="10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1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0" w:right="47"/>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53" w:right="87"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936" w:hRule="exact"/>
        </w:trPr>
        <w:tc>
          <w:tcPr>
            <w:tcW w:w="1015" w:type="dxa"/>
            <w:vMerge/>
            <w:tcBorders>
              <w:left w:val="single" w:sz="4" w:space="0" w:color="000000"/>
              <w:bottom w:val="single" w:sz="4" w:space="0" w:color="000000"/>
              <w:right w:val="single" w:sz="4" w:space="0" w:color="000000"/>
            </w:tcBorders>
            <w:shd w:val="clear" w:color="auto" w:fill="D2D2D2"/>
          </w:tcPr>
          <w:p>
            <w:pP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648"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0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中证信用增 进股份有限 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50,000,000.00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0" w:right="0"/>
              <w:jc w:val="center"/>
              <w:rPr>
                <w:rFonts w:ascii="Times New Roman" w:hAnsi="Times New Roman" w:cs="Times New Roman" w:eastAsia="Times New Roman" w:hint="default"/>
                <w:sz w:val="18"/>
                <w:szCs w:val="18"/>
              </w:rPr>
            </w:pPr>
            <w:r>
              <w:rPr>
                <w:rFonts w:ascii="Times New Roman"/>
                <w:sz w:val="18"/>
              </w:rPr>
              <w:t>1.09%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5" w:hRule="exact"/>
        </w:trPr>
        <w:tc>
          <w:tcPr>
            <w:tcW w:w="10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证通股份有 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25,000,000.00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0" w:right="0"/>
              <w:jc w:val="center"/>
              <w:rPr>
                <w:rFonts w:ascii="Times New Roman" w:hAnsi="Times New Roman" w:cs="Times New Roman" w:eastAsia="Times New Roman" w:hint="default"/>
                <w:sz w:val="18"/>
                <w:szCs w:val="18"/>
              </w:rPr>
            </w:pPr>
            <w:r>
              <w:rPr>
                <w:rFonts w:ascii="Times New Roman"/>
                <w:sz w:val="18"/>
              </w:rPr>
              <w:t>0.99%</w:t>
            </w: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75,000,000.00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77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794"/>
        <w:gridCol w:w="1298"/>
        <w:gridCol w:w="569"/>
        <w:gridCol w:w="526"/>
        <w:gridCol w:w="1102"/>
        <w:gridCol w:w="660"/>
        <w:gridCol w:w="936"/>
        <w:gridCol w:w="1333"/>
        <w:gridCol w:w="708"/>
        <w:gridCol w:w="355"/>
        <w:gridCol w:w="1195"/>
        <w:gridCol w:w="552"/>
      </w:tblGrid>
      <w:tr>
        <w:trPr>
          <w:trHeight w:val="401" w:hRule="exact"/>
        </w:trPr>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29"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12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8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91" w:right="89"/>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027" w:hRule="exact"/>
        </w:trPr>
        <w:tc>
          <w:tcPr>
            <w:tcW w:w="794" w:type="dxa"/>
            <w:vMerge/>
            <w:tcBorders>
              <w:left w:val="single" w:sz="4" w:space="0" w:color="000000"/>
              <w:bottom w:val="single" w:sz="4" w:space="0" w:color="000000"/>
              <w:right w:val="single" w:sz="4" w:space="0" w:color="000000"/>
            </w:tcBorders>
            <w:shd w:val="clear" w:color="auto" w:fill="D2D2D2"/>
          </w:tcPr>
          <w:p>
            <w:pPr/>
          </w:p>
        </w:tc>
        <w:tc>
          <w:tcPr>
            <w:tcW w:w="1298" w:type="dxa"/>
            <w:vMerge/>
            <w:tcBorders>
              <w:left w:val="single" w:sz="4" w:space="0" w:color="000000"/>
              <w:bottom w:val="single" w:sz="4" w:space="0" w:color="000000"/>
              <w:right w:val="single" w:sz="4" w:space="0" w:color="000000"/>
            </w:tcBorders>
            <w:shd w:val="clear" w:color="auto" w:fill="D2D2D2"/>
          </w:tcPr>
          <w:p>
            <w:pP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9"/>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5"/>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53"/>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101"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9" w:right="29" w:hanging="269"/>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1" w:right="83"/>
              <w:jc w:val="left"/>
              <w:rPr>
                <w:rFonts w:ascii="宋体" w:hAnsi="宋体" w:cs="宋体" w:eastAsia="宋体" w:hint="default"/>
                <w:sz w:val="18"/>
                <w:szCs w:val="18"/>
              </w:rPr>
            </w:pPr>
            <w:r>
              <w:rPr>
                <w:rFonts w:ascii="宋体" w:hAnsi="宋体" w:cs="宋体" w:eastAsia="宋体" w:hint="default"/>
                <w:sz w:val="18"/>
                <w:szCs w:val="18"/>
              </w:rPr>
              <w:t>其 他</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55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02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bl>
    <w:p>
      <w:pPr>
        <w:spacing w:after="0" w:line="240" w:lineRule="auto"/>
        <w:jc w:val="left"/>
        <w:rPr>
          <w:rFonts w:ascii="宋体" w:hAnsi="宋体" w:cs="宋体" w:eastAsia="宋体"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794"/>
        <w:gridCol w:w="1298"/>
        <w:gridCol w:w="569"/>
        <w:gridCol w:w="526"/>
        <w:gridCol w:w="1102"/>
        <w:gridCol w:w="660"/>
        <w:gridCol w:w="936"/>
        <w:gridCol w:w="1333"/>
        <w:gridCol w:w="708"/>
        <w:gridCol w:w="355"/>
        <w:gridCol w:w="1195"/>
        <w:gridCol w:w="552"/>
      </w:tblGrid>
      <w:tr>
        <w:trPr>
          <w:trHeight w:val="401" w:hRule="exact"/>
        </w:trPr>
        <w:tc>
          <w:tcPr>
            <w:tcW w:w="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漫道金服</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376,760,536.99</w:t>
            </w:r>
          </w:p>
        </w:tc>
        <w:tc>
          <w:tcPr>
            <w:tcW w:w="56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59,801,705.27</w:t>
            </w:r>
          </w:p>
        </w:tc>
        <w:tc>
          <w:tcPr>
            <w:tcW w:w="66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26,581,004.14</w:t>
            </w:r>
          </w:p>
        </w:tc>
        <w:tc>
          <w:tcPr>
            <w:tcW w:w="708"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409,981,238.12</w:t>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中证信用 云</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5" w:right="0"/>
              <w:jc w:val="center"/>
              <w:rPr>
                <w:rFonts w:ascii="Times New Roman" w:hAnsi="Times New Roman" w:cs="Times New Roman" w:eastAsia="Times New Roman" w:hint="default"/>
                <w:sz w:val="18"/>
                <w:szCs w:val="18"/>
              </w:rPr>
            </w:pPr>
            <w:r>
              <w:rPr>
                <w:rFonts w:ascii="Times New Roman"/>
                <w:sz w:val="18"/>
              </w:rPr>
              <w:t>33,675,803.88</w:t>
            </w:r>
          </w:p>
        </w:tc>
        <w:tc>
          <w:tcPr>
            <w:tcW w:w="56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779,457.41</w:t>
            </w:r>
          </w:p>
        </w:tc>
        <w:tc>
          <w:tcPr>
            <w:tcW w:w="66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351,905.17</w:t>
            </w:r>
          </w:p>
        </w:tc>
        <w:tc>
          <w:tcPr>
            <w:tcW w:w="13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34,807,166.46</w:t>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410,436,340.87</w:t>
            </w:r>
          </w:p>
        </w:tc>
        <w:tc>
          <w:tcPr>
            <w:tcW w:w="56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60,581,162.68</w:t>
            </w:r>
          </w:p>
        </w:tc>
        <w:tc>
          <w:tcPr>
            <w:tcW w:w="66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351,905.17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26,581,004.14</w:t>
            </w:r>
          </w:p>
        </w:tc>
        <w:tc>
          <w:tcPr>
            <w:tcW w:w="708"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444,788,404.58</w:t>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center"/>
              <w:rPr>
                <w:rFonts w:ascii="Times New Roman" w:hAnsi="Times New Roman" w:cs="Times New Roman" w:eastAsia="Times New Roman" w:hint="default"/>
                <w:sz w:val="18"/>
                <w:szCs w:val="18"/>
              </w:rPr>
            </w:pPr>
            <w:r>
              <w:rPr>
                <w:rFonts w:ascii="Times New Roman"/>
                <w:sz w:val="18"/>
              </w:rPr>
              <w:t>410,436,340.87</w:t>
            </w:r>
          </w:p>
        </w:tc>
        <w:tc>
          <w:tcPr>
            <w:tcW w:w="56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60,581,162.68</w:t>
            </w:r>
          </w:p>
        </w:tc>
        <w:tc>
          <w:tcPr>
            <w:tcW w:w="66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351,905.17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26,581,004.14</w:t>
            </w:r>
          </w:p>
        </w:tc>
        <w:tc>
          <w:tcPr>
            <w:tcW w:w="708"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444,788,404.58</w:t>
            </w:r>
          </w:p>
        </w:tc>
        <w:tc>
          <w:tcPr>
            <w:tcW w:w="5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5"/>
        <w:gridCol w:w="3188"/>
        <w:gridCol w:w="318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1,716,423,761.02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1,761,274,524.65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1,716,423,761.02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1,761,274,524.65</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1,536,314,596.09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539,601,058.93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17,836,329.55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51,957,008.38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2,145,708,992.95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116,285,695.00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22,667,981.78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937,850.89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6,959,692.89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146,851,220.56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114,300,386.14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20,810,036.45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937,850.89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6,432,813.37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142,481,086.85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6" w:firstLine="1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 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1,985,308.86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1,857,945.33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526,879.52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4,370,133.71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6" w:firstLine="1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 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19,306,154.14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248,637.67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20,135,691.81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19,306,154.14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248,637.67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20,135,691.81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1,652,600,291.09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542,962,886.57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18,193,280.44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58,668,063.60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2,272,424,521.70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140,266,820.02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211,439,434.39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11,568,438.67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21,159,775.22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384,434,468.30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85,525,195.89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93,383,940.17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1,733,998.68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10,058,358.81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190,701,493.55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85,525,195.89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93,383,940.17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1,733,998.68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10,058,358.81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190,701,493.55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18,348,316.31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551,855.00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235,029.86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19,135,201.17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18,348,316.31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551,855.00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235,029.86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19,135,201.17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225,792,015.91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286,475,058.25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12,750,582.35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30,983,104.17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556,000,760.68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979" w:header="852" w:top="1260" w:bottom="1160" w:left="980" w:right="0"/>
          <w:pgNumType w:start="120"/>
        </w:sectPr>
      </w:pPr>
    </w:p>
    <w:p>
      <w:pPr>
        <w:spacing w:line="240" w:lineRule="auto" w:before="7"/>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1,426,808,275.18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256,487,828.32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5,442,698.09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27,684,959.43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1,716,423,761.02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1,396,047,776.07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328,161,624.54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6,267,890.88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30,797,233.16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1,761,274,524.65</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779"/>
        <w:gridCol w:w="4789"/>
      </w:tblGrid>
      <w:tr>
        <w:trPr>
          <w:trHeight w:val="39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上海市松江区民强路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13,164,633.13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上海市永和路</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z w:val="18"/>
                <w:szCs w:val="18"/>
              </w:rPr>
              <w:t> </w:t>
            </w:r>
            <w:r>
              <w:rPr>
                <w:rFonts w:ascii="宋体" w:hAnsi="宋体" w:cs="宋体" w:eastAsia="宋体" w:hint="default"/>
                <w:sz w:val="18"/>
                <w:szCs w:val="18"/>
              </w:rPr>
              <w:t>弄东方环球企业中心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28,161,099.21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41,325,732.34</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894"/>
        <w:gridCol w:w="3817"/>
        <w:gridCol w:w="3857"/>
      </w:tblGrid>
      <w:tr>
        <w:trPr>
          <w:trHeight w:val="401"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9,942,080.28</w:t>
            </w:r>
          </w:p>
        </w:tc>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43,834,230.95</w:t>
            </w:r>
          </w:p>
        </w:tc>
      </w:tr>
      <w:tr>
        <w:trPr>
          <w:trHeight w:val="401"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9,942,080.28</w:t>
            </w:r>
          </w:p>
        </w:tc>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43,834,230.95</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554"/>
        <w:gridCol w:w="1135"/>
        <w:gridCol w:w="850"/>
        <w:gridCol w:w="1419"/>
        <w:gridCol w:w="1277"/>
        <w:gridCol w:w="970"/>
        <w:gridCol w:w="1368"/>
      </w:tblGrid>
      <w:tr>
        <w:trPr>
          <w:trHeight w:val="401" w:hRule="exact"/>
        </w:trPr>
        <w:tc>
          <w:tcPr>
            <w:tcW w:w="25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2554"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软件系统及设备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1,112,264.16</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1,112,264.16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13,907,199.44</w:t>
            </w:r>
          </w:p>
        </w:tc>
        <w:tc>
          <w:tcPr>
            <w:tcW w:w="9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13,907,199.44</w:t>
            </w:r>
          </w:p>
        </w:tc>
      </w:tr>
      <w:tr>
        <w:trPr>
          <w:trHeight w:val="403" w:hRule="exact"/>
        </w:trPr>
        <w:tc>
          <w:tcPr>
            <w:tcW w:w="2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证券营业部及子公司装修工程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8,829,816.12</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8,829,816.12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28,371,045.91</w:t>
            </w:r>
          </w:p>
        </w:tc>
        <w:tc>
          <w:tcPr>
            <w:tcW w:w="9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28,371,045.91</w:t>
            </w:r>
          </w:p>
        </w:tc>
      </w:tr>
      <w:tr>
        <w:trPr>
          <w:trHeight w:val="401" w:hRule="exact"/>
        </w:trPr>
        <w:tc>
          <w:tcPr>
            <w:tcW w:w="2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宛平南路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号装修工程</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332,561.91</w:t>
            </w:r>
          </w:p>
        </w:tc>
        <w:tc>
          <w:tcPr>
            <w:tcW w:w="9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332,561.91</w:t>
            </w:r>
          </w:p>
        </w:tc>
      </w:tr>
      <w:tr>
        <w:trPr>
          <w:trHeight w:val="403" w:hRule="exact"/>
        </w:trPr>
        <w:tc>
          <w:tcPr>
            <w:tcW w:w="2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宛平南路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弄装修工程</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1,223,423.69</w:t>
            </w:r>
          </w:p>
        </w:tc>
        <w:tc>
          <w:tcPr>
            <w:tcW w:w="9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1,223,423.69</w:t>
            </w:r>
          </w:p>
        </w:tc>
      </w:tr>
      <w:tr>
        <w:trPr>
          <w:trHeight w:val="401" w:hRule="exact"/>
        </w:trPr>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9,942,080.28</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9,942,080.28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43,834,230.95</w:t>
            </w:r>
          </w:p>
        </w:tc>
        <w:tc>
          <w:tcPr>
            <w:tcW w:w="9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43,834,230.95</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54" w:type="dxa"/>
        <w:tblLayout w:type="fixed"/>
        <w:tblCellMar>
          <w:top w:w="0" w:type="dxa"/>
          <w:left w:w="0" w:type="dxa"/>
          <w:bottom w:w="0" w:type="dxa"/>
          <w:right w:w="0" w:type="dxa"/>
        </w:tblCellMar>
        <w:tblLook w:val="01E0"/>
      </w:tblPr>
      <w:tblGrid>
        <w:gridCol w:w="1708"/>
        <w:gridCol w:w="1321"/>
        <w:gridCol w:w="1322"/>
        <w:gridCol w:w="1320"/>
        <w:gridCol w:w="1320"/>
        <w:gridCol w:w="1323"/>
        <w:gridCol w:w="1315"/>
      </w:tblGrid>
      <w:tr>
        <w:trPr>
          <w:trHeight w:val="754"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1"/>
              <w:ind w:left="386" w:right="22" w:hanging="360"/>
              <w:jc w:val="left"/>
              <w:rPr>
                <w:rFonts w:ascii="宋体" w:hAnsi="宋体" w:cs="宋体" w:eastAsia="宋体" w:hint="default"/>
                <w:sz w:val="18"/>
                <w:szCs w:val="18"/>
              </w:rPr>
            </w:pPr>
            <w:r>
              <w:rPr>
                <w:rFonts w:ascii="宋体" w:hAnsi="宋体" w:cs="宋体" w:eastAsia="宋体" w:hint="default"/>
                <w:sz w:val="18"/>
                <w:szCs w:val="18"/>
              </w:rPr>
              <w:t>本期转入固定资 产金额</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95" w:right="293"/>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软件系统及设备</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13,907,199.44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13,657,155.00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612,639.75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25,839,450.53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1,112,264.16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证券营业部及子公司 装修工程</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28,371,045.91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21,183,489.15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1,772,185.10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38,952,533.84</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8,829,816.12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39"/>
              <w:jc w:val="left"/>
              <w:rPr>
                <w:rFonts w:ascii="宋体" w:hAnsi="宋体" w:cs="宋体" w:eastAsia="宋体" w:hint="default"/>
                <w:sz w:val="18"/>
                <w:szCs w:val="18"/>
              </w:rPr>
            </w:pPr>
            <w:r>
              <w:rPr>
                <w:rFonts w:ascii="宋体" w:hAnsi="宋体" w:cs="宋体" w:eastAsia="宋体" w:hint="default"/>
                <w:sz w:val="18"/>
                <w:szCs w:val="18"/>
              </w:rPr>
              <w:t>宛平南路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号装修 工程</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332,561.91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57,873.51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390,435.42</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49"/>
              <w:ind w:left="22" w:right="139"/>
              <w:jc w:val="left"/>
              <w:rPr>
                <w:rFonts w:ascii="宋体" w:hAnsi="宋体" w:cs="宋体" w:eastAsia="宋体" w:hint="default"/>
                <w:sz w:val="18"/>
                <w:szCs w:val="18"/>
              </w:rPr>
            </w:pPr>
            <w:r>
              <w:rPr>
                <w:rFonts w:ascii="宋体" w:hAnsi="宋体" w:cs="宋体" w:eastAsia="宋体" w:hint="default"/>
                <w:sz w:val="18"/>
                <w:szCs w:val="18"/>
              </w:rPr>
              <w:t>宛平南路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弄装修 工程</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1,223,423.69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371,449.75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1,594,873.44</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4"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43,834,230.95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35,269,967.41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4,370,133.71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64,791,984.37</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9,942,080.28</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10"/>
        <w:rPr>
          <w:rFonts w:ascii="宋体" w:hAnsi="宋体" w:cs="宋体" w:eastAsia="宋体" w:hint="default"/>
          <w:b/>
          <w:bCs/>
          <w:sz w:val="22"/>
          <w:szCs w:val="22"/>
        </w:rPr>
      </w:pPr>
    </w:p>
    <w:p>
      <w:pPr>
        <w:spacing w:before="44"/>
        <w:ind w:left="0" w:right="9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1327"/>
        <w:gridCol w:w="1030"/>
        <w:gridCol w:w="1181"/>
        <w:gridCol w:w="1092"/>
        <w:gridCol w:w="1030"/>
        <w:gridCol w:w="1027"/>
        <w:gridCol w:w="1030"/>
        <w:gridCol w:w="1032"/>
        <w:gridCol w:w="1181"/>
      </w:tblGrid>
      <w:tr>
        <w:trPr>
          <w:trHeight w:val="714"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交易席位费</w:t>
            </w:r>
          </w:p>
        </w:tc>
        <w:tc>
          <w:tcPr>
            <w:tcW w:w="11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0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期货经营权</w:t>
            </w:r>
          </w:p>
        </w:tc>
        <w:tc>
          <w:tcPr>
            <w:tcW w:w="1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0"/>
              <w:ind w:left="420" w:right="58" w:hanging="361"/>
              <w:jc w:val="left"/>
              <w:rPr>
                <w:rFonts w:ascii="宋体" w:hAnsi="宋体" w:cs="宋体" w:eastAsia="宋体" w:hint="default"/>
                <w:sz w:val="18"/>
                <w:szCs w:val="18"/>
              </w:rPr>
            </w:pPr>
            <w:r>
              <w:rPr>
                <w:rFonts w:ascii="宋体" w:hAnsi="宋体" w:cs="宋体" w:eastAsia="宋体" w:hint="default"/>
                <w:sz w:val="18"/>
                <w:szCs w:val="18"/>
              </w:rPr>
              <w:t>期货公司名 称</w:t>
            </w:r>
          </w:p>
        </w:tc>
        <w:tc>
          <w:tcPr>
            <w:tcW w:w="10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0"/>
              <w:ind w:left="239" w:right="55" w:hanging="180"/>
              <w:jc w:val="left"/>
              <w:rPr>
                <w:rFonts w:ascii="宋体" w:hAnsi="宋体" w:cs="宋体" w:eastAsia="宋体" w:hint="default"/>
                <w:sz w:val="18"/>
                <w:szCs w:val="18"/>
              </w:rPr>
            </w:pPr>
            <w:r>
              <w:rPr>
                <w:rFonts w:ascii="宋体" w:hAnsi="宋体" w:cs="宋体" w:eastAsia="宋体" w:hint="default"/>
                <w:sz w:val="18"/>
                <w:szCs w:val="18"/>
              </w:rPr>
              <w:t>期货会员资 格投资</w:t>
            </w:r>
          </w:p>
        </w:tc>
        <w:tc>
          <w:tcPr>
            <w:tcW w:w="1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0"/>
              <w:ind w:left="420" w:right="58" w:hanging="360"/>
              <w:jc w:val="left"/>
              <w:rPr>
                <w:rFonts w:ascii="宋体" w:hAnsi="宋体" w:cs="宋体" w:eastAsia="宋体" w:hint="default"/>
                <w:sz w:val="18"/>
                <w:szCs w:val="18"/>
              </w:rPr>
            </w:pPr>
            <w:r>
              <w:rPr>
                <w:rFonts w:ascii="宋体" w:hAnsi="宋体" w:cs="宋体" w:eastAsia="宋体" w:hint="default"/>
                <w:sz w:val="18"/>
                <w:szCs w:val="18"/>
              </w:rPr>
              <w:t>公司网站域 名</w:t>
            </w:r>
          </w:p>
        </w:tc>
        <w:tc>
          <w:tcPr>
            <w:tcW w:w="10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center"/>
              <w:rPr>
                <w:rFonts w:ascii="Times New Roman" w:hAnsi="Times New Roman" w:cs="Times New Roman" w:eastAsia="Times New Roman" w:hint="default"/>
                <w:sz w:val="18"/>
                <w:szCs w:val="18"/>
              </w:rPr>
            </w:pPr>
            <w:r>
              <w:rPr>
                <w:rFonts w:ascii="Times New Roman"/>
                <w:sz w:val="18"/>
              </w:rPr>
              <w:t>8,355,652.50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108,185,011.38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32,490,415.53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1,817,955.00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7,619,417.48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159,987,951.89</w:t>
            </w:r>
          </w:p>
        </w:tc>
      </w:tr>
      <w:tr>
        <w:trPr>
          <w:trHeight w:val="401"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36,084,143.44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36,084,143.44</w:t>
            </w:r>
          </w:p>
        </w:tc>
      </w:tr>
      <w:tr>
        <w:trPr>
          <w:trHeight w:val="404"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10,244,692.91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10,244,692.91</w:t>
            </w:r>
          </w:p>
        </w:tc>
      </w:tr>
      <w:tr>
        <w:trPr>
          <w:trHeight w:val="401"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）在建工程 转入</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25,839,450.53</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25,839,450.53</w:t>
            </w:r>
          </w:p>
        </w:tc>
      </w:tr>
      <w:tr>
        <w:trPr>
          <w:trHeight w:val="403"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517,900.34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417,955.00</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2,335,855.34</w:t>
            </w:r>
          </w:p>
        </w:tc>
      </w:tr>
      <w:tr>
        <w:trPr>
          <w:trHeight w:val="401"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517,900.34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417,955.00</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2,335,855.34</w:t>
            </w:r>
          </w:p>
        </w:tc>
      </w:tr>
      <w:tr>
        <w:trPr>
          <w:trHeight w:val="403"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center"/>
              <w:rPr>
                <w:rFonts w:ascii="Times New Roman" w:hAnsi="Times New Roman" w:cs="Times New Roman" w:eastAsia="Times New Roman" w:hint="default"/>
                <w:sz w:val="18"/>
                <w:szCs w:val="18"/>
              </w:rPr>
            </w:pPr>
            <w:r>
              <w:rPr>
                <w:rFonts w:ascii="Times New Roman"/>
                <w:sz w:val="18"/>
              </w:rPr>
              <w:t>8,355,652.50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143,751,254.48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32,490,415.53</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7,619,417.48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193,736,239.99</w:t>
            </w:r>
          </w:p>
        </w:tc>
      </w:tr>
      <w:tr>
        <w:trPr>
          <w:trHeight w:val="401"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center"/>
              <w:rPr>
                <w:rFonts w:ascii="Times New Roman" w:hAnsi="Times New Roman" w:cs="Times New Roman" w:eastAsia="Times New Roman" w:hint="default"/>
                <w:sz w:val="18"/>
                <w:szCs w:val="18"/>
              </w:rPr>
            </w:pPr>
            <w:r>
              <w:rPr>
                <w:rFonts w:ascii="Times New Roman"/>
                <w:sz w:val="18"/>
              </w:rPr>
              <w:t>8,355,652.50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60,093,088.35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19,384,879.33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6,965.91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1,542,912.58</w:t>
            </w: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90,783,498.67</w:t>
            </w:r>
          </w:p>
        </w:tc>
      </w:tr>
      <w:tr>
        <w:trPr>
          <w:trHeight w:val="401"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23,610,870.11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3,186,666.66</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42,214.90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761,941.74</w:t>
            </w: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27,601,693.41</w:t>
            </w:r>
          </w:p>
        </w:tc>
      </w:tr>
      <w:tr>
        <w:trPr>
          <w:trHeight w:val="403"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23,610,870.11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3,186,666.66</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42,214.90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761,941.74</w:t>
            </w: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27,601,693.41</w:t>
            </w:r>
          </w:p>
        </w:tc>
      </w:tr>
      <w:tr>
        <w:trPr>
          <w:trHeight w:val="401"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517,900.34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49,180.81</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1,967,081.15</w:t>
            </w:r>
          </w:p>
        </w:tc>
      </w:tr>
      <w:tr>
        <w:trPr>
          <w:trHeight w:val="403"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517,900.34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49,180.81</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1,967,081.15</w:t>
            </w:r>
          </w:p>
        </w:tc>
      </w:tr>
      <w:tr>
        <w:trPr>
          <w:trHeight w:val="401"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8,355,652.50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83,186,058.12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22,571,545.99</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2,304,854.32</w:t>
            </w: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116,418,110.93</w:t>
            </w:r>
          </w:p>
        </w:tc>
      </w:tr>
      <w:tr>
        <w:trPr>
          <w:trHeight w:val="403" w:hRule="exact"/>
        </w:trPr>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54" w:type="dxa"/>
        <w:tblLayout w:type="fixed"/>
        <w:tblCellMar>
          <w:top w:w="0" w:type="dxa"/>
          <w:left w:w="0" w:type="dxa"/>
          <w:bottom w:w="0" w:type="dxa"/>
          <w:right w:w="0" w:type="dxa"/>
        </w:tblCellMar>
        <w:tblLook w:val="01E0"/>
      </w:tblPr>
      <w:tblGrid>
        <w:gridCol w:w="1326"/>
        <w:gridCol w:w="1030"/>
        <w:gridCol w:w="1181"/>
        <w:gridCol w:w="1092"/>
        <w:gridCol w:w="1030"/>
        <w:gridCol w:w="1027"/>
        <w:gridCol w:w="1030"/>
        <w:gridCol w:w="1032"/>
        <w:gridCol w:w="1181"/>
      </w:tblGrid>
      <w:tr>
        <w:trPr>
          <w:trHeight w:val="401"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60,565,196.36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9,918,869.54</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Times New Roman" w:hAnsi="Times New Roman" w:cs="Times New Roman" w:eastAsia="Times New Roman" w:hint="default"/>
                <w:sz w:val="18"/>
                <w:szCs w:val="18"/>
              </w:rPr>
            </w:pPr>
            <w:r>
              <w:rPr>
                <w:rFonts w:ascii="Times New Roman"/>
                <w:sz w:val="18"/>
              </w:rPr>
              <w:t>1,400,000.00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5,314,563.16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77,318,129.06</w:t>
            </w:r>
          </w:p>
        </w:tc>
      </w:tr>
      <w:tr>
        <w:trPr>
          <w:trHeight w:val="403"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48,091,923.03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13,105,536.20</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1,810,989.09</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6,076,504.90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69,204,453.22</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19</w:t>
      </w:r>
      <w:r>
        <w:rPr/>
        <w:t>、商誉</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838"/>
        <w:gridCol w:w="1560"/>
        <w:gridCol w:w="1985"/>
        <w:gridCol w:w="1820"/>
        <w:gridCol w:w="1368"/>
      </w:tblGrid>
      <w:tr>
        <w:trPr>
          <w:trHeight w:val="402"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东财研究所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4,731,868.08</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4,731,868.08</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东方财富证券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2,924,666,919.69</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2,924,666,919.69</w:t>
            </w: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东财国际证券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2,772,040.44</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2,772,040.44</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2,932,170,828.21</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2,932,170,828.21</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838"/>
        <w:gridCol w:w="1560"/>
        <w:gridCol w:w="1985"/>
        <w:gridCol w:w="1820"/>
        <w:gridCol w:w="1368"/>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东财研究所</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4,731,868.08</w:t>
            </w:r>
          </w:p>
        </w:tc>
        <w:tc>
          <w:tcPr>
            <w:tcW w:w="182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4,731,868.08</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4,731,868.08</w:t>
            </w:r>
          </w:p>
        </w:tc>
        <w:tc>
          <w:tcPr>
            <w:tcW w:w="182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4,731,868.08</w:t>
            </w:r>
          </w:p>
        </w:tc>
      </w:tr>
    </w:tbl>
    <w:p>
      <w:pPr>
        <w:spacing w:line="219" w:lineRule="exact"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）商誉所在资产组或资产组组合的相关信息：</w:t>
      </w:r>
    </w:p>
    <w:p>
      <w:pPr>
        <w:spacing w:line="290" w:lineRule="auto" w:before="43"/>
        <w:ind w:left="153" w:right="1123" w:firstLine="360"/>
        <w:jc w:val="left"/>
        <w:rPr>
          <w:rFonts w:ascii="宋体" w:hAnsi="宋体" w:cs="宋体" w:eastAsia="宋体" w:hint="default"/>
          <w:sz w:val="18"/>
          <w:szCs w:val="18"/>
        </w:rPr>
      </w:pPr>
      <w:r>
        <w:rPr>
          <w:rFonts w:ascii="宋体" w:hAnsi="宋体" w:cs="宋体" w:eastAsia="宋体" w:hint="default"/>
          <w:sz w:val="18"/>
          <w:szCs w:val="18"/>
        </w:rPr>
        <w:t>公司以东方财富证券、东财研究所、东财国际证券整体分别确认为单个资产组。 </w:t>
      </w:r>
      <w:r>
        <w:rPr>
          <w:rFonts w:ascii="Times New Roman" w:hAnsi="Times New Roman" w:cs="Times New Roman" w:eastAsia="Times New Roman" w:hint="default"/>
          <w:sz w:val="18"/>
          <w:szCs w:val="18"/>
        </w:rPr>
        <w:t>2</w:t>
      </w:r>
      <w:r>
        <w:rPr>
          <w:rFonts w:ascii="宋体" w:hAnsi="宋体" w:cs="宋体" w:eastAsia="宋体" w:hint="default"/>
          <w:sz w:val="18"/>
          <w:szCs w:val="18"/>
        </w:rPr>
        <w:t>）说明商誉减值测试过程、关键参数（如预计未来现金流量现值时的预测期增长率、稳定期增长率、利润率、折现率、预 测期等）及商誉减值损失的确认方法：</w:t>
      </w:r>
    </w:p>
    <w:p>
      <w:pPr>
        <w:spacing w:line="297" w:lineRule="auto" w:before="17"/>
        <w:ind w:left="153" w:right="1213" w:firstLine="360"/>
        <w:jc w:val="left"/>
        <w:rPr>
          <w:rFonts w:ascii="宋体" w:hAnsi="宋体" w:cs="宋体" w:eastAsia="宋体" w:hint="default"/>
          <w:sz w:val="18"/>
          <w:szCs w:val="18"/>
        </w:rPr>
      </w:pPr>
      <w:r>
        <w:rPr>
          <w:rFonts w:ascii="宋体" w:hAnsi="宋体" w:cs="宋体" w:eastAsia="宋体" w:hint="default"/>
          <w:sz w:val="18"/>
          <w:szCs w:val="18"/>
        </w:rPr>
        <w:t>公司管理层于每年年度终了对商誉进行减值测试，管理层将东方财富证券、东财国际证券、东财研究所整体分别确认 为单个资产组。</w:t>
      </w:r>
    </w:p>
    <w:p>
      <w:pPr>
        <w:spacing w:line="283" w:lineRule="auto" w:before="11"/>
        <w:ind w:left="513" w:right="139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东方财富证券、东财国际证券 采用上市公司比较法评估资产组可收回金额。以市净率作为价值比率，根据可比资产组与目标资产组的资产管理规</w:t>
      </w:r>
    </w:p>
    <w:p>
      <w:pPr>
        <w:spacing w:line="295" w:lineRule="auto" w:before="25"/>
        <w:ind w:left="153" w:right="1213" w:firstLine="0"/>
        <w:jc w:val="left"/>
        <w:rPr>
          <w:rFonts w:ascii="宋体" w:hAnsi="宋体" w:cs="宋体" w:eastAsia="宋体" w:hint="default"/>
          <w:sz w:val="18"/>
          <w:szCs w:val="18"/>
        </w:rPr>
      </w:pPr>
      <w:r>
        <w:rPr>
          <w:rFonts w:ascii="宋体" w:hAnsi="宋体" w:cs="宋体" w:eastAsia="宋体" w:hint="default"/>
          <w:sz w:val="18"/>
          <w:szCs w:val="18"/>
        </w:rPr>
        <w:t>模、经营能力、盈利能力、成长能力、风险管理能力和业务创新能力之间的差异，调整可比资产组市净率。根据调整后的 市净率、流动性折扣率和预计处置费用计算目标资产组可收回金额。</w:t>
      </w:r>
    </w:p>
    <w:p>
      <w:pPr>
        <w:spacing w:before="1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东财研究所</w:t>
      </w:r>
    </w:p>
    <w:p>
      <w:pPr>
        <w:spacing w:line="283" w:lineRule="auto" w:before="41"/>
        <w:ind w:left="153" w:right="1185" w:firstLine="360"/>
        <w:jc w:val="left"/>
        <w:rPr>
          <w:rFonts w:ascii="宋体" w:hAnsi="宋体" w:cs="宋体" w:eastAsia="宋体" w:hint="default"/>
          <w:sz w:val="18"/>
          <w:szCs w:val="18"/>
        </w:rPr>
      </w:pPr>
      <w:r>
        <w:rPr>
          <w:rFonts w:ascii="宋体" w:hAnsi="宋体" w:cs="宋体" w:eastAsia="宋体" w:hint="default"/>
          <w:sz w:val="18"/>
          <w:szCs w:val="18"/>
        </w:rPr>
        <w:t>采用折现现金流模型评估资产组可收回金额。以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年度现金流为基础，根据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年度各年度 预收款项收款总额情况和各年度预收款项总额在未来各年确认收入的占比情况，计算以后年度预计现金流。采用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的折</w:t>
      </w:r>
    </w:p>
    <w:p>
      <w:pPr>
        <w:spacing w:after="0" w:line="283" w:lineRule="auto"/>
        <w:jc w:val="left"/>
        <w:rPr>
          <w:rFonts w:ascii="宋体" w:hAnsi="宋体" w:cs="宋体" w:eastAsia="宋体" w:hint="default"/>
          <w:sz w:val="18"/>
          <w:szCs w:val="18"/>
        </w:rPr>
        <w:sectPr>
          <w:pgSz w:w="11910" w:h="16840"/>
          <w:pgMar w:header="852" w:footer="979" w:top="1260" w:bottom="1160" w:left="980" w:right="0"/>
        </w:sectPr>
      </w:pPr>
    </w:p>
    <w:p>
      <w:pPr>
        <w:spacing w:before="134"/>
        <w:ind w:left="153" w:right="1114" w:firstLine="0"/>
        <w:jc w:val="left"/>
        <w:rPr>
          <w:rFonts w:ascii="宋体" w:hAnsi="宋体" w:cs="宋体" w:eastAsia="宋体" w:hint="default"/>
          <w:sz w:val="18"/>
          <w:szCs w:val="18"/>
        </w:rPr>
      </w:pPr>
      <w:r>
        <w:rPr>
          <w:rFonts w:ascii="宋体" w:hAnsi="宋体" w:cs="宋体" w:eastAsia="宋体" w:hint="default"/>
          <w:sz w:val="18"/>
          <w:szCs w:val="18"/>
        </w:rPr>
        <w:t>现率，预计企业未来现金流现值计算资产组可收回金额。</w:t>
      </w:r>
    </w:p>
    <w:p>
      <w:pPr>
        <w:spacing w:line="280" w:lineRule="auto" w:before="57"/>
        <w:ind w:left="513" w:right="121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）商誉减值测试的影响： 经测试，东方财富证券和东财国际证券资产组的可收回金额高于账面价值，资产组商誉未出现减值迹象；东财研究所</w:t>
      </w:r>
    </w:p>
    <w:p>
      <w:pPr>
        <w:spacing w:before="26"/>
        <w:ind w:left="153" w:right="111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资产组的可收回金额低于账面价值，商誉出现减值迹象，计提商誉减值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4,731,868.08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元，确认资产减值损失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4,731,868.08</w:t>
      </w:r>
    </w:p>
    <w:p>
      <w:pPr>
        <w:spacing w:before="41"/>
        <w:ind w:left="153" w:right="1114" w:firstLine="0"/>
        <w:jc w:val="left"/>
        <w:rPr>
          <w:rFonts w:ascii="宋体" w:hAnsi="宋体" w:cs="宋体" w:eastAsia="宋体" w:hint="default"/>
          <w:sz w:val="18"/>
          <w:szCs w:val="18"/>
        </w:rPr>
      </w:pP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pStyle w:val="Heading5"/>
        <w:spacing w:line="240" w:lineRule="auto" w:before="139"/>
        <w:ind w:right="1114"/>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65,737,216.65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36,374,140.16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25,168,640.51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76,942,716.30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12,901,709.20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3,976,030.96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3,659,028.76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13,218,711.40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78,638,925.85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40,350,171.12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28,827,669.27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90,161,427.70</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21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230"/>
        <w:gridCol w:w="1697"/>
        <w:gridCol w:w="1916"/>
        <w:gridCol w:w="1913"/>
        <w:gridCol w:w="1916"/>
      </w:tblGrid>
      <w:tr>
        <w:trPr>
          <w:trHeight w:val="403" w:hRule="exact"/>
        </w:trPr>
        <w:tc>
          <w:tcPr>
            <w:tcW w:w="22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230" w:type="dxa"/>
            <w:vMerge/>
            <w:tcBorders>
              <w:left w:val="single" w:sz="4" w:space="0" w:color="000000"/>
              <w:bottom w:val="single" w:sz="4" w:space="0" w:color="000000"/>
              <w:right w:val="single" w:sz="4" w:space="0" w:color="000000"/>
            </w:tcBorders>
            <w:shd w:val="clear" w:color="auto" w:fill="D2D2D2"/>
          </w:tcPr>
          <w:p>
            <w:pPr/>
          </w:p>
        </w:tc>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4"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51,973,051.89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7,950,072.80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203,698,356.67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30,613,530.26</w:t>
            </w:r>
          </w:p>
        </w:tc>
      </w:tr>
      <w:tr>
        <w:trPr>
          <w:trHeight w:val="401" w:hRule="exact"/>
        </w:trPr>
        <w:tc>
          <w:tcPr>
            <w:tcW w:w="2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应收款减值准备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236,479,458.76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32,895,169.78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221,239,419.53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37,423,396.82</w:t>
            </w:r>
          </w:p>
        </w:tc>
      </w:tr>
      <w:tr>
        <w:trPr>
          <w:trHeight w:val="403" w:hRule="exact"/>
        </w:trPr>
        <w:tc>
          <w:tcPr>
            <w:tcW w:w="2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融出资金减值准备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18,805,199.63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2,389,745.66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20,880,269.23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3,344,485.27</w:t>
            </w:r>
          </w:p>
        </w:tc>
      </w:tr>
      <w:tr>
        <w:trPr>
          <w:trHeight w:val="401" w:hRule="exact"/>
        </w:trPr>
        <w:tc>
          <w:tcPr>
            <w:tcW w:w="2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买入返售金融资产减值准备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5,518,542.51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701,290.77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16,095,167.11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2,578,034.26</w:t>
            </w:r>
          </w:p>
        </w:tc>
      </w:tr>
      <w:tr>
        <w:trPr>
          <w:trHeight w:val="403" w:hRule="exact"/>
        </w:trPr>
        <w:tc>
          <w:tcPr>
            <w:tcW w:w="2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69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2,060,340.00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330,013.79</w:t>
            </w:r>
          </w:p>
        </w:tc>
      </w:tr>
      <w:tr>
        <w:trPr>
          <w:trHeight w:val="713" w:hRule="exact"/>
        </w:trPr>
        <w:tc>
          <w:tcPr>
            <w:tcW w:w="2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4" w:right="33"/>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入当期损益的金融资产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9,040.00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46,633,228.34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7,503,349.07</w:t>
            </w:r>
          </w:p>
        </w:tc>
      </w:tr>
      <w:tr>
        <w:trPr>
          <w:trHeight w:val="403" w:hRule="exact"/>
        </w:trPr>
        <w:tc>
          <w:tcPr>
            <w:tcW w:w="2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138,682,191.53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17,623,591.98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157,394,911.04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25,210,640.54</w:t>
            </w:r>
          </w:p>
        </w:tc>
      </w:tr>
      <w:tr>
        <w:trPr>
          <w:trHeight w:val="401" w:hRule="exact"/>
        </w:trPr>
        <w:tc>
          <w:tcPr>
            <w:tcW w:w="2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股票期权成本</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50,978,453.50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7,646,768.03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61,701,548.00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9,255,232.20</w:t>
            </w:r>
          </w:p>
        </w:tc>
      </w:tr>
      <w:tr>
        <w:trPr>
          <w:trHeight w:val="403" w:hRule="exact"/>
        </w:trPr>
        <w:tc>
          <w:tcPr>
            <w:tcW w:w="2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734,372.67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110,155.90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503,207,430.49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69,325,834.92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729,703,239.92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116,258,682.21</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980"/>
        <w:gridCol w:w="1700"/>
        <w:gridCol w:w="1560"/>
        <w:gridCol w:w="1702"/>
        <w:gridCol w:w="1627"/>
      </w:tblGrid>
      <w:tr>
        <w:trPr>
          <w:trHeight w:val="205" w:hRule="exact"/>
        </w:trPr>
        <w:tc>
          <w:tcPr>
            <w:tcW w:w="2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29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1" w:type="dxa"/>
            <w:gridSpan w:val="2"/>
            <w:vMerge/>
            <w:tcBorders>
              <w:left w:val="single" w:sz="4" w:space="0" w:color="000000"/>
              <w:bottom w:val="single" w:sz="4" w:space="0" w:color="000000"/>
              <w:right w:val="single" w:sz="4" w:space="0" w:color="000000"/>
            </w:tcBorders>
            <w:shd w:val="clear" w:color="auto" w:fill="D2D2D2"/>
          </w:tcPr>
          <w:p>
            <w:pPr/>
          </w:p>
        </w:tc>
        <w:tc>
          <w:tcPr>
            <w:tcW w:w="3329"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980" w:type="dxa"/>
            <w:vMerge/>
            <w:tcBorders>
              <w:left w:val="single" w:sz="4" w:space="0" w:color="000000"/>
              <w:bottom w:val="nil" w:sz="6" w:space="0" w:color="auto"/>
              <w:right w:val="single" w:sz="4" w:space="0" w:color="000000"/>
            </w:tcBorders>
            <w:shd w:val="clear" w:color="auto" w:fill="D2D2D2"/>
          </w:tcPr>
          <w:p>
            <w:pP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4" w:hRule="exact"/>
        </w:trPr>
        <w:tc>
          <w:tcPr>
            <w:tcW w:w="2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6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4" w:right="0"/>
              <w:jc w:val="left"/>
              <w:rPr>
                <w:rFonts w:ascii="Times New Roman" w:hAnsi="Times New Roman" w:cs="Times New Roman" w:eastAsia="Times New Roman" w:hint="default"/>
                <w:sz w:val="18"/>
                <w:szCs w:val="18"/>
              </w:rPr>
            </w:pPr>
            <w:r>
              <w:rPr>
                <w:rFonts w:ascii="Times New Roman"/>
                <w:sz w:val="18"/>
              </w:rPr>
              <w:t>37,254,839.00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1" w:right="0"/>
              <w:jc w:val="left"/>
              <w:rPr>
                <w:rFonts w:ascii="Times New Roman" w:hAnsi="Times New Roman" w:cs="Times New Roman" w:eastAsia="Times New Roman" w:hint="default"/>
                <w:sz w:val="18"/>
                <w:szCs w:val="18"/>
              </w:rPr>
            </w:pPr>
            <w:r>
              <w:rPr>
                <w:rFonts w:ascii="Times New Roman"/>
                <w:sz w:val="18"/>
              </w:rPr>
              <w:t>9,313,709.75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3" w:right="0"/>
              <w:jc w:val="left"/>
              <w:rPr>
                <w:rFonts w:ascii="Times New Roman" w:hAnsi="Times New Roman" w:cs="Times New Roman" w:eastAsia="Times New Roman" w:hint="default"/>
                <w:sz w:val="18"/>
                <w:szCs w:val="18"/>
              </w:rPr>
            </w:pPr>
            <w:r>
              <w:rPr>
                <w:rFonts w:ascii="Times New Roman"/>
                <w:sz w:val="18"/>
              </w:rPr>
              <w:t>40,410,760.28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1" w:right="0"/>
              <w:jc w:val="left"/>
              <w:rPr>
                <w:rFonts w:ascii="Times New Roman" w:hAnsi="Times New Roman" w:cs="Times New Roman" w:eastAsia="Times New Roman" w:hint="default"/>
                <w:sz w:val="18"/>
                <w:szCs w:val="18"/>
              </w:rPr>
            </w:pPr>
            <w:r>
              <w:rPr>
                <w:rFonts w:ascii="Times New Roman"/>
                <w:sz w:val="18"/>
              </w:rPr>
              <w:t>10,102,690.07</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979"/>
        <w:gridCol w:w="1702"/>
        <w:gridCol w:w="1560"/>
        <w:gridCol w:w="1702"/>
        <w:gridCol w:w="1627"/>
      </w:tblGrid>
      <w:tr>
        <w:trPr>
          <w:trHeight w:val="713" w:hRule="exact"/>
        </w:trPr>
        <w:tc>
          <w:tcPr>
            <w:tcW w:w="2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5,134,357.47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657,228.29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803,534.06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102,112.29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6,909,175.09</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1,106,673.20</w:t>
            </w: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43,192,730.53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10,073,050.33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47,319,935.37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11,209,363.27</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71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69,325,834.92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116,258,682.21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10,073,050.33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11,209,363.27</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22</w:t>
      </w:r>
      <w:r>
        <w:rPr/>
        <w:t>、短期借款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213,057,069.31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297,985,533.82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213,057,069.31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297,985,533.82</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23</w:t>
      </w:r>
      <w:r>
        <w:rPr/>
        <w:t>、 应付短期融资券</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3116"/>
        <w:gridCol w:w="3260"/>
        <w:gridCol w:w="3255"/>
      </w:tblGrid>
      <w:tr>
        <w:trPr>
          <w:trHeight w:val="634" w:hRule="exact"/>
        </w:trPr>
        <w:tc>
          <w:tcPr>
            <w:tcW w:w="31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债券名称（类别）</w:t>
            </w:r>
          </w:p>
        </w:tc>
        <w:tc>
          <w:tcPr>
            <w:tcW w:w="32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收益凭证</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1,917,025,000.00</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3,136,802,000.00</w:t>
            </w:r>
          </w:p>
        </w:tc>
      </w:tr>
      <w:tr>
        <w:trPr>
          <w:trHeight w:val="324" w:hRule="exact"/>
        </w:trPr>
        <w:tc>
          <w:tcPr>
            <w:tcW w:w="31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1,917,025,000.00</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3,136,802,000.00</w:t>
            </w:r>
          </w:p>
        </w:tc>
      </w:tr>
    </w:tbl>
    <w:p>
      <w:pPr>
        <w:spacing w:before="8"/>
        <w:ind w:left="153" w:right="1114" w:firstLine="0"/>
        <w:jc w:val="left"/>
        <w:rPr>
          <w:rFonts w:ascii="宋体" w:hAnsi="宋体" w:cs="宋体" w:eastAsia="宋体" w:hint="default"/>
          <w:sz w:val="18"/>
          <w:szCs w:val="18"/>
        </w:rPr>
      </w:pPr>
      <w:r>
        <w:rPr>
          <w:rFonts w:ascii="宋体" w:hAnsi="宋体" w:cs="宋体" w:eastAsia="宋体" w:hint="default"/>
          <w:sz w:val="18"/>
          <w:szCs w:val="18"/>
        </w:rPr>
        <w:t>东方财富证券于本年度共发行</w:t>
      </w:r>
      <w:r>
        <w:rPr>
          <w:rFonts w:ascii="Times New Roman" w:hAnsi="Times New Roman" w:cs="Times New Roman" w:eastAsia="Times New Roman" w:hint="default"/>
          <w:sz w:val="18"/>
          <w:szCs w:val="18"/>
        </w:rPr>
        <w:t>372</w:t>
      </w:r>
      <w:r>
        <w:rPr>
          <w:rFonts w:ascii="宋体" w:hAnsi="宋体" w:cs="宋体" w:eastAsia="宋体" w:hint="default"/>
          <w:sz w:val="18"/>
          <w:szCs w:val="18"/>
        </w:rPr>
        <w:t>期期限一年以内的收益凭证</w:t>
      </w:r>
      <w:r>
        <w:rPr>
          <w:rFonts w:ascii="宋体" w:hAnsi="宋体" w:cs="宋体" w:eastAsia="宋体" w:hint="default"/>
          <w:sz w:val="18"/>
          <w:szCs w:val="18"/>
        </w:rPr>
        <w:t>5,491,570,000.00</w:t>
      </w:r>
      <w:r>
        <w:rPr>
          <w:rFonts w:ascii="宋体" w:hAnsi="宋体" w:cs="宋体" w:eastAsia="宋体" w:hint="default"/>
          <w:sz w:val="18"/>
          <w:szCs w:val="18"/>
        </w:rPr>
        <w:t>元，其中未到期收益凭证的固定收益率为</w:t>
      </w:r>
    </w:p>
    <w:p>
      <w:pPr>
        <w:spacing w:before="63"/>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3.50%</w:t>
      </w:r>
      <w:r>
        <w:rPr>
          <w:rFonts w:ascii="宋体" w:hAnsi="宋体" w:cs="宋体" w:eastAsia="宋体" w:hint="default"/>
          <w:sz w:val="18"/>
          <w:szCs w:val="18"/>
        </w:rPr>
        <w:t>至</w:t>
      </w:r>
      <w:r>
        <w:rPr>
          <w:rFonts w:ascii="Times New Roman" w:hAnsi="Times New Roman" w:cs="Times New Roman" w:eastAsia="Times New Roman" w:hint="default"/>
          <w:sz w:val="18"/>
          <w:szCs w:val="18"/>
        </w:rPr>
        <w:t>5.25%</w:t>
      </w:r>
      <w:r>
        <w:rPr>
          <w:rFonts w:ascii="宋体" w:hAnsi="宋体" w:cs="宋体" w:eastAsia="宋体" w:hint="default"/>
          <w:sz w:val="18"/>
          <w:szCs w:val="18"/>
        </w:rPr>
        <w:t>。</w:t>
      </w:r>
    </w:p>
    <w:p>
      <w:pPr>
        <w:spacing w:line="240" w:lineRule="auto" w:before="3"/>
        <w:rPr>
          <w:rFonts w:ascii="宋体" w:hAnsi="宋体" w:cs="宋体" w:eastAsia="宋体" w:hint="default"/>
          <w:sz w:val="26"/>
          <w:szCs w:val="26"/>
        </w:rPr>
      </w:pPr>
    </w:p>
    <w:p>
      <w:pPr>
        <w:pStyle w:val="Heading5"/>
        <w:spacing w:line="240" w:lineRule="auto" w:before="0"/>
        <w:ind w:right="1114"/>
        <w:jc w:val="left"/>
        <w:rPr>
          <w:b w:val="0"/>
          <w:bCs w:val="0"/>
        </w:rPr>
      </w:pPr>
      <w:r>
        <w:rPr>
          <w:rFonts w:ascii="Times New Roman" w:hAnsi="Times New Roman" w:cs="Times New Roman" w:eastAsia="Times New Roman" w:hint="default"/>
        </w:rPr>
        <w:t>24</w:t>
      </w:r>
      <w:r>
        <w:rPr/>
        <w:t>、应付票据及应付账款</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105,506,035.18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81,971,812.86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105,506,035.18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81,971,812.86</w:t>
            </w:r>
          </w:p>
        </w:tc>
      </w:tr>
    </w:tbl>
    <w:p>
      <w:pPr>
        <w:spacing w:line="240" w:lineRule="auto" w:before="2"/>
        <w:rPr>
          <w:rFonts w:ascii="宋体" w:hAnsi="宋体" w:cs="宋体" w:eastAsia="宋体" w:hint="default"/>
          <w:sz w:val="27"/>
          <w:szCs w:val="2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应付广告代理成本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11,475,947.54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14,415,186.02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应付基金销售业务成本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58,707,516.06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37,459,481.40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应付固定资产购置款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5,797,191.34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10,214,853.00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应付其他款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29,525,380.24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19,882,292.44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105,506,035.18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81,971,812.86</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25</w:t>
      </w:r>
      <w:r>
        <w:rPr/>
        <w:t>、预收款项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金融数据服务预收款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98,213,254.97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112,166,028.42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广告业务预收款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37,163,528.85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17,084,983.16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资产管理业务预收款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1,216,875.00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4,042,595.38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450,101.98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1,904,729.01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137,043,760.80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135,198,335.97</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26</w:t>
      </w:r>
      <w:r>
        <w:rPr/>
        <w:t>、</w:t>
      </w:r>
      <w:r>
        <w:rPr>
          <w:spacing w:val="1"/>
        </w:rPr>
        <w:t> </w:t>
      </w:r>
      <w:r>
        <w:rPr/>
        <w:t>卖出回购金融资产款</w:t>
      </w:r>
      <w:r>
        <w:rPr>
          <w:b w:val="0"/>
          <w:bCs w:val="0"/>
        </w:rPr>
      </w:r>
    </w:p>
    <w:p>
      <w:pPr>
        <w:spacing w:line="240" w:lineRule="auto" w:before="10"/>
        <w:rPr>
          <w:rFonts w:ascii="宋体" w:hAnsi="宋体" w:cs="宋体" w:eastAsia="宋体" w:hint="default"/>
          <w:b/>
          <w:bCs/>
          <w:sz w:val="22"/>
          <w:szCs w:val="22"/>
        </w:rPr>
      </w:pPr>
    </w:p>
    <w:p>
      <w:pPr>
        <w:spacing w:before="44"/>
        <w:ind w:left="153"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）按金融资产种类列示</w:t>
      </w:r>
    </w:p>
    <w:p>
      <w:pPr>
        <w:spacing w:before="6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8"/>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4244"/>
        <w:gridCol w:w="2693"/>
        <w:gridCol w:w="2693"/>
      </w:tblGrid>
      <w:tr>
        <w:trPr>
          <w:trHeight w:val="317" w:hRule="exact"/>
        </w:trPr>
        <w:tc>
          <w:tcPr>
            <w:tcW w:w="4244"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93"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8" w:hRule="exact"/>
        </w:trPr>
        <w:tc>
          <w:tcPr>
            <w:tcW w:w="4244"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85,985,126.50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spacing w:val="-1"/>
                <w:sz w:val="18"/>
              </w:rPr>
              <w:t>1,293,113,625.82</w:t>
            </w:r>
          </w:p>
        </w:tc>
      </w:tr>
      <w:tr>
        <w:trPr>
          <w:trHeight w:val="323" w:hRule="exact"/>
        </w:trPr>
        <w:tc>
          <w:tcPr>
            <w:tcW w:w="4244"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sz w:val="18"/>
                <w:szCs w:val="18"/>
              </w:rPr>
              <w:t>融资融券收益权</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2,365,000,000.00</w:t>
            </w:r>
          </w:p>
        </w:tc>
      </w:tr>
      <w:tr>
        <w:trPr>
          <w:trHeight w:val="322" w:hRule="exact"/>
        </w:trPr>
        <w:tc>
          <w:tcPr>
            <w:tcW w:w="4244"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85,985,126.50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3,658,113,625.82</w:t>
            </w:r>
          </w:p>
        </w:tc>
      </w:tr>
    </w:tbl>
    <w:p>
      <w:pPr>
        <w:spacing w:line="240" w:lineRule="auto" w:before="1"/>
        <w:rPr>
          <w:rFonts w:ascii="宋体" w:hAnsi="宋体" w:cs="宋体" w:eastAsia="宋体" w:hint="default"/>
          <w:sz w:val="21"/>
          <w:szCs w:val="21"/>
        </w:rPr>
      </w:pPr>
    </w:p>
    <w:p>
      <w:pPr>
        <w:spacing w:before="44"/>
        <w:ind w:left="153"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）按业务类别列示</w:t>
      </w:r>
    </w:p>
    <w:p>
      <w:pPr>
        <w:spacing w:before="6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8"/>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4244"/>
        <w:gridCol w:w="2693"/>
        <w:gridCol w:w="2693"/>
      </w:tblGrid>
      <w:tr>
        <w:trPr>
          <w:trHeight w:val="317" w:hRule="exact"/>
        </w:trPr>
        <w:tc>
          <w:tcPr>
            <w:tcW w:w="4244"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93"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4244"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债券质押式回购</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85,985,126.50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763,638,000.00</w:t>
            </w:r>
          </w:p>
        </w:tc>
      </w:tr>
      <w:tr>
        <w:trPr>
          <w:trHeight w:val="323" w:hRule="exact"/>
        </w:trPr>
        <w:tc>
          <w:tcPr>
            <w:tcW w:w="4244"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买断式回购</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529,475,625.82</w:t>
            </w:r>
          </w:p>
        </w:tc>
      </w:tr>
      <w:tr>
        <w:trPr>
          <w:trHeight w:val="323" w:hRule="exact"/>
        </w:trPr>
        <w:tc>
          <w:tcPr>
            <w:tcW w:w="4244"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sz w:val="18"/>
                <w:szCs w:val="18"/>
              </w:rPr>
              <w:t>融资业务债权收益权转让及回购</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2,365,000,000.00</w:t>
            </w:r>
          </w:p>
        </w:tc>
      </w:tr>
      <w:tr>
        <w:trPr>
          <w:trHeight w:val="322" w:hRule="exact"/>
        </w:trPr>
        <w:tc>
          <w:tcPr>
            <w:tcW w:w="42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85,985,126.50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3,658,113,625.82</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27</w:t>
      </w:r>
      <w:r>
        <w:rPr/>
        <w:t>、应付职工薪酬</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698"/>
        <w:gridCol w:w="1841"/>
        <w:gridCol w:w="1844"/>
        <w:gridCol w:w="1702"/>
        <w:gridCol w:w="1486"/>
      </w:tblGrid>
      <w:tr>
        <w:trPr>
          <w:trHeight w:val="401"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698"/>
        <w:gridCol w:w="1841"/>
        <w:gridCol w:w="1844"/>
        <w:gridCol w:w="1702"/>
        <w:gridCol w:w="1486"/>
      </w:tblGrid>
      <w:tr>
        <w:trPr>
          <w:trHeight w:val="401"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235,524,479.28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885,050,327.12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875,208,341.89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245,366,464.51</w:t>
            </w:r>
          </w:p>
        </w:tc>
      </w:tr>
      <w:tr>
        <w:trPr>
          <w:trHeight w:val="403"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83,238.67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104,529,010.21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104,612,248.88</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3,024,208.80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3,024,208.80</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235,607,717.95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992,603,546.13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982,844,799.57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245,366,464.51</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698"/>
        <w:gridCol w:w="1841"/>
        <w:gridCol w:w="1844"/>
        <w:gridCol w:w="1702"/>
        <w:gridCol w:w="1486"/>
      </w:tblGrid>
      <w:tr>
        <w:trPr>
          <w:trHeight w:val="402"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230,418,458.86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768,016,264.94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760,087,084.42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238,347,639.38</w:t>
            </w:r>
          </w:p>
        </w:tc>
      </w:tr>
      <w:tr>
        <w:trPr>
          <w:trHeight w:val="403"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9,099,398.94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9,099,398.94</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43,999.60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55,224,114.11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55,268,113.71</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43,415.18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49,154,203.62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49,197,618.80</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1,203,888.70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1,204,085.67</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4,866,021.79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4,866,409.24</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12,142.60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38,625,744.59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38,586,743.19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51,144.00</w:t>
            </w:r>
          </w:p>
        </w:tc>
      </w:tr>
      <w:tr>
        <w:trPr>
          <w:trHeight w:val="403"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5,049,878.22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14,084,804.54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12,167,001.63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6,967,681.13</w:t>
            </w:r>
          </w:p>
        </w:tc>
      </w:tr>
      <w:tr>
        <w:trPr>
          <w:trHeight w:val="403"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235,524,479.28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885,050,327.12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875,208,341.89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245,366,464.51</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81,458.75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101,849,581.82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101,931,040.57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1,779.92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2,679,428.39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2,681,208.31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83,238.67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104,529,010.21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104,612,248.88</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28</w:t>
      </w:r>
      <w:r>
        <w:rPr/>
        <w:t>、应交税费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6,430,133.92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7,705,094.09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21,105,676.89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47,096,457.96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6,000,216.58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5,231,349.08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457,533.39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633,587.39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316,912.88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492,449.18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479,451.84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874,677.82</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167,554.10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110,911.15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22,424.41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35,059.00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34,979,904.01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62,179,585.67</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29</w:t>
      </w:r>
      <w:r>
        <w:rPr/>
        <w:t>、其他应付款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54,151,525.51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78,593,355.18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1,596,355,587.61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887,252,735.90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1,650,507,113.12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965,846,091.08</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283,188.33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89,934.88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1,125,783.60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1,152,584.74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应付短期融资券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31,369,044.74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49,635,549.04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卖出回购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5,187.56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6,915,265.73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次级债券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20,486,301.37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20,486,301.37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人民币利率互换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270,722.10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7,966.00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611,297.81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305,753.42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54,151,525.51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78,593,355.18</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406"/>
        <w:gridCol w:w="2974"/>
        <w:gridCol w:w="3190"/>
      </w:tblGrid>
      <w:tr>
        <w:trPr>
          <w:trHeight w:val="404" w:hRule="exact"/>
        </w:trPr>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4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待交收开放式基金及经纪业务清算款</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1,525,089,745.84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767,996,749.98</w:t>
            </w:r>
          </w:p>
        </w:tc>
      </w:tr>
      <w:tr>
        <w:trPr>
          <w:trHeight w:val="403" w:hRule="exact"/>
        </w:trPr>
        <w:tc>
          <w:tcPr>
            <w:tcW w:w="34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证券投资者保护基金</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9,995,081.43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13,722,278.85</w:t>
            </w:r>
          </w:p>
        </w:tc>
      </w:tr>
      <w:tr>
        <w:trPr>
          <w:trHeight w:val="401" w:hRule="exact"/>
        </w:trPr>
        <w:tc>
          <w:tcPr>
            <w:tcW w:w="34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期货投资者保障基金</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318,543.23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305,234.34</w:t>
            </w:r>
          </w:p>
        </w:tc>
      </w:tr>
      <w:tr>
        <w:trPr>
          <w:trHeight w:val="403" w:hRule="exact"/>
        </w:trPr>
        <w:tc>
          <w:tcPr>
            <w:tcW w:w="34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期货风险准备金</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16,766,006.23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12,846,779.18</w:t>
            </w:r>
          </w:p>
        </w:tc>
      </w:tr>
      <w:tr>
        <w:trPr>
          <w:trHeight w:val="401" w:hRule="exact"/>
        </w:trPr>
        <w:tc>
          <w:tcPr>
            <w:tcW w:w="34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押金及其他应付款项</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44,186,210.88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92,381,693.55</w:t>
            </w:r>
          </w:p>
        </w:tc>
      </w:tr>
      <w:tr>
        <w:trPr>
          <w:trHeight w:val="403" w:hRule="exact"/>
        </w:trPr>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1,596,355,587.61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887,252,735.90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Heading5"/>
        <w:spacing w:line="240" w:lineRule="auto"/>
        <w:ind w:right="1114"/>
        <w:jc w:val="left"/>
        <w:rPr>
          <w:b w:val="0"/>
          <w:bCs w:val="0"/>
        </w:rPr>
      </w:pPr>
      <w:r>
        <w:rPr>
          <w:rFonts w:ascii="Times New Roman" w:hAnsi="Times New Roman" w:cs="Times New Roman" w:eastAsia="Times New Roman" w:hint="default"/>
        </w:rPr>
        <w:t>30</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606,399,591.47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606,399,591.47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31</w:t>
      </w:r>
      <w:r>
        <w:rPr/>
        <w:t>、 代理买卖证券款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3212"/>
        <w:gridCol w:w="3209"/>
        <w:gridCol w:w="3209"/>
      </w:tblGrid>
      <w:tr>
        <w:trPr>
          <w:trHeight w:val="322" w:hRule="exact"/>
        </w:trPr>
        <w:tc>
          <w:tcPr>
            <w:tcW w:w="3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8" w:right="0"/>
              <w:jc w:val="left"/>
              <w:rPr>
                <w:rFonts w:ascii="宋体" w:hAnsi="宋体" w:cs="宋体" w:eastAsia="宋体" w:hint="default"/>
                <w:sz w:val="18"/>
                <w:szCs w:val="18"/>
              </w:rPr>
            </w:pPr>
            <w:r>
              <w:rPr>
                <w:rFonts w:ascii="宋体" w:hAnsi="宋体" w:cs="宋体" w:eastAsia="宋体" w:hint="default"/>
                <w:sz w:val="18"/>
                <w:szCs w:val="18"/>
              </w:rPr>
              <w:t>期末账款余额</w:t>
            </w:r>
          </w:p>
        </w:tc>
        <w:tc>
          <w:tcPr>
            <w:tcW w:w="32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2" w:hRule="exact"/>
        </w:trPr>
        <w:tc>
          <w:tcPr>
            <w:tcW w:w="3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普通经纪业务</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11,081,150,635.80</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9,618,091,753.20</w:t>
            </w:r>
          </w:p>
        </w:tc>
      </w:tr>
      <w:tr>
        <w:trPr>
          <w:trHeight w:val="324" w:hRule="exact"/>
        </w:trPr>
        <w:tc>
          <w:tcPr>
            <w:tcW w:w="3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其中：个人户</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9,993,039,769.01</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7,961,171,207.94</w:t>
            </w:r>
          </w:p>
        </w:tc>
      </w:tr>
      <w:tr>
        <w:trPr>
          <w:trHeight w:val="322" w:hRule="exact"/>
        </w:trPr>
        <w:tc>
          <w:tcPr>
            <w:tcW w:w="3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648" w:right="0"/>
              <w:jc w:val="left"/>
              <w:rPr>
                <w:rFonts w:ascii="宋体" w:hAnsi="宋体" w:cs="宋体" w:eastAsia="宋体" w:hint="default"/>
                <w:sz w:val="18"/>
                <w:szCs w:val="18"/>
              </w:rPr>
            </w:pPr>
            <w:r>
              <w:rPr>
                <w:rFonts w:ascii="宋体" w:hAnsi="宋体" w:cs="宋体" w:eastAsia="宋体" w:hint="default"/>
                <w:sz w:val="18"/>
                <w:szCs w:val="18"/>
              </w:rPr>
              <w:t>机构户</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1,088,110,866.79</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1,656,920,545.26</w:t>
            </w:r>
          </w:p>
        </w:tc>
      </w:tr>
      <w:tr>
        <w:trPr>
          <w:trHeight w:val="322" w:hRule="exact"/>
        </w:trPr>
        <w:tc>
          <w:tcPr>
            <w:tcW w:w="3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信用经纪业务</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947,796,076.85</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915,533,755.99</w:t>
            </w:r>
          </w:p>
        </w:tc>
      </w:tr>
      <w:tr>
        <w:trPr>
          <w:trHeight w:val="322" w:hRule="exact"/>
        </w:trPr>
        <w:tc>
          <w:tcPr>
            <w:tcW w:w="3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其中：个人户</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927,452,953.88</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886,208,337.04</w:t>
            </w:r>
          </w:p>
        </w:tc>
      </w:tr>
      <w:tr>
        <w:trPr>
          <w:trHeight w:val="322" w:hRule="exact"/>
        </w:trPr>
        <w:tc>
          <w:tcPr>
            <w:tcW w:w="3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648" w:right="0"/>
              <w:jc w:val="left"/>
              <w:rPr>
                <w:rFonts w:ascii="宋体" w:hAnsi="宋体" w:cs="宋体" w:eastAsia="宋体" w:hint="default"/>
                <w:sz w:val="18"/>
                <w:szCs w:val="18"/>
              </w:rPr>
            </w:pPr>
            <w:r>
              <w:rPr>
                <w:rFonts w:ascii="宋体" w:hAnsi="宋体" w:cs="宋体" w:eastAsia="宋体" w:hint="default"/>
                <w:sz w:val="18"/>
                <w:szCs w:val="18"/>
              </w:rPr>
              <w:t>机构户</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20,343,122.97</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29,325,418.95</w:t>
            </w:r>
          </w:p>
        </w:tc>
      </w:tr>
      <w:tr>
        <w:trPr>
          <w:trHeight w:val="322" w:hRule="exact"/>
        </w:trPr>
        <w:tc>
          <w:tcPr>
            <w:tcW w:w="3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基金第三方销售业务</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2,264,233,962.53</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2,634,912,667.06</w:t>
            </w:r>
          </w:p>
        </w:tc>
      </w:tr>
      <w:tr>
        <w:trPr>
          <w:trHeight w:val="324" w:hRule="exact"/>
        </w:trPr>
        <w:tc>
          <w:tcPr>
            <w:tcW w:w="32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14,293,180,675.18</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13,168,538,176.25</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32</w:t>
      </w:r>
      <w:r>
        <w:rPr/>
        <w:t>、应付债券</w:t>
      </w:r>
      <w:r>
        <w:rPr>
          <w:b w:val="0"/>
          <w:bCs w:val="0"/>
        </w:rPr>
      </w:r>
    </w:p>
    <w:p>
      <w:pPr>
        <w:spacing w:line="240" w:lineRule="auto" w:before="8"/>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3,614,884,053.09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3,406,935,919.01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次级债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收益凭证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500,669,827.31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4,814,884,053.09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5,407,605,746.32</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spacing w:before="44"/>
        <w:ind w:left="0" w:right="59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294"/>
        <w:gridCol w:w="734"/>
        <w:gridCol w:w="737"/>
        <w:gridCol w:w="737"/>
        <w:gridCol w:w="734"/>
        <w:gridCol w:w="737"/>
        <w:gridCol w:w="737"/>
        <w:gridCol w:w="734"/>
        <w:gridCol w:w="737"/>
        <w:gridCol w:w="737"/>
        <w:gridCol w:w="734"/>
        <w:gridCol w:w="814"/>
        <w:gridCol w:w="735"/>
      </w:tblGrid>
      <w:tr>
        <w:trPr>
          <w:trHeight w:val="1338"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360" w:lineRule="auto"/>
              <w:ind w:left="182" w:right="183"/>
              <w:jc w:val="left"/>
              <w:rPr>
                <w:rFonts w:ascii="宋体" w:hAnsi="宋体" w:cs="宋体" w:eastAsia="宋体" w:hint="default"/>
                <w:sz w:val="18"/>
                <w:szCs w:val="18"/>
              </w:rPr>
            </w:pPr>
            <w:r>
              <w:rPr>
                <w:rFonts w:ascii="宋体" w:hAnsi="宋体" w:cs="宋体" w:eastAsia="宋体" w:hint="default"/>
                <w:sz w:val="18"/>
                <w:szCs w:val="18"/>
              </w:rPr>
              <w:t>发行 日期</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360" w:lineRule="auto"/>
              <w:ind w:left="182" w:right="182"/>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360" w:lineRule="auto"/>
              <w:ind w:left="182" w:right="180"/>
              <w:jc w:val="left"/>
              <w:rPr>
                <w:rFonts w:ascii="宋体" w:hAnsi="宋体" w:cs="宋体" w:eastAsia="宋体" w:hint="default"/>
                <w:sz w:val="18"/>
                <w:szCs w:val="18"/>
              </w:rPr>
            </w:pPr>
            <w:r>
              <w:rPr>
                <w:rFonts w:ascii="宋体" w:hAnsi="宋体" w:cs="宋体" w:eastAsia="宋体" w:hint="default"/>
                <w:sz w:val="18"/>
                <w:szCs w:val="18"/>
              </w:rPr>
              <w:t>发行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360" w:lineRule="auto"/>
              <w:ind w:left="182" w:right="183"/>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360" w:lineRule="auto"/>
              <w:ind w:left="182" w:right="182"/>
              <w:jc w:val="left"/>
              <w:rPr>
                <w:rFonts w:ascii="宋体" w:hAnsi="宋体" w:cs="宋体" w:eastAsia="宋体" w:hint="default"/>
                <w:sz w:val="18"/>
                <w:szCs w:val="18"/>
              </w:rPr>
            </w:pPr>
            <w:r>
              <w:rPr>
                <w:rFonts w:ascii="宋体" w:hAnsi="宋体" w:cs="宋体" w:eastAsia="宋体" w:hint="default"/>
                <w:sz w:val="18"/>
                <w:szCs w:val="18"/>
              </w:rPr>
              <w:t>本期 发行</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82" w:right="91" w:hanging="89"/>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360" w:lineRule="auto"/>
              <w:ind w:left="182" w:right="182"/>
              <w:jc w:val="left"/>
              <w:rPr>
                <w:rFonts w:ascii="宋体" w:hAnsi="宋体" w:cs="宋体" w:eastAsia="宋体" w:hint="default"/>
                <w:sz w:val="18"/>
                <w:szCs w:val="18"/>
              </w:rPr>
            </w:pPr>
            <w:r>
              <w:rPr>
                <w:rFonts w:ascii="宋体" w:hAnsi="宋体" w:cs="宋体" w:eastAsia="宋体" w:hint="default"/>
                <w:sz w:val="18"/>
                <w:szCs w:val="18"/>
              </w:rPr>
              <w:t>本期 偿还</w:t>
            </w:r>
          </w:p>
        </w:tc>
        <w:tc>
          <w:tcPr>
            <w:tcW w:w="7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26"/>
                <w:szCs w:val="26"/>
              </w:rPr>
            </w:pPr>
          </w:p>
          <w:p>
            <w:pPr>
              <w:pStyle w:val="TableParagraph"/>
              <w:spacing w:line="360" w:lineRule="auto"/>
              <w:ind w:left="182" w:right="180"/>
              <w:jc w:val="left"/>
              <w:rPr>
                <w:rFonts w:ascii="宋体" w:hAnsi="宋体" w:cs="宋体" w:eastAsia="宋体" w:hint="default"/>
                <w:sz w:val="18"/>
                <w:szCs w:val="18"/>
              </w:rPr>
            </w:pPr>
            <w:r>
              <w:rPr>
                <w:rFonts w:ascii="宋体" w:hAnsi="宋体" w:cs="宋体" w:eastAsia="宋体" w:hint="default"/>
                <w:sz w:val="18"/>
                <w:szCs w:val="18"/>
              </w:rPr>
              <w:t>本期 转股</w:t>
            </w:r>
          </w:p>
        </w:tc>
        <w:tc>
          <w:tcPr>
            <w:tcW w:w="8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0"/>
              <w:ind w:left="40" w:right="41"/>
              <w:jc w:val="center"/>
              <w:rPr>
                <w:rFonts w:ascii="宋体" w:hAnsi="宋体" w:cs="宋体" w:eastAsia="宋体" w:hint="default"/>
                <w:sz w:val="18"/>
                <w:szCs w:val="18"/>
              </w:rPr>
            </w:pPr>
            <w:r>
              <w:rPr>
                <w:rFonts w:ascii="宋体" w:hAnsi="宋体" w:cs="宋体" w:eastAsia="宋体" w:hint="default"/>
                <w:sz w:val="18"/>
                <w:szCs w:val="18"/>
              </w:rPr>
              <w:t>转入一年 内到期的 非流动负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360" w:lineRule="auto"/>
              <w:ind w:left="182" w:right="180"/>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东财转债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4,650,00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4,650,00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3,406,93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5,919.01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9,602,38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209,157,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730.11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1,209,59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6.03</w:t>
            </w:r>
          </w:p>
        </w:tc>
        <w:tc>
          <w:tcPr>
            <w:tcW w:w="81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3,614,88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4,053.09</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294"/>
        <w:gridCol w:w="734"/>
        <w:gridCol w:w="737"/>
        <w:gridCol w:w="737"/>
        <w:gridCol w:w="734"/>
        <w:gridCol w:w="737"/>
        <w:gridCol w:w="737"/>
        <w:gridCol w:w="734"/>
        <w:gridCol w:w="737"/>
        <w:gridCol w:w="737"/>
        <w:gridCol w:w="734"/>
        <w:gridCol w:w="814"/>
        <w:gridCol w:w="735"/>
      </w:tblGrid>
      <w:tr>
        <w:trPr>
          <w:trHeight w:val="1337" w:hRule="exact"/>
        </w:trPr>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东方财富证券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年证券公 司次级债券</w:t>
            </w:r>
          </w:p>
          <w:p>
            <w:pPr>
              <w:pStyle w:val="TableParagraph"/>
              <w:spacing w:line="240" w:lineRule="auto" w:before="24"/>
              <w:ind w:left="24" w:right="0"/>
              <w:jc w:val="both"/>
              <w:rPr>
                <w:rFonts w:ascii="宋体" w:hAnsi="宋体" w:cs="宋体" w:eastAsia="宋体" w:hint="default"/>
                <w:sz w:val="18"/>
                <w:szCs w:val="18"/>
              </w:rPr>
            </w:pPr>
            <w:r>
              <w:rPr>
                <w:rFonts w:ascii="宋体" w:hAnsi="宋体" w:cs="宋体" w:eastAsia="宋体" w:hint="default"/>
                <w:sz w:val="18"/>
                <w:szCs w:val="18"/>
              </w:rPr>
              <w:t>（第一期）</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2017/9/2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0,000.00</w:t>
            </w: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西藏银行</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2013/11/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2"/>
              <w:ind w:left="374"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收益凭证</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493,970,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493,970,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500,669,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827.31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23,329,7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217,600,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306,399,5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91.47</w:t>
            </w: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6,843,97</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5,407,60</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5,746.32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32,932,1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53.95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209,157,</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730.11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217,600,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1,209,59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6.03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606,399,5</w:t>
            </w:r>
          </w:p>
          <w:p>
            <w:pPr>
              <w:pStyle w:val="TableParagraph"/>
              <w:spacing w:line="240" w:lineRule="auto" w:before="102"/>
              <w:ind w:left="374" w:right="0"/>
              <w:jc w:val="left"/>
              <w:rPr>
                <w:rFonts w:ascii="Times New Roman" w:hAnsi="Times New Roman" w:cs="Times New Roman" w:eastAsia="Times New Roman" w:hint="default"/>
                <w:sz w:val="18"/>
                <w:szCs w:val="18"/>
              </w:rPr>
            </w:pPr>
            <w:r>
              <w:rPr>
                <w:rFonts w:ascii="Times New Roman"/>
                <w:sz w:val="18"/>
              </w:rPr>
              <w:t>91.47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4,814,88</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4,053.09</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4"/>
        <w:rPr>
          <w:rFonts w:ascii="宋体" w:hAnsi="宋体" w:cs="宋体" w:eastAsia="宋体" w:hint="default"/>
          <w:b/>
          <w:bCs/>
          <w:sz w:val="26"/>
          <w:szCs w:val="26"/>
        </w:rPr>
      </w:pPr>
    </w:p>
    <w:p>
      <w:pPr>
        <w:spacing w:line="316" w:lineRule="auto" w:before="0"/>
        <w:ind w:left="153" w:right="1123" w:firstLine="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z w:val="18"/>
          <w:szCs w:val="18"/>
        </w:rPr>
        <w:t>2017</w:t>
      </w:r>
      <w:r>
        <w:rPr>
          <w:rFonts w:ascii="宋体" w:hAnsi="宋体" w:cs="宋体" w:eastAsia="宋体" w:hint="default"/>
          <w:sz w:val="18"/>
          <w:szCs w:val="18"/>
        </w:rPr>
        <w:t>年向社会公众投资者发行面值总额</w:t>
      </w:r>
      <w:r>
        <w:rPr>
          <w:rFonts w:ascii="宋体" w:hAnsi="宋体" w:cs="宋体" w:eastAsia="宋体" w:hint="default"/>
          <w:sz w:val="18"/>
          <w:szCs w:val="18"/>
        </w:rPr>
        <w:t>4,650,000,000.00</w:t>
      </w:r>
      <w:r>
        <w:rPr>
          <w:rFonts w:ascii="宋体" w:hAnsi="宋体" w:cs="宋体" w:eastAsia="宋体" w:hint="default"/>
          <w:sz w:val="18"/>
          <w:szCs w:val="18"/>
        </w:rPr>
        <w:t>元可转换公司债券，每张面值为</w:t>
      </w:r>
      <w:r>
        <w:rPr>
          <w:rFonts w:ascii="宋体" w:hAnsi="宋体" w:cs="宋体" w:eastAsia="宋体" w:hint="default"/>
          <w:sz w:val="18"/>
          <w:szCs w:val="18"/>
        </w:rPr>
        <w:t>100</w:t>
      </w:r>
      <w:r>
        <w:rPr>
          <w:rFonts w:ascii="宋体" w:hAnsi="宋体" w:cs="宋体" w:eastAsia="宋体" w:hint="default"/>
          <w:sz w:val="18"/>
          <w:szCs w:val="18"/>
        </w:rPr>
        <w:t>元，按面值发行，期 限</w:t>
      </w:r>
      <w:r>
        <w:rPr>
          <w:rFonts w:ascii="宋体" w:hAnsi="宋体" w:cs="宋体" w:eastAsia="宋体" w:hint="default"/>
          <w:sz w:val="18"/>
          <w:szCs w:val="18"/>
        </w:rPr>
        <w:t>6</w:t>
      </w:r>
      <w:r>
        <w:rPr>
          <w:rFonts w:ascii="宋体" w:hAnsi="宋体" w:cs="宋体" w:eastAsia="宋体" w:hint="default"/>
          <w:sz w:val="18"/>
          <w:szCs w:val="18"/>
        </w:rPr>
        <w:t>年。公司可转换公司债券于</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日起在深交所挂牌交易，债券简称“东财转债”，债券代码</w:t>
      </w:r>
      <w:r>
        <w:rPr>
          <w:rFonts w:ascii="宋体" w:hAnsi="宋体" w:cs="宋体" w:eastAsia="宋体" w:hint="default"/>
          <w:sz w:val="18"/>
          <w:szCs w:val="18"/>
        </w:rPr>
        <w:t>123006</w:t>
      </w:r>
      <w:r>
        <w:rPr>
          <w:rFonts w:ascii="宋体" w:hAnsi="宋体" w:cs="宋体" w:eastAsia="宋体" w:hint="default"/>
          <w:sz w:val="18"/>
          <w:szCs w:val="18"/>
        </w:rPr>
        <w:t>。上述可转 换公司债券票面利率为第一年</w:t>
      </w:r>
      <w:r>
        <w:rPr>
          <w:rFonts w:ascii="宋体" w:hAnsi="宋体" w:cs="宋体" w:eastAsia="宋体" w:hint="default"/>
          <w:sz w:val="18"/>
          <w:szCs w:val="18"/>
        </w:rPr>
        <w:t>0.2%</w:t>
      </w:r>
      <w:r>
        <w:rPr>
          <w:rFonts w:ascii="宋体" w:hAnsi="宋体" w:cs="宋体" w:eastAsia="宋体" w:hint="default"/>
          <w:sz w:val="18"/>
          <w:szCs w:val="18"/>
        </w:rPr>
        <w:t>、第二年</w:t>
      </w:r>
      <w:r>
        <w:rPr>
          <w:rFonts w:ascii="宋体" w:hAnsi="宋体" w:cs="宋体" w:eastAsia="宋体" w:hint="default"/>
          <w:sz w:val="18"/>
          <w:szCs w:val="18"/>
        </w:rPr>
        <w:t>0.4%</w:t>
      </w:r>
      <w:r>
        <w:rPr>
          <w:rFonts w:ascii="宋体" w:hAnsi="宋体" w:cs="宋体" w:eastAsia="宋体" w:hint="default"/>
          <w:sz w:val="18"/>
          <w:szCs w:val="18"/>
        </w:rPr>
        <w:t>、第三年</w:t>
      </w:r>
      <w:r>
        <w:rPr>
          <w:rFonts w:ascii="宋体" w:hAnsi="宋体" w:cs="宋体" w:eastAsia="宋体" w:hint="default"/>
          <w:sz w:val="18"/>
          <w:szCs w:val="18"/>
        </w:rPr>
        <w:t>0.6%</w:t>
      </w:r>
      <w:r>
        <w:rPr>
          <w:rFonts w:ascii="宋体" w:hAnsi="宋体" w:cs="宋体" w:eastAsia="宋体" w:hint="default"/>
          <w:sz w:val="18"/>
          <w:szCs w:val="18"/>
        </w:rPr>
        <w:t>、第四年</w:t>
      </w:r>
      <w:r>
        <w:rPr>
          <w:rFonts w:ascii="宋体" w:hAnsi="宋体" w:cs="宋体" w:eastAsia="宋体" w:hint="default"/>
          <w:sz w:val="18"/>
          <w:szCs w:val="18"/>
        </w:rPr>
        <w:t>1.0%</w:t>
      </w:r>
      <w:r>
        <w:rPr>
          <w:rFonts w:ascii="宋体" w:hAnsi="宋体" w:cs="宋体" w:eastAsia="宋体" w:hint="default"/>
          <w:sz w:val="18"/>
          <w:szCs w:val="18"/>
        </w:rPr>
        <w:t>、第五年</w:t>
      </w:r>
      <w:r>
        <w:rPr>
          <w:rFonts w:ascii="宋体" w:hAnsi="宋体" w:cs="宋体" w:eastAsia="宋体" w:hint="default"/>
          <w:sz w:val="18"/>
          <w:szCs w:val="18"/>
        </w:rPr>
        <w:t>1.5%</w:t>
      </w:r>
      <w:r>
        <w:rPr>
          <w:rFonts w:ascii="宋体" w:hAnsi="宋体" w:cs="宋体" w:eastAsia="宋体" w:hint="default"/>
          <w:sz w:val="18"/>
          <w:szCs w:val="18"/>
        </w:rPr>
        <w:t>、第六年</w:t>
      </w:r>
      <w:r>
        <w:rPr>
          <w:rFonts w:ascii="宋体" w:hAnsi="宋体" w:cs="宋体" w:eastAsia="宋体" w:hint="default"/>
          <w:sz w:val="18"/>
          <w:szCs w:val="18"/>
        </w:rPr>
        <w:t>2.0%</w:t>
      </w:r>
      <w:r>
        <w:rPr>
          <w:rFonts w:ascii="宋体" w:hAnsi="宋体" w:cs="宋体" w:eastAsia="宋体" w:hint="default"/>
          <w:sz w:val="18"/>
          <w:szCs w:val="18"/>
        </w:rPr>
        <w:t>。每年的付息日为 自本次可转债发行首日起每满一年的当日。 公司本次公开发行的“东财转债”转股期限为自本次可转债发行结束之日（</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日）满六个月后的第一个交易日</w:t>
      </w:r>
    </w:p>
    <w:p>
      <w:pPr>
        <w:spacing w:before="19"/>
        <w:ind w:left="153"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日）起至本次可转债到期日（</w:t>
      </w:r>
      <w:r>
        <w:rPr>
          <w:rFonts w:ascii="宋体" w:hAnsi="宋体" w:cs="宋体" w:eastAsia="宋体" w:hint="default"/>
          <w:sz w:val="18"/>
          <w:szCs w:val="18"/>
        </w:rPr>
        <w:t>2023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日）止，初始转股价格：</w:t>
      </w:r>
      <w:r>
        <w:rPr>
          <w:rFonts w:ascii="宋体" w:hAnsi="宋体" w:cs="宋体" w:eastAsia="宋体" w:hint="default"/>
          <w:sz w:val="18"/>
          <w:szCs w:val="18"/>
        </w:rPr>
        <w:t>13.69</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p>
      <w:pPr>
        <w:spacing w:line="240" w:lineRule="auto" w:before="0"/>
        <w:rPr>
          <w:rFonts w:ascii="宋体" w:hAnsi="宋体" w:cs="宋体" w:eastAsia="宋体" w:hint="default"/>
          <w:sz w:val="18"/>
          <w:szCs w:val="18"/>
        </w:rPr>
      </w:pPr>
    </w:p>
    <w:p>
      <w:pPr>
        <w:pStyle w:val="Heading5"/>
        <w:spacing w:line="240" w:lineRule="auto" w:before="120"/>
        <w:ind w:right="1114"/>
        <w:jc w:val="left"/>
        <w:rPr>
          <w:b w:val="0"/>
          <w:bCs w:val="0"/>
        </w:rPr>
      </w:pPr>
      <w:r>
        <w:rPr>
          <w:rFonts w:ascii="Times New Roman" w:hAnsi="Times New Roman" w:cs="Times New Roman" w:eastAsia="Times New Roman" w:hint="default"/>
        </w:rPr>
        <w:t>33</w:t>
      </w:r>
      <w:r>
        <w:rPr/>
        <w:t>、递延收益</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1,190,181.56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455,808.89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1,714,372.67</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1,190,181.56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455,808.89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1,714,372.67</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59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517"/>
        <w:gridCol w:w="992"/>
        <w:gridCol w:w="994"/>
        <w:gridCol w:w="1207"/>
        <w:gridCol w:w="1217"/>
        <w:gridCol w:w="1270"/>
        <w:gridCol w:w="956"/>
        <w:gridCol w:w="1063"/>
        <w:gridCol w:w="1064"/>
      </w:tblGrid>
      <w:tr>
        <w:trPr>
          <w:trHeight w:val="754" w:hRule="exact"/>
        </w:trPr>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31" w:right="131"/>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48" w:right="55"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42" w:right="63" w:hanging="181"/>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71" w:right="86" w:hanging="180"/>
              <w:jc w:val="left"/>
              <w:rPr>
                <w:rFonts w:ascii="宋体" w:hAnsi="宋体" w:cs="宋体" w:eastAsia="宋体" w:hint="default"/>
                <w:sz w:val="18"/>
                <w:szCs w:val="18"/>
              </w:rPr>
            </w:pPr>
            <w:r>
              <w:rPr>
                <w:rFonts w:ascii="宋体" w:hAnsi="宋体" w:cs="宋体" w:eastAsia="宋体" w:hint="default"/>
                <w:sz w:val="18"/>
                <w:szCs w:val="18"/>
              </w:rPr>
              <w:t>本期冲减成本 费用金额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8"/>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5"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年软件和集 成电路产业发展专 项资金（注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95,666.57</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95,666.57</w:t>
            </w:r>
          </w:p>
        </w:tc>
        <w:tc>
          <w:tcPr>
            <w:tcW w:w="127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金融理财电子商务 平台（注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93,692.35</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76,142.40</w:t>
            </w:r>
          </w:p>
        </w:tc>
        <w:tc>
          <w:tcPr>
            <w:tcW w:w="127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17,549.95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金融服务互动平台 升级项目（注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48,000.00</w:t>
            </w:r>
          </w:p>
        </w:tc>
        <w:tc>
          <w:tcPr>
            <w:tcW w:w="127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互联网金融量化投 资平台项目（注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357,822.64</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199,999.92</w:t>
            </w:r>
          </w:p>
        </w:tc>
        <w:tc>
          <w:tcPr>
            <w:tcW w:w="127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157,822.72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517"/>
        <w:gridCol w:w="992"/>
        <w:gridCol w:w="994"/>
        <w:gridCol w:w="1207"/>
        <w:gridCol w:w="1217"/>
        <w:gridCol w:w="1270"/>
        <w:gridCol w:w="956"/>
        <w:gridCol w:w="1063"/>
        <w:gridCol w:w="1064"/>
      </w:tblGrid>
      <w:tr>
        <w:trPr>
          <w:trHeight w:val="1337"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P2B </w:t>
            </w:r>
            <w:r>
              <w:rPr>
                <w:rFonts w:ascii="宋体" w:hAnsi="宋体" w:cs="宋体" w:eastAsia="宋体" w:hint="default"/>
                <w:sz w:val="18"/>
                <w:szCs w:val="18"/>
              </w:rPr>
              <w:t>的东方 财富非标准化金融 资产服务平台项目</w:t>
            </w:r>
          </w:p>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36,000.00</w:t>
            </w:r>
          </w:p>
        </w:tc>
        <w:tc>
          <w:tcPr>
            <w:tcW w:w="127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文化名家暨</w:t>
            </w:r>
            <w:r>
              <w:rPr>
                <w:rFonts w:ascii="Times New Roman" w:hAnsi="Times New Roman" w:cs="Times New Roman" w:eastAsia="Times New Roman" w:hint="default"/>
                <w:sz w:val="18"/>
                <w:szCs w:val="18"/>
              </w:rPr>
              <w:t>"</w:t>
            </w:r>
            <w:r>
              <w:rPr>
                <w:rFonts w:ascii="宋体" w:hAnsi="宋体" w:cs="宋体" w:eastAsia="宋体" w:hint="default"/>
                <w:sz w:val="18"/>
                <w:szCs w:val="18"/>
              </w:rPr>
              <w:t>四个 一批</w:t>
            </w:r>
            <w:r>
              <w:rPr>
                <w:rFonts w:ascii="Times New Roman" w:hAnsi="Times New Roman" w:cs="Times New Roman" w:eastAsia="Times New Roman" w:hint="default"/>
                <w:sz w:val="18"/>
                <w:szCs w:val="18"/>
              </w:rPr>
              <w:t>"</w:t>
            </w:r>
            <w:r>
              <w:rPr>
                <w:rFonts w:ascii="宋体" w:hAnsi="宋体" w:cs="宋体" w:eastAsia="宋体" w:hint="default"/>
                <w:sz w:val="18"/>
                <w:szCs w:val="18"/>
              </w:rPr>
              <w:t>人才项目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大数据</w:t>
            </w:r>
            <w:r>
              <w:rPr>
                <w:rFonts w:ascii="Times New Roman" w:hAnsi="Times New Roman" w:cs="Times New Roman" w:eastAsia="Times New Roman" w:hint="default"/>
                <w:sz w:val="18"/>
                <w:szCs w:val="18"/>
              </w:rPr>
              <w:t>"</w:t>
            </w:r>
            <w:r>
              <w:rPr>
                <w:rFonts w:ascii="宋体" w:hAnsi="宋体" w:cs="宋体" w:eastAsia="宋体" w:hint="default"/>
                <w:sz w:val="18"/>
                <w:szCs w:val="18"/>
              </w:rPr>
              <w:t>云盾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980,000.00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316" w:lineRule="auto" w:before="8"/>
        <w:ind w:left="153" w:right="112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r>
        <w:rPr>
          <w:rFonts w:ascii="宋体" w:hAnsi="宋体" w:cs="宋体" w:eastAsia="宋体" w:hint="default"/>
          <w:sz w:val="18"/>
          <w:szCs w:val="18"/>
        </w:rPr>
        <w:t>：公司于</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月收到上海市国库收付中心零余额专户资金共计</w:t>
      </w:r>
      <w:r>
        <w:rPr>
          <w:rFonts w:ascii="宋体" w:hAnsi="宋体" w:cs="宋体" w:eastAsia="宋体" w:hint="default"/>
          <w:sz w:val="18"/>
          <w:szCs w:val="18"/>
        </w:rPr>
        <w:t>1,800,000.00</w:t>
      </w:r>
      <w:r>
        <w:rPr>
          <w:rFonts w:ascii="宋体" w:hAnsi="宋体" w:cs="宋体" w:eastAsia="宋体" w:hint="default"/>
          <w:sz w:val="18"/>
          <w:szCs w:val="18"/>
        </w:rPr>
        <w:t>元，根据上海市经济和信息化委员会文 件沪经信（</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689</w:t>
      </w:r>
      <w:r>
        <w:rPr>
          <w:rFonts w:ascii="宋体" w:hAnsi="宋体" w:cs="宋体" w:eastAsia="宋体" w:hint="default"/>
          <w:sz w:val="18"/>
          <w:szCs w:val="18"/>
        </w:rPr>
        <w:t>号《上海市经济信息化委关于下达</w:t>
      </w:r>
      <w:r>
        <w:rPr>
          <w:rFonts w:ascii="宋体" w:hAnsi="宋体" w:cs="宋体" w:eastAsia="宋体" w:hint="default"/>
          <w:sz w:val="18"/>
          <w:szCs w:val="18"/>
        </w:rPr>
        <w:t>2012</w:t>
      </w:r>
      <w:r>
        <w:rPr>
          <w:rFonts w:ascii="宋体" w:hAnsi="宋体" w:cs="宋体" w:eastAsia="宋体" w:hint="default"/>
          <w:sz w:val="18"/>
          <w:szCs w:val="18"/>
        </w:rPr>
        <w:t>年度软件和集成电路产业发展专项资金项目计划的通知》，该 专项资金用于采购设备及人工费用等。公司根据项目实际投入情况，该项补助分解为与资产相关部分和与收益相关部分， 本项目已验收完毕，本期结转与资产相关其他收益</w:t>
      </w:r>
      <w:r>
        <w:rPr>
          <w:rFonts w:ascii="宋体" w:hAnsi="宋体" w:cs="宋体" w:eastAsia="宋体" w:hint="default"/>
          <w:sz w:val="18"/>
          <w:szCs w:val="18"/>
        </w:rPr>
        <w:t>95,666.57</w:t>
      </w:r>
      <w:r>
        <w:rPr>
          <w:rFonts w:ascii="宋体" w:hAnsi="宋体" w:cs="宋体" w:eastAsia="宋体" w:hint="default"/>
          <w:sz w:val="18"/>
          <w:szCs w:val="18"/>
        </w:rPr>
        <w:t>元，截至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日，递延收益全部结转完毕。 注</w:t>
      </w:r>
      <w:r>
        <w:rPr>
          <w:rFonts w:ascii="宋体" w:hAnsi="宋体" w:cs="宋体" w:eastAsia="宋体" w:hint="default"/>
          <w:sz w:val="18"/>
          <w:szCs w:val="18"/>
        </w:rPr>
        <w:t>2</w:t>
      </w:r>
      <w:r>
        <w:rPr>
          <w:rFonts w:ascii="宋体" w:hAnsi="宋体" w:cs="宋体" w:eastAsia="宋体" w:hint="default"/>
          <w:sz w:val="18"/>
          <w:szCs w:val="18"/>
        </w:rPr>
        <w:t>：公司于</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月收到上海市国库收付中心零余额专户资金共计</w:t>
      </w:r>
      <w:r>
        <w:rPr>
          <w:rFonts w:ascii="宋体" w:hAnsi="宋体" w:cs="宋体" w:eastAsia="宋体" w:hint="default"/>
          <w:sz w:val="18"/>
          <w:szCs w:val="18"/>
        </w:rPr>
        <w:t>960,000.00</w:t>
      </w:r>
      <w:r>
        <w:rPr>
          <w:rFonts w:ascii="宋体" w:hAnsi="宋体" w:cs="宋体" w:eastAsia="宋体" w:hint="default"/>
          <w:sz w:val="18"/>
          <w:szCs w:val="18"/>
        </w:rPr>
        <w:t>元，根据上海市科学技术委员会《金融理 财电子商务平台》科研计划项目课题合同规定，该专项资金用于采购设备及人工费用等。公司根据项目预算及投入情况， 该项补助区分为与资产相关部分和与收益相关部分，本项目已验收完毕，本期结转与资产相关其他收益</w:t>
      </w:r>
      <w:r>
        <w:rPr>
          <w:rFonts w:ascii="宋体" w:hAnsi="宋体" w:cs="宋体" w:eastAsia="宋体" w:hint="default"/>
          <w:sz w:val="18"/>
          <w:szCs w:val="18"/>
        </w:rPr>
        <w:t>76,142.40</w:t>
      </w:r>
      <w:r>
        <w:rPr>
          <w:rFonts w:ascii="宋体" w:hAnsi="宋体" w:cs="宋体" w:eastAsia="宋体" w:hint="default"/>
          <w:sz w:val="18"/>
          <w:szCs w:val="18"/>
        </w:rPr>
        <w:t>元。截至 </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日期末余额均为与资产相关。 注</w:t>
      </w:r>
      <w:r>
        <w:rPr>
          <w:rFonts w:ascii="宋体" w:hAnsi="宋体" w:cs="宋体" w:eastAsia="宋体" w:hint="default"/>
          <w:sz w:val="18"/>
          <w:szCs w:val="18"/>
        </w:rPr>
        <w:t>3</w:t>
      </w:r>
      <w:r>
        <w:rPr>
          <w:rFonts w:ascii="宋体" w:hAnsi="宋体" w:cs="宋体" w:eastAsia="宋体" w:hint="default"/>
          <w:sz w:val="18"/>
          <w:szCs w:val="18"/>
        </w:rPr>
        <w:t>：公司于</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月收到上海市嘉定区财政资金收付中心资金</w:t>
      </w:r>
      <w:r>
        <w:rPr>
          <w:rFonts w:ascii="宋体" w:hAnsi="宋体" w:cs="宋体" w:eastAsia="宋体" w:hint="default"/>
          <w:sz w:val="18"/>
          <w:szCs w:val="18"/>
        </w:rPr>
        <w:t>800,000.00</w:t>
      </w:r>
      <w:r>
        <w:rPr>
          <w:rFonts w:ascii="宋体" w:hAnsi="宋体" w:cs="宋体" w:eastAsia="宋体" w:hint="default"/>
          <w:sz w:val="18"/>
          <w:szCs w:val="18"/>
        </w:rPr>
        <w:t>元，于</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月收到上海市嘉定区财政资金 收付中心资金共计</w:t>
      </w:r>
      <w:r>
        <w:rPr>
          <w:rFonts w:ascii="宋体" w:hAnsi="宋体" w:cs="宋体" w:eastAsia="宋体" w:hint="default"/>
          <w:sz w:val="18"/>
          <w:szCs w:val="18"/>
        </w:rPr>
        <w:t>240,000.00</w:t>
      </w:r>
      <w:r>
        <w:rPr>
          <w:rFonts w:ascii="宋体" w:hAnsi="宋体" w:cs="宋体" w:eastAsia="宋体" w:hint="default"/>
          <w:sz w:val="18"/>
          <w:szCs w:val="18"/>
        </w:rPr>
        <w:t>元，于</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月收到上海市嘉定区财政资金收付中心资金共计</w:t>
      </w:r>
      <w:r>
        <w:rPr>
          <w:rFonts w:ascii="宋体" w:hAnsi="宋体" w:cs="宋体" w:eastAsia="宋体" w:hint="default"/>
          <w:sz w:val="18"/>
          <w:szCs w:val="18"/>
        </w:rPr>
        <w:t>160,000.00</w:t>
      </w:r>
      <w:r>
        <w:rPr>
          <w:rFonts w:ascii="宋体" w:hAnsi="宋体" w:cs="宋体" w:eastAsia="宋体" w:hint="default"/>
          <w:sz w:val="18"/>
          <w:szCs w:val="18"/>
        </w:rPr>
        <w:t>元。根据上海市文 化创意产业推进领导小组办公室《东方财富网金融服务互动平台升级项目》项目计划任务书规定，该专项资金用于采购设 备及人工费用等，本期项目验收完毕。本期结转与资产相关其他收益</w:t>
      </w:r>
      <w:r>
        <w:rPr>
          <w:rFonts w:ascii="宋体" w:hAnsi="宋体" w:cs="宋体" w:eastAsia="宋体" w:hint="default"/>
          <w:sz w:val="18"/>
          <w:szCs w:val="18"/>
        </w:rPr>
        <w:t>48,000.00</w:t>
      </w:r>
      <w:r>
        <w:rPr>
          <w:rFonts w:ascii="宋体" w:hAnsi="宋体" w:cs="宋体" w:eastAsia="宋体" w:hint="default"/>
          <w:sz w:val="18"/>
          <w:szCs w:val="18"/>
        </w:rPr>
        <w:t>元。截至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日期末余额均为与资 产相关。 注</w:t>
      </w:r>
      <w:r>
        <w:rPr>
          <w:rFonts w:ascii="宋体" w:hAnsi="宋体" w:cs="宋体" w:eastAsia="宋体" w:hint="default"/>
          <w:sz w:val="18"/>
          <w:szCs w:val="18"/>
        </w:rPr>
        <w:t>4</w:t>
      </w:r>
      <w:r>
        <w:rPr>
          <w:rFonts w:ascii="宋体" w:hAnsi="宋体" w:cs="宋体" w:eastAsia="宋体" w:hint="default"/>
          <w:sz w:val="18"/>
          <w:szCs w:val="18"/>
        </w:rPr>
        <w:t>：公司于</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月收到上海市国库收付中心零余额专户资金共计</w:t>
      </w:r>
      <w:r>
        <w:rPr>
          <w:rFonts w:ascii="宋体" w:hAnsi="宋体" w:cs="宋体" w:eastAsia="宋体" w:hint="default"/>
          <w:sz w:val="18"/>
          <w:szCs w:val="18"/>
        </w:rPr>
        <w:t>2,000,000.00</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根据上海市经济和信息化委员会文 件沪经信推（</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769</w:t>
      </w:r>
      <w:r>
        <w:rPr>
          <w:rFonts w:ascii="宋体" w:hAnsi="宋体" w:cs="宋体" w:eastAsia="宋体" w:hint="default"/>
          <w:sz w:val="18"/>
          <w:szCs w:val="18"/>
        </w:rPr>
        <w:t>号《上海市经济信息化委关于下达</w:t>
      </w:r>
      <w:r>
        <w:rPr>
          <w:rFonts w:ascii="宋体" w:hAnsi="宋体" w:cs="宋体" w:eastAsia="宋体" w:hint="default"/>
          <w:sz w:val="18"/>
          <w:szCs w:val="18"/>
        </w:rPr>
        <w:t>2013</w:t>
      </w:r>
      <w:r>
        <w:rPr>
          <w:rFonts w:ascii="宋体" w:hAnsi="宋体" w:cs="宋体" w:eastAsia="宋体" w:hint="default"/>
          <w:sz w:val="18"/>
          <w:szCs w:val="18"/>
        </w:rPr>
        <w:t>年上海市信息化发展专项资金项目计划（第二批）的通 知》，该专项资金用于采购设备及人工费用等。本期项目验收完毕。本期结转与资产相关其他收益</w:t>
      </w:r>
      <w:r>
        <w:rPr>
          <w:rFonts w:ascii="宋体" w:hAnsi="宋体" w:cs="宋体" w:eastAsia="宋体" w:hint="default"/>
          <w:sz w:val="18"/>
          <w:szCs w:val="18"/>
        </w:rPr>
        <w:t>199,999.92</w:t>
      </w:r>
      <w:r>
        <w:rPr>
          <w:rFonts w:ascii="宋体" w:hAnsi="宋体" w:cs="宋体" w:eastAsia="宋体" w:hint="default"/>
          <w:sz w:val="18"/>
          <w:szCs w:val="18"/>
        </w:rPr>
        <w:t>元。截至 </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日期末余额均为与资产相关。 注</w:t>
      </w:r>
      <w:r>
        <w:rPr>
          <w:rFonts w:ascii="宋体" w:hAnsi="宋体" w:cs="宋体" w:eastAsia="宋体" w:hint="default"/>
          <w:sz w:val="18"/>
          <w:szCs w:val="18"/>
        </w:rPr>
        <w:t>5</w:t>
      </w:r>
      <w:r>
        <w:rPr>
          <w:rFonts w:ascii="宋体" w:hAnsi="宋体" w:cs="宋体" w:eastAsia="宋体" w:hint="default"/>
          <w:sz w:val="18"/>
          <w:szCs w:val="18"/>
        </w:rPr>
        <w:t>：公司于</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月收到上海市国库收付中心零余额专户资金</w:t>
      </w:r>
      <w:r>
        <w:rPr>
          <w:rFonts w:ascii="宋体" w:hAnsi="宋体" w:cs="宋体" w:eastAsia="宋体" w:hint="default"/>
          <w:sz w:val="18"/>
          <w:szCs w:val="18"/>
        </w:rPr>
        <w:t>540,000.00</w:t>
      </w:r>
      <w:r>
        <w:rPr>
          <w:rFonts w:ascii="宋体" w:hAnsi="宋体" w:cs="宋体" w:eastAsia="宋体" w:hint="default"/>
          <w:sz w:val="18"/>
          <w:szCs w:val="18"/>
        </w:rPr>
        <w:t>元，</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月收到上海市国库收付中心零余 额专户资金</w:t>
      </w:r>
      <w:r>
        <w:rPr>
          <w:rFonts w:ascii="宋体" w:hAnsi="宋体" w:cs="宋体" w:eastAsia="宋体" w:hint="default"/>
          <w:sz w:val="18"/>
          <w:szCs w:val="18"/>
        </w:rPr>
        <w:t>60,000.00</w:t>
      </w:r>
      <w:r>
        <w:rPr>
          <w:rFonts w:ascii="宋体" w:hAnsi="宋体" w:cs="宋体" w:eastAsia="宋体" w:hint="default"/>
          <w:sz w:val="18"/>
          <w:szCs w:val="18"/>
        </w:rPr>
        <w:t>元。根据上海市经济和信息化委员会文件沪经信信（</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509</w:t>
      </w:r>
      <w:r>
        <w:rPr>
          <w:rFonts w:ascii="宋体" w:hAnsi="宋体" w:cs="宋体" w:eastAsia="宋体" w:hint="default"/>
          <w:sz w:val="18"/>
          <w:szCs w:val="18"/>
        </w:rPr>
        <w:t>号《上海市经济信息化委关于下达 </w:t>
      </w:r>
      <w:r>
        <w:rPr>
          <w:rFonts w:ascii="宋体" w:hAnsi="宋体" w:cs="宋体" w:eastAsia="宋体" w:hint="default"/>
          <w:sz w:val="18"/>
          <w:szCs w:val="18"/>
        </w:rPr>
        <w:t>2015</w:t>
      </w:r>
      <w:r>
        <w:rPr>
          <w:rFonts w:ascii="宋体" w:hAnsi="宋体" w:cs="宋体" w:eastAsia="宋体" w:hint="default"/>
          <w:sz w:val="18"/>
          <w:szCs w:val="18"/>
        </w:rPr>
        <w:t>年度软件何集成电路产业发展专项资金项目计划的通知》，该专项资金用于采购固定资产及人工费用等。本期结转与 资产相关其他收益</w:t>
      </w:r>
      <w:r>
        <w:rPr>
          <w:rFonts w:ascii="宋体" w:hAnsi="宋体" w:cs="宋体" w:eastAsia="宋体" w:hint="default"/>
          <w:sz w:val="18"/>
          <w:szCs w:val="18"/>
        </w:rPr>
        <w:t>36,000.00</w:t>
      </w:r>
      <w:r>
        <w:rPr>
          <w:rFonts w:ascii="宋体" w:hAnsi="宋体" w:cs="宋体" w:eastAsia="宋体" w:hint="default"/>
          <w:sz w:val="18"/>
          <w:szCs w:val="18"/>
        </w:rPr>
        <w:t>元。截至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日期末余额均为与资产相关。</w:t>
      </w:r>
    </w:p>
    <w:p>
      <w:pPr>
        <w:spacing w:line="240" w:lineRule="auto" w:before="10"/>
        <w:rPr>
          <w:rFonts w:ascii="宋体" w:hAnsi="宋体" w:cs="宋体" w:eastAsia="宋体" w:hint="default"/>
          <w:sz w:val="22"/>
          <w:szCs w:val="22"/>
        </w:rPr>
      </w:pPr>
    </w:p>
    <w:p>
      <w:pPr>
        <w:pStyle w:val="Heading5"/>
        <w:spacing w:line="240" w:lineRule="auto" w:before="0"/>
        <w:ind w:right="1114"/>
        <w:jc w:val="left"/>
        <w:rPr>
          <w:b w:val="0"/>
          <w:bCs w:val="0"/>
        </w:rPr>
      </w:pPr>
      <w:r>
        <w:rPr>
          <w:rFonts w:ascii="Times New Roman" w:hAnsi="Times New Roman" w:cs="Times New Roman" w:eastAsia="Times New Roman" w:hint="default"/>
        </w:rPr>
        <w:t>34</w:t>
      </w:r>
      <w:r>
        <w:rPr/>
        <w:t>、股本</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54" w:type="dxa"/>
        <w:tblLayout w:type="fixed"/>
        <w:tblCellMar>
          <w:top w:w="0" w:type="dxa"/>
          <w:left w:w="0" w:type="dxa"/>
          <w:bottom w:w="0" w:type="dxa"/>
          <w:right w:w="0" w:type="dxa"/>
        </w:tblCellMar>
        <w:tblLook w:val="01E0"/>
      </w:tblPr>
      <w:tblGrid>
        <w:gridCol w:w="923"/>
        <w:gridCol w:w="1385"/>
        <w:gridCol w:w="1587"/>
        <w:gridCol w:w="682"/>
        <w:gridCol w:w="1217"/>
        <w:gridCol w:w="1217"/>
        <w:gridCol w:w="1221"/>
        <w:gridCol w:w="1398"/>
      </w:tblGrid>
      <w:tr>
        <w:trPr>
          <w:trHeight w:val="403" w:hRule="exact"/>
        </w:trPr>
        <w:tc>
          <w:tcPr>
            <w:tcW w:w="923" w:type="dxa"/>
            <w:vMerge w:val="restart"/>
            <w:tcBorders>
              <w:top w:val="single" w:sz="4" w:space="0" w:color="000000"/>
              <w:left w:val="single" w:sz="4" w:space="0" w:color="000000"/>
              <w:right w:val="single" w:sz="4" w:space="0" w:color="000000"/>
            </w:tcBorders>
            <w:shd w:val="clear" w:color="auto" w:fill="D2D2D2"/>
          </w:tcPr>
          <w:p>
            <w:pP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2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923"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3" w:right="0"/>
              <w:jc w:val="left"/>
              <w:rPr>
                <w:rFonts w:ascii="宋体" w:hAnsi="宋体" w:cs="宋体" w:eastAsia="宋体" w:hint="default"/>
                <w:sz w:val="18"/>
                <w:szCs w:val="18"/>
              </w:rPr>
            </w:pPr>
            <w:r>
              <w:rPr>
                <w:rFonts w:ascii="宋体" w:hAnsi="宋体" w:cs="宋体" w:eastAsia="宋体" w:hint="default"/>
                <w:sz w:val="18"/>
                <w:szCs w:val="18"/>
              </w:rPr>
              <w:t>可转债转股</w:t>
            </w:r>
          </w:p>
        </w:tc>
        <w:tc>
          <w:tcPr>
            <w:tcW w:w="1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4,288,779,718.00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21,609,504.00</w:t>
            </w:r>
          </w:p>
        </w:tc>
        <w:tc>
          <w:tcPr>
            <w:tcW w:w="68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857,755,943.00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139,861.00</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879,505,308.00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5,168,285,026.00</w:t>
            </w:r>
          </w:p>
        </w:tc>
      </w:tr>
    </w:tbl>
    <w:p>
      <w:pPr>
        <w:spacing w:line="316" w:lineRule="auto" w:before="8"/>
        <w:ind w:left="153" w:right="1123" w:firstLine="0"/>
        <w:jc w:val="left"/>
        <w:rPr>
          <w:rFonts w:ascii="宋体" w:hAnsi="宋体" w:cs="宋体" w:eastAsia="宋体" w:hint="default"/>
          <w:sz w:val="18"/>
          <w:szCs w:val="18"/>
        </w:rPr>
      </w:pPr>
      <w:r>
        <w:rPr>
          <w:rFonts w:ascii="宋体" w:hAnsi="宋体" w:cs="宋体" w:eastAsia="宋体" w:hint="default"/>
          <w:sz w:val="18"/>
          <w:szCs w:val="18"/>
        </w:rPr>
        <w:t>本期股本增减变动的说明： </w:t>
      </w:r>
      <w:r>
        <w:rPr>
          <w:rFonts w:ascii="宋体" w:hAnsi="宋体" w:cs="宋体" w:eastAsia="宋体" w:hint="default"/>
          <w:spacing w:val="-2"/>
          <w:sz w:val="18"/>
          <w:szCs w:val="18"/>
        </w:rPr>
        <w:t>1</w:t>
      </w:r>
      <w:r>
        <w:rPr>
          <w:rFonts w:ascii="宋体" w:hAnsi="宋体" w:cs="宋体" w:eastAsia="宋体" w:hint="default"/>
          <w:spacing w:val="-2"/>
          <w:sz w:val="18"/>
          <w:szCs w:val="18"/>
        </w:rPr>
        <w:t>、根据公司于</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3</w:t>
      </w:r>
      <w:r>
        <w:rPr>
          <w:rFonts w:ascii="宋体" w:hAnsi="宋体" w:cs="宋体" w:eastAsia="宋体" w:hint="default"/>
          <w:spacing w:val="-2"/>
          <w:sz w:val="18"/>
          <w:szCs w:val="18"/>
        </w:rPr>
        <w:t>月</w:t>
      </w:r>
      <w:r>
        <w:rPr>
          <w:rFonts w:ascii="宋体" w:hAnsi="宋体" w:cs="宋体" w:eastAsia="宋体" w:hint="default"/>
          <w:spacing w:val="-2"/>
          <w:sz w:val="18"/>
          <w:szCs w:val="18"/>
        </w:rPr>
        <w:t>15</w:t>
      </w:r>
      <w:r>
        <w:rPr>
          <w:rFonts w:ascii="宋体" w:hAnsi="宋体" w:cs="宋体" w:eastAsia="宋体" w:hint="default"/>
          <w:spacing w:val="-2"/>
          <w:sz w:val="18"/>
          <w:szCs w:val="18"/>
        </w:rPr>
        <w:t>日召开的第四届董事会第十四次会议决议和</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9</w:t>
      </w:r>
      <w:r>
        <w:rPr>
          <w:rFonts w:ascii="宋体" w:hAnsi="宋体" w:cs="宋体" w:eastAsia="宋体" w:hint="default"/>
          <w:spacing w:val="-2"/>
          <w:sz w:val="18"/>
          <w:szCs w:val="18"/>
        </w:rPr>
        <w:t>日召开的</w:t>
      </w:r>
      <w:r>
        <w:rPr>
          <w:rFonts w:ascii="宋体" w:hAnsi="宋体" w:cs="宋体" w:eastAsia="宋体" w:hint="default"/>
          <w:spacing w:val="-2"/>
          <w:sz w:val="18"/>
          <w:szCs w:val="18"/>
        </w:rPr>
        <w:t>2017</w:t>
      </w:r>
      <w:r>
        <w:rPr>
          <w:rFonts w:ascii="宋体" w:hAnsi="宋体" w:cs="宋体" w:eastAsia="宋体" w:hint="default"/>
          <w:spacing w:val="-2"/>
          <w:sz w:val="18"/>
          <w:szCs w:val="18"/>
        </w:rPr>
        <w:t>年年度股东大会决议，公司</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以</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日总股本</w:t>
      </w:r>
      <w:r>
        <w:rPr>
          <w:rFonts w:ascii="宋体" w:hAnsi="宋体" w:cs="宋体" w:eastAsia="宋体" w:hint="default"/>
          <w:sz w:val="18"/>
          <w:szCs w:val="18"/>
        </w:rPr>
        <w:t>4,288,779,718</w:t>
      </w:r>
      <w:r>
        <w:rPr>
          <w:rFonts w:ascii="宋体" w:hAnsi="宋体" w:cs="宋体" w:eastAsia="宋体" w:hint="default"/>
          <w:sz w:val="18"/>
          <w:szCs w:val="18"/>
        </w:rPr>
        <w:t>股为基数，用资本公积金向全体股东每</w:t>
      </w:r>
      <w:r>
        <w:rPr>
          <w:rFonts w:ascii="宋体" w:hAnsi="宋体" w:cs="宋体" w:eastAsia="宋体" w:hint="default"/>
          <w:sz w:val="18"/>
          <w:szCs w:val="18"/>
        </w:rPr>
        <w:t>10</w:t>
      </w:r>
      <w:r>
        <w:rPr>
          <w:rFonts w:ascii="宋体" w:hAnsi="宋体" w:cs="宋体" w:eastAsia="宋体" w:hint="default"/>
          <w:sz w:val="18"/>
          <w:szCs w:val="18"/>
        </w:rPr>
        <w:t>股转增</w:t>
      </w:r>
      <w:r>
        <w:rPr>
          <w:rFonts w:ascii="宋体" w:hAnsi="宋体" w:cs="宋体" w:eastAsia="宋体" w:hint="default"/>
          <w:sz w:val="18"/>
          <w:szCs w:val="18"/>
        </w:rPr>
        <w:t>2</w:t>
      </w:r>
      <w:r>
        <w:rPr>
          <w:rFonts w:ascii="宋体" w:hAnsi="宋体" w:cs="宋体" w:eastAsia="宋体" w:hint="default"/>
          <w:sz w:val="18"/>
          <w:szCs w:val="18"/>
        </w:rPr>
        <w:t>股，共转增</w:t>
      </w:r>
      <w:r>
        <w:rPr>
          <w:rFonts w:ascii="宋体" w:hAnsi="宋体" w:cs="宋体" w:eastAsia="宋体" w:hint="default"/>
          <w:sz w:val="18"/>
          <w:szCs w:val="18"/>
        </w:rPr>
        <w:t>857,755,943</w:t>
      </w:r>
      <w:r>
        <w:rPr>
          <w:rFonts w:ascii="宋体" w:hAnsi="宋体" w:cs="宋体" w:eastAsia="宋体" w:hint="default"/>
          <w:sz w:val="18"/>
          <w:szCs w:val="18"/>
        </w:rPr>
        <w:t>股，转增 后公司总股本变更为</w:t>
      </w:r>
      <w:r>
        <w:rPr>
          <w:rFonts w:ascii="宋体" w:hAnsi="宋体" w:cs="宋体" w:eastAsia="宋体" w:hint="default"/>
          <w:sz w:val="18"/>
          <w:szCs w:val="18"/>
        </w:rPr>
        <w:t>5,146,535,661</w:t>
      </w:r>
      <w:r>
        <w:rPr>
          <w:rFonts w:ascii="宋体" w:hAnsi="宋体" w:cs="宋体" w:eastAsia="宋体" w:hint="default"/>
          <w:sz w:val="18"/>
          <w:szCs w:val="18"/>
        </w:rPr>
        <w:t>股。 </w:t>
      </w:r>
      <w:r>
        <w:rPr>
          <w:rFonts w:ascii="宋体" w:hAnsi="宋体" w:cs="宋体" w:eastAsia="宋体" w:hint="default"/>
          <w:spacing w:val="-2"/>
          <w:sz w:val="18"/>
          <w:szCs w:val="18"/>
        </w:rPr>
        <w:t>2</w:t>
      </w:r>
      <w:r>
        <w:rPr>
          <w:rFonts w:ascii="宋体" w:hAnsi="宋体" w:cs="宋体" w:eastAsia="宋体" w:hint="default"/>
          <w:spacing w:val="-2"/>
          <w:sz w:val="18"/>
          <w:szCs w:val="18"/>
        </w:rPr>
        <w:t>、根据公司于</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5</w:t>
      </w:r>
      <w:r>
        <w:rPr>
          <w:rFonts w:ascii="宋体" w:hAnsi="宋体" w:cs="宋体" w:eastAsia="宋体" w:hint="default"/>
          <w:spacing w:val="-2"/>
          <w:sz w:val="18"/>
          <w:szCs w:val="18"/>
        </w:rPr>
        <w:t>月</w:t>
      </w:r>
      <w:r>
        <w:rPr>
          <w:rFonts w:ascii="宋体" w:hAnsi="宋体" w:cs="宋体" w:eastAsia="宋体" w:hint="default"/>
          <w:spacing w:val="-2"/>
          <w:sz w:val="18"/>
          <w:szCs w:val="18"/>
        </w:rPr>
        <w:t>12</w:t>
      </w:r>
      <w:r>
        <w:rPr>
          <w:rFonts w:ascii="宋体" w:hAnsi="宋体" w:cs="宋体" w:eastAsia="宋体" w:hint="default"/>
          <w:spacing w:val="-2"/>
          <w:sz w:val="18"/>
          <w:szCs w:val="18"/>
        </w:rPr>
        <w:t>日召开的第四届董事会第十六次会议审议通过的《关于公司</w:t>
      </w:r>
      <w:r>
        <w:rPr>
          <w:rFonts w:ascii="宋体" w:hAnsi="宋体" w:cs="宋体" w:eastAsia="宋体" w:hint="default"/>
          <w:spacing w:val="-2"/>
          <w:sz w:val="18"/>
          <w:szCs w:val="18"/>
        </w:rPr>
        <w:t>2014</w:t>
      </w:r>
      <w:r>
        <w:rPr>
          <w:rFonts w:ascii="宋体" w:hAnsi="宋体" w:cs="宋体" w:eastAsia="宋体" w:hint="default"/>
          <w:spacing w:val="-2"/>
          <w:sz w:val="18"/>
          <w:szCs w:val="18"/>
        </w:rPr>
        <w:t>年股票期权激励计划首次授予股</w:t>
      </w:r>
      <w:r>
        <w:rPr>
          <w:rFonts w:ascii="宋体" w:hAnsi="宋体" w:cs="宋体" w:eastAsia="宋体" w:hint="default"/>
          <w:spacing w:val="-58"/>
          <w:sz w:val="18"/>
          <w:szCs w:val="18"/>
        </w:rPr>
        <w:t> </w:t>
      </w:r>
      <w:r>
        <w:rPr>
          <w:rFonts w:ascii="宋体" w:hAnsi="宋体" w:cs="宋体" w:eastAsia="宋体" w:hint="default"/>
          <w:spacing w:val="-2"/>
          <w:sz w:val="18"/>
          <w:szCs w:val="18"/>
        </w:rPr>
        <w:t>票期权第三个行权期及授予的预留股票期权第二个行权期可行权的议案》，公司</w:t>
      </w:r>
      <w:r>
        <w:rPr>
          <w:rFonts w:ascii="宋体" w:hAnsi="宋体" w:cs="宋体" w:eastAsia="宋体" w:hint="default"/>
          <w:spacing w:val="-2"/>
          <w:sz w:val="18"/>
          <w:szCs w:val="18"/>
        </w:rPr>
        <w:t>2014</w:t>
      </w:r>
      <w:r>
        <w:rPr>
          <w:rFonts w:ascii="宋体" w:hAnsi="宋体" w:cs="宋体" w:eastAsia="宋体" w:hint="default"/>
          <w:spacing w:val="-2"/>
          <w:sz w:val="18"/>
          <w:szCs w:val="18"/>
        </w:rPr>
        <w:t>年股票期权激励计划首次授予股票期权</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第三个行权期及授予的预留股票期权第二个行权期的行权条件已满足，董事会同意</w:t>
      </w:r>
      <w:r>
        <w:rPr>
          <w:rFonts w:ascii="宋体" w:hAnsi="宋体" w:cs="宋体" w:eastAsia="宋体" w:hint="default"/>
          <w:sz w:val="18"/>
          <w:szCs w:val="18"/>
        </w:rPr>
        <w:t>149</w:t>
      </w:r>
      <w:r>
        <w:rPr>
          <w:rFonts w:ascii="宋体" w:hAnsi="宋体" w:cs="宋体" w:eastAsia="宋体" w:hint="default"/>
          <w:sz w:val="18"/>
          <w:szCs w:val="18"/>
        </w:rPr>
        <w:t>名激励对象在第三个行权期内行权，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可行权股票期权数量为</w:t>
      </w:r>
      <w:r>
        <w:rPr>
          <w:rFonts w:ascii="宋体" w:hAnsi="宋体" w:cs="宋体" w:eastAsia="宋体" w:hint="default"/>
          <w:sz w:val="18"/>
          <w:szCs w:val="18"/>
        </w:rPr>
        <w:t>2,160.9504</w:t>
      </w:r>
      <w:r>
        <w:rPr>
          <w:rFonts w:ascii="宋体" w:hAnsi="宋体" w:cs="宋体" w:eastAsia="宋体" w:hint="default"/>
          <w:sz w:val="18"/>
          <w:szCs w:val="18"/>
        </w:rPr>
        <w:t>万份，行权价格为</w:t>
      </w:r>
      <w:r>
        <w:rPr>
          <w:rFonts w:ascii="宋体" w:hAnsi="宋体" w:cs="宋体" w:eastAsia="宋体" w:hint="default"/>
          <w:sz w:val="18"/>
          <w:szCs w:val="18"/>
        </w:rPr>
        <w:t>3.49</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股。行权后，公司总股本变更为</w:t>
      </w:r>
      <w:r>
        <w:rPr>
          <w:rFonts w:ascii="宋体" w:hAnsi="宋体" w:cs="宋体" w:eastAsia="宋体" w:hint="default"/>
          <w:sz w:val="18"/>
          <w:szCs w:val="18"/>
        </w:rPr>
        <w:t>5,168,145,165</w:t>
      </w:r>
      <w:r>
        <w:rPr>
          <w:rFonts w:ascii="宋体" w:hAnsi="宋体" w:cs="宋体" w:eastAsia="宋体" w:hint="default"/>
          <w:sz w:val="18"/>
          <w:szCs w:val="18"/>
        </w:rPr>
        <w:t>股。</w:t>
      </w:r>
    </w:p>
    <w:p>
      <w:pPr>
        <w:spacing w:after="0" w:line="316" w:lineRule="auto"/>
        <w:jc w:val="left"/>
        <w:rPr>
          <w:rFonts w:ascii="宋体" w:hAnsi="宋体" w:cs="宋体" w:eastAsia="宋体" w:hint="default"/>
          <w:sz w:val="18"/>
          <w:szCs w:val="18"/>
        </w:rPr>
        <w:sectPr>
          <w:pgSz w:w="11910" w:h="16840"/>
          <w:pgMar w:header="852" w:footer="979" w:top="1260" w:bottom="1160" w:left="980" w:right="0"/>
        </w:sectPr>
      </w:pPr>
    </w:p>
    <w:p>
      <w:pPr>
        <w:spacing w:line="240" w:lineRule="auto" w:before="10"/>
        <w:rPr>
          <w:rFonts w:ascii="宋体" w:hAnsi="宋体" w:cs="宋体" w:eastAsia="宋体" w:hint="default"/>
          <w:sz w:val="9"/>
          <w:szCs w:val="9"/>
        </w:rPr>
      </w:pPr>
    </w:p>
    <w:p>
      <w:pPr>
        <w:spacing w:line="316" w:lineRule="auto" w:before="44"/>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、本年度，本公司</w:t>
      </w:r>
      <w:r>
        <w:rPr>
          <w:rFonts w:ascii="宋体" w:hAnsi="宋体" w:cs="宋体" w:eastAsia="宋体" w:hint="default"/>
          <w:spacing w:val="-3"/>
          <w:sz w:val="18"/>
          <w:szCs w:val="18"/>
        </w:rPr>
        <w:t>2017</w:t>
      </w:r>
      <w:r>
        <w:rPr>
          <w:rFonts w:ascii="宋体" w:hAnsi="宋体" w:cs="宋体" w:eastAsia="宋体" w:hint="default"/>
          <w:spacing w:val="-3"/>
          <w:sz w:val="18"/>
          <w:szCs w:val="18"/>
        </w:rPr>
        <w:t>年度发行的“东财转债”共有</w:t>
      </w:r>
      <w:r>
        <w:rPr>
          <w:rFonts w:ascii="宋体" w:hAnsi="宋体" w:cs="宋体" w:eastAsia="宋体" w:hint="default"/>
          <w:spacing w:val="-3"/>
          <w:sz w:val="18"/>
          <w:szCs w:val="18"/>
        </w:rPr>
        <w:t>15,896</w:t>
      </w:r>
      <w:r>
        <w:rPr>
          <w:rFonts w:ascii="宋体" w:hAnsi="宋体" w:cs="宋体" w:eastAsia="宋体" w:hint="default"/>
          <w:spacing w:val="-3"/>
          <w:sz w:val="18"/>
          <w:szCs w:val="18"/>
        </w:rPr>
        <w:t>份可转债进行转股，合计转股</w:t>
      </w:r>
      <w:r>
        <w:rPr>
          <w:rFonts w:ascii="宋体" w:hAnsi="宋体" w:cs="宋体" w:eastAsia="宋体" w:hint="default"/>
          <w:spacing w:val="-3"/>
          <w:sz w:val="18"/>
          <w:szCs w:val="18"/>
        </w:rPr>
        <w:t>139,861</w:t>
      </w:r>
      <w:r>
        <w:rPr>
          <w:rFonts w:ascii="宋体" w:hAnsi="宋体" w:cs="宋体" w:eastAsia="宋体" w:hint="default"/>
          <w:spacing w:val="-3"/>
          <w:sz w:val="18"/>
          <w:szCs w:val="18"/>
        </w:rPr>
        <w:t>股，增加股本</w:t>
      </w:r>
      <w:r>
        <w:rPr>
          <w:rFonts w:ascii="宋体" w:hAnsi="宋体" w:cs="宋体" w:eastAsia="宋体" w:hint="default"/>
          <w:spacing w:val="-3"/>
          <w:sz w:val="18"/>
          <w:szCs w:val="18"/>
        </w:rPr>
        <w:t>139,861</w:t>
      </w:r>
      <w:r>
        <w:rPr>
          <w:rFonts w:ascii="宋体" w:hAnsi="宋体" w:cs="宋体" w:eastAsia="宋体" w:hint="default"/>
          <w:spacing w:val="-3"/>
          <w:sz w:val="18"/>
          <w:szCs w:val="18"/>
        </w:rPr>
        <w:t>股。</w:t>
      </w:r>
      <w:r>
        <w:rPr>
          <w:rFonts w:ascii="宋体" w:hAnsi="宋体" w:cs="宋体" w:eastAsia="宋体" w:hint="default"/>
          <w:spacing w:val="-75"/>
          <w:sz w:val="18"/>
          <w:szCs w:val="18"/>
        </w:rPr>
        <w:t> </w:t>
      </w:r>
      <w:r>
        <w:rPr>
          <w:rFonts w:ascii="宋体" w:hAnsi="宋体" w:cs="宋体" w:eastAsia="宋体" w:hint="default"/>
          <w:sz w:val="18"/>
          <w:szCs w:val="18"/>
        </w:rPr>
        <w:t>截至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日，公司总股本为</w:t>
      </w:r>
      <w:r>
        <w:rPr>
          <w:rFonts w:ascii="宋体" w:hAnsi="宋体" w:cs="宋体" w:eastAsia="宋体" w:hint="default"/>
          <w:sz w:val="18"/>
          <w:szCs w:val="18"/>
        </w:rPr>
        <w:t>5,168,285,026</w:t>
      </w:r>
      <w:r>
        <w:rPr>
          <w:rFonts w:ascii="宋体" w:hAnsi="宋体" w:cs="宋体" w:eastAsia="宋体" w:hint="default"/>
          <w:sz w:val="18"/>
          <w:szCs w:val="18"/>
        </w:rPr>
        <w:t>股。</w:t>
      </w:r>
    </w:p>
    <w:p>
      <w:pPr>
        <w:spacing w:line="240" w:lineRule="auto" w:before="10"/>
        <w:rPr>
          <w:rFonts w:ascii="宋体" w:hAnsi="宋体" w:cs="宋体" w:eastAsia="宋体" w:hint="default"/>
          <w:sz w:val="22"/>
          <w:szCs w:val="22"/>
        </w:rPr>
      </w:pPr>
    </w:p>
    <w:p>
      <w:pPr>
        <w:pStyle w:val="Heading5"/>
        <w:spacing w:line="240" w:lineRule="auto" w:before="0"/>
        <w:ind w:right="1114"/>
        <w:jc w:val="left"/>
        <w:rPr>
          <w:b w:val="0"/>
          <w:bCs w:val="0"/>
        </w:rPr>
      </w:pPr>
      <w:r>
        <w:rPr>
          <w:rFonts w:ascii="Times New Roman" w:hAnsi="Times New Roman" w:cs="Times New Roman" w:eastAsia="Times New Roman" w:hint="default"/>
        </w:rPr>
        <w:t>35</w:t>
      </w:r>
      <w:r>
        <w:rPr/>
        <w:t>、其他权益工具</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563"/>
        <w:gridCol w:w="992"/>
        <w:gridCol w:w="1418"/>
        <w:gridCol w:w="566"/>
        <w:gridCol w:w="783"/>
        <w:gridCol w:w="778"/>
        <w:gridCol w:w="991"/>
        <w:gridCol w:w="994"/>
        <w:gridCol w:w="1486"/>
      </w:tblGrid>
      <w:tr>
        <w:trPr>
          <w:trHeight w:val="403" w:hRule="exact"/>
        </w:trPr>
        <w:tc>
          <w:tcPr>
            <w:tcW w:w="1563"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75"/>
              <w:ind w:left="417" w:right="324"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4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563"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5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86"/>
              <w:jc w:val="left"/>
              <w:rPr>
                <w:rFonts w:ascii="宋体" w:hAnsi="宋体" w:cs="宋体" w:eastAsia="宋体" w:hint="default"/>
                <w:sz w:val="18"/>
                <w:szCs w:val="18"/>
              </w:rPr>
            </w:pPr>
            <w:r>
              <w:rPr>
                <w:rFonts w:ascii="宋体" w:hAnsi="宋体" w:cs="宋体" w:eastAsia="宋体" w:hint="default"/>
                <w:sz w:val="18"/>
                <w:szCs w:val="18"/>
              </w:rPr>
              <w:t>可转换公司债券初 始确认权益部分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1,219,365,239.40</w:t>
            </w:r>
          </w:p>
        </w:tc>
        <w:tc>
          <w:tcPr>
            <w:tcW w:w="56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15,896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416,839.35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46,484,104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1,218,948,400.05</w:t>
            </w:r>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1,219,365,239.40</w:t>
            </w:r>
          </w:p>
        </w:tc>
        <w:tc>
          <w:tcPr>
            <w:tcW w:w="56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15,896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416,839.35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46,484,104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1,218,948,400.05</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36</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412"/>
        <w:gridCol w:w="1791"/>
        <w:gridCol w:w="1788"/>
        <w:gridCol w:w="1789"/>
        <w:gridCol w:w="1790"/>
      </w:tblGrid>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6,071,498,101.44</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98,945,594.88</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859,652,907.66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5,310,790,788.66</w:t>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172,702,188.88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69,644,898.96</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48,786,302.50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193,560,785.34</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111,000,640.88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31,581,690.96</w:t>
            </w:r>
          </w:p>
        </w:tc>
        <w:tc>
          <w:tcPr>
            <w:tcW w:w="1789"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142,582,331.84</w:t>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）权益结算的股份支付</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61,701,548.00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38,063,208.00</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48,786,302.50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50,978,453.50</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6,244,200,290.32</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168,590,493.84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908,439,210.16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5,504,351,574.00</w:t>
            </w:r>
          </w:p>
        </w:tc>
      </w:tr>
    </w:tbl>
    <w:p>
      <w:pPr>
        <w:spacing w:line="304" w:lineRule="auto" w:before="8"/>
        <w:ind w:left="15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、资本溢价增减变动原因 本期增加：因股票期权行权增加资本公积</w:t>
      </w:r>
      <w:r>
        <w:rPr>
          <w:rFonts w:ascii="Times New Roman" w:hAnsi="Times New Roman" w:cs="Times New Roman" w:eastAsia="Times New Roman" w:hint="default"/>
          <w:sz w:val="18"/>
          <w:szCs w:val="18"/>
        </w:rPr>
        <w:t>53,807,664.96</w:t>
      </w:r>
      <w:r>
        <w:rPr>
          <w:rFonts w:ascii="宋体" w:hAnsi="宋体" w:cs="宋体" w:eastAsia="宋体" w:hint="default"/>
          <w:sz w:val="18"/>
          <w:szCs w:val="18"/>
        </w:rPr>
        <w:t>元，因股票期权行权由其他资本公积转入资本溢价</w:t>
      </w:r>
      <w:r>
        <w:rPr>
          <w:rFonts w:ascii="Times New Roman" w:hAnsi="Times New Roman" w:cs="Times New Roman" w:eastAsia="Times New Roman" w:hint="default"/>
          <w:sz w:val="18"/>
          <w:szCs w:val="18"/>
        </w:rPr>
        <w:t>43,650,150.00</w:t>
      </w:r>
      <w:r>
        <w:rPr>
          <w:rFonts w:ascii="宋体" w:hAnsi="宋体" w:cs="宋体" w:eastAsia="宋体" w:hint="default"/>
          <w:sz w:val="18"/>
          <w:szCs w:val="18"/>
        </w:rPr>
        <w:t>元， 因可转换债券转股由其他权益工具转入资本溢价</w:t>
      </w:r>
      <w:r>
        <w:rPr>
          <w:rFonts w:ascii="Times New Roman" w:hAnsi="Times New Roman" w:cs="Times New Roman" w:eastAsia="Times New Roman" w:hint="default"/>
          <w:sz w:val="18"/>
          <w:szCs w:val="18"/>
        </w:rPr>
        <w:t>1,487,779.92</w:t>
      </w:r>
      <w:r>
        <w:rPr>
          <w:rFonts w:ascii="宋体" w:hAnsi="宋体" w:cs="宋体" w:eastAsia="宋体" w:hint="default"/>
          <w:sz w:val="18"/>
          <w:szCs w:val="18"/>
        </w:rPr>
        <w:t>元，合计增加</w:t>
      </w:r>
      <w:r>
        <w:rPr>
          <w:rFonts w:ascii="Times New Roman" w:hAnsi="Times New Roman" w:cs="Times New Roman" w:eastAsia="Times New Roman" w:hint="default"/>
          <w:sz w:val="18"/>
          <w:szCs w:val="18"/>
        </w:rPr>
        <w:t>98,945,594.88</w:t>
      </w:r>
      <w:r>
        <w:rPr>
          <w:rFonts w:ascii="宋体" w:hAnsi="宋体" w:cs="宋体" w:eastAsia="宋体" w:hint="default"/>
          <w:sz w:val="18"/>
          <w:szCs w:val="18"/>
        </w:rPr>
        <w:t>元。</w:t>
      </w:r>
      <w:r>
        <w:rPr>
          <w:rFonts w:ascii="宋体" w:hAnsi="宋体" w:cs="宋体" w:eastAsia="宋体" w:hint="default"/>
          <w:spacing w:val="-3"/>
          <w:sz w:val="18"/>
          <w:szCs w:val="18"/>
        </w:rPr>
        <w:t> </w:t>
      </w:r>
      <w:r>
        <w:rPr>
          <w:rFonts w:ascii="宋体" w:hAnsi="宋体" w:cs="宋体" w:eastAsia="宋体" w:hint="default"/>
          <w:sz w:val="18"/>
          <w:szCs w:val="18"/>
        </w:rPr>
        <w:t>本期减少：因购买子公司微兆科技少数股东持有的</w:t>
      </w:r>
      <w:r>
        <w:rPr>
          <w:rFonts w:ascii="Times New Roman" w:hAnsi="Times New Roman" w:cs="Times New Roman" w:eastAsia="Times New Roman" w:hint="default"/>
          <w:sz w:val="18"/>
          <w:szCs w:val="18"/>
        </w:rPr>
        <w:t>8%</w:t>
      </w:r>
      <w:r>
        <w:rPr>
          <w:rFonts w:ascii="宋体" w:hAnsi="宋体" w:cs="宋体" w:eastAsia="宋体" w:hint="default"/>
          <w:sz w:val="18"/>
          <w:szCs w:val="18"/>
        </w:rPr>
        <w:t>股份，根据少数股权新取得的长期股权投资与按照新增持股比例计算</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15"/>
          <w:sz w:val="18"/>
          <w:szCs w:val="18"/>
        </w:rPr>
        <w:t>应享有子公司自购买日开始持续计算的净资产份额之间的差额，减少合并资产负债表中的资本公积中的资本溢价</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z w:val="18"/>
          <w:szCs w:val="18"/>
        </w:rPr>
        <w:t>1,896,964.66</w:t>
      </w:r>
      <w:r>
        <w:rPr>
          <w:rFonts w:ascii="宋体" w:hAnsi="宋体" w:cs="宋体" w:eastAsia="宋体" w:hint="default"/>
          <w:sz w:val="18"/>
          <w:szCs w:val="18"/>
        </w:rPr>
        <w:t>元；因资本公积转增股本，减少资本溢价</w:t>
      </w:r>
      <w:r>
        <w:rPr>
          <w:rFonts w:ascii="Times New Roman" w:hAnsi="Times New Roman" w:cs="Times New Roman" w:eastAsia="Times New Roman" w:hint="default"/>
          <w:sz w:val="18"/>
          <w:szCs w:val="18"/>
        </w:rPr>
        <w:t>857,755,943.00</w:t>
      </w:r>
      <w:r>
        <w:rPr>
          <w:rFonts w:ascii="宋体" w:hAnsi="宋体" w:cs="宋体" w:eastAsia="宋体" w:hint="default"/>
          <w:sz w:val="18"/>
          <w:szCs w:val="18"/>
        </w:rPr>
        <w:t>元。合计减少</w:t>
      </w:r>
      <w:r>
        <w:rPr>
          <w:rFonts w:ascii="Times New Roman" w:hAnsi="Times New Roman" w:cs="Times New Roman" w:eastAsia="Times New Roman" w:hint="default"/>
          <w:sz w:val="18"/>
          <w:szCs w:val="18"/>
        </w:rPr>
        <w:t>859,652,907.66</w:t>
      </w:r>
      <w:r>
        <w:rPr>
          <w:rFonts w:ascii="宋体" w:hAnsi="宋体" w:cs="宋体" w:eastAsia="宋体" w:hint="default"/>
          <w:sz w:val="18"/>
          <w:szCs w:val="18"/>
        </w:rPr>
        <w:t>元。</w:t>
      </w:r>
    </w:p>
    <w:p>
      <w:pPr>
        <w:spacing w:before="9"/>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、其他资本公积增减变动原因</w:t>
      </w:r>
    </w:p>
    <w:p>
      <w:pPr>
        <w:spacing w:line="300" w:lineRule="auto" w:before="63"/>
        <w:ind w:left="153" w:right="976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 本期增加：</w:t>
      </w:r>
    </w:p>
    <w:p>
      <w:pPr>
        <w:spacing w:line="300" w:lineRule="auto" w:before="31"/>
        <w:ind w:left="153" w:right="11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）因股票期权行权，按行权时股票公允价格计算可税前扣除的金额超过已确认的股份支付相关的成本费用，超过部分的所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得税影响</w:t>
      </w:r>
      <w:r>
        <w:rPr>
          <w:rFonts w:ascii="Times New Roman" w:hAnsi="Times New Roman" w:cs="Times New Roman" w:eastAsia="Times New Roman" w:hint="default"/>
          <w:sz w:val="18"/>
          <w:szCs w:val="18"/>
        </w:rPr>
        <w:t>26,093,633.29</w:t>
      </w:r>
      <w:r>
        <w:rPr>
          <w:rFonts w:ascii="宋体" w:hAnsi="宋体" w:cs="宋体" w:eastAsia="宋体" w:hint="default"/>
          <w:sz w:val="18"/>
          <w:szCs w:val="18"/>
        </w:rPr>
        <w:t>元计入其他资本公积。 </w:t>
      </w:r>
      <w:r>
        <w:rPr>
          <w:rFonts w:ascii="Times New Roman" w:hAnsi="Times New Roman" w:cs="Times New Roman" w:eastAsia="Times New Roman" w:hint="default"/>
          <w:sz w:val="18"/>
          <w:szCs w:val="18"/>
        </w:rPr>
        <w:t>2</w:t>
      </w:r>
      <w:r>
        <w:rPr>
          <w:rFonts w:ascii="宋体" w:hAnsi="宋体" w:cs="宋体" w:eastAsia="宋体" w:hint="default"/>
          <w:sz w:val="18"/>
          <w:szCs w:val="18"/>
        </w:rPr>
        <w:t>）因注销预留股票期权第二个行权期未行权股票期权，原确认计入</w:t>
      </w:r>
      <w:r>
        <w:rPr>
          <w:rFonts w:ascii="Times New Roman" w:hAnsi="Times New Roman" w:cs="Times New Roman" w:eastAsia="Times New Roman" w:hint="default"/>
          <w:sz w:val="18"/>
          <w:szCs w:val="18"/>
        </w:rPr>
        <w:t>“</w:t>
      </w: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权益结算的股份支付</w:t>
      </w:r>
      <w:r>
        <w:rPr>
          <w:rFonts w:ascii="Times New Roman" w:hAnsi="Times New Roman" w:cs="Times New Roman" w:eastAsia="Times New Roman" w:hint="default"/>
          <w:sz w:val="18"/>
          <w:szCs w:val="18"/>
        </w:rPr>
        <w:t>”5,136,152.50</w:t>
      </w:r>
      <w:r>
        <w:rPr>
          <w:rFonts w:ascii="宋体" w:hAnsi="宋体" w:cs="宋体" w:eastAsia="宋体" w:hint="default"/>
          <w:sz w:val="18"/>
          <w:szCs w:val="18"/>
        </w:rPr>
        <w:t>元转入</w:t>
      </w:r>
      <w:r>
        <w:rPr>
          <w:rFonts w:ascii="Times New Roman" w:hAnsi="Times New Roman" w:cs="Times New Roman" w:eastAsia="Times New Roman" w:hint="default"/>
          <w:sz w:val="18"/>
          <w:szCs w:val="18"/>
        </w:rPr>
        <w:t>“</w:t>
      </w:r>
      <w:r>
        <w:rPr>
          <w:rFonts w:ascii="宋体" w:hAnsi="宋体" w:cs="宋体" w:eastAsia="宋体" w:hint="default"/>
          <w:sz w:val="18"/>
          <w:szCs w:val="18"/>
        </w:rPr>
        <w:t>资</w:t>
      </w:r>
      <w:r>
        <w:rPr>
          <w:rFonts w:ascii="宋体" w:hAnsi="宋体" w:cs="宋体" w:eastAsia="宋体" w:hint="default"/>
          <w:spacing w:val="-70"/>
          <w:sz w:val="18"/>
          <w:szCs w:val="18"/>
        </w:rPr>
        <w:t> </w:t>
      </w:r>
      <w:r>
        <w:rPr>
          <w:rFonts w:ascii="宋体" w:hAnsi="宋体" w:cs="宋体" w:eastAsia="宋体" w:hint="default"/>
          <w:sz w:val="18"/>
          <w:szCs w:val="18"/>
        </w:rPr>
        <w:t>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before="13"/>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）联营企业中证信用云本期资本公积变动，按持股比例增加其他资本公积</w:t>
      </w:r>
      <w:r>
        <w:rPr>
          <w:rFonts w:ascii="Times New Roman" w:hAnsi="Times New Roman" w:cs="Times New Roman" w:eastAsia="Times New Roman" w:hint="default"/>
          <w:sz w:val="18"/>
          <w:szCs w:val="18"/>
        </w:rPr>
        <w:t>351,905.17</w:t>
      </w:r>
      <w:r>
        <w:rPr>
          <w:rFonts w:ascii="宋体" w:hAnsi="宋体" w:cs="宋体" w:eastAsia="宋体" w:hint="default"/>
          <w:sz w:val="18"/>
          <w:szCs w:val="18"/>
        </w:rPr>
        <w:t>元。</w:t>
      </w:r>
    </w:p>
    <w:p>
      <w:pPr>
        <w:spacing w:line="300" w:lineRule="auto" w:before="63"/>
        <w:ind w:left="153" w:right="287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）权益结算的股份支付： 本期增加：实施</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年股票期权激励计划而确认本期费用，相应增加其他资本公积</w:t>
      </w:r>
      <w:r>
        <w:rPr>
          <w:rFonts w:ascii="Times New Roman" w:hAnsi="Times New Roman" w:cs="Times New Roman" w:eastAsia="Times New Roman" w:hint="default"/>
          <w:sz w:val="18"/>
          <w:szCs w:val="18"/>
        </w:rPr>
        <w:t>38,063,208.00</w:t>
      </w:r>
      <w:r>
        <w:rPr>
          <w:rFonts w:ascii="宋体" w:hAnsi="宋体" w:cs="宋体" w:eastAsia="宋体" w:hint="default"/>
          <w:sz w:val="18"/>
          <w:szCs w:val="18"/>
        </w:rPr>
        <w:t>元。 本期减少：因股票期权行权及注销预留期权，对应资本公积转入资本溢价及其他资本公积。</w:t>
      </w:r>
    </w:p>
    <w:p>
      <w:pPr>
        <w:spacing w:after="0" w:line="300" w:lineRule="auto"/>
        <w:jc w:val="left"/>
        <w:rPr>
          <w:rFonts w:ascii="宋体" w:hAnsi="宋体" w:cs="宋体" w:eastAsia="宋体" w:hint="default"/>
          <w:sz w:val="18"/>
          <w:szCs w:val="18"/>
        </w:rPr>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Heading5"/>
        <w:spacing w:line="240" w:lineRule="auto"/>
        <w:ind w:right="1114"/>
        <w:jc w:val="left"/>
        <w:rPr>
          <w:b w:val="0"/>
          <w:bCs w:val="0"/>
        </w:rPr>
      </w:pPr>
      <w:r>
        <w:rPr>
          <w:rFonts w:ascii="Times New Roman" w:hAnsi="Times New Roman" w:cs="Times New Roman" w:eastAsia="Times New Roman" w:hint="default"/>
        </w:rPr>
        <w:t>37</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271"/>
        <w:gridCol w:w="1136"/>
        <w:gridCol w:w="1133"/>
        <w:gridCol w:w="1277"/>
        <w:gridCol w:w="708"/>
        <w:gridCol w:w="1136"/>
        <w:gridCol w:w="850"/>
        <w:gridCol w:w="1162"/>
      </w:tblGrid>
      <w:tr>
        <w:trPr>
          <w:trHeight w:val="403" w:hRule="exact"/>
        </w:trPr>
        <w:tc>
          <w:tcPr>
            <w:tcW w:w="22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10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5" w:hRule="exact"/>
        </w:trPr>
        <w:tc>
          <w:tcPr>
            <w:tcW w:w="2271"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1" w:right="108"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center"/>
              <w:rPr>
                <w:rFonts w:ascii="宋体" w:hAnsi="宋体" w:cs="宋体" w:eastAsia="宋体" w:hint="default"/>
                <w:sz w:val="18"/>
                <w:szCs w:val="18"/>
              </w:rPr>
            </w:pPr>
            <w:r>
              <w:rPr>
                <w:rFonts w:ascii="宋体" w:hAnsi="宋体" w:cs="宋体" w:eastAsia="宋体" w:hint="default"/>
                <w:sz w:val="18"/>
                <w:szCs w:val="18"/>
              </w:rPr>
              <w:t>减：所 得税费 用</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2" w:right="111"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16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一、将重分类进损益的其他 综合收益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-8,911,397.93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5,212,999.80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5,212,999.80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-3,698,398.13</w:t>
            </w:r>
          </w:p>
        </w:tc>
      </w:tr>
      <w:tr>
        <w:trPr>
          <w:trHeight w:val="71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289,840.96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-979,103.37</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-979,103.37</w:t>
            </w:r>
          </w:p>
        </w:tc>
        <w:tc>
          <w:tcPr>
            <w:tcW w:w="8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-689,262.41</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-9,201,238.89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6,192,103.17</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6,192,103.17</w:t>
            </w:r>
          </w:p>
        </w:tc>
        <w:tc>
          <w:tcPr>
            <w:tcW w:w="8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-3,009,135.72</w:t>
            </w:r>
          </w:p>
        </w:tc>
      </w:tr>
      <w:tr>
        <w:trPr>
          <w:trHeight w:val="401"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-8,911,397.93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5,212,999.80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5,212,999.80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-3,698,398.13</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38</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311,419,309.73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83,369,158.70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394,788,468.43</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311,419,309.73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83,369,158.70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394,788,468.43</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39</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726"/>
        <w:gridCol w:w="2924"/>
        <w:gridCol w:w="2919"/>
      </w:tblGrid>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2,623,013,744.38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2,174,759,588.07</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2,623,013,744.38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2,174,759,588.07</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958,695,412.88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636,901,644.02</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83,369,158.70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46,314,635.75</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85,775,594.36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142,332,851.96</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3,412,564,404.20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2,623,013,744.38</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40</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6" w:right="0"/>
              <w:jc w:val="left"/>
              <w:rPr>
                <w:rFonts w:ascii="Times New Roman" w:hAnsi="Times New Roman" w:cs="Times New Roman" w:eastAsia="Times New Roman" w:hint="default"/>
                <w:sz w:val="18"/>
                <w:szCs w:val="18"/>
              </w:rPr>
            </w:pPr>
            <w:r>
              <w:rPr>
                <w:rFonts w:ascii="Times New Roman"/>
                <w:sz w:val="18"/>
              </w:rPr>
              <w:t>1,304,090,864.89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371,335,725.53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1,105,947,927.44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396,996,151.69</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5,489,852.04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6,389,213.50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1,309,580,716.93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371,335,725.53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1,112,337,140.94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396,996,151.69</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41</w:t>
      </w:r>
      <w:r>
        <w:rPr/>
        <w:t>、</w:t>
      </w:r>
      <w:r>
        <w:rPr>
          <w:spacing w:val="-1"/>
        </w:rPr>
        <w:t> </w:t>
      </w:r>
      <w:r>
        <w:rPr/>
        <w:t>利息净收入</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3682"/>
        <w:gridCol w:w="2974"/>
        <w:gridCol w:w="2974"/>
      </w:tblGrid>
      <w:tr>
        <w:trPr>
          <w:trHeight w:val="323"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1,002,549,352.10</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762,772,141.23</w:t>
            </w:r>
          </w:p>
        </w:tc>
      </w:tr>
      <w:tr>
        <w:trPr>
          <w:trHeight w:val="322"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存放金融同业利息收入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270,530,806.46</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238,615,965.90</w:t>
            </w:r>
          </w:p>
        </w:tc>
      </w:tr>
      <w:tr>
        <w:trPr>
          <w:trHeight w:val="322"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其中：自有资金存款利息收入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28,644,040.59</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41,014,120.67</w:t>
            </w:r>
          </w:p>
        </w:tc>
      </w:tr>
      <w:tr>
        <w:trPr>
          <w:trHeight w:val="322"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1222"/>
              <w:jc w:val="right"/>
              <w:rPr>
                <w:rFonts w:ascii="宋体" w:hAnsi="宋体" w:cs="宋体" w:eastAsia="宋体" w:hint="default"/>
                <w:sz w:val="18"/>
                <w:szCs w:val="18"/>
              </w:rPr>
            </w:pPr>
            <w:r>
              <w:rPr>
                <w:rFonts w:ascii="宋体" w:hAnsi="宋体" w:cs="宋体" w:eastAsia="宋体" w:hint="default"/>
                <w:sz w:val="18"/>
                <w:szCs w:val="18"/>
              </w:rPr>
              <w:t>客户资金存款利息收入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241,886,765.87</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197,601,845.23</w:t>
            </w:r>
          </w:p>
        </w:tc>
      </w:tr>
      <w:tr>
        <w:trPr>
          <w:trHeight w:val="323"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融资融券利息收入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590,883,948.28</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381,086,750.18</w:t>
            </w:r>
          </w:p>
        </w:tc>
      </w:tr>
      <w:tr>
        <w:trPr>
          <w:trHeight w:val="323"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sz w:val="18"/>
                <w:szCs w:val="18"/>
              </w:rPr>
              <w:t>买入返售金融资产利息收入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140,446,771.83</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143,034,318.29</w:t>
            </w:r>
          </w:p>
        </w:tc>
      </w:tr>
      <w:tr>
        <w:trPr>
          <w:trHeight w:val="322"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其中：约定购回利息收入</w:t>
            </w:r>
          </w:p>
        </w:tc>
        <w:tc>
          <w:tcPr>
            <w:tcW w:w="2974" w:type="dxa"/>
            <w:tcBorders>
              <w:top w:val="single" w:sz="4" w:space="0" w:color="000000"/>
              <w:left w:val="single" w:sz="4" w:space="0" w:color="000000"/>
              <w:bottom w:val="single" w:sz="4" w:space="0" w:color="000000"/>
              <w:right w:val="single" w:sz="4" w:space="0" w:color="000000"/>
            </w:tcBorders>
          </w:tcPr>
          <w:p>
            <w:pP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23,342.16</w:t>
            </w:r>
          </w:p>
        </w:tc>
      </w:tr>
      <w:tr>
        <w:trPr>
          <w:trHeight w:val="322"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1222"/>
              <w:jc w:val="right"/>
              <w:rPr>
                <w:rFonts w:ascii="宋体" w:hAnsi="宋体" w:cs="宋体" w:eastAsia="宋体" w:hint="default"/>
                <w:sz w:val="18"/>
                <w:szCs w:val="18"/>
              </w:rPr>
            </w:pPr>
            <w:r>
              <w:rPr>
                <w:rFonts w:ascii="宋体" w:hAnsi="宋体" w:cs="宋体" w:eastAsia="宋体" w:hint="default"/>
                <w:sz w:val="18"/>
                <w:szCs w:val="18"/>
              </w:rPr>
              <w:t>股权质押回购利息收入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132,753,196.86</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126,513,372.41</w:t>
            </w:r>
          </w:p>
        </w:tc>
      </w:tr>
      <w:tr>
        <w:trPr>
          <w:trHeight w:val="322"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648" w:right="0"/>
              <w:jc w:val="left"/>
              <w:rPr>
                <w:rFonts w:ascii="宋体" w:hAnsi="宋体" w:cs="宋体" w:eastAsia="宋体" w:hint="default"/>
                <w:sz w:val="18"/>
                <w:szCs w:val="18"/>
              </w:rPr>
            </w:pPr>
            <w:r>
              <w:rPr>
                <w:rFonts w:ascii="宋体" w:hAnsi="宋体" w:cs="宋体" w:eastAsia="宋体" w:hint="default"/>
                <w:sz w:val="18"/>
                <w:szCs w:val="18"/>
              </w:rPr>
              <w:t>买断式回购利息收入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230,796.00</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9,461,530.09</w:t>
            </w:r>
          </w:p>
        </w:tc>
      </w:tr>
      <w:tr>
        <w:trPr>
          <w:trHeight w:val="322"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648" w:right="0"/>
              <w:jc w:val="left"/>
              <w:rPr>
                <w:rFonts w:ascii="宋体" w:hAnsi="宋体" w:cs="宋体" w:eastAsia="宋体" w:hint="default"/>
                <w:sz w:val="18"/>
                <w:szCs w:val="18"/>
              </w:rPr>
            </w:pPr>
            <w:r>
              <w:rPr>
                <w:rFonts w:ascii="宋体" w:hAnsi="宋体" w:cs="宋体" w:eastAsia="宋体" w:hint="default"/>
                <w:sz w:val="18"/>
                <w:szCs w:val="18"/>
              </w:rPr>
              <w:t>质押回购利息收入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7,462,778.97</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7,036,073.63</w:t>
            </w:r>
          </w:p>
        </w:tc>
      </w:tr>
      <w:tr>
        <w:trPr>
          <w:trHeight w:val="323"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拆出资金利息收入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81,666.66</w:t>
            </w:r>
          </w:p>
        </w:tc>
        <w:tc>
          <w:tcPr>
            <w:tcW w:w="297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606,158.87</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21,269.02</w:t>
            </w:r>
          </w:p>
        </w:tc>
      </w:tr>
      <w:tr>
        <w:trPr>
          <w:trHeight w:val="322"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4" w:type="dxa"/>
            <w:tcBorders>
              <w:top w:val="single" w:sz="4" w:space="0" w:color="000000"/>
              <w:left w:val="single" w:sz="4" w:space="0" w:color="000000"/>
              <w:bottom w:val="single" w:sz="4" w:space="0" w:color="000000"/>
              <w:right w:val="single" w:sz="4" w:space="0" w:color="000000"/>
            </w:tcBorders>
          </w:tcPr>
          <w:p>
            <w:pP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13,837.84</w:t>
            </w:r>
          </w:p>
        </w:tc>
      </w:tr>
      <w:tr>
        <w:trPr>
          <w:trHeight w:val="322"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384,234,111.20</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347,138,152.09</w:t>
            </w:r>
          </w:p>
        </w:tc>
      </w:tr>
      <w:tr>
        <w:trPr>
          <w:trHeight w:val="322"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客户资金存款利息支出</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47,704,331.66</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39,986,497.13</w:t>
            </w:r>
          </w:p>
        </w:tc>
      </w:tr>
      <w:tr>
        <w:trPr>
          <w:trHeight w:val="322"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卖出回购金融资产利息支出</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72,054,209.72</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134,452,110.66</w:t>
            </w:r>
          </w:p>
        </w:tc>
      </w:tr>
      <w:tr>
        <w:trPr>
          <w:trHeight w:val="323"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拆入资金利息支出</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364,583.33</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401,301.13</w:t>
            </w:r>
          </w:p>
        </w:tc>
      </w:tr>
      <w:tr>
        <w:trPr>
          <w:trHeight w:val="323"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sz w:val="18"/>
                <w:szCs w:val="18"/>
              </w:rPr>
              <w:t>应付债券利息支出</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161,807,277.09</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134,105,061.05</w:t>
            </w:r>
          </w:p>
        </w:tc>
      </w:tr>
      <w:tr>
        <w:trPr>
          <w:trHeight w:val="322"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次级债券利息支出</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90,000,000.00</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36,986,301.37</w:t>
            </w:r>
          </w:p>
        </w:tc>
      </w:tr>
      <w:tr>
        <w:trPr>
          <w:trHeight w:val="322"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12,303,709.40</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1,206,880.75</w:t>
            </w:r>
          </w:p>
        </w:tc>
      </w:tr>
      <w:tr>
        <w:trPr>
          <w:trHeight w:val="322" w:hRule="exact"/>
        </w:trPr>
        <w:tc>
          <w:tcPr>
            <w:tcW w:w="3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618,315,240.90</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415,633,989.14</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42</w:t>
      </w:r>
      <w:r>
        <w:rPr/>
        <w:t>、 手续费及佣金净收入</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52" w:footer="979" w:top="1260" w:bottom="1160" w:left="980" w:right="0"/>
        </w:sectPr>
      </w:pPr>
    </w:p>
    <w:p>
      <w:pPr>
        <w:pStyle w:val="Heading5"/>
        <w:spacing w:line="240" w:lineRule="auto"/>
        <w:ind w:right="-5"/>
        <w:jc w:val="left"/>
        <w:rPr>
          <w:b w:val="0"/>
          <w:bCs w:val="0"/>
        </w:rPr>
      </w:pPr>
      <w:r>
        <w:rPr>
          <w:spacing w:val="-1"/>
        </w:rPr>
        <w:t>（</w:t>
      </w:r>
      <w:r>
        <w:rPr>
          <w:rFonts w:ascii="Times New Roman" w:hAnsi="Times New Roman" w:cs="Times New Roman" w:eastAsia="Times New Roman" w:hint="default"/>
          <w:spacing w:val="-1"/>
        </w:rPr>
        <w:t>1</w:t>
      </w:r>
      <w:r>
        <w:rPr>
          <w:spacing w:val="-1"/>
        </w:rPr>
        <w:t>）手续费及佣金净收入情况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4"/>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8"/>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3000" w:space="5848"/>
            <w:col w:w="2082"/>
          </w:cols>
        </w:sectPr>
      </w:pPr>
    </w:p>
    <w:p>
      <w:pPr>
        <w:spacing w:line="240" w:lineRule="auto" w:before="3"/>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4899"/>
        <w:gridCol w:w="2365"/>
        <w:gridCol w:w="2366"/>
      </w:tblGrid>
      <w:tr>
        <w:trPr>
          <w:trHeight w:val="317"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72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72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6"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b/>
                <w:bCs/>
                <w:sz w:val="18"/>
                <w:szCs w:val="18"/>
              </w:rPr>
              <w:t>手续费及佣金收入：</w:t>
            </w:r>
            <w:r>
              <w:rPr>
                <w:rFonts w:ascii="宋体" w:hAnsi="宋体" w:cs="宋体" w:eastAsia="宋体" w:hint="default"/>
                <w:sz w:val="18"/>
                <w:szCs w:val="18"/>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spacing w:val="-1"/>
                <w:sz w:val="18"/>
              </w:rPr>
              <w:t>1,643,192,329.89</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1,374,950,371.63</w:t>
            </w:r>
          </w:p>
        </w:tc>
      </w:tr>
      <w:tr>
        <w:trPr>
          <w:trHeight w:val="322"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证券经纪业务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1,497,122,758.84</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1,214,088,215.49</w:t>
            </w:r>
          </w:p>
        </w:tc>
      </w:tr>
      <w:tr>
        <w:trPr>
          <w:trHeight w:val="323"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其中：代理买卖证券业务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1,357,582,788.23</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1,120,132,305.98</w:t>
            </w:r>
          </w:p>
        </w:tc>
      </w:tr>
      <w:tr>
        <w:trPr>
          <w:trHeight w:val="323"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648" w:right="0"/>
              <w:jc w:val="left"/>
              <w:rPr>
                <w:rFonts w:ascii="宋体" w:hAnsi="宋体" w:cs="宋体" w:eastAsia="宋体" w:hint="default"/>
                <w:sz w:val="18"/>
                <w:szCs w:val="18"/>
              </w:rPr>
            </w:pPr>
            <w:r>
              <w:rPr>
                <w:rFonts w:ascii="宋体" w:hAnsi="宋体" w:cs="宋体" w:eastAsia="宋体" w:hint="default"/>
                <w:sz w:val="18"/>
                <w:szCs w:val="18"/>
              </w:rPr>
              <w:t>交易单元席位租赁</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98,873,122.61</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82,866,893.42</w:t>
            </w:r>
          </w:p>
        </w:tc>
      </w:tr>
      <w:tr>
        <w:trPr>
          <w:trHeight w:val="322"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648" w:right="0"/>
              <w:jc w:val="left"/>
              <w:rPr>
                <w:rFonts w:ascii="宋体" w:hAnsi="宋体" w:cs="宋体" w:eastAsia="宋体" w:hint="default"/>
                <w:sz w:val="18"/>
                <w:szCs w:val="18"/>
              </w:rPr>
            </w:pPr>
            <w:r>
              <w:rPr>
                <w:rFonts w:ascii="宋体" w:hAnsi="宋体" w:cs="宋体" w:eastAsia="宋体" w:hint="default"/>
                <w:sz w:val="18"/>
                <w:szCs w:val="18"/>
              </w:rPr>
              <w:t>代销金融产品业务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40,666,848.00</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11,089,016.09</w:t>
            </w:r>
          </w:p>
        </w:tc>
      </w:tr>
      <w:tr>
        <w:trPr>
          <w:trHeight w:val="322"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期货经纪业务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78,384,197.38</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47,231,754.86</w:t>
            </w:r>
          </w:p>
        </w:tc>
      </w:tr>
      <w:tr>
        <w:trPr>
          <w:trHeight w:val="322"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投资银行业务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43,125,256.98</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53,104,046.29</w:t>
            </w:r>
          </w:p>
        </w:tc>
      </w:tr>
      <w:tr>
        <w:trPr>
          <w:trHeight w:val="322"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其中：证券承销业务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32,108,490.57</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33,612,657.01</w:t>
            </w:r>
          </w:p>
        </w:tc>
      </w:tr>
      <w:tr>
        <w:trPr>
          <w:trHeight w:val="324"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648" w:right="0"/>
              <w:jc w:val="left"/>
              <w:rPr>
                <w:rFonts w:ascii="宋体" w:hAnsi="宋体" w:cs="宋体" w:eastAsia="宋体" w:hint="default"/>
                <w:sz w:val="18"/>
                <w:szCs w:val="18"/>
              </w:rPr>
            </w:pPr>
            <w:r>
              <w:rPr>
                <w:rFonts w:ascii="宋体" w:hAnsi="宋体" w:cs="宋体" w:eastAsia="宋体" w:hint="default"/>
                <w:sz w:val="18"/>
                <w:szCs w:val="18"/>
              </w:rPr>
              <w:t>财务顾问业务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11,016,766.41</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19,491,389.28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2"/>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4899"/>
        <w:gridCol w:w="2365"/>
        <w:gridCol w:w="2366"/>
      </w:tblGrid>
      <w:tr>
        <w:trPr>
          <w:trHeight w:val="317" w:hRule="exact"/>
        </w:trPr>
        <w:tc>
          <w:tcPr>
            <w:tcW w:w="4899"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资产管理业务</w:t>
            </w:r>
          </w:p>
        </w:tc>
        <w:tc>
          <w:tcPr>
            <w:tcW w:w="23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13,961,345.24</w:t>
            </w:r>
          </w:p>
        </w:tc>
        <w:tc>
          <w:tcPr>
            <w:tcW w:w="2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52,479,388.19</w:t>
            </w:r>
          </w:p>
        </w:tc>
      </w:tr>
      <w:tr>
        <w:trPr>
          <w:trHeight w:val="322"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基金管理业务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796,116.61</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1,299,757.28</w:t>
            </w:r>
          </w:p>
        </w:tc>
      </w:tr>
      <w:tr>
        <w:trPr>
          <w:trHeight w:val="322"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投资咨询业务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3,488,719.95</w:t>
            </w:r>
          </w:p>
        </w:tc>
        <w:tc>
          <w:tcPr>
            <w:tcW w:w="23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6,313,934.89</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6,747,209.52</w:t>
            </w:r>
          </w:p>
        </w:tc>
      </w:tr>
      <w:tr>
        <w:trPr>
          <w:trHeight w:val="323"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b/>
                <w:bCs/>
                <w:sz w:val="18"/>
                <w:szCs w:val="18"/>
              </w:rPr>
              <w:t>手续费及佣金支出</w:t>
            </w:r>
            <w:r>
              <w:rPr>
                <w:rFonts w:ascii="宋体" w:hAnsi="宋体" w:cs="宋体" w:eastAsia="宋体" w:hint="default"/>
                <w:sz w:val="18"/>
                <w:szCs w:val="18"/>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447,642,280.30</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356,136,320.44</w:t>
            </w:r>
          </w:p>
        </w:tc>
      </w:tr>
      <w:tr>
        <w:trPr>
          <w:trHeight w:val="322"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证券经纪业务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444,104,544.44</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355,375,514.63</w:t>
            </w:r>
          </w:p>
        </w:tc>
      </w:tr>
      <w:tr>
        <w:trPr>
          <w:trHeight w:val="322"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其中：代理买卖证券业务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444,104,544.44</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355,375,514.63</w:t>
            </w:r>
          </w:p>
        </w:tc>
      </w:tr>
      <w:tr>
        <w:trPr>
          <w:trHeight w:val="322"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投资银行业务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3,537,735.86</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760,805.81</w:t>
            </w:r>
          </w:p>
        </w:tc>
      </w:tr>
      <w:tr>
        <w:trPr>
          <w:trHeight w:val="322"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其中：证券承销业务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3,537,735.86</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760,805.81</w:t>
            </w:r>
          </w:p>
        </w:tc>
      </w:tr>
      <w:tr>
        <w:trPr>
          <w:trHeight w:val="324" w:hRule="exact"/>
        </w:trPr>
        <w:tc>
          <w:tcPr>
            <w:tcW w:w="48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手续费及佣金净收入</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1,195,550,049.59</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1,018,814,051.19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2" w:footer="979" w:top="1260" w:bottom="1160" w:left="980" w:right="0"/>
        </w:sectPr>
      </w:pPr>
    </w:p>
    <w:p>
      <w:pPr>
        <w:pStyle w:val="BodyText"/>
        <w:spacing w:line="240" w:lineRule="auto" w:before="36"/>
        <w:ind w:right="-8"/>
        <w:jc w:val="left"/>
      </w:pPr>
      <w:r>
        <w:rPr/>
        <w:pict>
          <v:group style="position:absolute;margin-left:57.264pt;margin-top:-174.270294pt;width:244.4pt;height:160.5pt;mso-position-horizontal-relative:page;mso-position-vertical-relative:paragraph;z-index:-871264" coordorigin="1145,-3485" coordsize="4888,3210">
            <v:group style="position:absolute;left:5929;top:-3485;width:104;height:313" coordorigin="5929,-3485" coordsize="104,313">
              <v:shape style="position:absolute;left:5929;top:-3485;width:104;height:313" coordorigin="5929,-3485" coordsize="104,313" path="m5929,-3173l6033,-3173,6033,-3485,5929,-3485,5929,-3173xe" filled="true" fillcolor="#bebebe" stroked="false">
                <v:path arrowok="t"/>
                <v:fill type="solid"/>
              </v:shape>
            </v:group>
            <v:group style="position:absolute;left:1145;top:-3485;width:104;height:313" coordorigin="1145,-3485" coordsize="104,313">
              <v:shape style="position:absolute;left:1145;top:-3485;width:104;height:313" coordorigin="1145,-3485" coordsize="104,313" path="m1145,-3173l1248,-3173,1248,-3485,1145,-3485,1145,-3173xe" filled="true" fillcolor="#bebebe" stroked="false">
                <v:path arrowok="t"/>
                <v:fill type="solid"/>
              </v:shape>
            </v:group>
            <v:group style="position:absolute;left:1248;top:-3485;width:4681;height:313" coordorigin="1248,-3485" coordsize="4681,313">
              <v:shape style="position:absolute;left:1248;top:-3485;width:4681;height:313" coordorigin="1248,-3485" coordsize="4681,313" path="m1248,-3173l5929,-3173,5929,-3485,1248,-3485,1248,-3173xe" filled="true" fillcolor="#bebebe" stroked="false">
                <v:path arrowok="t"/>
                <v:fill type="solid"/>
              </v:shape>
            </v:group>
            <v:group style="position:absolute;left:5929;top:-3163;width:104;height:312" coordorigin="5929,-3163" coordsize="104,312">
              <v:shape style="position:absolute;left:5929;top:-3163;width:104;height:312" coordorigin="5929,-3163" coordsize="104,312" path="m5929,-2851l6033,-2851,6033,-3163,5929,-3163,5929,-2851xe" filled="true" fillcolor="#bebebe" stroked="false">
                <v:path arrowok="t"/>
                <v:fill type="solid"/>
              </v:shape>
            </v:group>
            <v:group style="position:absolute;left:1145;top:-3163;width:104;height:312" coordorigin="1145,-3163" coordsize="104,312">
              <v:shape style="position:absolute;left:1145;top:-3163;width:104;height:312" coordorigin="1145,-3163" coordsize="104,312" path="m1145,-2851l1248,-2851,1248,-3163,1145,-3163,1145,-2851xe" filled="true" fillcolor="#bebebe" stroked="false">
                <v:path arrowok="t"/>
                <v:fill type="solid"/>
              </v:shape>
            </v:group>
            <v:group style="position:absolute;left:1248;top:-3163;width:4681;height:312" coordorigin="1248,-3163" coordsize="4681,312">
              <v:shape style="position:absolute;left:1248;top:-3163;width:4681;height:312" coordorigin="1248,-3163" coordsize="4681,312" path="m1248,-2851l5929,-2851,5929,-3163,1248,-3163,1248,-2851xe" filled="true" fillcolor="#bebebe" stroked="false">
                <v:path arrowok="t"/>
                <v:fill type="solid"/>
              </v:shape>
            </v:group>
            <v:group style="position:absolute;left:5929;top:-2842;width:104;height:312" coordorigin="5929,-2842" coordsize="104,312">
              <v:shape style="position:absolute;left:5929;top:-2842;width:104;height:312" coordorigin="5929,-2842" coordsize="104,312" path="m5929,-2530l6033,-2530,6033,-2842,5929,-2842,5929,-2530xe" filled="true" fillcolor="#bebebe" stroked="false">
                <v:path arrowok="t"/>
                <v:fill type="solid"/>
              </v:shape>
            </v:group>
            <v:group style="position:absolute;left:1145;top:-2842;width:104;height:312" coordorigin="1145,-2842" coordsize="104,312">
              <v:shape style="position:absolute;left:1145;top:-2842;width:104;height:312" coordorigin="1145,-2842" coordsize="104,312" path="m1145,-2530l1248,-2530,1248,-2842,1145,-2842,1145,-2530xe" filled="true" fillcolor="#bebebe" stroked="false">
                <v:path arrowok="t"/>
                <v:fill type="solid"/>
              </v:shape>
            </v:group>
            <v:group style="position:absolute;left:1248;top:-2842;width:4681;height:312" coordorigin="1248,-2842" coordsize="4681,312">
              <v:shape style="position:absolute;left:1248;top:-2842;width:4681;height:312" coordorigin="1248,-2842" coordsize="4681,312" path="m1248,-2530l5929,-2530,5929,-2842,1248,-2842,1248,-2530xe" filled="true" fillcolor="#bebebe" stroked="false">
                <v:path arrowok="t"/>
                <v:fill type="solid"/>
              </v:shape>
            </v:group>
            <v:group style="position:absolute;left:5929;top:-2520;width:104;height:312" coordorigin="5929,-2520" coordsize="104,312">
              <v:shape style="position:absolute;left:5929;top:-2520;width:104;height:312" coordorigin="5929,-2520" coordsize="104,312" path="m5929,-2208l6033,-2208,6033,-2520,5929,-2520,5929,-2208xe" filled="true" fillcolor="#bebebe" stroked="false">
                <v:path arrowok="t"/>
                <v:fill type="solid"/>
              </v:shape>
            </v:group>
            <v:group style="position:absolute;left:1145;top:-2520;width:104;height:312" coordorigin="1145,-2520" coordsize="104,312">
              <v:shape style="position:absolute;left:1145;top:-2520;width:104;height:312" coordorigin="1145,-2520" coordsize="104,312" path="m1145,-2208l1248,-2208,1248,-2520,1145,-2520,1145,-2208xe" filled="true" fillcolor="#bebebe" stroked="false">
                <v:path arrowok="t"/>
                <v:fill type="solid"/>
              </v:shape>
            </v:group>
            <v:group style="position:absolute;left:1248;top:-2520;width:4681;height:312" coordorigin="1248,-2520" coordsize="4681,312">
              <v:shape style="position:absolute;left:1248;top:-2520;width:4681;height:312" coordorigin="1248,-2520" coordsize="4681,312" path="m1248,-2208l5929,-2208,5929,-2520,1248,-2520,1248,-2208xe" filled="true" fillcolor="#bebebe" stroked="false">
                <v:path arrowok="t"/>
                <v:fill type="solid"/>
              </v:shape>
            </v:group>
            <v:group style="position:absolute;left:5929;top:-2196;width:104;height:312" coordorigin="5929,-2196" coordsize="104,312">
              <v:shape style="position:absolute;left:5929;top:-2196;width:104;height:312" coordorigin="5929,-2196" coordsize="104,312" path="m5929,-1884l6033,-1884,6033,-2196,5929,-2196,5929,-1884xe" filled="true" fillcolor="#bebebe" stroked="false">
                <v:path arrowok="t"/>
                <v:fill type="solid"/>
              </v:shape>
            </v:group>
            <v:group style="position:absolute;left:1145;top:-2196;width:104;height:312" coordorigin="1145,-2196" coordsize="104,312">
              <v:shape style="position:absolute;left:1145;top:-2196;width:104;height:312" coordorigin="1145,-2196" coordsize="104,312" path="m1145,-1884l1248,-1884,1248,-2196,1145,-2196,1145,-1884xe" filled="true" fillcolor="#bebebe" stroked="false">
                <v:path arrowok="t"/>
                <v:fill type="solid"/>
              </v:shape>
            </v:group>
            <v:group style="position:absolute;left:1248;top:-2196;width:4681;height:312" coordorigin="1248,-2196" coordsize="4681,312">
              <v:shape style="position:absolute;left:1248;top:-2196;width:4681;height:312" coordorigin="1248,-2196" coordsize="4681,312" path="m1248,-1884l5929,-1884,5929,-2196,1248,-2196,1248,-1884xe" filled="true" fillcolor="#bebebe" stroked="false">
                <v:path arrowok="t"/>
                <v:fill type="solid"/>
              </v:shape>
            </v:group>
            <v:group style="position:absolute;left:5929;top:-1875;width:104;height:312" coordorigin="5929,-1875" coordsize="104,312">
              <v:shape style="position:absolute;left:5929;top:-1875;width:104;height:312" coordorigin="5929,-1875" coordsize="104,312" path="m5929,-1563l6033,-1563,6033,-1875,5929,-1875,5929,-1563xe" filled="true" fillcolor="#bebebe" stroked="false">
                <v:path arrowok="t"/>
                <v:fill type="solid"/>
              </v:shape>
            </v:group>
            <v:group style="position:absolute;left:1145;top:-1875;width:104;height:312" coordorigin="1145,-1875" coordsize="104,312">
              <v:shape style="position:absolute;left:1145;top:-1875;width:104;height:312" coordorigin="1145,-1875" coordsize="104,312" path="m1145,-1563l1248,-1563,1248,-1875,1145,-1875,1145,-1563xe" filled="true" fillcolor="#bebebe" stroked="false">
                <v:path arrowok="t"/>
                <v:fill type="solid"/>
              </v:shape>
            </v:group>
            <v:group style="position:absolute;left:1248;top:-1875;width:4681;height:312" coordorigin="1248,-1875" coordsize="4681,312">
              <v:shape style="position:absolute;left:1248;top:-1875;width:4681;height:312" coordorigin="1248,-1875" coordsize="4681,312" path="m1248,-1563l5929,-1563,5929,-1875,1248,-1875,1248,-1563xe" filled="true" fillcolor="#bebebe" stroked="false">
                <v:path arrowok="t"/>
                <v:fill type="solid"/>
              </v:shape>
            </v:group>
            <v:group style="position:absolute;left:5929;top:-1553;width:104;height:312" coordorigin="5929,-1553" coordsize="104,312">
              <v:shape style="position:absolute;left:5929;top:-1553;width:104;height:312" coordorigin="5929,-1553" coordsize="104,312" path="m5929,-1241l6033,-1241,6033,-1553,5929,-1553,5929,-1241xe" filled="true" fillcolor="#bebebe" stroked="false">
                <v:path arrowok="t"/>
                <v:fill type="solid"/>
              </v:shape>
            </v:group>
            <v:group style="position:absolute;left:1145;top:-1553;width:104;height:312" coordorigin="1145,-1553" coordsize="104,312">
              <v:shape style="position:absolute;left:1145;top:-1553;width:104;height:312" coordorigin="1145,-1553" coordsize="104,312" path="m1145,-1241l1248,-1241,1248,-1553,1145,-1553,1145,-1241xe" filled="true" fillcolor="#bebebe" stroked="false">
                <v:path arrowok="t"/>
                <v:fill type="solid"/>
              </v:shape>
            </v:group>
            <v:group style="position:absolute;left:1248;top:-1553;width:4681;height:312" coordorigin="1248,-1553" coordsize="4681,312">
              <v:shape style="position:absolute;left:1248;top:-1553;width:4681;height:312" coordorigin="1248,-1553" coordsize="4681,312" path="m1248,-1241l5929,-1241,5929,-1553,1248,-1553,1248,-1241xe" filled="true" fillcolor="#bebebe" stroked="false">
                <v:path arrowok="t"/>
                <v:fill type="solid"/>
              </v:shape>
            </v:group>
            <v:group style="position:absolute;left:5929;top:-1231;width:104;height:312" coordorigin="5929,-1231" coordsize="104,312">
              <v:shape style="position:absolute;left:5929;top:-1231;width:104;height:312" coordorigin="5929,-1231" coordsize="104,312" path="m5929,-919l6033,-919,6033,-1231,5929,-1231,5929,-919xe" filled="true" fillcolor="#bebebe" stroked="false">
                <v:path arrowok="t"/>
                <v:fill type="solid"/>
              </v:shape>
            </v:group>
            <v:group style="position:absolute;left:1145;top:-1231;width:104;height:312" coordorigin="1145,-1231" coordsize="104,312">
              <v:shape style="position:absolute;left:1145;top:-1231;width:104;height:312" coordorigin="1145,-1231" coordsize="104,312" path="m1145,-919l1248,-919,1248,-1231,1145,-1231,1145,-919xe" filled="true" fillcolor="#bebebe" stroked="false">
                <v:path arrowok="t"/>
                <v:fill type="solid"/>
              </v:shape>
            </v:group>
            <v:group style="position:absolute;left:1248;top:-1231;width:4681;height:312" coordorigin="1248,-1231" coordsize="4681,312">
              <v:shape style="position:absolute;left:1248;top:-1231;width:4681;height:312" coordorigin="1248,-1231" coordsize="4681,312" path="m1248,-919l5929,-919,5929,-1231,1248,-1231,1248,-919xe" filled="true" fillcolor="#bebebe" stroked="false">
                <v:path arrowok="t"/>
                <v:fill type="solid"/>
              </v:shape>
            </v:group>
            <v:group style="position:absolute;left:5929;top:-910;width:104;height:312" coordorigin="5929,-910" coordsize="104,312">
              <v:shape style="position:absolute;left:5929;top:-910;width:104;height:312" coordorigin="5929,-910" coordsize="104,312" path="m5929,-598l6033,-598,6033,-910,5929,-910,5929,-598xe" filled="true" fillcolor="#bebebe" stroked="false">
                <v:path arrowok="t"/>
                <v:fill type="solid"/>
              </v:shape>
            </v:group>
            <v:group style="position:absolute;left:1145;top:-910;width:104;height:312" coordorigin="1145,-910" coordsize="104,312">
              <v:shape style="position:absolute;left:1145;top:-910;width:104;height:312" coordorigin="1145,-910" coordsize="104,312" path="m1145,-598l1248,-598,1248,-910,1145,-910,1145,-598xe" filled="true" fillcolor="#bebebe" stroked="false">
                <v:path arrowok="t"/>
                <v:fill type="solid"/>
              </v:shape>
            </v:group>
            <v:group style="position:absolute;left:1248;top:-910;width:4681;height:312" coordorigin="1248,-910" coordsize="4681,312">
              <v:shape style="position:absolute;left:1248;top:-910;width:4681;height:312" coordorigin="1248,-910" coordsize="4681,312" path="m1248,-598l5929,-598,5929,-910,1248,-910,1248,-598xe" filled="true" fillcolor="#bebebe" stroked="false">
                <v:path arrowok="t"/>
                <v:fill type="solid"/>
              </v:shape>
            </v:group>
            <v:group style="position:absolute;left:5929;top:-588;width:104;height:312" coordorigin="5929,-588" coordsize="104,312">
              <v:shape style="position:absolute;left:5929;top:-588;width:104;height:312" coordorigin="5929,-588" coordsize="104,312" path="m5929,-276l6033,-276,6033,-588,5929,-588,5929,-276xe" filled="true" fillcolor="#bebebe" stroked="false">
                <v:path arrowok="t"/>
                <v:fill type="solid"/>
              </v:shape>
            </v:group>
            <v:group style="position:absolute;left:1145;top:-588;width:104;height:312" coordorigin="1145,-588" coordsize="104,312">
              <v:shape style="position:absolute;left:1145;top:-588;width:104;height:312" coordorigin="1145,-588" coordsize="104,312" path="m1145,-276l1248,-276,1248,-588,1145,-588,1145,-276xe" filled="true" fillcolor="#bebebe" stroked="false">
                <v:path arrowok="t"/>
                <v:fill type="solid"/>
              </v:shape>
            </v:group>
            <v:group style="position:absolute;left:1248;top:-588;width:4681;height:312" coordorigin="1248,-588" coordsize="4681,312">
              <v:shape style="position:absolute;left:1248;top:-588;width:4681;height:312" coordorigin="1248,-588" coordsize="4681,312" path="m1248,-276l5929,-276,5929,-588,1248,-588,1248,-276xe" filled="true" fillcolor="#bebebe" stroked="false">
                <v:path arrowok="t"/>
                <v:fill type="solid"/>
              </v:shape>
            </v:group>
            <w10:wrap type="none"/>
          </v:group>
        </w:pict>
      </w:r>
      <w:r>
        <w:rPr>
          <w:spacing w:val="-1"/>
        </w:rPr>
        <w:t>（</w:t>
      </w:r>
      <w:r>
        <w:rPr>
          <w:rFonts w:ascii="Times New Roman" w:hAnsi="Times New Roman" w:cs="Times New Roman" w:eastAsia="Times New Roman" w:hint="default"/>
          <w:spacing w:val="-1"/>
        </w:rPr>
        <w:t>2</w:t>
      </w:r>
      <w:r>
        <w:rPr>
          <w:spacing w:val="-1"/>
        </w:rPr>
        <w:t>）资产管理业务</w:t>
      </w:r>
    </w:p>
    <w:p>
      <w:pPr>
        <w:spacing w:line="240" w:lineRule="auto" w:before="0"/>
        <w:rPr>
          <w:rFonts w:ascii="宋体" w:hAnsi="宋体" w:cs="宋体" w:eastAsia="宋体" w:hint="default"/>
          <w:sz w:val="18"/>
          <w:szCs w:val="18"/>
        </w:rPr>
      </w:pPr>
      <w:r>
        <w:rPr/>
        <w:br w:type="column"/>
      </w:r>
      <w:r>
        <w:rPr>
          <w:rFonts w:ascii="宋体"/>
          <w:sz w:val="18"/>
        </w:rPr>
      </w:r>
    </w:p>
    <w:p>
      <w:pPr>
        <w:spacing w:before="133"/>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942" w:space="6978"/>
            <w:col w:w="201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420"/>
        <w:gridCol w:w="2422"/>
        <w:gridCol w:w="2420"/>
        <w:gridCol w:w="2420"/>
      </w:tblGrid>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487" w:right="0"/>
              <w:jc w:val="left"/>
              <w:rPr>
                <w:rFonts w:ascii="宋体" w:hAnsi="宋体" w:cs="宋体" w:eastAsia="宋体" w:hint="default"/>
                <w:sz w:val="18"/>
                <w:szCs w:val="18"/>
              </w:rPr>
            </w:pPr>
            <w:r>
              <w:rPr>
                <w:rFonts w:ascii="宋体" w:hAnsi="宋体" w:cs="宋体" w:eastAsia="宋体" w:hint="default"/>
                <w:sz w:val="18"/>
                <w:szCs w:val="18"/>
              </w:rPr>
              <w:t>集合资产管理业务</w:t>
            </w:r>
          </w:p>
        </w:tc>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定向资产管理业务</w:t>
            </w:r>
          </w:p>
        </w:tc>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专项资产管理业务</w:t>
            </w: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期末产品数量</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9</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29</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w:t>
            </w: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期末客户数量</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395</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29</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w:t>
            </w: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其中：个人客户</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385</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w:t>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556" w:right="0"/>
              <w:jc w:val="left"/>
              <w:rPr>
                <w:rFonts w:ascii="宋体" w:hAnsi="宋体" w:cs="宋体" w:eastAsia="宋体" w:hint="default"/>
                <w:sz w:val="18"/>
                <w:szCs w:val="18"/>
              </w:rPr>
            </w:pPr>
            <w:r>
              <w:rPr>
                <w:rFonts w:ascii="宋体" w:hAnsi="宋体" w:cs="宋体" w:eastAsia="宋体" w:hint="default"/>
                <w:sz w:val="18"/>
                <w:szCs w:val="18"/>
              </w:rPr>
              <w:t>机构客户</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w:t>
            </w:r>
          </w:p>
        </w:tc>
      </w:tr>
      <w:tr>
        <w:trPr>
          <w:trHeight w:val="324"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年初受托资金</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3,403,387,404.53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14,624,282,221.25</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327,150,000.00</w:t>
            </w: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其中：自有资金投入</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17,319,304.67</w:t>
            </w:r>
          </w:p>
        </w:tc>
        <w:tc>
          <w:tcPr>
            <w:tcW w:w="242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645" w:right="0"/>
              <w:jc w:val="left"/>
              <w:rPr>
                <w:rFonts w:ascii="宋体" w:hAnsi="宋体" w:cs="宋体" w:eastAsia="宋体" w:hint="default"/>
                <w:sz w:val="18"/>
                <w:szCs w:val="18"/>
              </w:rPr>
            </w:pPr>
            <w:r>
              <w:rPr>
                <w:rFonts w:ascii="宋体" w:hAnsi="宋体" w:cs="宋体" w:eastAsia="宋体" w:hint="default"/>
                <w:sz w:val="18"/>
                <w:szCs w:val="18"/>
              </w:rPr>
              <w:t>个人客户</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2,728,576,772.94</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645" w:right="0"/>
              <w:jc w:val="left"/>
              <w:rPr>
                <w:rFonts w:ascii="宋体" w:hAnsi="宋体" w:cs="宋体" w:eastAsia="宋体" w:hint="default"/>
                <w:sz w:val="18"/>
                <w:szCs w:val="18"/>
              </w:rPr>
            </w:pPr>
            <w:r>
              <w:rPr>
                <w:rFonts w:ascii="宋体" w:hAnsi="宋体" w:cs="宋体" w:eastAsia="宋体" w:hint="default"/>
                <w:sz w:val="18"/>
                <w:szCs w:val="18"/>
              </w:rPr>
              <w:t>机构客户</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657,491,326.92</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14,614,282,221.25</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327,150,000.00</w:t>
            </w: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期末受托资金</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167,026,883.90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10,129,861,087.58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273,808,768.20</w:t>
            </w: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其中：自有资金投入</w:t>
            </w:r>
          </w:p>
        </w:tc>
        <w:tc>
          <w:tcPr>
            <w:tcW w:w="242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645" w:right="0"/>
              <w:jc w:val="left"/>
              <w:rPr>
                <w:rFonts w:ascii="宋体" w:hAnsi="宋体" w:cs="宋体" w:eastAsia="宋体" w:hint="default"/>
                <w:sz w:val="18"/>
                <w:szCs w:val="18"/>
              </w:rPr>
            </w:pPr>
            <w:r>
              <w:rPr>
                <w:rFonts w:ascii="宋体" w:hAnsi="宋体" w:cs="宋体" w:eastAsia="宋体" w:hint="default"/>
                <w:sz w:val="18"/>
                <w:szCs w:val="18"/>
              </w:rPr>
              <w:t>个人客户</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127,749,448.65</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645" w:right="0"/>
              <w:jc w:val="left"/>
              <w:rPr>
                <w:rFonts w:ascii="宋体" w:hAnsi="宋体" w:cs="宋体" w:eastAsia="宋体" w:hint="default"/>
                <w:sz w:val="18"/>
                <w:szCs w:val="18"/>
              </w:rPr>
            </w:pPr>
            <w:r>
              <w:rPr>
                <w:rFonts w:ascii="宋体" w:hAnsi="宋体" w:cs="宋体" w:eastAsia="宋体" w:hint="default"/>
                <w:sz w:val="18"/>
                <w:szCs w:val="18"/>
              </w:rPr>
              <w:t>机构客户</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39,277,435.25</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10,126,861,087.58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273,808,768.20</w:t>
            </w: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期末主要受托资产初始成本</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189,133,736.50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10,102,614,976.77</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239,180,000.00</w:t>
            </w: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其中：股票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14,349,865.72</w:t>
            </w:r>
          </w:p>
        </w:tc>
        <w:tc>
          <w:tcPr>
            <w:tcW w:w="242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645" w:right="0"/>
              <w:jc w:val="left"/>
              <w:rPr>
                <w:rFonts w:ascii="宋体" w:hAnsi="宋体" w:cs="宋体" w:eastAsia="宋体" w:hint="default"/>
                <w:sz w:val="18"/>
                <w:szCs w:val="18"/>
              </w:rPr>
            </w:pPr>
            <w:r>
              <w:rPr>
                <w:rFonts w:ascii="宋体" w:hAnsi="宋体" w:cs="宋体" w:eastAsia="宋体" w:hint="default"/>
                <w:sz w:val="18"/>
                <w:szCs w:val="18"/>
              </w:rPr>
              <w:t>其他债券</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32,994,096.01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51,581,660.19</w:t>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645"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34,598,670.03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645" w:right="0"/>
              <w:jc w:val="left"/>
              <w:rPr>
                <w:rFonts w:ascii="宋体" w:hAnsi="宋体" w:cs="宋体" w:eastAsia="宋体" w:hint="default"/>
                <w:sz w:val="18"/>
                <w:szCs w:val="18"/>
              </w:rPr>
            </w:pPr>
            <w:r>
              <w:rPr>
                <w:rFonts w:ascii="宋体" w:hAnsi="宋体" w:cs="宋体" w:eastAsia="宋体" w:hint="default"/>
                <w:sz w:val="18"/>
                <w:szCs w:val="18"/>
              </w:rPr>
              <w:t>信托、票据等</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107,191,104.74</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10,049,033,316.58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239,180,000.00</w:t>
            </w: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当期资产管理业务净收入</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5,067,428.14</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8,893,917.10</w:t>
            </w:r>
          </w:p>
        </w:tc>
        <w:tc>
          <w:tcPr>
            <w:tcW w:w="24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43</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7,038,779.34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6,005,258.29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4,892,624.66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4,276,331.86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14,203,876.48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13,539,340.03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283,482.41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278,268.05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2,525,718.36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1,393,056.03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11,831.93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文化教育事业建设费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2,044,158.23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1,322,402.58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水利资金等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15,329.01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31,033,977.04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26,891,327.78</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44</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3212"/>
        <w:gridCol w:w="3209"/>
        <w:gridCol w:w="3209"/>
      </w:tblGrid>
      <w:tr>
        <w:trPr>
          <w:trHeight w:val="491"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90"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259,775,169.89</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315,824,916.10</w:t>
            </w:r>
          </w:p>
        </w:tc>
      </w:tr>
      <w:tr>
        <w:trPr>
          <w:trHeight w:val="490"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其中：主要费用项目</w:t>
            </w:r>
          </w:p>
        </w:tc>
        <w:tc>
          <w:tcPr>
            <w:tcW w:w="3209" w:type="dxa"/>
            <w:tcBorders>
              <w:top w:val="single" w:sz="4" w:space="0" w:color="000000"/>
              <w:left w:val="single" w:sz="4" w:space="0" w:color="000000"/>
              <w:bottom w:val="single" w:sz="4" w:space="0" w:color="000000"/>
              <w:right w:val="single" w:sz="4" w:space="0" w:color="000000"/>
            </w:tcBorders>
          </w:tcPr>
          <w:p>
            <w:pPr/>
          </w:p>
        </w:tc>
        <w:tc>
          <w:tcPr>
            <w:tcW w:w="320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142,469,437.17</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164,156,271.49</w:t>
            </w:r>
          </w:p>
        </w:tc>
      </w:tr>
      <w:tr>
        <w:trPr>
          <w:trHeight w:val="490"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广告、宣传费用</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71,054,751.83</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93,179,362.87</w:t>
            </w:r>
          </w:p>
        </w:tc>
      </w:tr>
      <w:tr>
        <w:trPr>
          <w:trHeight w:val="490"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14,318,068.31</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15,771,266.36</w:t>
            </w:r>
          </w:p>
        </w:tc>
      </w:tr>
      <w:tr>
        <w:trPr>
          <w:trHeight w:val="492"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技术、咨询服务费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16,019,128.89</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28,506,536.98</w:t>
            </w:r>
          </w:p>
        </w:tc>
      </w:tr>
      <w:tr>
        <w:trPr>
          <w:trHeight w:val="490"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2,596,163.50</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3,028,028.55</w:t>
            </w:r>
          </w:p>
        </w:tc>
      </w:tr>
      <w:tr>
        <w:trPr>
          <w:trHeight w:val="490"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2,935,176.05</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2,933,673.95</w:t>
            </w:r>
          </w:p>
        </w:tc>
      </w:tr>
      <w:tr>
        <w:trPr>
          <w:trHeight w:val="490"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540,405.06</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700,456.92</w:t>
            </w:r>
          </w:p>
        </w:tc>
      </w:tr>
      <w:tr>
        <w:trPr>
          <w:trHeight w:val="490"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378,059.07</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615,011.92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spacing w:line="240" w:lineRule="auto"/>
        <w:ind w:right="1114"/>
        <w:jc w:val="left"/>
        <w:rPr>
          <w:b w:val="0"/>
          <w:bCs w:val="0"/>
        </w:rPr>
      </w:pPr>
      <w:r>
        <w:rPr>
          <w:rFonts w:ascii="Times New Roman" w:hAnsi="Times New Roman" w:cs="Times New Roman" w:eastAsia="Times New Roman" w:hint="default"/>
        </w:rPr>
        <w:t>45</w:t>
      </w:r>
      <w:r>
        <w:rPr/>
        <w:t>、管理费用</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3257"/>
        <w:gridCol w:w="3188"/>
        <w:gridCol w:w="3185"/>
      </w:tblGrid>
      <w:tr>
        <w:trPr>
          <w:trHeight w:val="490"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92"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1,191,609,602.23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1,101,265,021.81</w:t>
            </w:r>
          </w:p>
        </w:tc>
      </w:tr>
      <w:tr>
        <w:trPr>
          <w:trHeight w:val="490"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其中：主要费用项目</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668,477,294.14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644,943,244.55</w:t>
            </w:r>
          </w:p>
        </w:tc>
      </w:tr>
      <w:tr>
        <w:trPr>
          <w:trHeight w:val="490"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27,518,658.21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38,991,545.06</w:t>
            </w:r>
          </w:p>
        </w:tc>
      </w:tr>
      <w:tr>
        <w:trPr>
          <w:trHeight w:val="490"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76,821,733.59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60,759,560.60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3257"/>
        <w:gridCol w:w="3188"/>
        <w:gridCol w:w="3185"/>
      </w:tblGrid>
      <w:tr>
        <w:trPr>
          <w:trHeight w:val="490"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90"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10,660,068.49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8,222,405.61</w:t>
            </w:r>
          </w:p>
        </w:tc>
      </w:tr>
      <w:tr>
        <w:trPr>
          <w:trHeight w:val="492"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27,223,634.34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23,386,346.52</w:t>
            </w:r>
          </w:p>
        </w:tc>
      </w:tr>
      <w:tr>
        <w:trPr>
          <w:trHeight w:val="490"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103,251,866.94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94,796,975.20</w:t>
            </w:r>
          </w:p>
        </w:tc>
      </w:tr>
      <w:tr>
        <w:trPr>
          <w:trHeight w:val="490"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投资者保护基金</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17,110,180.05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21,922,586.56</w:t>
            </w:r>
          </w:p>
        </w:tc>
      </w:tr>
      <w:tr>
        <w:trPr>
          <w:trHeight w:val="490" w:hRule="exact"/>
        </w:trPr>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25,892,493.22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13,102,288.98</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46</w:t>
      </w:r>
      <w:r>
        <w:rPr/>
        <w:t>、研发费用</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材料燃料动力费用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20,531,999.94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219,720,022.82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144,082,193.55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10,076,036.52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7,960,480.56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250,328,059.28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182,042,674.11</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47</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235,893,544.12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26,081,882.30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79,448,938.35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66,036,883.55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-2,839,941.30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4,260,158.94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2,847,154.37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3,391,236.16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156,451,818.84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-32,303,606.15</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48</w:t>
      </w:r>
      <w:r>
        <w:rPr/>
        <w:t>、资产减值损失</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19,474,097.50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58,992,418.80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融出资金减值损失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-2,075,069.60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12,357,741.04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买入返售金融资产减值损失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-10,576,624.60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10,068,401.02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349,380.01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29,157.00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4,971.85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680.40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4,731,868.08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11,908,623.24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81,448,398.26</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49</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548"/>
        <w:gridCol w:w="3010"/>
        <w:gridCol w:w="3013"/>
      </w:tblGrid>
      <w:tr>
        <w:trPr>
          <w:trHeight w:val="402"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基于移动互联网的基金在线交易终端</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95,666.57</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164,000.04</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东方财富互联网金融量化投资平台</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199,999.92</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1,642,177.36</w:t>
            </w:r>
          </w:p>
        </w:tc>
      </w:tr>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东方财富网金融服务互动平台升级项目</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1,144,000.00</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电子金融理财电子商务平台</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76,142.40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76,142.40</w:t>
            </w:r>
          </w:p>
        </w:tc>
      </w:tr>
      <w:tr>
        <w:trPr>
          <w:trHeight w:val="713"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P2B </w:t>
            </w:r>
            <w:r>
              <w:rPr>
                <w:rFonts w:ascii="宋体" w:hAnsi="宋体" w:cs="宋体" w:eastAsia="宋体" w:hint="default"/>
                <w:sz w:val="18"/>
                <w:szCs w:val="18"/>
              </w:rPr>
              <w:t>的东方财富非标准化金融资产服务 平台项目</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513,000.00</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11,014,000.00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11,948,000.00</w:t>
            </w:r>
          </w:p>
        </w:tc>
      </w:tr>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稳岗补贴资金</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270,830.78</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74,325.26</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浦东新区促进金融业发展财政扶持资金</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1,961,000.00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金融发展专项资金</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4,200,800.00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4,740,000.00</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“新三板”挂牌财政奖励补助资金</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83,700.00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61,000.00</w:t>
            </w:r>
          </w:p>
        </w:tc>
      </w:tr>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代扣个税手续费返还</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1,353,892.49</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5,608,864.45</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19,340,032.16</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29,971,509.51</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50</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548"/>
        <w:gridCol w:w="3010"/>
        <w:gridCol w:w="3010"/>
      </w:tblGrid>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60,581,162.68</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83,920,169.95</w:t>
            </w:r>
          </w:p>
        </w:tc>
      </w:tr>
      <w:tr>
        <w:trPr>
          <w:trHeight w:val="715"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 融资产在持有期间的投资收益</w:t>
            </w:r>
          </w:p>
        </w:tc>
        <w:tc>
          <w:tcPr>
            <w:tcW w:w="30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159,347,553.43</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72,533,632.96</w:t>
            </w:r>
          </w:p>
        </w:tc>
      </w:tr>
      <w:tr>
        <w:trPr>
          <w:trHeight w:val="713"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 的金融资产取得的投资收益</w:t>
            </w:r>
          </w:p>
        </w:tc>
        <w:tc>
          <w:tcPr>
            <w:tcW w:w="30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-11,479,023.73</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42,195,635.02</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10" w:type="dxa"/>
            <w:tcBorders>
              <w:top w:val="single" w:sz="4" w:space="0" w:color="000000"/>
              <w:left w:val="single" w:sz="4" w:space="0" w:color="000000"/>
              <w:bottom w:val="single" w:sz="4" w:space="0" w:color="000000"/>
              <w:right w:val="single" w:sz="4" w:space="0" w:color="000000"/>
            </w:tcBorders>
          </w:tcPr>
          <w:p>
            <w:pP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-1,221,594.24</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786,492.26</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183,782.76</w:t>
            </w:r>
          </w:p>
        </w:tc>
      </w:tr>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211,236,184.64</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200,611,626.45</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51</w:t>
      </w:r>
      <w:r>
        <w:rPr/>
        <w:t>、公允价值变动收益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548"/>
        <w:gridCol w:w="3010"/>
        <w:gridCol w:w="3013"/>
      </w:tblGrid>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 金融资产</w:t>
            </w:r>
          </w:p>
        </w:tc>
        <w:tc>
          <w:tcPr>
            <w:tcW w:w="30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52,268,370.81</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-21,164,524.05</w:t>
            </w:r>
          </w:p>
        </w:tc>
      </w:tr>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衍生金融工具产生的公允价值变动收益</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-3,060,401.03</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-628,989.10</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49,207,969.78</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-21,793,513.15</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52</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548"/>
        <w:gridCol w:w="3010"/>
        <w:gridCol w:w="3013"/>
      </w:tblGrid>
      <w:tr>
        <w:trPr>
          <w:trHeight w:val="402"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处置未划分为持有待售的长期资产的利得</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95,685.63</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353,233.07</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处置未划分为持有待售的长期资产的损失</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-690,685.52</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-1,192,000.06</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-594,999.89</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-838,766.99</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53</w:t>
      </w:r>
      <w:r>
        <w:rPr/>
        <w:t>、营业外收入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88"/>
        <w:gridCol w:w="2281"/>
        <w:gridCol w:w="2280"/>
        <w:gridCol w:w="2619"/>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165,241.98</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575,701.49</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165,241.98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165,241.98</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575,701.49</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165,241.98</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54</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88"/>
        <w:gridCol w:w="2281"/>
        <w:gridCol w:w="2280"/>
        <w:gridCol w:w="2619"/>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8,968,800.00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2,350,000.06</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8,968,800.00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135,493.68</w:t>
            </w:r>
          </w:p>
        </w:tc>
        <w:tc>
          <w:tcPr>
            <w:tcW w:w="26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962,617.01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992,784.88</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962,617.01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9,931,417.01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3,478,278.62</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9,931,417.01</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55</w:t>
      </w:r>
      <w:r>
        <w:rPr/>
        <w:t>、所得税费用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116,818,722.57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95,984,285.55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45,796,534.35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-51,744,784.61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162,615,256.92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44,239,500.94</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spacing w:line="544" w:lineRule="auto" w:before="36"/>
        <w:ind w:left="153" w:right="88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5"/>
        <w:spacing w:line="240" w:lineRule="auto" w:before="28"/>
        <w:ind w:right="1114"/>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收回往来款、代垫款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41,178,118.74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230,857,359.94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收回代垫基金销售业务赎回款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885,411,220.76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专项补贴、补助款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19,866,265.75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21,043,325.26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79,698,083.93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65,654,677.73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165,241.98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6,184,565.94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4,681,641.50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6,488,169.81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1,031,000,572.66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330,228,098.68</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59,662,141.22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12,151,988.61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代垫基金销售业务赎回款增加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423,453,169.63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113,469,368.39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147,458,799.66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391,582,804.87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353,907,862.67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33,451,423.14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42,751,934.84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598,165,737.62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979,723,755.41</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收到宇通集团支付的</w:t>
            </w:r>
            <w:r>
              <w:rPr>
                <w:rFonts w:ascii="Times New Roman" w:hAnsi="Times New Roman" w:cs="Times New Roman" w:eastAsia="Times New Roman" w:hint="default"/>
                <w:sz w:val="18"/>
                <w:szCs w:val="18"/>
              </w:rPr>
              <w:t>"12 </w:t>
            </w:r>
            <w:r>
              <w:rPr>
                <w:rFonts w:ascii="宋体" w:hAnsi="宋体" w:cs="宋体" w:eastAsia="宋体" w:hint="default"/>
                <w:sz w:val="18"/>
                <w:szCs w:val="18"/>
              </w:rPr>
              <w:t>蓝博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蓝博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补偿款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21,277,026.00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903,458,702.65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924,735,728.65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Heading5"/>
        <w:spacing w:line="240" w:lineRule="auto"/>
        <w:ind w:right="1114"/>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732,013,745.00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处置量化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号支付的现金净额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1,075,382.51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733,089,127.51</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58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327"/>
        <w:gridCol w:w="3058"/>
        <w:gridCol w:w="3183"/>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958,218,736.74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634,844,279.53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11,908,623.24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81,448,398.26</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190,701,493.55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176,041,960.14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27,601,693.41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24,001,358.44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28,827,669.27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16,035,962.93</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594,999.89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838,766.99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135,493.68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-49,207,969.78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21,793,513.15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496,382,063.44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202,004,361.71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-66,204,472.35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-85,762,259.26</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52"/>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46,932,847.29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-51,360,104.54</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252"/>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-1,136,312.94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-384,680.07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-3,458,194.18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-7,327,952.12</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2,701,323,447.74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-12,314,409,350.99</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-1,713,202,840.99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5,102,641,792.37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38,063,208.00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39,532,274.00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327"/>
        <w:gridCol w:w="3058"/>
        <w:gridCol w:w="3183"/>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2,667,344,992.33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-6,159,926,185.78</w:t>
            </w:r>
          </w:p>
        </w:tc>
      </w:tr>
      <w:tr>
        <w:trPr>
          <w:trHeight w:val="162"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14,110,483,289.19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14,415,212,921.71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14,415,212,921.71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11,764,887,300.07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-304,729,632.52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2,650,325,621.64</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327"/>
        <w:gridCol w:w="3058"/>
        <w:gridCol w:w="3183"/>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14,110,483,289.19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14,415,212,921.71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191,307.71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203,538.75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11,333,841,165.72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12,072,071,347.42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293,429.33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8,002,033.67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可随时用于支付的结算备付金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2,776,157,386.43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2,334,936,001.87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14,110,483,289.19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14,415,212,921.71</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59</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327"/>
        <w:gridCol w:w="3058"/>
        <w:gridCol w:w="3183"/>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1,106,520,279.57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3"/>
              <w:jc w:val="center"/>
              <w:rPr>
                <w:rFonts w:ascii="宋体" w:hAnsi="宋体" w:cs="宋体" w:eastAsia="宋体" w:hint="default"/>
                <w:sz w:val="18"/>
                <w:szCs w:val="18"/>
              </w:rPr>
            </w:pPr>
            <w:r>
              <w:rPr>
                <w:rFonts w:ascii="宋体" w:hAnsi="宋体" w:cs="宋体" w:eastAsia="宋体" w:hint="default"/>
                <w:sz w:val="18"/>
                <w:szCs w:val="18"/>
              </w:rPr>
              <w:t>以自有资产抵押向银行申请授信及贷款</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151,138,747.23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3"/>
              <w:jc w:val="center"/>
              <w:rPr>
                <w:rFonts w:ascii="宋体" w:hAnsi="宋体" w:cs="宋体" w:eastAsia="宋体" w:hint="default"/>
                <w:sz w:val="18"/>
                <w:szCs w:val="18"/>
              </w:rPr>
            </w:pPr>
            <w:r>
              <w:rPr>
                <w:rFonts w:ascii="宋体" w:hAnsi="宋体" w:cs="宋体" w:eastAsia="宋体" w:hint="default"/>
                <w:sz w:val="18"/>
                <w:szCs w:val="18"/>
              </w:rPr>
              <w:t>卖出回购业务质押、融券业务融出证券</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1,257,659,026.80</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60</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494"/>
        <w:gridCol w:w="2294"/>
        <w:gridCol w:w="2391"/>
        <w:gridCol w:w="2389"/>
      </w:tblGrid>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529,399,949.68</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24,337,158.05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167,030,783.13</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413,569,009.98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362,369,166.55</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24,701,415.91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494"/>
        <w:gridCol w:w="2294"/>
        <w:gridCol w:w="2391"/>
        <w:gridCol w:w="2389"/>
      </w:tblGrid>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558"/>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1,846,896.98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12,675,623.35</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558"/>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13,724,940.15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12,025,792.56</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558"/>
              <w:jc w:val="right"/>
              <w:rPr>
                <w:rFonts w:ascii="宋体" w:hAnsi="宋体" w:cs="宋体" w:eastAsia="宋体" w:hint="default"/>
                <w:sz w:val="18"/>
                <w:szCs w:val="18"/>
              </w:rPr>
            </w:pPr>
            <w:r>
              <w:rPr>
                <w:rFonts w:ascii="宋体" w:hAnsi="宋体" w:cs="宋体" w:eastAsia="宋体" w:hint="default"/>
                <w:sz w:val="18"/>
                <w:szCs w:val="18"/>
              </w:rPr>
              <w:t>存出保证金</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3,563,140.00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558"/>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1,372,640.00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558"/>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2,190,500.00</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61</w:t>
      </w:r>
      <w:r>
        <w:rPr/>
        <w:t>、政府补助</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91"/>
        <w:gridCol w:w="2393"/>
        <w:gridCol w:w="2393"/>
        <w:gridCol w:w="2391"/>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2,525,300.00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与项目相关的政府补助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455,808.89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270,830.78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补贴资金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270,830.78</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17,259,500.00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专项扶持资金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17,259,500.00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1,353,892.49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手续费返还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1,353,892.49</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3"/>
        <w:spacing w:line="240" w:lineRule="auto"/>
        <w:ind w:right="1114"/>
        <w:jc w:val="left"/>
        <w:rPr>
          <w:b w:val="0"/>
          <w:bCs w:val="0"/>
        </w:rPr>
      </w:pPr>
      <w:r>
        <w:rPr/>
        <w:t>八、合并范围的变更</w:t>
      </w:r>
      <w:r>
        <w:rPr>
          <w:b w:val="0"/>
          <w:bCs w:val="0"/>
        </w:rPr>
      </w:r>
    </w:p>
    <w:p>
      <w:pPr>
        <w:spacing w:line="240" w:lineRule="auto" w:before="6"/>
        <w:rPr>
          <w:rFonts w:ascii="宋体" w:hAnsi="宋体" w:cs="宋体" w:eastAsia="宋体" w:hint="default"/>
          <w:b/>
          <w:bCs/>
          <w:sz w:val="26"/>
          <w:szCs w:val="26"/>
        </w:rPr>
      </w:pPr>
    </w:p>
    <w:p>
      <w:pPr>
        <w:spacing w:line="316" w:lineRule="auto"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本期合并范围增加一家子公司和一家结构化主体，主要为：</w:t>
      </w:r>
      <w:r>
        <w:rPr>
          <w:rFonts w:ascii="宋体" w:hAnsi="宋体" w:cs="宋体" w:eastAsia="宋体" w:hint="default"/>
          <w:sz w:val="18"/>
          <w:szCs w:val="18"/>
        </w:rPr>
        <w:t>1</w:t>
      </w:r>
      <w:r>
        <w:rPr>
          <w:rFonts w:ascii="宋体" w:hAnsi="宋体" w:cs="宋体" w:eastAsia="宋体" w:hint="default"/>
          <w:sz w:val="18"/>
          <w:szCs w:val="18"/>
        </w:rPr>
        <w:t>、新设东财基金。</w:t>
      </w:r>
      <w:r>
        <w:rPr>
          <w:rFonts w:ascii="宋体" w:hAnsi="宋体" w:cs="宋体" w:eastAsia="宋体" w:hint="default"/>
          <w:sz w:val="18"/>
          <w:szCs w:val="18"/>
        </w:rPr>
        <w:t>2</w:t>
      </w:r>
      <w:r>
        <w:rPr>
          <w:rFonts w:ascii="宋体" w:hAnsi="宋体" w:cs="宋体" w:eastAsia="宋体" w:hint="default"/>
          <w:sz w:val="18"/>
          <w:szCs w:val="18"/>
        </w:rPr>
        <w:t>、本公司子公司东方财富证券以自有资金</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4,720.00</w:t>
      </w:r>
      <w:r>
        <w:rPr>
          <w:rFonts w:ascii="宋体" w:hAnsi="宋体" w:cs="宋体" w:eastAsia="宋体" w:hint="default"/>
          <w:sz w:val="18"/>
          <w:szCs w:val="18"/>
        </w:rPr>
        <w:t>万元认购“爱建信托钱潮</w:t>
      </w:r>
      <w:r>
        <w:rPr>
          <w:rFonts w:ascii="宋体" w:hAnsi="宋体" w:cs="宋体" w:eastAsia="宋体" w:hint="default"/>
          <w:sz w:val="18"/>
          <w:szCs w:val="18"/>
        </w:rPr>
        <w:t>3</w:t>
      </w:r>
      <w:r>
        <w:rPr>
          <w:rFonts w:ascii="宋体" w:hAnsi="宋体" w:cs="宋体" w:eastAsia="宋体" w:hint="default"/>
          <w:sz w:val="18"/>
          <w:szCs w:val="18"/>
        </w:rPr>
        <w:t>号东方财富事务管理单一资金信托”，占比</w:t>
      </w:r>
      <w:r>
        <w:rPr>
          <w:rFonts w:ascii="宋体" w:hAnsi="宋体" w:cs="宋体" w:eastAsia="宋体" w:hint="default"/>
          <w:sz w:val="18"/>
          <w:szCs w:val="18"/>
        </w:rPr>
        <w:t>100.00%</w:t>
      </w:r>
      <w:r>
        <w:rPr>
          <w:rFonts w:ascii="宋体" w:hAnsi="宋体" w:cs="宋体" w:eastAsia="宋体" w:hint="default"/>
          <w:sz w:val="18"/>
          <w:szCs w:val="18"/>
        </w:rPr>
        <w:t>，纳入合并范围。</w:t>
      </w:r>
    </w:p>
    <w:p>
      <w:pPr>
        <w:spacing w:line="240" w:lineRule="auto" w:before="9"/>
        <w:rPr>
          <w:rFonts w:ascii="宋体" w:hAnsi="宋体" w:cs="宋体" w:eastAsia="宋体" w:hint="default"/>
          <w:sz w:val="20"/>
          <w:szCs w:val="20"/>
        </w:rPr>
      </w:pPr>
    </w:p>
    <w:p>
      <w:pPr>
        <w:pStyle w:val="Heading3"/>
        <w:spacing w:line="240" w:lineRule="auto"/>
        <w:ind w:right="1114"/>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406"/>
        <w:gridCol w:w="708"/>
        <w:gridCol w:w="785"/>
        <w:gridCol w:w="1874"/>
        <w:gridCol w:w="850"/>
        <w:gridCol w:w="833"/>
        <w:gridCol w:w="1366"/>
      </w:tblGrid>
      <w:tr>
        <w:trPr>
          <w:trHeight w:val="403" w:hRule="exact"/>
        </w:trPr>
        <w:tc>
          <w:tcPr>
            <w:tcW w:w="34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70" w:right="77" w:hanging="92"/>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8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340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c>
          <w:tcPr>
            <w:tcW w:w="187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北京京东财信息科技有限公司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广州东财信息科技有限公司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金融电子商务服务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b/>
          <w:bCs/>
          <w:sz w:val="12"/>
          <w:szCs w:val="12"/>
        </w:rPr>
      </w:pPr>
    </w:p>
    <w:tbl>
      <w:tblPr>
        <w:tblW w:w="0" w:type="auto"/>
        <w:jc w:val="left"/>
        <w:tblInd w:w="145" w:type="dxa"/>
        <w:tblLayout w:type="fixed"/>
        <w:tblCellMar>
          <w:top w:w="0" w:type="dxa"/>
          <w:left w:w="0" w:type="dxa"/>
          <w:bottom w:w="0" w:type="dxa"/>
          <w:right w:w="0" w:type="dxa"/>
        </w:tblCellMar>
        <w:tblLook w:val="01E0"/>
      </w:tblPr>
      <w:tblGrid>
        <w:gridCol w:w="3406"/>
        <w:gridCol w:w="708"/>
        <w:gridCol w:w="785"/>
        <w:gridCol w:w="1874"/>
        <w:gridCol w:w="850"/>
        <w:gridCol w:w="833"/>
        <w:gridCol w:w="1366"/>
      </w:tblGrid>
      <w:tr>
        <w:trPr>
          <w:trHeight w:val="40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上海东方财富金融数据服务有限公司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上海东方财富置业有限公司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房地产开发经营服务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上海长盛电子商务有限公司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电子商务服务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8"/>
              <w:jc w:val="left"/>
              <w:rPr>
                <w:rFonts w:ascii="宋体" w:hAnsi="宋体" w:cs="宋体" w:eastAsia="宋体" w:hint="default"/>
                <w:sz w:val="18"/>
                <w:szCs w:val="18"/>
              </w:rPr>
            </w:pPr>
            <w:r>
              <w:rPr>
                <w:rFonts w:ascii="宋体" w:hAnsi="宋体" w:cs="宋体" w:eastAsia="宋体" w:hint="default"/>
                <w:sz w:val="18"/>
                <w:szCs w:val="18"/>
              </w:rPr>
              <w:t>互联网信息服务、互联 网金融服务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上海东鑫互联网金融服务有限公司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互联网金融信息服务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深圳东财金融数据服务有限公司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8"/>
              <w:jc w:val="left"/>
              <w:rPr>
                <w:rFonts w:ascii="宋体" w:hAnsi="宋体" w:cs="宋体" w:eastAsia="宋体" w:hint="default"/>
                <w:sz w:val="18"/>
                <w:szCs w:val="18"/>
              </w:rPr>
            </w:pPr>
            <w:r>
              <w:rPr>
                <w:rFonts w:ascii="宋体" w:hAnsi="宋体" w:cs="宋体" w:eastAsia="宋体" w:hint="default"/>
                <w:sz w:val="18"/>
                <w:szCs w:val="18"/>
              </w:rPr>
              <w:t>接受金融机构委托，从 事金融外包服务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扬州东方财富金融信息服务有限公司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上海微兆信息科技有限公司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西藏东方财富证券股份有限公司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8"/>
              <w:jc w:val="left"/>
              <w:rPr>
                <w:rFonts w:ascii="宋体" w:hAnsi="宋体" w:cs="宋体" w:eastAsia="宋体" w:hint="default"/>
                <w:sz w:val="18"/>
                <w:szCs w:val="18"/>
              </w:rPr>
            </w:pPr>
            <w:r>
              <w:rPr>
                <w:rFonts w:ascii="宋体" w:hAnsi="宋体" w:cs="宋体" w:eastAsia="宋体" w:hint="default"/>
                <w:sz w:val="18"/>
                <w:szCs w:val="18"/>
              </w:rPr>
              <w:t>证券经纪、证券自营、 资产管理等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99.89%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上海东方财富期货有限公司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期货代理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西藏东方财富投资管理有限公司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东方财富国际证券有限公司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证券经纪</w:t>
            </w: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南京东方财富信息技术有限公司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东方财富国际期货有限公司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期货代理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东方财富金融有限公司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东方财富征信有限公司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企业信用征信服务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浪客网络科技有限公司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文化信息服务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上海徐汇东方财富小额贷款有限公司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发放贷款及相关咨询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西藏东财基金管理有限公司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基金管理、基金销售等</w:t>
            </w: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line="240" w:lineRule="auto" w:before="3"/>
        <w:rPr>
          <w:rFonts w:ascii="宋体" w:hAnsi="宋体" w:cs="宋体" w:eastAsia="宋体" w:hint="default"/>
          <w:b/>
          <w:bCs/>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4"/>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根据本公司与上海胜衍投资管理中心（有限合伙）签订的股权转让协议，本公司以</w:t>
      </w:r>
      <w:r>
        <w:rPr>
          <w:rFonts w:ascii="宋体" w:hAnsi="宋体" w:cs="宋体" w:eastAsia="宋体" w:hint="default"/>
          <w:sz w:val="18"/>
          <w:szCs w:val="18"/>
        </w:rPr>
        <w:t>400.00</w:t>
      </w:r>
      <w:r>
        <w:rPr>
          <w:rFonts w:ascii="宋体" w:hAnsi="宋体" w:cs="宋体" w:eastAsia="宋体" w:hint="default"/>
          <w:sz w:val="18"/>
          <w:szCs w:val="18"/>
        </w:rPr>
        <w:t>万元受让上海胜衍投资管理中心</w:t>
      </w:r>
    </w:p>
    <w:p>
      <w:pPr>
        <w:spacing w:before="76"/>
        <w:ind w:left="153" w:right="1114" w:firstLine="0"/>
        <w:jc w:val="left"/>
        <w:rPr>
          <w:rFonts w:ascii="宋体" w:hAnsi="宋体" w:cs="宋体" w:eastAsia="宋体" w:hint="default"/>
          <w:sz w:val="18"/>
          <w:szCs w:val="18"/>
        </w:rPr>
      </w:pPr>
      <w:r>
        <w:rPr>
          <w:rFonts w:ascii="宋体" w:hAnsi="宋体" w:cs="宋体" w:eastAsia="宋体" w:hint="default"/>
          <w:sz w:val="18"/>
          <w:szCs w:val="18"/>
        </w:rPr>
        <w:t>（有限合伙）持有的微兆科技</w:t>
      </w:r>
      <w:r>
        <w:rPr>
          <w:rFonts w:ascii="宋体" w:hAnsi="宋体" w:cs="宋体" w:eastAsia="宋体" w:hint="default"/>
          <w:sz w:val="18"/>
          <w:szCs w:val="18"/>
        </w:rPr>
        <w:t>8%</w:t>
      </w:r>
      <w:r>
        <w:rPr>
          <w:rFonts w:ascii="宋体" w:hAnsi="宋体" w:cs="宋体" w:eastAsia="宋体" w:hint="default"/>
          <w:sz w:val="18"/>
          <w:szCs w:val="18"/>
        </w:rPr>
        <w:t>股权，转让后本公司持有微兆科技</w:t>
      </w:r>
      <w:r>
        <w:rPr>
          <w:rFonts w:ascii="宋体" w:hAnsi="宋体" w:cs="宋体" w:eastAsia="宋体" w:hint="default"/>
          <w:sz w:val="18"/>
          <w:szCs w:val="18"/>
        </w:rPr>
        <w:t>100%</w:t>
      </w:r>
      <w:r>
        <w:rPr>
          <w:rFonts w:ascii="宋体" w:hAnsi="宋体" w:cs="宋体" w:eastAsia="宋体" w:hint="default"/>
          <w:sz w:val="18"/>
          <w:szCs w:val="18"/>
        </w:rPr>
        <w:t>股权。</w:t>
      </w:r>
    </w:p>
    <w:p>
      <w:pPr>
        <w:spacing w:line="240" w:lineRule="auto" w:before="0"/>
        <w:rPr>
          <w:rFonts w:ascii="宋体" w:hAnsi="宋体" w:cs="宋体" w:eastAsia="宋体" w:hint="default"/>
          <w:sz w:val="18"/>
          <w:szCs w:val="18"/>
        </w:rPr>
      </w:pPr>
    </w:p>
    <w:p>
      <w:pPr>
        <w:pStyle w:val="Heading5"/>
        <w:spacing w:line="240" w:lineRule="auto" w:before="120"/>
        <w:ind w:right="1114"/>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微兆科技</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2,103,035.34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1,896,964.66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1,896,964.66</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371"/>
        <w:gridCol w:w="1369"/>
        <w:gridCol w:w="1366"/>
        <w:gridCol w:w="1368"/>
        <w:gridCol w:w="910"/>
        <w:gridCol w:w="1133"/>
        <w:gridCol w:w="2057"/>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75"/>
              <w:ind w:left="141" w:right="137" w:firstLine="88"/>
              <w:jc w:val="left"/>
              <w:rPr>
                <w:rFonts w:ascii="宋体" w:hAnsi="宋体" w:cs="宋体" w:eastAsia="宋体" w:hint="default"/>
                <w:sz w:val="18"/>
                <w:szCs w:val="18"/>
              </w:rPr>
            </w:pPr>
            <w:r>
              <w:rPr>
                <w:rFonts w:ascii="宋体" w:hAnsi="宋体" w:cs="宋体" w:eastAsia="宋体" w:hint="default"/>
                <w:sz w:val="18"/>
                <w:szCs w:val="18"/>
              </w:rPr>
              <w:t>合营企业或 联营企业名称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0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057"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75"/>
              <w:ind w:left="216" w:right="120" w:hanging="92"/>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205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漫道金服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3" w:right="0"/>
              <w:jc w:val="left"/>
              <w:rPr>
                <w:rFonts w:ascii="Times New Roman" w:hAnsi="Times New Roman" w:cs="Times New Roman" w:eastAsia="Times New Roman" w:hint="default"/>
                <w:sz w:val="18"/>
                <w:szCs w:val="18"/>
              </w:rPr>
            </w:pPr>
            <w:r>
              <w:rPr>
                <w:rFonts w:ascii="Times New Roman"/>
                <w:sz w:val="18"/>
              </w:rPr>
              <w:t>27.00%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3"/>
        <w:rPr>
          <w:rFonts w:ascii="宋体" w:hAnsi="宋体" w:cs="宋体" w:eastAsia="宋体" w:hint="default"/>
          <w:b/>
          <w:bCs/>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2"/>
        <w:rPr>
          <w:rFonts w:ascii="宋体" w:hAnsi="宋体" w:cs="宋体" w:eastAsia="宋体" w:hint="default"/>
          <w:b/>
          <w:bCs/>
          <w:sz w:val="26"/>
          <w:szCs w:val="26"/>
        </w:rPr>
      </w:pPr>
    </w:p>
    <w:p>
      <w:pPr>
        <w:tabs>
          <w:tab w:pos="8984" w:val="left" w:leader="none"/>
        </w:tabs>
        <w:spacing w:before="0"/>
        <w:ind w:left="158" w:right="0" w:firstLine="0"/>
        <w:jc w:val="left"/>
        <w:rPr>
          <w:rFonts w:ascii="宋体" w:hAnsi="宋体" w:cs="宋体" w:eastAsia="宋体" w:hint="default"/>
          <w:sz w:val="18"/>
          <w:szCs w:val="18"/>
        </w:rPr>
      </w:pPr>
      <w:r>
        <w:rPr>
          <w:rFonts w:ascii="宋体" w:hAnsi="宋体" w:cs="宋体" w:eastAsia="宋体" w:hint="default"/>
          <w:spacing w:val="-1"/>
          <w:sz w:val="18"/>
          <w:szCs w:val="18"/>
        </w:rPr>
        <w:t>企业名称：上海漫道金融信息服务股份有限公司</w:t>
        <w:tab/>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9,961,762,818.56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14,544,465,677.87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189,181,410.80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171,609,898.29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10,150,944,229.36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14,716,075,576.16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9,130,600,706.30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13,819,421,686.97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2,816,666.71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2,166,666.66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9,133,417,373.01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13,821,588,353.63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1,017,526,856.35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894,487,222.53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409,981,238.12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376,760,536.99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985,215,595.94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941,533,568.04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221,487,797.29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328,160,544.92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221,487,797.29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328,160,544.92</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26,581,004.14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16,273,972.55</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2"/>
        <w:rPr>
          <w:rFonts w:ascii="宋体" w:hAnsi="宋体" w:cs="宋体" w:eastAsia="宋体" w:hint="default"/>
          <w:b/>
          <w:bCs/>
          <w:sz w:val="26"/>
          <w:szCs w:val="26"/>
        </w:rPr>
      </w:pPr>
    </w:p>
    <w:p>
      <w:pPr>
        <w:tabs>
          <w:tab w:pos="8799" w:val="left" w:leader="none"/>
        </w:tabs>
        <w:spacing w:before="0"/>
        <w:ind w:left="153" w:right="1114" w:firstLine="0"/>
        <w:jc w:val="left"/>
        <w:rPr>
          <w:rFonts w:ascii="宋体" w:hAnsi="宋体" w:cs="宋体" w:eastAsia="宋体" w:hint="default"/>
          <w:sz w:val="18"/>
          <w:szCs w:val="18"/>
        </w:rPr>
      </w:pPr>
      <w:r>
        <w:rPr>
          <w:rFonts w:ascii="宋体" w:hAnsi="宋体" w:cs="宋体" w:eastAsia="宋体" w:hint="default"/>
          <w:spacing w:val="-1"/>
          <w:sz w:val="18"/>
          <w:szCs w:val="18"/>
        </w:rPr>
        <w:t>企业名称：中证信用云科技（深圳）股份有限公司</w:t>
        <w:tab/>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325"/>
        <w:gridCol w:w="3058"/>
        <w:gridCol w:w="3188"/>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325"/>
        <w:gridCol w:w="3058"/>
        <w:gridCol w:w="3188"/>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34,807,166.46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33,675,803.88</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586,767.12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-1,131,505.83</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586,767.12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-1,131,505.83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5"/>
        <w:spacing w:line="240" w:lineRule="auto"/>
        <w:ind w:right="1114"/>
        <w:jc w:val="left"/>
        <w:rPr>
          <w:b w:val="0"/>
          <w:bCs w:val="0"/>
        </w:rPr>
      </w:pPr>
      <w:r>
        <w:rPr>
          <w:rFonts w:ascii="Times New Roman" w:hAnsi="Times New Roman" w:cs="Times New Roman" w:eastAsia="Times New Roman" w:hint="default"/>
        </w:rPr>
        <w:t>4</w:t>
      </w:r>
      <w:r>
        <w:rPr/>
        <w:t>、在未纳入合并财务报表范围的结构化主体中的权益</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14"/>
        <w:jc w:val="left"/>
      </w:pPr>
      <w:r>
        <w:rPr>
          <w:spacing w:val="-2"/>
        </w:rPr>
        <w:t>本公司发起设立的未纳入合并财务报表范围的结构化主体，主要包括本公司发起设立的集合资产管理计</w:t>
      </w:r>
      <w:r>
        <w:rPr>
          <w:spacing w:val="-21"/>
        </w:rPr>
        <w:t> </w:t>
      </w:r>
      <w:r>
        <w:rPr>
          <w:spacing w:val="-21"/>
        </w:rPr>
      </w:r>
      <w:r>
        <w:rPr>
          <w:spacing w:val="-2"/>
        </w:rPr>
        <w:t>划，其融资方式是向投资者发行投资产品，这些结构化主体的目的主要是管理投资者的资产并赚取管理</w:t>
      </w:r>
      <w:r>
        <w:rPr>
          <w:spacing w:val="-21"/>
        </w:rPr>
        <w:t> </w:t>
      </w:r>
      <w:r>
        <w:rPr>
          <w:spacing w:val="-21"/>
        </w:rPr>
      </w:r>
      <w:r>
        <w:rPr/>
        <w:t>费或剩余收益。</w:t>
      </w:r>
      <w:r>
        <w:rPr>
          <w:spacing w:val="-103"/>
        </w:rPr>
        <w:t> </w:t>
      </w:r>
      <w:r>
        <w:rPr>
          <w:spacing w:val="-103"/>
        </w:rPr>
      </w:r>
      <w:r>
        <w:rPr>
          <w:spacing w:val="-2"/>
        </w:rPr>
        <w:t>本公司在这些未纳入合并财务报表范围的结构化主体中享有的权益主要包括直接持有投资或通过管理这</w:t>
      </w:r>
      <w:r>
        <w:rPr>
          <w:spacing w:val="-21"/>
        </w:rPr>
        <w:t> </w:t>
      </w:r>
      <w:r>
        <w:rPr>
          <w:spacing w:val="-21"/>
        </w:rPr>
      </w:r>
      <w:r>
        <w:rPr>
          <w:spacing w:val="-2"/>
        </w:rPr>
        <w:t>些结构化主体赚取管理费收入或剩余收益。综合分析自有资金参与程度、预期可变回报以及风险敞口损</w:t>
      </w:r>
      <w:r>
        <w:rPr>
          <w:spacing w:val="-21"/>
        </w:rPr>
        <w:t> </w:t>
      </w:r>
      <w:r>
        <w:rPr>
          <w:spacing w:val="-21"/>
        </w:rPr>
      </w:r>
      <w:r>
        <w:rPr/>
        <w:t>失等情况，本公司对该等结构化主体不具有控制，未纳入合并范围。</w:t>
      </w:r>
      <w:r>
        <w:rPr>
          <w:w w:val="100"/>
        </w:rPr>
        <w:t> </w:t>
      </w:r>
      <w:r>
        <w:rPr>
          <w:spacing w:val="-2"/>
        </w:rPr>
        <w:t>期末本公司通过直接持有本公司发起设立的结构化主体中享有的权益在本公司资产负债表中的相关资产</w:t>
      </w:r>
      <w:r>
        <w:rPr>
          <w:spacing w:val="-21"/>
        </w:rPr>
        <w:t> </w:t>
      </w:r>
      <w:r>
        <w:rPr>
          <w:spacing w:val="-21"/>
        </w:rPr>
      </w:r>
      <w:r>
        <w:rPr/>
        <w:t>负债项目账面价值及最大损失风险敞口列示如下：</w:t>
      </w:r>
    </w:p>
    <w:tbl>
      <w:tblPr>
        <w:tblW w:w="0" w:type="auto"/>
        <w:jc w:val="left"/>
        <w:tblInd w:w="154" w:type="dxa"/>
        <w:tblLayout w:type="fixed"/>
        <w:tblCellMar>
          <w:top w:w="0" w:type="dxa"/>
          <w:left w:w="0" w:type="dxa"/>
          <w:bottom w:w="0" w:type="dxa"/>
          <w:right w:w="0" w:type="dxa"/>
        </w:tblCellMar>
        <w:tblLook w:val="01E0"/>
      </w:tblPr>
      <w:tblGrid>
        <w:gridCol w:w="383"/>
        <w:gridCol w:w="1596"/>
        <w:gridCol w:w="850"/>
        <w:gridCol w:w="2057"/>
        <w:gridCol w:w="1488"/>
        <w:gridCol w:w="1916"/>
        <w:gridCol w:w="1337"/>
      </w:tblGrid>
      <w:tr>
        <w:trPr>
          <w:trHeight w:val="654" w:hRule="exact"/>
        </w:trPr>
        <w:tc>
          <w:tcPr>
            <w:tcW w:w="3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6"/>
                <w:szCs w:val="16"/>
              </w:rPr>
            </w:pPr>
            <w:r>
              <w:rPr>
                <w:rFonts w:ascii="宋体" w:hAnsi="宋体" w:cs="宋体" w:eastAsia="宋体" w:hint="default"/>
                <w:sz w:val="16"/>
                <w:szCs w:val="16"/>
              </w:rPr>
              <w:t>序号</w:t>
            </w:r>
          </w:p>
        </w:tc>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75" w:right="0"/>
              <w:jc w:val="left"/>
              <w:rPr>
                <w:rFonts w:ascii="宋体" w:hAnsi="宋体" w:cs="宋体" w:eastAsia="宋体" w:hint="default"/>
                <w:sz w:val="16"/>
                <w:szCs w:val="16"/>
              </w:rPr>
            </w:pPr>
            <w:r>
              <w:rPr>
                <w:rFonts w:ascii="宋体" w:hAnsi="宋体" w:cs="宋体" w:eastAsia="宋体" w:hint="default"/>
                <w:sz w:val="16"/>
                <w:szCs w:val="16"/>
              </w:rPr>
              <w:t>集合名称</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业务性质</w:t>
            </w:r>
          </w:p>
        </w:tc>
        <w:tc>
          <w:tcPr>
            <w:tcW w:w="20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7" w:lineRule="auto" w:before="37"/>
              <w:ind w:left="223" w:right="219" w:firstLine="79"/>
              <w:jc w:val="left"/>
              <w:rPr>
                <w:rFonts w:ascii="宋体" w:hAnsi="宋体" w:cs="宋体" w:eastAsia="宋体" w:hint="default"/>
                <w:sz w:val="16"/>
                <w:szCs w:val="16"/>
              </w:rPr>
            </w:pPr>
            <w:r>
              <w:rPr>
                <w:rFonts w:ascii="宋体" w:hAnsi="宋体" w:cs="宋体" w:eastAsia="宋体" w:hint="default"/>
                <w:sz w:val="16"/>
                <w:szCs w:val="16"/>
              </w:rPr>
              <w:t>财务报表中确认的与</w:t>
            </w:r>
            <w:r>
              <w:rPr>
                <w:rFonts w:ascii="宋体" w:hAnsi="宋体" w:cs="宋体" w:eastAsia="宋体" w:hint="default"/>
                <w:w w:val="100"/>
                <w:sz w:val="16"/>
                <w:szCs w:val="16"/>
              </w:rPr>
              <w:t> </w:t>
            </w:r>
            <w:r>
              <w:rPr>
                <w:rFonts w:ascii="宋体" w:hAnsi="宋体" w:cs="宋体" w:eastAsia="宋体" w:hint="default"/>
                <w:sz w:val="16"/>
                <w:szCs w:val="16"/>
              </w:rPr>
              <w:t>结构化主体相关的资产</w:t>
            </w:r>
          </w:p>
        </w:tc>
        <w:tc>
          <w:tcPr>
            <w:tcW w:w="1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6"/>
                <w:szCs w:val="16"/>
              </w:rPr>
            </w:pPr>
            <w:r>
              <w:rPr>
                <w:rFonts w:ascii="宋体" w:hAnsi="宋体" w:cs="宋体" w:eastAsia="宋体" w:hint="default"/>
                <w:sz w:val="16"/>
                <w:szCs w:val="16"/>
              </w:rPr>
              <w:t>自有资金投资比例</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7" w:lineRule="auto" w:before="37"/>
              <w:ind w:left="153" w:right="68" w:hanging="80"/>
              <w:jc w:val="left"/>
              <w:rPr>
                <w:rFonts w:ascii="宋体" w:hAnsi="宋体" w:cs="宋体" w:eastAsia="宋体" w:hint="default"/>
                <w:sz w:val="16"/>
                <w:szCs w:val="16"/>
              </w:rPr>
            </w:pPr>
            <w:r>
              <w:rPr>
                <w:rFonts w:ascii="宋体" w:hAnsi="宋体" w:cs="宋体" w:eastAsia="宋体" w:hint="default"/>
                <w:sz w:val="16"/>
                <w:szCs w:val="16"/>
              </w:rPr>
              <w:t>财务报表中确认的与结构</w:t>
            </w:r>
            <w:r>
              <w:rPr>
                <w:rFonts w:ascii="宋体" w:hAnsi="宋体" w:cs="宋体" w:eastAsia="宋体" w:hint="default"/>
                <w:w w:val="100"/>
                <w:sz w:val="16"/>
                <w:szCs w:val="16"/>
              </w:rPr>
              <w:t> </w:t>
            </w:r>
            <w:r>
              <w:rPr>
                <w:rFonts w:ascii="宋体" w:hAnsi="宋体" w:cs="宋体" w:eastAsia="宋体" w:hint="default"/>
                <w:sz w:val="16"/>
                <w:szCs w:val="16"/>
              </w:rPr>
              <w:t>化主体相关的资产余额</w:t>
            </w:r>
          </w:p>
        </w:tc>
        <w:tc>
          <w:tcPr>
            <w:tcW w:w="1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7" w:lineRule="auto" w:before="37"/>
              <w:ind w:left="26" w:right="17"/>
              <w:jc w:val="left"/>
              <w:rPr>
                <w:rFonts w:ascii="宋体" w:hAnsi="宋体" w:cs="宋体" w:eastAsia="宋体" w:hint="default"/>
                <w:sz w:val="16"/>
                <w:szCs w:val="16"/>
              </w:rPr>
            </w:pPr>
            <w:r>
              <w:rPr>
                <w:rFonts w:ascii="宋体" w:hAnsi="宋体" w:cs="宋体" w:eastAsia="宋体" w:hint="default"/>
                <w:sz w:val="16"/>
                <w:szCs w:val="16"/>
              </w:rPr>
              <w:t>在结构化主体中权</w:t>
            </w:r>
            <w:r>
              <w:rPr>
                <w:rFonts w:ascii="宋体" w:hAnsi="宋体" w:cs="宋体" w:eastAsia="宋体" w:hint="default"/>
                <w:w w:val="100"/>
                <w:sz w:val="16"/>
                <w:szCs w:val="16"/>
              </w:rPr>
              <w:t> </w:t>
            </w:r>
            <w:r>
              <w:rPr>
                <w:rFonts w:ascii="宋体" w:hAnsi="宋体" w:cs="宋体" w:eastAsia="宋体" w:hint="default"/>
                <w:sz w:val="16"/>
                <w:szCs w:val="16"/>
              </w:rPr>
              <w:t>益的最大损失敞口</w:t>
            </w:r>
          </w:p>
        </w:tc>
      </w:tr>
      <w:tr>
        <w:trPr>
          <w:trHeight w:val="343" w:hRule="exact"/>
        </w:trPr>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 w:right="0"/>
              <w:jc w:val="left"/>
              <w:rPr>
                <w:rFonts w:ascii="Times New Roman" w:hAnsi="Times New Roman" w:cs="Times New Roman" w:eastAsia="Times New Roman" w:hint="default"/>
                <w:sz w:val="16"/>
                <w:szCs w:val="16"/>
              </w:rPr>
            </w:pPr>
            <w:r>
              <w:rPr>
                <w:rFonts w:ascii="Times New Roman"/>
                <w:w w:val="100"/>
                <w:sz w:val="16"/>
              </w:rPr>
              <w:t>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同心永宣新三板</w:t>
            </w:r>
            <w:r>
              <w:rPr>
                <w:rFonts w:ascii="Times New Roman" w:hAnsi="Times New Roman" w:cs="Times New Roman" w:eastAsia="Times New Roman" w:hint="default"/>
                <w:sz w:val="16"/>
                <w:szCs w:val="16"/>
              </w:rPr>
              <w:t>1</w:t>
            </w:r>
            <w:r>
              <w:rPr>
                <w:rFonts w:ascii="宋体" w:hAnsi="宋体" w:cs="宋体" w:eastAsia="宋体" w:hint="default"/>
                <w:sz w:val="16"/>
                <w:szCs w:val="16"/>
              </w:rPr>
              <w:t>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0" w:right="0"/>
              <w:jc w:val="left"/>
              <w:rPr>
                <w:rFonts w:ascii="宋体" w:hAnsi="宋体" w:cs="宋体" w:eastAsia="宋体" w:hint="default"/>
                <w:sz w:val="16"/>
                <w:szCs w:val="16"/>
              </w:rPr>
            </w:pPr>
            <w:r>
              <w:rPr>
                <w:rFonts w:ascii="宋体" w:hAnsi="宋体" w:cs="宋体" w:eastAsia="宋体" w:hint="default"/>
                <w:sz w:val="16"/>
                <w:szCs w:val="16"/>
              </w:rPr>
              <w:t>资产管理</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 w:right="0"/>
              <w:jc w:val="center"/>
              <w:rPr>
                <w:rFonts w:ascii="Times New Roman" w:hAnsi="Times New Roman" w:cs="Times New Roman" w:eastAsia="Times New Roman" w:hint="default"/>
                <w:sz w:val="16"/>
                <w:szCs w:val="16"/>
              </w:rPr>
            </w:pPr>
            <w:r>
              <w:rPr>
                <w:rFonts w:ascii="Times New Roman"/>
                <w:sz w:val="16"/>
              </w:rPr>
              <w:t>28.12%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63" w:right="0"/>
              <w:jc w:val="left"/>
              <w:rPr>
                <w:rFonts w:ascii="Times New Roman" w:hAnsi="Times New Roman" w:cs="Times New Roman" w:eastAsia="Times New Roman" w:hint="default"/>
                <w:sz w:val="16"/>
                <w:szCs w:val="16"/>
              </w:rPr>
            </w:pPr>
            <w:r>
              <w:rPr>
                <w:rFonts w:ascii="Times New Roman"/>
                <w:sz w:val="16"/>
              </w:rPr>
              <w:t>8,151,982.93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84" w:right="0"/>
              <w:jc w:val="left"/>
              <w:rPr>
                <w:rFonts w:ascii="Times New Roman" w:hAnsi="Times New Roman" w:cs="Times New Roman" w:eastAsia="Times New Roman" w:hint="default"/>
                <w:sz w:val="16"/>
                <w:szCs w:val="16"/>
              </w:rPr>
            </w:pPr>
            <w:r>
              <w:rPr>
                <w:rFonts w:ascii="Times New Roman"/>
                <w:sz w:val="16"/>
              </w:rPr>
              <w:t>8,151,982.93</w:t>
            </w:r>
          </w:p>
        </w:tc>
      </w:tr>
    </w:tbl>
    <w:p>
      <w:pPr>
        <w:spacing w:line="240" w:lineRule="auto" w:before="9"/>
        <w:rPr>
          <w:rFonts w:ascii="宋体" w:hAnsi="宋体" w:cs="宋体" w:eastAsia="宋体" w:hint="default"/>
          <w:sz w:val="19"/>
          <w:szCs w:val="19"/>
        </w:rPr>
      </w:pPr>
    </w:p>
    <w:p>
      <w:pPr>
        <w:pStyle w:val="Heading3"/>
        <w:spacing w:line="240" w:lineRule="auto" w:before="26"/>
        <w:ind w:right="1114"/>
        <w:jc w:val="left"/>
        <w:rPr>
          <w:b w:val="0"/>
          <w:bCs w:val="0"/>
        </w:rPr>
      </w:pPr>
      <w:r>
        <w:rPr/>
        <w:t>十、与金融工具相关的风险</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1114"/>
        <w:jc w:val="left"/>
      </w:pPr>
      <w:r>
        <w:rPr/>
        <w:t>本公司的经营活动会面临各种金融风险：市场风险、信用风险和流动风险。</w:t>
      </w:r>
    </w:p>
    <w:p>
      <w:pPr>
        <w:pStyle w:val="BodyText"/>
        <w:spacing w:line="256" w:lineRule="auto" w:before="37"/>
        <w:ind w:left="578" w:right="1114" w:hanging="3"/>
        <w:jc w:val="left"/>
      </w:pP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spacing w:val="-104"/>
        </w:rPr>
        <w:t> </w:t>
      </w:r>
      <w:r>
        <w:rPr>
          <w:spacing w:val="-2"/>
        </w:rPr>
        <w:t>信用风险一般是指因客户或交易对手未履行合约责任而引致的损失。本公司的货币资金主要存放在</w:t>
      </w:r>
    </w:p>
    <w:p>
      <w:pPr>
        <w:pStyle w:val="BodyText"/>
        <w:spacing w:line="273" w:lineRule="auto" w:before="22"/>
        <w:ind w:left="158" w:right="1114"/>
        <w:jc w:val="left"/>
      </w:pPr>
      <w:r>
        <w:rPr>
          <w:spacing w:val="-2"/>
        </w:rPr>
        <w:t>国有商业银行或大型股份制商业银行，结算备付金存放在中国证券登记结算有限责任公司，现金及现金</w:t>
      </w:r>
      <w:r>
        <w:rPr>
          <w:spacing w:val="-21"/>
        </w:rPr>
        <w:t> </w:t>
      </w:r>
      <w:r>
        <w:rPr>
          <w:spacing w:val="-21"/>
        </w:rPr>
      </w:r>
      <w:r>
        <w:rPr/>
        <w:t>等价物面临的信用风险相对较低。</w:t>
      </w:r>
    </w:p>
    <w:p>
      <w:pPr>
        <w:pStyle w:val="BodyText"/>
        <w:spacing w:line="273" w:lineRule="auto" w:before="7"/>
        <w:ind w:left="158" w:right="1308" w:firstLine="420"/>
        <w:jc w:val="both"/>
      </w:pPr>
      <w:r>
        <w:rPr>
          <w:spacing w:val="-2"/>
        </w:rPr>
        <w:t>本公司的信用风险主要来自本公司代理客户买卖证券，若本公司没有提前要求客户依法缴足交易保</w:t>
      </w:r>
      <w:r>
        <w:rPr>
          <w:w w:val="100"/>
        </w:rPr>
        <w:t> </w:t>
      </w:r>
      <w:r>
        <w:rPr>
          <w:spacing w:val="-2"/>
        </w:rPr>
        <w:t>证金，在结算当日客户的资金不足以支付交易所需的情况下，或客户资金由于其他原因出现缺口，本公</w:t>
      </w:r>
      <w:r>
        <w:rPr>
          <w:spacing w:val="-21"/>
        </w:rPr>
        <w:t> </w:t>
      </w:r>
      <w:r>
        <w:rPr>
          <w:spacing w:val="-21"/>
        </w:rPr>
      </w:r>
      <w:r>
        <w:rPr>
          <w:spacing w:val="-2"/>
        </w:rPr>
        <w:t>司有责任代客户进行结算而造成信用损失。为了控制经纪业务产生的信用风险，本公司代理客户进行的</w:t>
      </w:r>
      <w:r>
        <w:rPr>
          <w:spacing w:val="-21"/>
        </w:rPr>
        <w:t> </w:t>
      </w:r>
      <w:r>
        <w:rPr>
          <w:spacing w:val="-21"/>
        </w:rPr>
      </w:r>
      <w:r>
        <w:rPr>
          <w:spacing w:val="-2"/>
        </w:rPr>
        <w:t>证券及期货交易均以全额保证金结算。本公司通过全额保证金结算的方式在很大程度上控制了与本公司</w:t>
      </w:r>
      <w:r>
        <w:rPr>
          <w:spacing w:val="-22"/>
        </w:rPr>
        <w:t> </w:t>
      </w:r>
      <w:r>
        <w:rPr>
          <w:spacing w:val="-22"/>
        </w:rPr>
      </w:r>
      <w:r>
        <w:rPr/>
        <w:t>交易业务量相关的结算风险。</w:t>
      </w:r>
    </w:p>
    <w:p>
      <w:pPr>
        <w:pStyle w:val="BodyText"/>
        <w:spacing w:line="273" w:lineRule="auto" w:before="8"/>
        <w:ind w:left="158" w:right="1308" w:firstLine="420"/>
        <w:jc w:val="both"/>
      </w:pPr>
      <w:r>
        <w:rPr>
          <w:spacing w:val="-2"/>
        </w:rPr>
        <w:t>本公司建立了信用风险管理流程，通过对投资品种信用等级评估来控制证券发行人的信用风险，且</w:t>
      </w:r>
      <w:r>
        <w:rPr>
          <w:w w:val="100"/>
        </w:rPr>
        <w:t> </w:t>
      </w:r>
      <w:r>
        <w:rPr>
          <w:spacing w:val="-2"/>
        </w:rPr>
        <w:t>通过分散化投资以分散信用风险。本公司债券投资的信用评级情况按《中国人民银行信用评级管理指导</w:t>
      </w:r>
      <w:r>
        <w:rPr>
          <w:spacing w:val="-21"/>
        </w:rPr>
        <w:t> </w:t>
      </w:r>
      <w:r>
        <w:rPr>
          <w:spacing w:val="-21"/>
        </w:rPr>
      </w:r>
      <w:r>
        <w:rPr/>
        <w:t>意见》设定的标准统计及汇总。</w:t>
      </w:r>
    </w:p>
    <w:p>
      <w:pPr>
        <w:pStyle w:val="BodyText"/>
        <w:spacing w:line="256" w:lineRule="auto" w:before="7"/>
        <w:ind w:left="578" w:right="1114" w:hanging="3"/>
        <w:jc w:val="left"/>
      </w:pPr>
      <w:r>
        <w:rPr>
          <w:rFonts w:ascii="Times New Roman" w:hAnsi="Times New Roman" w:cs="Times New Roman" w:eastAsia="Times New Roman" w:hint="default"/>
          <w:b/>
          <w:bCs/>
        </w:rPr>
        <w:t>2</w:t>
      </w:r>
      <w:r>
        <w:rPr>
          <w:rFonts w:ascii="宋体" w:hAnsi="宋体" w:cs="宋体" w:eastAsia="宋体" w:hint="default"/>
          <w:b/>
          <w:bCs/>
        </w:rPr>
        <w:t>、市场风险</w:t>
      </w:r>
      <w:r>
        <w:rPr>
          <w:rFonts w:ascii="宋体" w:hAnsi="宋体" w:cs="宋体" w:eastAsia="宋体" w:hint="default"/>
          <w:b/>
          <w:bCs/>
          <w:spacing w:val="-104"/>
        </w:rPr>
        <w:t> </w:t>
      </w:r>
      <w:r>
        <w:rPr>
          <w:spacing w:val="-2"/>
        </w:rPr>
        <w:t>市场风险是由于市场的一般或特定变化对货币、利率和衍生金融工具交易敞口头寸造成影响而产</w:t>
      </w:r>
    </w:p>
    <w:p>
      <w:pPr>
        <w:pStyle w:val="BodyText"/>
        <w:spacing w:line="273" w:lineRule="auto" w:before="22"/>
        <w:ind w:left="158" w:right="1114"/>
        <w:jc w:val="left"/>
      </w:pPr>
      <w:r>
        <w:rPr>
          <w:spacing w:val="-2"/>
        </w:rPr>
        <w:t>生。本公司主要涉及的市场风险是指在以自有资金进行各类投资时因证券市场价格变动、利率变动或汇</w:t>
      </w:r>
      <w:r>
        <w:rPr>
          <w:spacing w:val="-21"/>
        </w:rPr>
        <w:t> </w:t>
      </w:r>
      <w:r>
        <w:rPr>
          <w:spacing w:val="-21"/>
        </w:rPr>
      </w:r>
      <w:r>
        <w:rPr/>
        <w:t>率变动而产生盈利或亏损。</w:t>
      </w:r>
    </w:p>
    <w:p>
      <w:pPr>
        <w:pStyle w:val="BodyText"/>
        <w:spacing w:line="273" w:lineRule="auto" w:before="7"/>
        <w:ind w:left="158" w:right="1308" w:firstLine="420"/>
        <w:jc w:val="both"/>
      </w:pPr>
      <w:r>
        <w:rPr>
          <w:spacing w:val="-2"/>
        </w:rPr>
        <w:t>本公司亦从事股票及债券承销业务，并需要对部分首次发行新股的申购及债券承销作出余额认购承</w:t>
      </w:r>
      <w:r>
        <w:rPr>
          <w:w w:val="100"/>
        </w:rPr>
        <w:t> </w:t>
      </w:r>
      <w:r>
        <w:rPr>
          <w:spacing w:val="-2"/>
        </w:rPr>
        <w:t>诺。该等情况下，任何未完成承销的部分由于市场环境变化造成的市场价低于承销价所产生的价格变动</w:t>
      </w:r>
      <w:r>
        <w:rPr>
          <w:spacing w:val="-21"/>
        </w:rPr>
        <w:t> </w:t>
      </w:r>
      <w:r>
        <w:rPr>
          <w:spacing w:val="-21"/>
        </w:rPr>
      </w:r>
      <w:r>
        <w:rPr/>
        <w:t>风险将由本公司承担。</w:t>
      </w:r>
    </w:p>
    <w:p>
      <w:pPr>
        <w:pStyle w:val="BodyText"/>
        <w:spacing w:line="240" w:lineRule="auto" w:before="7"/>
        <w:ind w:left="578" w:right="1114"/>
        <w:jc w:val="left"/>
      </w:pPr>
      <w:r>
        <w:rPr/>
        <w:t>管理层制定了本公司所能承担的最大市场风险敞口。该风险敞口的衡量和监察是根据本金及止损额</w:t>
      </w:r>
    </w:p>
    <w:p>
      <w:pPr>
        <w:spacing w:after="0" w:line="240" w:lineRule="auto"/>
        <w:jc w:val="left"/>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BodyText"/>
        <w:spacing w:line="240" w:lineRule="auto" w:before="36"/>
        <w:ind w:left="158" w:right="1114"/>
        <w:jc w:val="left"/>
      </w:pPr>
      <w:r>
        <w:rPr/>
        <w:t>度而制定，并规定整体的市场风险均控制在管理层已制定的范围内。</w:t>
      </w:r>
    </w:p>
    <w:p>
      <w:pPr>
        <w:pStyle w:val="BodyText"/>
        <w:spacing w:line="256" w:lineRule="auto" w:before="37"/>
        <w:ind w:left="573" w:right="1114"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）汇率风险</w:t>
      </w:r>
      <w:r>
        <w:rPr>
          <w:rFonts w:ascii="宋体" w:hAnsi="宋体" w:cs="宋体" w:eastAsia="宋体" w:hint="default"/>
          <w:b/>
          <w:bCs/>
          <w:w w:val="100"/>
        </w:rPr>
        <w:t> </w:t>
      </w:r>
      <w:r>
        <w:rPr>
          <w:spacing w:val="-2"/>
        </w:rPr>
        <w:t>汇率风险，是指金融工具的公允价值或未来现金流量因外汇汇率变动而发生波动的风险。本公司面临</w:t>
      </w:r>
    </w:p>
    <w:p>
      <w:pPr>
        <w:pStyle w:val="BodyText"/>
        <w:spacing w:line="273" w:lineRule="auto" w:before="22"/>
        <w:ind w:right="1114"/>
        <w:jc w:val="left"/>
      </w:pPr>
      <w:r>
        <w:rPr>
          <w:spacing w:val="-2"/>
        </w:rPr>
        <w:t>的汇率变动风险主要与本集团的经营活动（当收支以不同于本公司记账本位币的外币结算时）及其于境外</w:t>
      </w:r>
      <w:r>
        <w:rPr>
          <w:spacing w:val="-43"/>
        </w:rPr>
        <w:t> </w:t>
      </w:r>
      <w:r>
        <w:rPr>
          <w:spacing w:val="-43"/>
        </w:rPr>
      </w:r>
      <w:r>
        <w:rPr/>
        <w:t>子公司的净投资有关。</w:t>
      </w:r>
    </w:p>
    <w:p>
      <w:pPr>
        <w:pStyle w:val="BodyText"/>
        <w:spacing w:line="273" w:lineRule="auto" w:before="7"/>
        <w:ind w:right="1126" w:firstLine="420"/>
        <w:jc w:val="both"/>
      </w:pPr>
      <w:r>
        <w:rPr>
          <w:spacing w:val="-2"/>
        </w:rPr>
        <w:t>下表列示了本公司主要币种外汇风险敞口的汇率敏感性分析。其计算了当其他项目不变时，外币对人</w:t>
      </w:r>
      <w:r>
        <w:rPr>
          <w:w w:val="100"/>
        </w:rPr>
        <w:t> </w:t>
      </w:r>
      <w:r>
        <w:rPr>
          <w:spacing w:val="-2"/>
        </w:rPr>
        <w:t>民币汇率的合理可能变动对税前利润和权益的影响。负数表示可能减少税前利润或权益，正数表示可能增</w:t>
      </w:r>
      <w:r>
        <w:rPr>
          <w:spacing w:val="-44"/>
        </w:rPr>
        <w:t> </w:t>
      </w:r>
      <w:r>
        <w:rPr>
          <w:spacing w:val="-44"/>
        </w:rPr>
      </w:r>
      <w:r>
        <w:rPr/>
        <w:t>加税前利润或权益。</w:t>
      </w:r>
    </w:p>
    <w:p>
      <w:pPr>
        <w:pStyle w:val="BodyText"/>
        <w:spacing w:line="240" w:lineRule="auto" w:before="7"/>
        <w:ind w:left="573" w:right="1114"/>
        <w:jc w:val="left"/>
      </w:pPr>
      <w:r>
        <w:rPr/>
        <w:t>期末：</w:t>
      </w:r>
    </w:p>
    <w:p>
      <w:pPr>
        <w:spacing w:line="240" w:lineRule="auto" w:before="10"/>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3625"/>
        <w:gridCol w:w="2972"/>
        <w:gridCol w:w="3034"/>
      </w:tblGrid>
      <w:tr>
        <w:trPr>
          <w:trHeight w:val="341" w:hRule="exact"/>
        </w:trPr>
        <w:tc>
          <w:tcPr>
            <w:tcW w:w="36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29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汇率变化</w:t>
            </w:r>
          </w:p>
        </w:tc>
        <w:tc>
          <w:tcPr>
            <w:tcW w:w="30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778" w:right="0"/>
              <w:jc w:val="left"/>
              <w:rPr>
                <w:rFonts w:ascii="宋体" w:hAnsi="宋体" w:cs="宋体" w:eastAsia="宋体" w:hint="default"/>
                <w:sz w:val="21"/>
                <w:szCs w:val="21"/>
              </w:rPr>
            </w:pPr>
            <w:r>
              <w:rPr>
                <w:rFonts w:ascii="宋体" w:hAnsi="宋体" w:cs="宋体" w:eastAsia="宋体" w:hint="default"/>
                <w:sz w:val="21"/>
                <w:szCs w:val="21"/>
              </w:rPr>
              <w:t>对净利润的影响</w:t>
            </w:r>
          </w:p>
        </w:tc>
      </w:tr>
      <w:tr>
        <w:trPr>
          <w:trHeight w:val="343" w:hRule="exact"/>
        </w:trPr>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10%</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18,107,904.65</w:t>
            </w:r>
          </w:p>
        </w:tc>
      </w:tr>
      <w:tr>
        <w:trPr>
          <w:trHeight w:val="344" w:hRule="exact"/>
        </w:trPr>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10%</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37,658,545.91</w:t>
            </w:r>
          </w:p>
        </w:tc>
      </w:tr>
    </w:tbl>
    <w:p>
      <w:pPr>
        <w:spacing w:line="240" w:lineRule="auto" w:before="2"/>
        <w:rPr>
          <w:rFonts w:ascii="宋体" w:hAnsi="宋体" w:cs="宋体" w:eastAsia="宋体" w:hint="default"/>
          <w:sz w:val="20"/>
          <w:szCs w:val="20"/>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）利率风险</w:t>
      </w:r>
      <w:r>
        <w:rPr>
          <w:b w:val="0"/>
          <w:bCs w:val="0"/>
        </w:rPr>
      </w:r>
    </w:p>
    <w:p>
      <w:pPr>
        <w:pStyle w:val="BodyText"/>
        <w:spacing w:line="273" w:lineRule="auto" w:before="21"/>
        <w:ind w:right="1313" w:firstLine="420"/>
        <w:jc w:val="both"/>
      </w:pPr>
      <w:r>
        <w:rPr>
          <w:spacing w:val="-2"/>
        </w:rPr>
        <w:t>本公司的利率风险主要产生于银行存款、结算备付金、存出保证金、买入返售金融资产、交易性债</w:t>
      </w:r>
      <w:r>
        <w:rPr>
          <w:w w:val="100"/>
        </w:rPr>
        <w:t> </w:t>
      </w:r>
      <w:r>
        <w:rPr>
          <w:spacing w:val="-2"/>
        </w:rPr>
        <w:t>券投资和交易性债券型基金投资等，其中银行存款的利率在同期银行同业存款利率的基础上与各存款银</w:t>
      </w:r>
      <w:r>
        <w:rPr>
          <w:spacing w:val="-21"/>
        </w:rPr>
        <w:t> </w:t>
      </w:r>
      <w:r>
        <w:rPr>
          <w:spacing w:val="-21"/>
        </w:rPr>
      </w:r>
      <w:r>
        <w:rPr>
          <w:spacing w:val="-2"/>
        </w:rPr>
        <w:t>行协商确定，结算备付金和存出保证金在同期银行同业存款利率的基础上与中国证券登记结算有限责任</w:t>
      </w:r>
      <w:r>
        <w:rPr>
          <w:spacing w:val="-21"/>
        </w:rPr>
        <w:t> </w:t>
      </w:r>
      <w:r>
        <w:rPr>
          <w:spacing w:val="-21"/>
        </w:rPr>
      </w:r>
      <w:r>
        <w:rPr>
          <w:spacing w:val="-2"/>
        </w:rPr>
        <w:t>公司、各期货交易所等机构协商确认。银行存款、结算备付金和存出保证金的利息收入随市场利率的变</w:t>
      </w:r>
      <w:r>
        <w:rPr>
          <w:spacing w:val="-21"/>
        </w:rPr>
        <w:t> </w:t>
      </w:r>
      <w:r>
        <w:rPr>
          <w:spacing w:val="-21"/>
        </w:rPr>
      </w:r>
      <w:r>
        <w:rPr>
          <w:spacing w:val="-2"/>
        </w:rPr>
        <w:t>化而波动。债券投资及债券型基金投资面临由于市场利率上升而导致公允价值下降的风险，其中浮动利</w:t>
      </w:r>
      <w:r>
        <w:rPr>
          <w:spacing w:val="-21"/>
        </w:rPr>
        <w:t> </w:t>
      </w:r>
      <w:r>
        <w:rPr>
          <w:spacing w:val="-21"/>
        </w:rPr>
      </w:r>
      <w:r>
        <w:rPr/>
        <w:t>率类债券还面临每个付息期结束按市场利率重新定价而影响未来现金流量的风险。</w:t>
      </w:r>
    </w:p>
    <w:p>
      <w:pPr>
        <w:pStyle w:val="BodyText"/>
        <w:spacing w:line="240" w:lineRule="auto" w:before="7"/>
        <w:ind w:left="573" w:right="1114"/>
        <w:jc w:val="left"/>
      </w:pPr>
      <w:r>
        <w:rPr/>
        <w:t>本公司持续监控利率风险，依据最新的市场状况通过调整现行持仓等方式作出决策。</w:t>
      </w:r>
    </w:p>
    <w:p>
      <w:pPr>
        <w:spacing w:line="240" w:lineRule="auto" w:before="8"/>
        <w:rPr>
          <w:rFonts w:ascii="宋体" w:hAnsi="宋体" w:cs="宋体" w:eastAsia="宋体"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3701"/>
        <w:gridCol w:w="2835"/>
        <w:gridCol w:w="3094"/>
      </w:tblGrid>
      <w:tr>
        <w:trPr>
          <w:trHeight w:val="341" w:hRule="exact"/>
        </w:trPr>
        <w:tc>
          <w:tcPr>
            <w:tcW w:w="3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676" w:right="0"/>
              <w:jc w:val="left"/>
              <w:rPr>
                <w:rFonts w:ascii="宋体" w:hAnsi="宋体" w:cs="宋体" w:eastAsia="宋体" w:hint="default"/>
                <w:sz w:val="21"/>
                <w:szCs w:val="21"/>
              </w:rPr>
            </w:pPr>
            <w:r>
              <w:rPr>
                <w:rFonts w:ascii="宋体" w:hAnsi="宋体" w:cs="宋体" w:eastAsia="宋体" w:hint="default"/>
                <w:sz w:val="21"/>
                <w:szCs w:val="21"/>
              </w:rPr>
              <w:t>对净利润的影响</w:t>
            </w:r>
          </w:p>
        </w:tc>
        <w:tc>
          <w:tcPr>
            <w:tcW w:w="30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703" w:right="0"/>
              <w:jc w:val="left"/>
              <w:rPr>
                <w:rFonts w:ascii="宋体" w:hAnsi="宋体" w:cs="宋体" w:eastAsia="宋体" w:hint="default"/>
                <w:sz w:val="21"/>
                <w:szCs w:val="21"/>
              </w:rPr>
            </w:pPr>
            <w:r>
              <w:rPr>
                <w:rFonts w:ascii="宋体" w:hAnsi="宋体" w:cs="宋体" w:eastAsia="宋体" w:hint="default"/>
                <w:sz w:val="21"/>
                <w:szCs w:val="21"/>
              </w:rPr>
              <w:t>对股东权益的影响</w:t>
            </w:r>
          </w:p>
        </w:tc>
      </w:tr>
      <w:tr>
        <w:trPr>
          <w:trHeight w:val="343" w:hRule="exact"/>
        </w:trPr>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left"/>
              <w:rPr>
                <w:rFonts w:ascii="宋体" w:hAnsi="宋体" w:cs="宋体" w:eastAsia="宋体" w:hint="default"/>
                <w:sz w:val="21"/>
                <w:szCs w:val="21"/>
              </w:rPr>
            </w:pPr>
            <w:r>
              <w:rPr>
                <w:rFonts w:ascii="宋体" w:hAnsi="宋体" w:cs="宋体" w:eastAsia="宋体" w:hint="default"/>
                <w:sz w:val="21"/>
                <w:szCs w:val="21"/>
              </w:rPr>
              <w:t>市场利率提高</w:t>
            </w:r>
            <w:r>
              <w:rPr>
                <w:rFonts w:ascii="Times New Roman" w:hAnsi="Times New Roman" w:cs="Times New Roman" w:eastAsia="Times New Roman" w:hint="default"/>
                <w:sz w:val="21"/>
                <w:szCs w:val="21"/>
              </w:rPr>
              <w:t>100</w:t>
            </w:r>
            <w:r>
              <w:rPr>
                <w:rFonts w:ascii="宋体" w:hAnsi="宋体" w:cs="宋体" w:eastAsia="宋体" w:hint="default"/>
                <w:sz w:val="21"/>
                <w:szCs w:val="21"/>
              </w:rPr>
              <w:t>个基点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-5,206,643.60</w:t>
            </w:r>
          </w:p>
        </w:tc>
        <w:tc>
          <w:tcPr>
            <w:tcW w:w="30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left"/>
              <w:rPr>
                <w:rFonts w:ascii="宋体" w:hAnsi="宋体" w:cs="宋体" w:eastAsia="宋体" w:hint="default"/>
                <w:sz w:val="21"/>
                <w:szCs w:val="21"/>
              </w:rPr>
            </w:pPr>
            <w:r>
              <w:rPr>
                <w:rFonts w:ascii="宋体" w:hAnsi="宋体" w:cs="宋体" w:eastAsia="宋体" w:hint="default"/>
                <w:sz w:val="21"/>
                <w:szCs w:val="21"/>
              </w:rPr>
              <w:t>市场利率下降</w:t>
            </w:r>
            <w:r>
              <w:rPr>
                <w:rFonts w:ascii="Times New Roman" w:hAnsi="Times New Roman" w:cs="Times New Roman" w:eastAsia="Times New Roman" w:hint="default"/>
                <w:sz w:val="21"/>
                <w:szCs w:val="21"/>
              </w:rPr>
              <w:t>100</w:t>
            </w:r>
            <w:r>
              <w:rPr>
                <w:rFonts w:ascii="宋体" w:hAnsi="宋体" w:cs="宋体" w:eastAsia="宋体" w:hint="default"/>
                <w:sz w:val="21"/>
                <w:szCs w:val="21"/>
              </w:rPr>
              <w:t>个基点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5,206,643.60</w:t>
            </w:r>
          </w:p>
        </w:tc>
        <w:tc>
          <w:tcPr>
            <w:tcW w:w="30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3"/>
          <w:szCs w:val="23"/>
        </w:rPr>
      </w:pPr>
    </w:p>
    <w:tbl>
      <w:tblPr>
        <w:tblW w:w="0" w:type="auto"/>
        <w:jc w:val="left"/>
        <w:tblInd w:w="153" w:type="dxa"/>
        <w:tblLayout w:type="fixed"/>
        <w:tblCellMar>
          <w:top w:w="0" w:type="dxa"/>
          <w:left w:w="0" w:type="dxa"/>
          <w:bottom w:w="0" w:type="dxa"/>
          <w:right w:w="0" w:type="dxa"/>
        </w:tblCellMar>
        <w:tblLook w:val="01E0"/>
      </w:tblPr>
      <w:tblGrid>
        <w:gridCol w:w="3682"/>
        <w:gridCol w:w="2871"/>
        <w:gridCol w:w="3077"/>
      </w:tblGrid>
      <w:tr>
        <w:trPr>
          <w:trHeight w:val="343" w:hRule="exact"/>
        </w:trPr>
        <w:tc>
          <w:tcPr>
            <w:tcW w:w="36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年初</w:t>
            </w:r>
          </w:p>
        </w:tc>
        <w:tc>
          <w:tcPr>
            <w:tcW w:w="2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696" w:right="0"/>
              <w:jc w:val="left"/>
              <w:rPr>
                <w:rFonts w:ascii="宋体" w:hAnsi="宋体" w:cs="宋体" w:eastAsia="宋体" w:hint="default"/>
                <w:sz w:val="21"/>
                <w:szCs w:val="21"/>
              </w:rPr>
            </w:pPr>
            <w:r>
              <w:rPr>
                <w:rFonts w:ascii="宋体" w:hAnsi="宋体" w:cs="宋体" w:eastAsia="宋体" w:hint="default"/>
                <w:sz w:val="21"/>
                <w:szCs w:val="21"/>
              </w:rPr>
              <w:t>对净利润的影响</w:t>
            </w:r>
          </w:p>
        </w:tc>
        <w:tc>
          <w:tcPr>
            <w:tcW w:w="3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694" w:right="0"/>
              <w:jc w:val="left"/>
              <w:rPr>
                <w:rFonts w:ascii="宋体" w:hAnsi="宋体" w:cs="宋体" w:eastAsia="宋体" w:hint="default"/>
                <w:sz w:val="21"/>
                <w:szCs w:val="21"/>
              </w:rPr>
            </w:pPr>
            <w:r>
              <w:rPr>
                <w:rFonts w:ascii="宋体" w:hAnsi="宋体" w:cs="宋体" w:eastAsia="宋体" w:hint="default"/>
                <w:sz w:val="21"/>
                <w:szCs w:val="21"/>
              </w:rPr>
              <w:t>对股东权益的影响</w:t>
            </w:r>
          </w:p>
        </w:tc>
      </w:tr>
      <w:tr>
        <w:trPr>
          <w:trHeight w:val="341"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市场利率提高</w:t>
            </w:r>
            <w:r>
              <w:rPr>
                <w:rFonts w:ascii="Times New Roman" w:hAnsi="Times New Roman" w:cs="Times New Roman" w:eastAsia="Times New Roman" w:hint="default"/>
                <w:sz w:val="18"/>
                <w:szCs w:val="18"/>
              </w:rPr>
              <w:t>100</w:t>
            </w:r>
            <w:r>
              <w:rPr>
                <w:rFonts w:ascii="宋体" w:hAnsi="宋体" w:cs="宋体" w:eastAsia="宋体" w:hint="default"/>
                <w:sz w:val="18"/>
                <w:szCs w:val="18"/>
              </w:rPr>
              <w:t>个基点</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-22,967,095.00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市场利率下降</w:t>
            </w:r>
            <w:r>
              <w:rPr>
                <w:rFonts w:ascii="Times New Roman" w:hAnsi="Times New Roman" w:cs="Times New Roman" w:eastAsia="Times New Roman" w:hint="default"/>
                <w:sz w:val="18"/>
                <w:szCs w:val="18"/>
              </w:rPr>
              <w:t>100</w:t>
            </w:r>
            <w:r>
              <w:rPr>
                <w:rFonts w:ascii="宋体" w:hAnsi="宋体" w:cs="宋体" w:eastAsia="宋体" w:hint="default"/>
                <w:sz w:val="18"/>
                <w:szCs w:val="18"/>
              </w:rPr>
              <w:t>个基点</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22,967,095.00</w:t>
            </w:r>
          </w:p>
        </w:tc>
        <w:tc>
          <w:tcPr>
            <w:tcW w:w="3077"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78" w:lineRule="exact" w:before="0"/>
        <w:ind w:right="1114"/>
        <w:jc w:val="left"/>
        <w:rPr>
          <w:b w:val="0"/>
          <w:bCs w:val="0"/>
        </w:rPr>
      </w:pPr>
      <w:r>
        <w:rPr/>
        <w:t>（</w:t>
      </w:r>
      <w:r>
        <w:rPr>
          <w:rFonts w:ascii="Times New Roman" w:hAnsi="Times New Roman" w:cs="Times New Roman" w:eastAsia="Times New Roman" w:hint="default"/>
        </w:rPr>
        <w:t>3</w:t>
      </w:r>
      <w:r>
        <w:rPr/>
        <w:t>）价格风险</w:t>
      </w:r>
      <w:r>
        <w:rPr>
          <w:b w:val="0"/>
          <w:bCs w:val="0"/>
        </w:rPr>
      </w:r>
    </w:p>
    <w:p>
      <w:pPr>
        <w:pStyle w:val="BodyText"/>
        <w:spacing w:line="273" w:lineRule="auto" w:before="21"/>
        <w:ind w:right="1313" w:firstLine="420"/>
        <w:jc w:val="both"/>
      </w:pPr>
      <w:r>
        <w:rPr>
          <w:spacing w:val="-2"/>
        </w:rPr>
        <w:t>价格风险是指本公司所持金融工具的公允价值或未来现金流量因除市场利率和外汇汇率以外的市场</w:t>
      </w:r>
      <w:r>
        <w:rPr>
          <w:w w:val="100"/>
        </w:rPr>
        <w:t> </w:t>
      </w:r>
      <w:r>
        <w:rPr>
          <w:spacing w:val="-2"/>
        </w:rPr>
        <w:t>价格因素变动而发生波动的风险。本公司主要投资于证券交易所上市或银行间同业市场交易的股票和债</w:t>
      </w:r>
      <w:r>
        <w:rPr>
          <w:spacing w:val="-21"/>
        </w:rPr>
        <w:t> </w:t>
      </w:r>
      <w:r>
        <w:rPr>
          <w:spacing w:val="-21"/>
        </w:rPr>
      </w:r>
      <w:r>
        <w:rPr>
          <w:spacing w:val="-2"/>
        </w:rPr>
        <w:t>券，所面临的其他价格风险来源于单个证券发行主体自身经营情况或特殊事项的影响，也可能来源于证</w:t>
      </w:r>
      <w:r>
        <w:rPr>
          <w:spacing w:val="-21"/>
        </w:rPr>
        <w:t> </w:t>
      </w:r>
      <w:r>
        <w:rPr>
          <w:spacing w:val="-21"/>
        </w:rPr>
      </w:r>
      <w:r>
        <w:rPr/>
        <w:t>券市场整体波动的影响。</w:t>
      </w:r>
    </w:p>
    <w:p>
      <w:pPr>
        <w:pStyle w:val="BodyText"/>
        <w:spacing w:line="266" w:lineRule="auto" w:before="7"/>
        <w:ind w:right="1114" w:firstLine="420"/>
        <w:jc w:val="left"/>
      </w:pPr>
      <w:r>
        <w:rPr>
          <w:spacing w:val="-2"/>
        </w:rPr>
        <w:t>本公司的管理层在构建和管理投资组合的过程中，采用</w:t>
      </w:r>
      <w:r>
        <w:rPr>
          <w:rFonts w:ascii="Times New Roman" w:hAnsi="Times New Roman" w:cs="Times New Roman" w:eastAsia="Times New Roman" w:hint="default"/>
          <w:spacing w:val="-2"/>
        </w:rPr>
        <w:t>“</w:t>
      </w:r>
      <w:r>
        <w:rPr>
          <w:spacing w:val="-2"/>
        </w:rPr>
        <w:t>自上而下</w:t>
      </w:r>
      <w:r>
        <w:rPr>
          <w:rFonts w:ascii="Times New Roman" w:hAnsi="Times New Roman" w:cs="Times New Roman" w:eastAsia="Times New Roman" w:hint="default"/>
          <w:spacing w:val="-2"/>
        </w:rPr>
        <w:t>”</w:t>
      </w:r>
      <w:r>
        <w:rPr>
          <w:spacing w:val="-2"/>
        </w:rPr>
        <w:t>的策略，通过对宏观经济情况及政</w:t>
      </w:r>
      <w:r>
        <w:rPr>
          <w:w w:val="100"/>
        </w:rPr>
        <w:t> </w:t>
      </w:r>
      <w:r>
        <w:rPr/>
        <w:t>策的分析，结合证券市场运行情况，做出资产配置及组合构建的决定；通过对单个证券的定性分析及定</w:t>
      </w:r>
      <w:r>
        <w:rPr>
          <w:w w:val="100"/>
        </w:rPr>
        <w:t> </w:t>
      </w:r>
      <w:r>
        <w:rPr/>
        <w:t>量分析，选择适当的投资品种进行投资。本公司的管理层定期结合宏观及微观环境的变化，对投资策</w:t>
      </w:r>
      <w:r>
        <w:rPr>
          <w:w w:val="100"/>
        </w:rPr>
        <w:t> </w:t>
      </w:r>
      <w:r>
        <w:rPr/>
        <w:t>略、资产配置、投资组合进行修正，来主动应对可能发生的市场价格风险。</w:t>
      </w:r>
    </w:p>
    <w:p>
      <w:pPr>
        <w:pStyle w:val="BodyText"/>
        <w:spacing w:line="240" w:lineRule="auto" w:before="14"/>
        <w:ind w:left="573" w:right="1114"/>
        <w:jc w:val="left"/>
      </w:pPr>
      <w:r>
        <w:rPr/>
        <w:t>价格风险敞口</w:t>
      </w:r>
    </w:p>
    <w:p>
      <w:pPr>
        <w:spacing w:line="240" w:lineRule="auto" w:before="8"/>
        <w:rPr>
          <w:rFonts w:ascii="宋体" w:hAnsi="宋体" w:cs="宋体" w:eastAsia="宋体" w:hint="default"/>
          <w:sz w:val="27"/>
          <w:szCs w:val="27"/>
        </w:rPr>
      </w:pPr>
    </w:p>
    <w:tbl>
      <w:tblPr>
        <w:tblW w:w="0" w:type="auto"/>
        <w:jc w:val="left"/>
        <w:tblInd w:w="154" w:type="dxa"/>
        <w:tblLayout w:type="fixed"/>
        <w:tblCellMar>
          <w:top w:w="0" w:type="dxa"/>
          <w:left w:w="0" w:type="dxa"/>
          <w:bottom w:w="0" w:type="dxa"/>
          <w:right w:w="0" w:type="dxa"/>
        </w:tblCellMar>
        <w:tblLook w:val="01E0"/>
      </w:tblPr>
      <w:tblGrid>
        <w:gridCol w:w="2404"/>
        <w:gridCol w:w="1560"/>
        <w:gridCol w:w="1844"/>
        <w:gridCol w:w="1983"/>
        <w:gridCol w:w="1838"/>
      </w:tblGrid>
      <w:tr>
        <w:trPr>
          <w:trHeight w:val="331" w:hRule="exact"/>
        </w:trPr>
        <w:tc>
          <w:tcPr>
            <w:tcW w:w="2404" w:type="dxa"/>
            <w:vMerge w:val="restart"/>
            <w:tcBorders>
              <w:top w:val="single" w:sz="4" w:space="0" w:color="000000"/>
              <w:left w:val="single" w:sz="4" w:space="0" w:color="000000"/>
              <w:right w:val="single" w:sz="4" w:space="0" w:color="000000"/>
            </w:tcBorders>
            <w:shd w:val="clear" w:color="auto" w:fill="D9D9D9"/>
          </w:tcPr>
          <w:p>
            <w:pPr/>
          </w:p>
        </w:tc>
        <w:tc>
          <w:tcPr>
            <w:tcW w:w="340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3" w:hRule="exact"/>
        </w:trPr>
        <w:tc>
          <w:tcPr>
            <w:tcW w:w="2404" w:type="dxa"/>
            <w:vMerge/>
            <w:tcBorders>
              <w:left w:val="single" w:sz="4" w:space="0" w:color="000000"/>
              <w:bottom w:val="single" w:sz="4" w:space="0" w:color="000000"/>
              <w:right w:val="single" w:sz="4" w:space="0" w:color="000000"/>
            </w:tcBorders>
            <w:shd w:val="clear" w:color="auto" w:fill="D9D9D9"/>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17"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占净资产的比例</w:t>
            </w:r>
            <w:r>
              <w:rPr>
                <w:rFonts w:ascii="Times New Roman" w:hAnsi="Times New Roman" w:cs="Times New Roman" w:eastAsia="Times New Roman" w:hint="default"/>
                <w:sz w:val="18"/>
                <w:szCs w:val="18"/>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28"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占净资产的比例</w:t>
            </w:r>
            <w:r>
              <w:rPr>
                <w:rFonts w:ascii="Times New Roman" w:hAnsi="Times New Roman" w:cs="Times New Roman" w:eastAsia="Times New Roman" w:hint="default"/>
                <w:sz w:val="18"/>
                <w:szCs w:val="18"/>
              </w:rPr>
              <w:t>(%)</w:t>
            </w:r>
          </w:p>
        </w:tc>
      </w:tr>
      <w:tr>
        <w:trPr>
          <w:trHeight w:val="343" w:hRule="exact"/>
        </w:trPr>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股票投资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44,149,791.60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0.28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935" w:right="0"/>
              <w:jc w:val="left"/>
              <w:rPr>
                <w:rFonts w:ascii="Times New Roman" w:hAnsi="Times New Roman" w:cs="Times New Roman" w:eastAsia="Times New Roman" w:hint="default"/>
                <w:sz w:val="18"/>
                <w:szCs w:val="18"/>
              </w:rPr>
            </w:pPr>
            <w:r>
              <w:rPr>
                <w:rFonts w:ascii="Times New Roman"/>
                <w:sz w:val="18"/>
              </w:rPr>
              <w:t>39,026,659.00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0.27</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2405"/>
        <w:gridCol w:w="1560"/>
        <w:gridCol w:w="1844"/>
        <w:gridCol w:w="1983"/>
        <w:gridCol w:w="1838"/>
      </w:tblGrid>
      <w:tr>
        <w:trPr>
          <w:trHeight w:val="34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基金投资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2,141,979,419.00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13.65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33,687,323.30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0.23</w:t>
            </w:r>
          </w:p>
        </w:tc>
      </w:tr>
      <w:tr>
        <w:trPr>
          <w:trHeight w:val="34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固定收益类证券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3,376,653,439.95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21.51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2,596,110,838.23</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17.68</w:t>
            </w:r>
          </w:p>
        </w:tc>
      </w:tr>
      <w:tr>
        <w:trPr>
          <w:trHeight w:val="655"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134"/>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集合资产 管理计划投资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8,151,982.93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0.05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8,488,086.30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0.06</w:t>
            </w:r>
          </w:p>
        </w:tc>
      </w:tr>
    </w:tbl>
    <w:p>
      <w:pPr>
        <w:spacing w:line="240" w:lineRule="auto" w:before="2"/>
        <w:rPr>
          <w:rFonts w:ascii="宋体" w:hAnsi="宋体" w:cs="宋体" w:eastAsia="宋体" w:hint="default"/>
          <w:sz w:val="20"/>
          <w:szCs w:val="20"/>
        </w:rPr>
      </w:pPr>
    </w:p>
    <w:p>
      <w:pPr>
        <w:pStyle w:val="BodyText"/>
        <w:spacing w:line="273" w:lineRule="auto" w:before="36"/>
        <w:ind w:right="1114"/>
        <w:jc w:val="left"/>
      </w:pPr>
      <w:r>
        <w:rPr/>
        <w:t>价格风险的敏感性分析</w:t>
      </w:r>
      <w:r>
        <w:rPr>
          <w:w w:val="100"/>
        </w:rPr>
        <w:t> </w:t>
      </w:r>
      <w:r>
        <w:rPr>
          <w:spacing w:val="-2"/>
        </w:rPr>
        <w:t>市场价格的波动主要影响本公司持有的以公允价值计量的权益投资。于资产负债表日，当所有其他变量</w:t>
      </w:r>
      <w:r>
        <w:rPr>
          <w:spacing w:val="-21"/>
        </w:rPr>
        <w:t> </w:t>
      </w:r>
      <w:r>
        <w:rPr>
          <w:spacing w:val="-21"/>
        </w:rPr>
      </w:r>
      <w:r>
        <w:rPr/>
        <w:t>保持不变，如果市场价格提高或降低</w:t>
      </w:r>
      <w:r>
        <w:rPr>
          <w:rFonts w:ascii="Times New Roman" w:hAnsi="Times New Roman" w:cs="Times New Roman" w:eastAsia="Times New Roman" w:hint="default"/>
        </w:rPr>
        <w:t>10%</w:t>
      </w:r>
      <w:r>
        <w:rPr/>
        <w:t>，将对本公司该年度净利润和股东权益产生的影响如下：</w:t>
      </w:r>
    </w:p>
    <w:p>
      <w:pPr>
        <w:spacing w:line="240" w:lineRule="auto" w:before="12"/>
        <w:rPr>
          <w:rFonts w:ascii="宋体" w:hAnsi="宋体" w:cs="宋体" w:eastAsia="宋体" w:hint="default"/>
          <w:sz w:val="23"/>
          <w:szCs w:val="23"/>
        </w:rPr>
      </w:pPr>
    </w:p>
    <w:tbl>
      <w:tblPr>
        <w:tblW w:w="0" w:type="auto"/>
        <w:jc w:val="left"/>
        <w:tblInd w:w="153" w:type="dxa"/>
        <w:tblLayout w:type="fixed"/>
        <w:tblCellMar>
          <w:top w:w="0" w:type="dxa"/>
          <w:left w:w="0" w:type="dxa"/>
          <w:bottom w:w="0" w:type="dxa"/>
          <w:right w:w="0" w:type="dxa"/>
        </w:tblCellMar>
        <w:tblLook w:val="01E0"/>
      </w:tblPr>
      <w:tblGrid>
        <w:gridCol w:w="3656"/>
        <w:gridCol w:w="2856"/>
        <w:gridCol w:w="3118"/>
      </w:tblGrid>
      <w:tr>
        <w:trPr>
          <w:trHeight w:val="331" w:hRule="exact"/>
        </w:trPr>
        <w:tc>
          <w:tcPr>
            <w:tcW w:w="36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28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686" w:right="0"/>
              <w:jc w:val="left"/>
              <w:rPr>
                <w:rFonts w:ascii="宋体" w:hAnsi="宋体" w:cs="宋体" w:eastAsia="宋体" w:hint="default"/>
                <w:sz w:val="21"/>
                <w:szCs w:val="21"/>
              </w:rPr>
            </w:pPr>
            <w:r>
              <w:rPr>
                <w:rFonts w:ascii="宋体" w:hAnsi="宋体" w:cs="宋体" w:eastAsia="宋体" w:hint="default"/>
                <w:sz w:val="21"/>
                <w:szCs w:val="21"/>
              </w:rPr>
              <w:t>对净利润的影响</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713" w:right="0"/>
              <w:jc w:val="left"/>
              <w:rPr>
                <w:rFonts w:ascii="宋体" w:hAnsi="宋体" w:cs="宋体" w:eastAsia="宋体" w:hint="default"/>
                <w:sz w:val="21"/>
                <w:szCs w:val="21"/>
              </w:rPr>
            </w:pPr>
            <w:r>
              <w:rPr>
                <w:rFonts w:ascii="宋体" w:hAnsi="宋体" w:cs="宋体" w:eastAsia="宋体" w:hint="default"/>
                <w:sz w:val="21"/>
                <w:szCs w:val="21"/>
              </w:rPr>
              <w:t>对股东权益的影响</w:t>
            </w:r>
          </w:p>
        </w:tc>
      </w:tr>
      <w:tr>
        <w:trPr>
          <w:trHeight w:val="353"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市场价格提高</w:t>
            </w:r>
            <w:r>
              <w:rPr>
                <w:rFonts w:ascii="Times New Roman" w:hAnsi="Times New Roman" w:cs="Times New Roman" w:eastAsia="Times New Roman" w:hint="default"/>
                <w:sz w:val="18"/>
                <w:szCs w:val="18"/>
              </w:rPr>
              <w:t>10%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
              <w:jc w:val="right"/>
              <w:rPr>
                <w:rFonts w:ascii="Times New Roman" w:hAnsi="Times New Roman" w:cs="Times New Roman" w:eastAsia="Times New Roman" w:hint="default"/>
                <w:sz w:val="18"/>
                <w:szCs w:val="18"/>
              </w:rPr>
            </w:pPr>
            <w:r>
              <w:rPr>
                <w:rFonts w:ascii="Times New Roman"/>
                <w:spacing w:val="-1"/>
                <w:sz w:val="18"/>
              </w:rPr>
              <w:t>556,278,265.06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
              <w:jc w:val="right"/>
              <w:rPr>
                <w:rFonts w:ascii="Times New Roman" w:hAnsi="Times New Roman" w:cs="Times New Roman" w:eastAsia="Times New Roman" w:hint="default"/>
                <w:sz w:val="18"/>
                <w:szCs w:val="18"/>
              </w:rPr>
            </w:pPr>
            <w:r>
              <w:rPr>
                <w:rFonts w:ascii="Times New Roman"/>
                <w:spacing w:val="-1"/>
                <w:sz w:val="18"/>
              </w:rPr>
              <w:t>815,198.29</w:t>
            </w:r>
          </w:p>
        </w:tc>
      </w:tr>
      <w:tr>
        <w:trPr>
          <w:trHeight w:val="341"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市场价格下降</w:t>
            </w:r>
            <w:r>
              <w:rPr>
                <w:rFonts w:ascii="Times New Roman" w:hAnsi="Times New Roman" w:cs="Times New Roman" w:eastAsia="Times New Roman" w:hint="default"/>
                <w:sz w:val="18"/>
                <w:szCs w:val="18"/>
              </w:rPr>
              <w:t>10%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-556,278,265.06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-815,198.29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tbl>
      <w:tblPr>
        <w:tblW w:w="0" w:type="auto"/>
        <w:jc w:val="left"/>
        <w:tblInd w:w="153" w:type="dxa"/>
        <w:tblLayout w:type="fixed"/>
        <w:tblCellMar>
          <w:top w:w="0" w:type="dxa"/>
          <w:left w:w="0" w:type="dxa"/>
          <w:bottom w:w="0" w:type="dxa"/>
          <w:right w:w="0" w:type="dxa"/>
        </w:tblCellMar>
        <w:tblLook w:val="01E0"/>
      </w:tblPr>
      <w:tblGrid>
        <w:gridCol w:w="3675"/>
        <w:gridCol w:w="2861"/>
        <w:gridCol w:w="3094"/>
      </w:tblGrid>
      <w:tr>
        <w:trPr>
          <w:trHeight w:val="323" w:hRule="exact"/>
        </w:trPr>
        <w:tc>
          <w:tcPr>
            <w:tcW w:w="36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1" w:right="0"/>
              <w:jc w:val="center"/>
              <w:rPr>
                <w:rFonts w:ascii="宋体" w:hAnsi="宋体" w:cs="宋体" w:eastAsia="宋体" w:hint="default"/>
                <w:sz w:val="21"/>
                <w:szCs w:val="21"/>
              </w:rPr>
            </w:pPr>
            <w:r>
              <w:rPr>
                <w:rFonts w:ascii="宋体" w:hAnsi="宋体" w:cs="宋体" w:eastAsia="宋体" w:hint="default"/>
                <w:sz w:val="21"/>
                <w:szCs w:val="21"/>
              </w:rPr>
              <w:t>年初</w:t>
            </w:r>
          </w:p>
        </w:tc>
        <w:tc>
          <w:tcPr>
            <w:tcW w:w="28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688" w:right="0"/>
              <w:jc w:val="left"/>
              <w:rPr>
                <w:rFonts w:ascii="宋体" w:hAnsi="宋体" w:cs="宋体" w:eastAsia="宋体" w:hint="default"/>
                <w:sz w:val="21"/>
                <w:szCs w:val="21"/>
              </w:rPr>
            </w:pPr>
            <w:r>
              <w:rPr>
                <w:rFonts w:ascii="宋体" w:hAnsi="宋体" w:cs="宋体" w:eastAsia="宋体" w:hint="default"/>
                <w:sz w:val="21"/>
                <w:szCs w:val="21"/>
              </w:rPr>
              <w:t>对净利润的影响</w:t>
            </w:r>
          </w:p>
        </w:tc>
        <w:tc>
          <w:tcPr>
            <w:tcW w:w="30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701" w:right="0"/>
              <w:jc w:val="left"/>
              <w:rPr>
                <w:rFonts w:ascii="宋体" w:hAnsi="宋体" w:cs="宋体" w:eastAsia="宋体" w:hint="default"/>
                <w:sz w:val="21"/>
                <w:szCs w:val="21"/>
              </w:rPr>
            </w:pPr>
            <w:r>
              <w:rPr>
                <w:rFonts w:ascii="宋体" w:hAnsi="宋体" w:cs="宋体" w:eastAsia="宋体" w:hint="default"/>
                <w:sz w:val="21"/>
                <w:szCs w:val="21"/>
              </w:rPr>
              <w:t>对股东权益的影响</w:t>
            </w:r>
          </w:p>
        </w:tc>
      </w:tr>
      <w:tr>
        <w:trPr>
          <w:trHeight w:val="350" w:hRule="exact"/>
        </w:trPr>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市场价格提高</w:t>
            </w:r>
            <w:r>
              <w:rPr>
                <w:rFonts w:ascii="Times New Roman" w:hAnsi="Times New Roman" w:cs="Times New Roman" w:eastAsia="Times New Roman" w:hint="default"/>
                <w:sz w:val="18"/>
                <w:szCs w:val="18"/>
              </w:rPr>
              <w:t>10%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
              <w:jc w:val="right"/>
              <w:rPr>
                <w:rFonts w:ascii="Times New Roman" w:hAnsi="Times New Roman" w:cs="Times New Roman" w:eastAsia="Times New Roman" w:hint="default"/>
                <w:sz w:val="18"/>
                <w:szCs w:val="18"/>
              </w:rPr>
            </w:pPr>
            <w:r>
              <w:rPr>
                <w:rFonts w:ascii="Times New Roman"/>
                <w:spacing w:val="-1"/>
                <w:sz w:val="18"/>
              </w:rPr>
              <w:t>266,882,482.05</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
              <w:jc w:val="right"/>
              <w:rPr>
                <w:rFonts w:ascii="Times New Roman" w:hAnsi="Times New Roman" w:cs="Times New Roman" w:eastAsia="Times New Roman" w:hint="default"/>
                <w:sz w:val="18"/>
                <w:szCs w:val="18"/>
              </w:rPr>
            </w:pPr>
            <w:r>
              <w:rPr>
                <w:rFonts w:ascii="Times New Roman"/>
                <w:spacing w:val="-1"/>
                <w:sz w:val="18"/>
              </w:rPr>
              <w:t>848,808.63</w:t>
            </w:r>
          </w:p>
        </w:tc>
      </w:tr>
      <w:tr>
        <w:trPr>
          <w:trHeight w:val="343" w:hRule="exact"/>
        </w:trPr>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市场价格下降</w:t>
            </w:r>
            <w:r>
              <w:rPr>
                <w:rFonts w:ascii="Times New Roman" w:hAnsi="Times New Roman" w:cs="Times New Roman" w:eastAsia="Times New Roman" w:hint="default"/>
                <w:sz w:val="18"/>
                <w:szCs w:val="18"/>
              </w:rPr>
              <w:t>10%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-266,882,482.05</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-848,808.63</w:t>
            </w:r>
          </w:p>
        </w:tc>
      </w:tr>
    </w:tbl>
    <w:p>
      <w:pPr>
        <w:pStyle w:val="BodyText"/>
        <w:spacing w:line="262" w:lineRule="exact"/>
        <w:ind w:right="1114"/>
        <w:jc w:val="left"/>
      </w:pPr>
      <w:r>
        <w:rPr/>
        <w:t>除市场利率和外汇汇率以外的市场价格因素的变动对于本公司净资产无重大影响。</w:t>
      </w:r>
    </w:p>
    <w:p>
      <w:pPr>
        <w:spacing w:line="240" w:lineRule="auto" w:before="9"/>
        <w:rPr>
          <w:rFonts w:ascii="宋体" w:hAnsi="宋体" w:cs="宋体" w:eastAsia="宋体" w:hint="default"/>
          <w:sz w:val="26"/>
          <w:szCs w:val="26"/>
        </w:rPr>
      </w:pPr>
    </w:p>
    <w:p>
      <w:pPr>
        <w:pStyle w:val="Heading5"/>
        <w:spacing w:line="240" w:lineRule="auto" w:before="0"/>
        <w:ind w:right="1114"/>
        <w:jc w:val="left"/>
        <w:rPr>
          <w:b w:val="0"/>
          <w:bCs w:val="0"/>
        </w:rPr>
      </w:pPr>
      <w:r>
        <w:rPr>
          <w:rFonts w:ascii="Times New Roman" w:hAnsi="Times New Roman" w:cs="Times New Roman" w:eastAsia="Times New Roman" w:hint="default"/>
        </w:rPr>
        <w:t>3</w:t>
      </w:r>
      <w:r>
        <w:rPr/>
        <w:t>、流动性风险</w:t>
      </w:r>
      <w:r>
        <w:rPr>
          <w:b w:val="0"/>
          <w:bCs w:val="0"/>
        </w:rPr>
      </w:r>
    </w:p>
    <w:p>
      <w:pPr>
        <w:pStyle w:val="BodyText"/>
        <w:spacing w:line="273" w:lineRule="auto" w:before="21"/>
        <w:ind w:right="1313" w:firstLine="420"/>
        <w:jc w:val="both"/>
      </w:pPr>
      <w:r>
        <w:rPr>
          <w:spacing w:val="-2"/>
        </w:rPr>
        <w:t>流动性风险一般是指在履行与金融负债有关的义务时遇到资金短缺的风险。而流动性是指资产在不</w:t>
      </w:r>
      <w:r>
        <w:rPr>
          <w:w w:val="100"/>
        </w:rPr>
        <w:t> </w:t>
      </w:r>
      <w:r>
        <w:rPr>
          <w:spacing w:val="-2"/>
        </w:rPr>
        <w:t>受价值损失的条件下是否具有迅速变现的能力，资金的流动性影响到本公司偿还到期债务的能力。由于</w:t>
      </w:r>
      <w:r>
        <w:rPr>
          <w:spacing w:val="-21"/>
        </w:rPr>
        <w:t> </w:t>
      </w:r>
      <w:r>
        <w:rPr>
          <w:spacing w:val="-21"/>
        </w:rPr>
      </w:r>
      <w:r>
        <w:rPr>
          <w:spacing w:val="-2"/>
        </w:rPr>
        <w:t>本公司的流动资产绝大部分为现金及银行存款，因此具有能于到期日应付可预见的融资承诺或资金被客</w:t>
      </w:r>
      <w:r>
        <w:rPr>
          <w:spacing w:val="-21"/>
        </w:rPr>
        <w:t> </w:t>
      </w:r>
      <w:r>
        <w:rPr>
          <w:spacing w:val="-21"/>
        </w:rPr>
      </w:r>
      <w:r>
        <w:rPr/>
        <w:t>户提取的需求。</w:t>
      </w:r>
    </w:p>
    <w:p>
      <w:pPr>
        <w:pStyle w:val="BodyText"/>
        <w:spacing w:line="273" w:lineRule="auto" w:before="7"/>
        <w:ind w:right="1313" w:firstLine="420"/>
        <w:jc w:val="both"/>
      </w:pPr>
      <w:r>
        <w:rPr>
          <w:spacing w:val="-2"/>
        </w:rPr>
        <w:t>本公司内各子公司负责其自身的现金流量预测。总部财务部门在汇总各子公司现金流量预测的基础</w:t>
      </w:r>
      <w:r>
        <w:rPr>
          <w:w w:val="100"/>
        </w:rPr>
        <w:t> </w:t>
      </w:r>
      <w:r>
        <w:rPr>
          <w:spacing w:val="-2"/>
        </w:rPr>
        <w:t>上，持续监控短期和长期的资金需求，以确保维持充裕的现金储备和可供随时变现的有价证券，以满足</w:t>
      </w:r>
      <w:r>
        <w:rPr>
          <w:spacing w:val="-21"/>
        </w:rPr>
        <w:t> </w:t>
      </w:r>
      <w:r>
        <w:rPr>
          <w:spacing w:val="-21"/>
        </w:rPr>
      </w:r>
      <w:r>
        <w:rPr/>
        <w:t>日常营运以及偿付有关到期债务的资金需求。</w:t>
      </w:r>
    </w:p>
    <w:p>
      <w:pPr>
        <w:pStyle w:val="BodyText"/>
        <w:spacing w:line="240" w:lineRule="auto" w:before="7"/>
        <w:ind w:left="573" w:right="1114"/>
        <w:jc w:val="left"/>
      </w:pPr>
      <w:r>
        <w:rPr/>
        <w:t>于资产负债表日，本公司各项金融负债以未折现的合同现金流量按到期日列示如下：</w:t>
      </w:r>
    </w:p>
    <w:p>
      <w:pPr>
        <w:spacing w:line="240" w:lineRule="auto" w:before="10"/>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1598"/>
        <w:gridCol w:w="1220"/>
        <w:gridCol w:w="1020"/>
        <w:gridCol w:w="1157"/>
        <w:gridCol w:w="1308"/>
        <w:gridCol w:w="1306"/>
        <w:gridCol w:w="694"/>
        <w:gridCol w:w="1327"/>
      </w:tblGrid>
      <w:tr>
        <w:trPr>
          <w:trHeight w:val="341" w:hRule="exact"/>
        </w:trPr>
        <w:tc>
          <w:tcPr>
            <w:tcW w:w="159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032"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3" w:hRule="exact"/>
        </w:trPr>
        <w:tc>
          <w:tcPr>
            <w:tcW w:w="1598" w:type="dxa"/>
            <w:vMerge/>
            <w:tcBorders>
              <w:left w:val="single" w:sz="4" w:space="0" w:color="000000"/>
              <w:bottom w:val="single" w:sz="4" w:space="0" w:color="000000"/>
              <w:right w:val="single" w:sz="4" w:space="0" w:color="000000"/>
            </w:tcBorders>
            <w:shd w:val="clear" w:color="auto" w:fill="D9D9D9"/>
          </w:tcPr>
          <w:p>
            <w:pPr/>
          </w:p>
        </w:tc>
        <w:tc>
          <w:tcPr>
            <w:tcW w:w="1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即时偿还</w:t>
            </w:r>
          </w:p>
        </w:tc>
        <w:tc>
          <w:tcPr>
            <w:tcW w:w="10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个月内</w:t>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3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金融负债</w:t>
            </w:r>
          </w:p>
        </w:tc>
        <w:tc>
          <w:tcPr>
            <w:tcW w:w="12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2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6"/>
                <w:szCs w:val="16"/>
              </w:rPr>
            </w:pPr>
            <w:r>
              <w:rPr>
                <w:rFonts w:ascii="Times New Roman"/>
                <w:spacing w:val="-1"/>
                <w:sz w:val="16"/>
              </w:rPr>
              <w:t>213,057,069.31</w:t>
            </w:r>
          </w:p>
        </w:tc>
        <w:tc>
          <w:tcPr>
            <w:tcW w:w="130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1"/>
                <w:sz w:val="16"/>
              </w:rPr>
              <w:t>213,057,069.31</w:t>
            </w:r>
          </w:p>
        </w:tc>
      </w:tr>
      <w:tr>
        <w:trPr>
          <w:trHeight w:val="34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 w:right="0"/>
              <w:jc w:val="left"/>
              <w:rPr>
                <w:rFonts w:ascii="宋体" w:hAnsi="宋体" w:cs="宋体" w:eastAsia="宋体" w:hint="default"/>
                <w:sz w:val="16"/>
                <w:szCs w:val="16"/>
              </w:rPr>
            </w:pPr>
            <w:r>
              <w:rPr>
                <w:rFonts w:ascii="宋体" w:hAnsi="宋体" w:cs="宋体" w:eastAsia="宋体" w:hint="default"/>
                <w:sz w:val="16"/>
                <w:szCs w:val="16"/>
              </w:rPr>
              <w:t>卖出回购金融资产</w:t>
            </w:r>
          </w:p>
        </w:tc>
        <w:tc>
          <w:tcPr>
            <w:tcW w:w="12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2"/>
                <w:sz w:val="16"/>
              </w:rPr>
              <w:t>85,985,126.50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2"/>
                <w:sz w:val="16"/>
              </w:rPr>
              <w:t>85,985,126.50</w:t>
            </w:r>
          </w:p>
        </w:tc>
      </w:tr>
      <w:tr>
        <w:trPr>
          <w:trHeight w:val="34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left"/>
              <w:rPr>
                <w:rFonts w:ascii="宋体" w:hAnsi="宋体" w:cs="宋体" w:eastAsia="宋体" w:hint="default"/>
                <w:sz w:val="16"/>
                <w:szCs w:val="16"/>
              </w:rPr>
            </w:pPr>
            <w:r>
              <w:rPr>
                <w:rFonts w:ascii="宋体" w:hAnsi="宋体" w:cs="宋体" w:eastAsia="宋体" w:hint="default"/>
                <w:sz w:val="16"/>
                <w:szCs w:val="16"/>
              </w:rPr>
              <w:t>代理买卖证券款</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pacing w:val="-2"/>
                <w:sz w:val="16"/>
              </w:rPr>
              <w:t>14,293,180,675.18</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2"/>
                <w:sz w:val="16"/>
              </w:rPr>
              <w:t>14,293,180,675.18</w:t>
            </w:r>
          </w:p>
        </w:tc>
      </w:tr>
      <w:tr>
        <w:trPr>
          <w:trHeight w:val="34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应付利息</w:t>
            </w:r>
          </w:p>
        </w:tc>
        <w:tc>
          <w:tcPr>
            <w:tcW w:w="12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8,574,021.38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8,129,276.12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spacing w:val="-2"/>
                <w:sz w:val="16"/>
              </w:rPr>
              <w:t>18,461,926.64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spacing w:val="-2"/>
                <w:sz w:val="16"/>
              </w:rPr>
              <w:t>18,986,301.37</w:t>
            </w:r>
          </w:p>
        </w:tc>
        <w:tc>
          <w:tcPr>
            <w:tcW w:w="69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2"/>
                <w:sz w:val="16"/>
              </w:rPr>
              <w:t>54,151,525.51</w:t>
            </w:r>
          </w:p>
        </w:tc>
      </w:tr>
      <w:tr>
        <w:trPr>
          <w:trHeight w:val="34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left"/>
              <w:rPr>
                <w:rFonts w:ascii="宋体" w:hAnsi="宋体" w:cs="宋体" w:eastAsia="宋体" w:hint="default"/>
                <w:sz w:val="16"/>
                <w:szCs w:val="16"/>
              </w:rPr>
            </w:pPr>
            <w:r>
              <w:rPr>
                <w:rFonts w:ascii="宋体" w:hAnsi="宋体" w:cs="宋体" w:eastAsia="宋体" w:hint="default"/>
                <w:sz w:val="16"/>
                <w:szCs w:val="16"/>
              </w:rPr>
              <w:t>应付款项</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Times New Roman" w:hAnsi="Times New Roman" w:cs="Times New Roman" w:eastAsia="Times New Roman" w:hint="default"/>
                <w:sz w:val="16"/>
                <w:szCs w:val="16"/>
              </w:rPr>
            </w:pPr>
            <w:r>
              <w:rPr>
                <w:rFonts w:ascii="Times New Roman"/>
                <w:spacing w:val="-1"/>
                <w:sz w:val="16"/>
              </w:rPr>
              <w:t>1,701,861,622.79</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1"/>
                <w:sz w:val="16"/>
              </w:rPr>
              <w:t>1,701,861,622.79</w:t>
            </w:r>
          </w:p>
        </w:tc>
      </w:tr>
      <w:tr>
        <w:trPr>
          <w:trHeight w:val="65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36"/>
              <w:ind w:left="7" w:right="45"/>
              <w:jc w:val="left"/>
              <w:rPr>
                <w:rFonts w:ascii="宋体" w:hAnsi="宋体" w:cs="宋体" w:eastAsia="宋体" w:hint="default"/>
                <w:sz w:val="16"/>
                <w:szCs w:val="16"/>
              </w:rPr>
            </w:pPr>
            <w:r>
              <w:rPr>
                <w:rFonts w:ascii="宋体" w:hAnsi="宋体" w:cs="宋体" w:eastAsia="宋体" w:hint="default"/>
                <w:sz w:val="16"/>
                <w:szCs w:val="16"/>
              </w:rPr>
              <w:t>其他金融负债（</w:t>
            </w:r>
            <w:r>
              <w:rPr>
                <w:rFonts w:ascii="Times New Roman" w:hAnsi="Times New Roman" w:cs="Times New Roman" w:eastAsia="Times New Roman" w:hint="default"/>
                <w:sz w:val="16"/>
                <w:szCs w:val="16"/>
              </w:rPr>
              <w:t>=</w:t>
            </w:r>
            <w:r>
              <w:rPr>
                <w:rFonts w:ascii="宋体" w:hAnsi="宋体" w:cs="宋体" w:eastAsia="宋体" w:hint="default"/>
                <w:sz w:val="16"/>
                <w:szCs w:val="16"/>
              </w:rPr>
              <w:t>衍生</w:t>
            </w:r>
            <w:r>
              <w:rPr>
                <w:rFonts w:ascii="宋体" w:hAnsi="宋体" w:cs="宋体" w:eastAsia="宋体" w:hint="default"/>
                <w:w w:val="100"/>
                <w:sz w:val="16"/>
                <w:szCs w:val="16"/>
              </w:rPr>
              <w:t> </w:t>
            </w:r>
            <w:r>
              <w:rPr>
                <w:rFonts w:ascii="宋体" w:hAnsi="宋体" w:cs="宋体" w:eastAsia="宋体" w:hint="default"/>
                <w:sz w:val="16"/>
                <w:szCs w:val="16"/>
              </w:rPr>
              <w:t>金融负债</w:t>
            </w:r>
            <w:r>
              <w:rPr>
                <w:rFonts w:ascii="Times New Roman" w:hAnsi="Times New Roman" w:cs="Times New Roman" w:eastAsia="Times New Roman" w:hint="default"/>
                <w:sz w:val="16"/>
                <w:szCs w:val="16"/>
              </w:rPr>
              <w:t>+</w:t>
            </w:r>
            <w:r>
              <w:rPr>
                <w:rFonts w:ascii="宋体" w:hAnsi="宋体" w:cs="宋体" w:eastAsia="宋体" w:hint="default"/>
                <w:sz w:val="16"/>
                <w:szCs w:val="16"/>
              </w:rPr>
              <w:t>应付债券）</w:t>
            </w:r>
          </w:p>
        </w:tc>
        <w:tc>
          <w:tcPr>
            <w:tcW w:w="12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596,477,000.00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790,740,000.00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spacing w:val="-1"/>
                <w:sz w:val="16"/>
              </w:rPr>
              <w:t>1,136,207,591.47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spacing w:val="-1"/>
                <w:sz w:val="16"/>
              </w:rPr>
              <w:t>5,848,410,400.00</w:t>
            </w:r>
          </w:p>
        </w:tc>
        <w:tc>
          <w:tcPr>
            <w:tcW w:w="69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8,371,834,991.47</w:t>
            </w:r>
          </w:p>
        </w:tc>
      </w:tr>
      <w:tr>
        <w:trPr>
          <w:trHeight w:val="34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left"/>
              <w:rPr>
                <w:rFonts w:ascii="宋体" w:hAnsi="宋体" w:cs="宋体" w:eastAsia="宋体" w:hint="default"/>
                <w:sz w:val="16"/>
                <w:szCs w:val="16"/>
              </w:rPr>
            </w:pPr>
            <w:r>
              <w:rPr>
                <w:rFonts w:ascii="宋体" w:hAnsi="宋体" w:cs="宋体" w:eastAsia="宋体" w:hint="default"/>
                <w:sz w:val="16"/>
                <w:szCs w:val="16"/>
              </w:rPr>
              <w:t>金融负债合计</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pacing w:val="-2"/>
                <w:sz w:val="16"/>
              </w:rPr>
              <w:t>15,995,042,297.97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1"/>
                <w:sz w:val="16"/>
              </w:rPr>
              <w:t>691,036,147.88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1"/>
                <w:sz w:val="16"/>
              </w:rPr>
              <w:t>798,869,276.12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6"/>
                <w:szCs w:val="16"/>
              </w:rPr>
            </w:pPr>
            <w:r>
              <w:rPr>
                <w:rFonts w:ascii="Times New Roman"/>
                <w:spacing w:val="-1"/>
                <w:sz w:val="16"/>
              </w:rPr>
              <w:t>1,367,726,587.42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right"/>
              <w:rPr>
                <w:rFonts w:ascii="Times New Roman" w:hAnsi="Times New Roman" w:cs="Times New Roman" w:eastAsia="Times New Roman" w:hint="default"/>
                <w:sz w:val="16"/>
                <w:szCs w:val="16"/>
              </w:rPr>
            </w:pPr>
            <w:r>
              <w:rPr>
                <w:rFonts w:ascii="Times New Roman"/>
                <w:spacing w:val="-1"/>
                <w:sz w:val="16"/>
              </w:rPr>
              <w:t>5,867,396,701.37</w:t>
            </w:r>
          </w:p>
        </w:tc>
        <w:tc>
          <w:tcPr>
            <w:tcW w:w="69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2"/>
                <w:sz w:val="16"/>
              </w:rPr>
              <w:t>24,720,071,010.76</w:t>
            </w:r>
          </w:p>
        </w:tc>
      </w:tr>
    </w:tbl>
    <w:p>
      <w:pPr>
        <w:pStyle w:val="BodyText"/>
        <w:spacing w:line="273" w:lineRule="auto"/>
        <w:ind w:right="1126" w:firstLine="420"/>
        <w:jc w:val="both"/>
      </w:pPr>
      <w:r>
        <w:rPr>
          <w:spacing w:val="-2"/>
        </w:rPr>
        <w:t>保持资产和负债到期日结构的匹配以及有效控制匹配差异对本公司的管理极为重要。由于业务具有不</w:t>
      </w:r>
      <w:r>
        <w:rPr>
          <w:w w:val="100"/>
        </w:rPr>
        <w:t> </w:t>
      </w:r>
      <w:r>
        <w:rPr>
          <w:spacing w:val="-2"/>
        </w:rPr>
        <w:t>确定的期限和不同的类别，证券公司很少能保持资产和负债项目的完全匹配。未匹配的头寸可能会提高收</w:t>
      </w:r>
      <w:r>
        <w:rPr>
          <w:spacing w:val="-44"/>
        </w:rPr>
        <w:t> </w:t>
      </w:r>
      <w:r>
        <w:rPr>
          <w:spacing w:val="-44"/>
        </w:rPr>
      </w:r>
      <w:r>
        <w:rPr/>
        <w:t>益，但同时也增大了损失的风险。</w:t>
      </w:r>
    </w:p>
    <w:p>
      <w:pPr>
        <w:spacing w:after="0" w:line="273" w:lineRule="auto"/>
        <w:jc w:val="both"/>
        <w:sectPr>
          <w:pgSz w:w="11910" w:h="16840"/>
          <w:pgMar w:header="852" w:footer="979" w:top="1260" w:bottom="1160" w:left="980" w:right="0"/>
        </w:sectPr>
      </w:pPr>
    </w:p>
    <w:p>
      <w:pPr>
        <w:spacing w:line="240" w:lineRule="auto" w:before="11"/>
        <w:rPr>
          <w:rFonts w:ascii="宋体" w:hAnsi="宋体" w:cs="宋体" w:eastAsia="宋体" w:hint="default"/>
          <w:sz w:val="8"/>
          <w:szCs w:val="8"/>
        </w:rPr>
      </w:pPr>
    </w:p>
    <w:p>
      <w:pPr>
        <w:pStyle w:val="BodyText"/>
        <w:spacing w:line="273" w:lineRule="auto" w:before="36"/>
        <w:ind w:right="1114" w:firstLine="420"/>
        <w:jc w:val="left"/>
      </w:pPr>
      <w:r>
        <w:rPr>
          <w:spacing w:val="-2"/>
        </w:rPr>
        <w:t>资产和负债项目到期日结构的匹配情况和证券公司对到期负债以可接受成本进行替换的能力都是评</w:t>
      </w:r>
      <w:r>
        <w:rPr>
          <w:w w:val="100"/>
        </w:rPr>
        <w:t> </w:t>
      </w:r>
      <w:r>
        <w:rPr/>
        <w:t>价证券公司流动风险的重要因素。</w:t>
      </w:r>
    </w:p>
    <w:p>
      <w:pPr>
        <w:spacing w:line="240" w:lineRule="auto" w:before="8"/>
        <w:rPr>
          <w:rFonts w:ascii="宋体" w:hAnsi="宋体" w:cs="宋体" w:eastAsia="宋体" w:hint="default"/>
          <w:sz w:val="21"/>
          <w:szCs w:val="21"/>
        </w:rPr>
      </w:pPr>
    </w:p>
    <w:p>
      <w:pPr>
        <w:pStyle w:val="Heading3"/>
        <w:spacing w:line="240" w:lineRule="auto"/>
        <w:ind w:right="1114"/>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968"/>
        <w:gridCol w:w="1854"/>
        <w:gridCol w:w="1560"/>
        <w:gridCol w:w="1561"/>
        <w:gridCol w:w="1627"/>
      </w:tblGrid>
      <w:tr>
        <w:trPr>
          <w:trHeight w:val="401" w:hRule="exact"/>
        </w:trPr>
        <w:tc>
          <w:tcPr>
            <w:tcW w:w="2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372" w:hRule="exact"/>
        </w:trPr>
        <w:tc>
          <w:tcPr>
            <w:tcW w:w="29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4"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49"/>
              <w:ind w:left="750" w:right="192" w:hanging="540"/>
              <w:jc w:val="left"/>
              <w:rPr>
                <w:rFonts w:ascii="宋体" w:hAnsi="宋体" w:cs="宋体" w:eastAsia="宋体" w:hint="default"/>
                <w:sz w:val="18"/>
                <w:szCs w:val="18"/>
              </w:rPr>
            </w:pPr>
            <w:r>
              <w:rPr>
                <w:rFonts w:ascii="宋体" w:hAnsi="宋体" w:cs="宋体" w:eastAsia="宋体" w:hint="default"/>
                <w:sz w:val="18"/>
                <w:szCs w:val="18"/>
              </w:rPr>
              <w:t>第一层次公允价值 计量</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595" w:right="53" w:hanging="540"/>
              <w:jc w:val="left"/>
              <w:rPr>
                <w:rFonts w:ascii="宋体" w:hAnsi="宋体" w:cs="宋体" w:eastAsia="宋体" w:hint="default"/>
                <w:sz w:val="18"/>
                <w:szCs w:val="18"/>
              </w:rPr>
            </w:pPr>
            <w:r>
              <w:rPr>
                <w:rFonts w:ascii="宋体" w:hAnsi="宋体" w:cs="宋体" w:eastAsia="宋体" w:hint="default"/>
                <w:sz w:val="18"/>
                <w:szCs w:val="18"/>
              </w:rPr>
              <w:t>第二层次公允价值 计量</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595" w:right="53" w:hanging="540"/>
              <w:jc w:val="left"/>
              <w:rPr>
                <w:rFonts w:ascii="宋体" w:hAnsi="宋体" w:cs="宋体" w:eastAsia="宋体" w:hint="default"/>
                <w:sz w:val="18"/>
                <w:szCs w:val="18"/>
              </w:rPr>
            </w:pPr>
            <w:r>
              <w:rPr>
                <w:rFonts w:ascii="宋体" w:hAnsi="宋体" w:cs="宋体" w:eastAsia="宋体" w:hint="default"/>
                <w:sz w:val="18"/>
                <w:szCs w:val="18"/>
              </w:rPr>
              <w:t>第三层次公允价值 计量</w:t>
            </w:r>
          </w:p>
        </w:tc>
        <w:tc>
          <w:tcPr>
            <w:tcW w:w="16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83" w:hRule="exact"/>
        </w:trPr>
        <w:tc>
          <w:tcPr>
            <w:tcW w:w="2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4"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62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（一）以公允价值计量且变动计入当 期损益的金融资产</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2,143,032,379.76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3,375,600,479.19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44,149,791.60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5,562,782,650.55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2,141,979,419.00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3,375,600,479.19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44,149,791.60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5,561,729,689.79</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312,783,898.77</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312,783,898.77</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2,141,979,419.00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44,149,791.60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2,186,129,210.60</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3,062,816,580.42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3,062,816,580.42</w:t>
            </w: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指定以公允价值计量且其变动计入 当期损益的金融资产</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1,052,960.76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1,052,960.76</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1,052,960.76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1,052,960.76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c>
          <w:tcPr>
            <w:tcW w:w="18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8,151,982.93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5,857,000.00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14,008,982.93</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权益工具投资</w:t>
            </w:r>
          </w:p>
        </w:tc>
        <w:tc>
          <w:tcPr>
            <w:tcW w:w="18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5,857,000.00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5,857,000.00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券商资产管理计划</w:t>
            </w:r>
          </w:p>
        </w:tc>
        <w:tc>
          <w:tcPr>
            <w:tcW w:w="18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8,151,982.93</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8,151,982.93</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（三）衍生金融资产</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487,181.33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487,181.33</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2,143,519,561.09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3,383,752,462.12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50,006,791.60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5,577,278,814.81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14"/>
        <w:jc w:val="left"/>
      </w:pPr>
      <w:r>
        <w:rPr>
          <w:spacing w:val="-2"/>
        </w:rPr>
        <w:t>对于存在活跃市场的投资品种，如资产负债表日有成交市价，以当日收盘价作为公允价值；如资产负债表</w:t>
      </w:r>
      <w:r>
        <w:rPr>
          <w:spacing w:val="-45"/>
        </w:rPr>
        <w:t> </w:t>
      </w:r>
      <w:r>
        <w:rPr>
          <w:spacing w:val="-45"/>
        </w:rPr>
      </w:r>
      <w:r>
        <w:rPr/>
        <w:t>日无成交市价、且最近交易日后经济环境未发生重大变化的，以最近交易日收盘价作为公允价值。</w:t>
      </w:r>
    </w:p>
    <w:p>
      <w:pPr>
        <w:spacing w:line="240" w:lineRule="auto" w:before="7"/>
        <w:rPr>
          <w:rFonts w:ascii="宋体" w:hAnsi="宋体" w:cs="宋体" w:eastAsia="宋体" w:hint="default"/>
          <w:sz w:val="23"/>
          <w:szCs w:val="23"/>
        </w:rPr>
      </w:pPr>
    </w:p>
    <w:p>
      <w:pPr>
        <w:pStyle w:val="Heading5"/>
        <w:spacing w:line="240" w:lineRule="auto" w:before="0"/>
        <w:ind w:right="1114"/>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5"/>
          <w:szCs w:val="25"/>
        </w:rPr>
      </w:pPr>
    </w:p>
    <w:tbl>
      <w:tblPr>
        <w:tblW w:w="0" w:type="auto"/>
        <w:jc w:val="left"/>
        <w:tblInd w:w="153" w:type="dxa"/>
        <w:tblLayout w:type="fixed"/>
        <w:tblCellMar>
          <w:top w:w="0" w:type="dxa"/>
          <w:left w:w="0" w:type="dxa"/>
          <w:bottom w:w="0" w:type="dxa"/>
          <w:right w:w="0" w:type="dxa"/>
        </w:tblCellMar>
        <w:tblLook w:val="01E0"/>
      </w:tblPr>
      <w:tblGrid>
        <w:gridCol w:w="2273"/>
        <w:gridCol w:w="2103"/>
        <w:gridCol w:w="1577"/>
        <w:gridCol w:w="2451"/>
        <w:gridCol w:w="1226"/>
      </w:tblGrid>
      <w:tr>
        <w:trPr>
          <w:trHeight w:val="341" w:hRule="exact"/>
        </w:trPr>
        <w:tc>
          <w:tcPr>
            <w:tcW w:w="227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57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估值技术</w:t>
            </w:r>
          </w:p>
        </w:tc>
        <w:tc>
          <w:tcPr>
            <w:tcW w:w="367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重要参数</w:t>
            </w:r>
          </w:p>
        </w:tc>
      </w:tr>
      <w:tr>
        <w:trPr>
          <w:trHeight w:val="343" w:hRule="exact"/>
        </w:trPr>
        <w:tc>
          <w:tcPr>
            <w:tcW w:w="2273" w:type="dxa"/>
            <w:vMerge/>
            <w:tcBorders>
              <w:left w:val="single" w:sz="4" w:space="0" w:color="000000"/>
              <w:bottom w:val="single" w:sz="4" w:space="0" w:color="000000"/>
              <w:right w:val="single" w:sz="4" w:space="0" w:color="000000"/>
            </w:tcBorders>
            <w:shd w:val="clear" w:color="auto" w:fill="D9D9D9"/>
          </w:tcPr>
          <w:p>
            <w:pPr/>
          </w:p>
        </w:tc>
        <w:tc>
          <w:tcPr>
            <w:tcW w:w="2103" w:type="dxa"/>
            <w:vMerge/>
            <w:tcBorders>
              <w:left w:val="single" w:sz="4" w:space="0" w:color="000000"/>
              <w:bottom w:val="single" w:sz="4" w:space="0" w:color="000000"/>
              <w:right w:val="single" w:sz="4" w:space="0" w:color="000000"/>
            </w:tcBorders>
            <w:shd w:val="clear" w:color="auto" w:fill="D9D9D9"/>
          </w:tcPr>
          <w:p>
            <w:pPr/>
          </w:p>
        </w:tc>
        <w:tc>
          <w:tcPr>
            <w:tcW w:w="1577" w:type="dxa"/>
            <w:vMerge/>
            <w:tcBorders>
              <w:left w:val="single" w:sz="4" w:space="0" w:color="000000"/>
              <w:bottom w:val="single" w:sz="4" w:space="0" w:color="000000"/>
              <w:right w:val="single" w:sz="4" w:space="0" w:color="000000"/>
            </w:tcBorders>
            <w:shd w:val="clear" w:color="auto" w:fill="D9D9D9"/>
          </w:tcPr>
          <w:p>
            <w:pPr/>
          </w:p>
        </w:tc>
        <w:tc>
          <w:tcPr>
            <w:tcW w:w="24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定性信息</w:t>
            </w:r>
          </w:p>
        </w:tc>
        <w:tc>
          <w:tcPr>
            <w:tcW w:w="12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49" w:right="0"/>
              <w:jc w:val="left"/>
              <w:rPr>
                <w:rFonts w:ascii="宋体" w:hAnsi="宋体" w:cs="宋体" w:eastAsia="宋体" w:hint="default"/>
                <w:sz w:val="18"/>
                <w:szCs w:val="18"/>
              </w:rPr>
            </w:pPr>
            <w:r>
              <w:rPr>
                <w:rFonts w:ascii="宋体" w:hAnsi="宋体" w:cs="宋体" w:eastAsia="宋体" w:hint="default"/>
                <w:sz w:val="18"/>
                <w:szCs w:val="18"/>
              </w:rPr>
              <w:t>定量信息</w:t>
            </w:r>
          </w:p>
        </w:tc>
      </w:tr>
      <w:tr>
        <w:trPr>
          <w:trHeight w:val="341"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03"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245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62" w:right="0"/>
              <w:jc w:val="left"/>
              <w:rPr>
                <w:rFonts w:ascii="Times New Roman" w:hAnsi="Times New Roman" w:cs="Times New Roman" w:eastAsia="Times New Roman" w:hint="default"/>
                <w:sz w:val="18"/>
                <w:szCs w:val="18"/>
              </w:rPr>
            </w:pPr>
            <w:r>
              <w:rPr>
                <w:rFonts w:ascii="Times New Roman"/>
                <w:sz w:val="18"/>
              </w:rPr>
              <w:t>312,783,898.77</w:t>
            </w:r>
          </w:p>
        </w:tc>
        <w:tc>
          <w:tcPr>
            <w:tcW w:w="1577" w:type="dxa"/>
            <w:tcBorders>
              <w:top w:val="single" w:sz="4" w:space="0" w:color="000000"/>
              <w:left w:val="single" w:sz="4" w:space="0" w:color="000000"/>
              <w:bottom w:val="single" w:sz="4" w:space="0" w:color="000000"/>
              <w:right w:val="single" w:sz="4" w:space="0" w:color="000000"/>
            </w:tcBorders>
          </w:tcPr>
          <w:p>
            <w:pP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6"/>
              <w:jc w:val="center"/>
              <w:rPr>
                <w:rFonts w:ascii="宋体" w:hAnsi="宋体" w:cs="宋体" w:eastAsia="宋体" w:hint="default"/>
                <w:sz w:val="18"/>
                <w:szCs w:val="18"/>
              </w:rPr>
            </w:pPr>
            <w:r>
              <w:rPr>
                <w:rFonts w:ascii="宋体" w:hAnsi="宋体" w:cs="宋体" w:eastAsia="宋体" w:hint="default"/>
                <w:sz w:val="18"/>
                <w:szCs w:val="18"/>
              </w:rPr>
              <w:t>登记结算机构估值系统的报价</w:t>
            </w:r>
          </w:p>
        </w:tc>
        <w:tc>
          <w:tcPr>
            <w:tcW w:w="12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60" w:bottom="1160" w:left="980" w:right="0"/>
        </w:sectPr>
      </w:pPr>
    </w:p>
    <w:p>
      <w:pPr>
        <w:spacing w:line="240" w:lineRule="auto" w:before="7"/>
        <w:rPr>
          <w:rFonts w:ascii="宋体" w:hAnsi="宋体" w:cs="宋体" w:eastAsia="宋体" w:hint="default"/>
          <w:b/>
          <w:bCs/>
          <w:sz w:val="12"/>
          <w:szCs w:val="12"/>
        </w:rPr>
      </w:pPr>
    </w:p>
    <w:tbl>
      <w:tblPr>
        <w:tblW w:w="0" w:type="auto"/>
        <w:jc w:val="left"/>
        <w:tblInd w:w="153" w:type="dxa"/>
        <w:tblLayout w:type="fixed"/>
        <w:tblCellMar>
          <w:top w:w="0" w:type="dxa"/>
          <w:left w:w="0" w:type="dxa"/>
          <w:bottom w:w="0" w:type="dxa"/>
          <w:right w:w="0" w:type="dxa"/>
        </w:tblCellMar>
        <w:tblLook w:val="01E0"/>
      </w:tblPr>
      <w:tblGrid>
        <w:gridCol w:w="2273"/>
        <w:gridCol w:w="2103"/>
        <w:gridCol w:w="1577"/>
        <w:gridCol w:w="2451"/>
        <w:gridCol w:w="1226"/>
      </w:tblGrid>
      <w:tr>
        <w:trPr>
          <w:trHeight w:val="34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3,062,816,580.42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现金流量折现法</w:t>
            </w:r>
          </w:p>
        </w:tc>
        <w:tc>
          <w:tcPr>
            <w:tcW w:w="245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预期收益率</w:t>
            </w:r>
          </w:p>
        </w:tc>
      </w:tr>
      <w:tr>
        <w:trPr>
          <w:trHeight w:val="341"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03"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245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其中：券商资产管理计划</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8,151,982.93</w:t>
            </w:r>
          </w:p>
        </w:tc>
        <w:tc>
          <w:tcPr>
            <w:tcW w:w="1577" w:type="dxa"/>
            <w:tcBorders>
              <w:top w:val="single" w:sz="4" w:space="0" w:color="000000"/>
              <w:left w:val="single" w:sz="4" w:space="0" w:color="000000"/>
              <w:bottom w:val="single" w:sz="4" w:space="0" w:color="000000"/>
              <w:right w:val="single" w:sz="4" w:space="0" w:color="000000"/>
            </w:tcBorders>
          </w:tcPr>
          <w:p>
            <w:pP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管理人的净值报价</w:t>
            </w:r>
          </w:p>
        </w:tc>
        <w:tc>
          <w:tcPr>
            <w:tcW w:w="12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5"/>
          <w:szCs w:val="25"/>
        </w:rPr>
      </w:pPr>
    </w:p>
    <w:tbl>
      <w:tblPr>
        <w:tblW w:w="0" w:type="auto"/>
        <w:jc w:val="left"/>
        <w:tblInd w:w="153" w:type="dxa"/>
        <w:tblLayout w:type="fixed"/>
        <w:tblCellMar>
          <w:top w:w="0" w:type="dxa"/>
          <w:left w:w="0" w:type="dxa"/>
          <w:bottom w:w="0" w:type="dxa"/>
          <w:right w:w="0" w:type="dxa"/>
        </w:tblCellMar>
        <w:tblLook w:val="01E0"/>
      </w:tblPr>
      <w:tblGrid>
        <w:gridCol w:w="2263"/>
        <w:gridCol w:w="2053"/>
        <w:gridCol w:w="2568"/>
        <w:gridCol w:w="2746"/>
      </w:tblGrid>
      <w:tr>
        <w:trPr>
          <w:trHeight w:val="343" w:hRule="exact"/>
        </w:trPr>
        <w:tc>
          <w:tcPr>
            <w:tcW w:w="2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80"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估值技术</w:t>
            </w:r>
          </w:p>
        </w:tc>
        <w:tc>
          <w:tcPr>
            <w:tcW w:w="27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37" w:right="0"/>
              <w:jc w:val="left"/>
              <w:rPr>
                <w:rFonts w:ascii="宋体" w:hAnsi="宋体" w:cs="宋体" w:eastAsia="宋体" w:hint="default"/>
                <w:sz w:val="18"/>
                <w:szCs w:val="18"/>
              </w:rPr>
            </w:pPr>
            <w:r>
              <w:rPr>
                <w:rFonts w:ascii="宋体" w:hAnsi="宋体" w:cs="宋体" w:eastAsia="宋体" w:hint="default"/>
                <w:sz w:val="18"/>
                <w:szCs w:val="18"/>
              </w:rPr>
              <w:t>不可观察输入值</w:t>
            </w:r>
          </w:p>
        </w:tc>
      </w:tr>
      <w:tr>
        <w:trPr>
          <w:trHeight w:val="341"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053" w:type="dxa"/>
            <w:tcBorders>
              <w:top w:val="single" w:sz="4" w:space="0" w:color="000000"/>
              <w:left w:val="single" w:sz="4" w:space="0" w:color="000000"/>
              <w:bottom w:val="single" w:sz="4" w:space="0" w:color="000000"/>
              <w:right w:val="single" w:sz="4" w:space="0" w:color="000000"/>
            </w:tcBorders>
          </w:tcPr>
          <w:p>
            <w:pPr/>
          </w:p>
        </w:tc>
        <w:tc>
          <w:tcPr>
            <w:tcW w:w="2568"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其中：权益工具投资</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44,149,791.60</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上市公司比较法</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流动性折扣</w:t>
            </w:r>
          </w:p>
        </w:tc>
      </w:tr>
      <w:tr>
        <w:trPr>
          <w:trHeight w:val="341"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053" w:type="dxa"/>
            <w:tcBorders>
              <w:top w:val="single" w:sz="4" w:space="0" w:color="000000"/>
              <w:left w:val="single" w:sz="4" w:space="0" w:color="000000"/>
              <w:bottom w:val="single" w:sz="4" w:space="0" w:color="000000"/>
              <w:right w:val="single" w:sz="4" w:space="0" w:color="000000"/>
            </w:tcBorders>
          </w:tcPr>
          <w:p>
            <w:pPr/>
          </w:p>
        </w:tc>
        <w:tc>
          <w:tcPr>
            <w:tcW w:w="2568"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其中：可供出售权益工具</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5,857,000.00</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上市公司比较法</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流动性折扣</w:t>
            </w:r>
          </w:p>
        </w:tc>
      </w:tr>
    </w:tbl>
    <w:p>
      <w:pPr>
        <w:spacing w:line="240" w:lineRule="auto" w:before="1"/>
        <w:rPr>
          <w:rFonts w:ascii="宋体" w:hAnsi="宋体" w:cs="宋体" w:eastAsia="宋体" w:hint="default"/>
          <w:b/>
          <w:bCs/>
          <w:sz w:val="18"/>
          <w:szCs w:val="18"/>
        </w:rPr>
      </w:pPr>
    </w:p>
    <w:p>
      <w:pPr>
        <w:spacing w:line="506" w:lineRule="auto" w:before="26"/>
        <w:ind w:left="153" w:right="8103" w:firstLine="0"/>
        <w:jc w:val="left"/>
        <w:rPr>
          <w:rFonts w:ascii="宋体" w:hAnsi="宋体" w:cs="宋体" w:eastAsia="宋体" w:hint="default"/>
          <w:sz w:val="18"/>
          <w:szCs w:val="18"/>
        </w:rPr>
      </w:pP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100"/>
          <w:sz w:val="21"/>
          <w:szCs w:val="21"/>
        </w:rPr>
        <w:t> </w:t>
      </w:r>
      <w:r>
        <w:rPr>
          <w:rFonts w:ascii="宋体" w:hAnsi="宋体" w:cs="宋体" w:eastAsia="宋体" w:hint="default"/>
          <w:sz w:val="18"/>
          <w:szCs w:val="18"/>
        </w:rPr>
        <w:t>本企业最终控制方是其实。</w:t>
      </w:r>
    </w:p>
    <w:p>
      <w:pPr>
        <w:spacing w:line="547" w:lineRule="auto" w:before="156"/>
        <w:ind w:left="153" w:right="49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before="46"/>
        <w:ind w:left="153" w:right="111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26"/>
          <w:szCs w:val="26"/>
        </w:rPr>
      </w:pPr>
    </w:p>
    <w:p>
      <w:pPr>
        <w:pStyle w:val="Heading5"/>
        <w:spacing w:line="240" w:lineRule="auto" w:before="0"/>
        <w:ind w:right="1114"/>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782"/>
        <w:gridCol w:w="4787"/>
      </w:tblGrid>
      <w:tr>
        <w:trPr>
          <w:trHeight w:val="396"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8" w:hRule="exact"/>
        </w:trPr>
        <w:tc>
          <w:tcPr>
            <w:tcW w:w="47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宝付网络科技（上海）有限公司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漫道金服的全资子公司</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上海丝芭文化传媒集团有限公司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实际控制人担任董事</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上海海立</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本公司独立董事同时担任其独立董事</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道铭（龙泉）青瓷文化创意发展有限公司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实际控制人参股公司</w:t>
            </w:r>
          </w:p>
        </w:tc>
      </w:tr>
    </w:tbl>
    <w:p>
      <w:pPr>
        <w:spacing w:line="240" w:lineRule="auto" w:before="3"/>
        <w:rPr>
          <w:rFonts w:ascii="宋体" w:hAnsi="宋体" w:cs="宋体" w:eastAsia="宋体" w:hint="default"/>
          <w:b/>
          <w:bCs/>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spacing w:before="44"/>
        <w:ind w:left="153" w:right="1114"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3538"/>
        <w:gridCol w:w="2031"/>
        <w:gridCol w:w="2031"/>
        <w:gridCol w:w="2030"/>
      </w:tblGrid>
      <w:tr>
        <w:trPr>
          <w:trHeight w:val="401" w:hRule="exact"/>
        </w:trPr>
        <w:tc>
          <w:tcPr>
            <w:tcW w:w="3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宝付科技</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支付结算手续费</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1" w:right="0"/>
              <w:jc w:val="left"/>
              <w:rPr>
                <w:rFonts w:ascii="Times New Roman" w:hAnsi="Times New Roman" w:cs="Times New Roman" w:eastAsia="Times New Roman" w:hint="default"/>
                <w:sz w:val="18"/>
                <w:szCs w:val="18"/>
              </w:rPr>
            </w:pPr>
            <w:r>
              <w:rPr>
                <w:rFonts w:ascii="Times New Roman"/>
                <w:sz w:val="18"/>
              </w:rPr>
              <w:t>3,689,202.55</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5" w:right="0"/>
              <w:jc w:val="left"/>
              <w:rPr>
                <w:rFonts w:ascii="Times New Roman" w:hAnsi="Times New Roman" w:cs="Times New Roman" w:eastAsia="Times New Roman" w:hint="default"/>
                <w:sz w:val="18"/>
                <w:szCs w:val="18"/>
              </w:rPr>
            </w:pPr>
            <w:r>
              <w:rPr>
                <w:rFonts w:ascii="Times New Roman"/>
                <w:sz w:val="18"/>
              </w:rPr>
              <w:t>350,752.79</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3538"/>
        <w:gridCol w:w="2031"/>
        <w:gridCol w:w="2031"/>
        <w:gridCol w:w="2030"/>
      </w:tblGrid>
      <w:tr>
        <w:trPr>
          <w:trHeight w:val="401"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宝付科技</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数据服务费</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18,221.21</w:t>
            </w:r>
          </w:p>
        </w:tc>
      </w:tr>
      <w:tr>
        <w:trPr>
          <w:trHeight w:val="403"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上海丝芭文化传媒集团有限公司</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2031"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47,169.81</w:t>
            </w:r>
          </w:p>
        </w:tc>
      </w:tr>
      <w:tr>
        <w:trPr>
          <w:trHeight w:val="403"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道铭（龙泉）青瓷文化创意发展有限公司</w:t>
            </w:r>
          </w:p>
        </w:tc>
        <w:tc>
          <w:tcPr>
            <w:tcW w:w="2031"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446,689.65</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50,256.41</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98"/>
        <w:gridCol w:w="2259"/>
        <w:gridCol w:w="2259"/>
        <w:gridCol w:w="2653"/>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
              <w:jc w:val="center"/>
              <w:rPr>
                <w:rFonts w:ascii="宋体" w:hAnsi="宋体" w:cs="宋体" w:eastAsia="宋体" w:hint="default"/>
                <w:sz w:val="18"/>
                <w:szCs w:val="18"/>
              </w:rPr>
            </w:pPr>
            <w:r>
              <w:rPr>
                <w:rFonts w:ascii="宋体" w:hAnsi="宋体" w:cs="宋体" w:eastAsia="宋体" w:hint="default"/>
                <w:sz w:val="18"/>
                <w:szCs w:val="18"/>
              </w:rPr>
              <w:t>上海海立</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10,613.21</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7,075.47</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0"/>
        <w:rPr>
          <w:rFonts w:ascii="宋体" w:hAnsi="宋体" w:cs="宋体" w:eastAsia="宋体" w:hint="default"/>
          <w:b/>
          <w:bCs/>
          <w:sz w:val="22"/>
          <w:szCs w:val="22"/>
        </w:rPr>
      </w:pPr>
    </w:p>
    <w:p>
      <w:pPr>
        <w:spacing w:before="44"/>
        <w:ind w:left="153" w:right="1114"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3209"/>
        <w:gridCol w:w="3212"/>
        <w:gridCol w:w="3209"/>
      </w:tblGrid>
      <w:tr>
        <w:trPr>
          <w:trHeight w:val="401"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天天基金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0" w:right="0"/>
              <w:jc w:val="left"/>
              <w:rPr>
                <w:rFonts w:ascii="Times New Roman" w:hAnsi="Times New Roman" w:cs="Times New Roman" w:eastAsia="Times New Roman" w:hint="default"/>
                <w:sz w:val="18"/>
                <w:szCs w:val="18"/>
              </w:rPr>
            </w:pPr>
            <w:r>
              <w:rPr>
                <w:rFonts w:ascii="Times New Roman"/>
                <w:sz w:val="18"/>
              </w:rPr>
              <w:t>5,000,000,000.00</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307" w:lineRule="auto" w:before="8"/>
        <w:ind w:left="153" w:right="112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）本公司为子公司天天基金向中国民生银行股份有限公司申请</w:t>
      </w:r>
      <w:r>
        <w:rPr>
          <w:rFonts w:ascii="Times New Roman" w:hAnsi="Times New Roman" w:cs="Times New Roman" w:eastAsia="Times New Roman" w:hint="default"/>
          <w:sz w:val="18"/>
          <w:szCs w:val="18"/>
        </w:rPr>
        <w:t>20</w:t>
      </w:r>
      <w:r>
        <w:rPr>
          <w:rFonts w:ascii="宋体" w:hAnsi="宋体" w:cs="宋体" w:eastAsia="宋体" w:hint="default"/>
          <w:sz w:val="18"/>
          <w:szCs w:val="18"/>
        </w:rPr>
        <w:t>亿元综合授信提供连带责任担保，该额度为可循环额度， 担保期限自</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年度首份授信协议签署之日至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年度股东大会召开之日止。 </w:t>
      </w:r>
      <w:r>
        <w:rPr>
          <w:rFonts w:ascii="宋体" w:hAnsi="宋体" w:cs="宋体" w:eastAsia="宋体" w:hint="default"/>
          <w:sz w:val="18"/>
          <w:szCs w:val="18"/>
        </w:rPr>
        <w:t>2</w:t>
      </w:r>
      <w:r>
        <w:rPr>
          <w:rFonts w:ascii="宋体" w:hAnsi="宋体" w:cs="宋体" w:eastAsia="宋体" w:hint="default"/>
          <w:sz w:val="18"/>
          <w:szCs w:val="18"/>
        </w:rPr>
        <w:t>）本公司为子公司天天基金与上海银行股份有限公司、上海浦东发展银行股份有限公司签署的银行借款协议提供连带担保 责任，担保期限自天天基金履行债务的期限届满之日起</w:t>
      </w:r>
      <w:r>
        <w:rPr>
          <w:rFonts w:ascii="Times New Roman" w:hAnsi="Times New Roman" w:cs="Times New Roman" w:eastAsia="Times New Roman" w:hint="default"/>
          <w:sz w:val="18"/>
          <w:szCs w:val="18"/>
        </w:rPr>
        <w:t>1</w:t>
      </w:r>
      <w:r>
        <w:rPr>
          <w:rFonts w:ascii="宋体" w:hAnsi="宋体" w:cs="宋体" w:eastAsia="宋体" w:hint="default"/>
          <w:sz w:val="18"/>
          <w:szCs w:val="18"/>
        </w:rPr>
        <w:t>年。借款最高额分别为</w:t>
      </w:r>
      <w:r>
        <w:rPr>
          <w:rFonts w:ascii="Times New Roman" w:hAnsi="Times New Roman" w:cs="Times New Roman" w:eastAsia="Times New Roman" w:hint="default"/>
          <w:sz w:val="18"/>
          <w:szCs w:val="18"/>
        </w:rPr>
        <w:t>10</w:t>
      </w:r>
      <w:r>
        <w:rPr>
          <w:rFonts w:ascii="宋体" w:hAnsi="宋体" w:cs="宋体" w:eastAsia="宋体" w:hint="default"/>
          <w:sz w:val="18"/>
          <w:szCs w:val="18"/>
        </w:rPr>
        <w:t>亿元、</w:t>
      </w:r>
      <w:r>
        <w:rPr>
          <w:rFonts w:ascii="Times New Roman" w:hAnsi="Times New Roman" w:cs="Times New Roman" w:eastAsia="Times New Roman" w:hint="default"/>
          <w:sz w:val="18"/>
          <w:szCs w:val="18"/>
        </w:rPr>
        <w:t>20</w:t>
      </w:r>
      <w:r>
        <w:rPr>
          <w:rFonts w:ascii="宋体" w:hAnsi="宋体" w:cs="宋体" w:eastAsia="宋体" w:hint="default"/>
          <w:sz w:val="18"/>
          <w:szCs w:val="18"/>
        </w:rPr>
        <w:t>亿元，额度内可循环使用。</w:t>
      </w:r>
    </w:p>
    <w:p>
      <w:pPr>
        <w:spacing w:line="240" w:lineRule="auto" w:before="12"/>
        <w:rPr>
          <w:rFonts w:ascii="宋体" w:hAnsi="宋体" w:cs="宋体" w:eastAsia="宋体" w:hint="default"/>
          <w:sz w:val="21"/>
          <w:szCs w:val="21"/>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88"/>
        <w:gridCol w:w="3190"/>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5,139,985.85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4,706,522.22</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right="1114"/>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421"/>
        <w:gridCol w:w="1769"/>
        <w:gridCol w:w="1594"/>
        <w:gridCol w:w="1594"/>
        <w:gridCol w:w="1594"/>
        <w:gridCol w:w="1596"/>
      </w:tblGrid>
      <w:tr>
        <w:trPr>
          <w:trHeight w:val="401" w:hRule="exact"/>
        </w:trPr>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421"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宝付科技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1,848,765.43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92,438.27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175,961.36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3" w:right="0"/>
              <w:jc w:val="left"/>
              <w:rPr>
                <w:rFonts w:ascii="Times New Roman" w:hAnsi="Times New Roman" w:cs="Times New Roman" w:eastAsia="Times New Roman" w:hint="default"/>
                <w:sz w:val="18"/>
                <w:szCs w:val="18"/>
              </w:rPr>
            </w:pPr>
            <w:r>
              <w:rPr>
                <w:rFonts w:ascii="Times New Roman"/>
                <w:sz w:val="18"/>
              </w:rPr>
              <w:t>8,798.07</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宝付科技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439,353.21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92,661.00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宝付科技</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上海海立</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10,613.21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7,075.47</w:t>
            </w:r>
          </w:p>
        </w:tc>
      </w:tr>
    </w:tbl>
    <w:p>
      <w:pPr>
        <w:spacing w:line="240" w:lineRule="auto" w:before="1"/>
        <w:rPr>
          <w:rFonts w:ascii="宋体" w:hAnsi="宋体" w:cs="宋体" w:eastAsia="宋体" w:hint="default"/>
          <w:sz w:val="18"/>
          <w:szCs w:val="18"/>
        </w:rPr>
      </w:pPr>
    </w:p>
    <w:p>
      <w:pPr>
        <w:pStyle w:val="Heading3"/>
        <w:spacing w:line="240" w:lineRule="auto" w:before="26"/>
        <w:ind w:right="1114"/>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spacing w:before="44"/>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5454"/>
        <w:gridCol w:w="4114"/>
      </w:tblGrid>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21,609,504.00</w:t>
            </w:r>
          </w:p>
        </w:tc>
      </w:tr>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2,395,312.50</w:t>
            </w:r>
          </w:p>
        </w:tc>
      </w:tr>
      <w:tr>
        <w:trPr>
          <w:trHeight w:val="1339"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年股票期权激励计划首次授予的期权将于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日到期，目前行权价为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年股票期权激励计划授予的预留期权将于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日到期，目前行权价为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25.07 </w:t>
            </w:r>
            <w:r>
              <w:rPr>
                <w:rFonts w:ascii="宋体" w:hAnsi="宋体" w:cs="宋体" w:eastAsia="宋体" w:hint="default"/>
                <w:sz w:val="18"/>
                <w:szCs w:val="18"/>
              </w:rPr>
              <w:t>元。</w:t>
            </w:r>
          </w:p>
        </w:tc>
      </w:tr>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before="44"/>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5533"/>
        <w:gridCol w:w="4035"/>
      </w:tblGrid>
      <w:tr>
        <w:trPr>
          <w:trHeight w:val="1027" w:hRule="exact"/>
        </w:trPr>
        <w:tc>
          <w:tcPr>
            <w:tcW w:w="5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39"/>
              <w:jc w:val="left"/>
              <w:rPr>
                <w:rFonts w:ascii="宋体" w:hAnsi="宋体" w:cs="宋体" w:eastAsia="宋体" w:hint="default"/>
                <w:sz w:val="18"/>
                <w:szCs w:val="18"/>
              </w:rPr>
            </w:pPr>
            <w:r>
              <w:rPr>
                <w:rFonts w:ascii="宋体" w:hAnsi="宋体" w:cs="宋体" w:eastAsia="宋体" w:hint="default"/>
                <w:spacing w:val="-1"/>
                <w:w w:val="99"/>
                <w:sz w:val="18"/>
                <w:szCs w:val="18"/>
              </w:rPr>
              <w:t>公司采用期权定价模型（</w:t>
            </w:r>
            <w:r>
              <w:rPr>
                <w:rFonts w:ascii="Times New Roman" w:hAnsi="Times New Roman" w:cs="Times New Roman" w:eastAsia="Times New Roman" w:hint="default"/>
                <w:spacing w:val="-1"/>
                <w:w w:val="99"/>
                <w:sz w:val="18"/>
                <w:szCs w:val="18"/>
              </w:rPr>
              <w:t>black-scholes</w:t>
            </w:r>
            <w:r>
              <w:rPr>
                <w:rFonts w:ascii="Times New Roman" w:hAnsi="Times New Roman" w:cs="Times New Roman" w:eastAsia="Times New Roman" w:hint="default"/>
                <w:w w:val="99"/>
                <w:sz w:val="18"/>
                <w:szCs w:val="18"/>
              </w:rPr>
              <w:t> </w:t>
            </w:r>
            <w:r>
              <w:rPr>
                <w:rFonts w:ascii="宋体" w:hAnsi="宋体" w:cs="宋体" w:eastAsia="宋体" w:hint="default"/>
                <w:spacing w:val="-19"/>
                <w:sz w:val="18"/>
                <w:szCs w:val="18"/>
              </w:rPr>
              <w:t>模型），在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合理设定各项参数的基础上，确定股票期权激励计 划在授予日的公允价值。</w:t>
            </w:r>
          </w:p>
        </w:tc>
      </w:tr>
      <w:tr>
        <w:trPr>
          <w:trHeight w:val="713" w:hRule="exact"/>
        </w:trPr>
        <w:tc>
          <w:tcPr>
            <w:tcW w:w="5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根据截至本财务报告批准日最新取得的可行权职工 人数变动等后续信息进行最佳估计。</w:t>
            </w:r>
          </w:p>
        </w:tc>
      </w:tr>
      <w:tr>
        <w:trPr>
          <w:trHeight w:val="403" w:hRule="exact"/>
        </w:trPr>
        <w:tc>
          <w:tcPr>
            <w:tcW w:w="5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5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50,978,453.50</w:t>
            </w:r>
          </w:p>
        </w:tc>
      </w:tr>
      <w:tr>
        <w:trPr>
          <w:trHeight w:val="404" w:hRule="exact"/>
        </w:trPr>
        <w:tc>
          <w:tcPr>
            <w:tcW w:w="5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38,063,208.00</w:t>
            </w:r>
          </w:p>
        </w:tc>
      </w:tr>
    </w:tbl>
    <w:p>
      <w:pPr>
        <w:spacing w:line="240" w:lineRule="auto" w:before="1"/>
        <w:rPr>
          <w:rFonts w:ascii="宋体" w:hAnsi="宋体" w:cs="宋体" w:eastAsia="宋体" w:hint="default"/>
          <w:sz w:val="21"/>
          <w:szCs w:val="21"/>
        </w:rPr>
      </w:pPr>
    </w:p>
    <w:p>
      <w:pPr>
        <w:spacing w:line="300" w:lineRule="auto" w:before="44"/>
        <w:ind w:left="513" w:right="1213"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13"/>
          <w:sz w:val="18"/>
          <w:szCs w:val="18"/>
        </w:rPr>
        <w:t> </w:t>
      </w: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年股票期权激励计划首次授予股票期权</w:t>
      </w:r>
      <w:r>
        <w:rPr>
          <w:rFonts w:ascii="宋体" w:hAnsi="宋体" w:cs="宋体" w:eastAsia="宋体" w:hint="default"/>
          <w:b/>
          <w:bCs/>
          <w:w w:val="99"/>
          <w:sz w:val="18"/>
          <w:szCs w:val="18"/>
        </w:rPr>
        <w:t> </w:t>
      </w:r>
      <w:r>
        <w:rPr>
          <w:rFonts w:ascii="宋体" w:hAnsi="宋体" w:cs="宋体" w:eastAsia="宋体" w:hint="default"/>
          <w:sz w:val="18"/>
          <w:szCs w:val="18"/>
        </w:rPr>
        <w:t>经本公司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年第二次临时股东大会审议批准，公司于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日起实行</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年股票期权激励计划，据此，本公</w:t>
      </w:r>
    </w:p>
    <w:p>
      <w:pPr>
        <w:spacing w:line="300" w:lineRule="auto" w:before="13"/>
        <w:ind w:left="153" w:right="1168" w:firstLine="0"/>
        <w:jc w:val="left"/>
        <w:rPr>
          <w:rFonts w:ascii="宋体" w:hAnsi="宋体" w:cs="宋体" w:eastAsia="宋体" w:hint="default"/>
          <w:sz w:val="18"/>
          <w:szCs w:val="18"/>
        </w:rPr>
      </w:pPr>
      <w:r>
        <w:rPr>
          <w:rFonts w:ascii="宋体" w:hAnsi="宋体" w:cs="宋体" w:eastAsia="宋体" w:hint="default"/>
          <w:sz w:val="18"/>
          <w:szCs w:val="18"/>
        </w:rPr>
        <w:t>司董事会获授权酌情授予本公司高级管理人员及其他职工以</w:t>
      </w:r>
      <w:r>
        <w:rPr>
          <w:rFonts w:ascii="Times New Roman" w:hAnsi="Times New Roman" w:cs="Times New Roman" w:eastAsia="Times New Roman" w:hint="default"/>
          <w:sz w:val="18"/>
          <w:szCs w:val="18"/>
        </w:rPr>
        <w:t>13.03</w:t>
      </w:r>
      <w:r>
        <w:rPr>
          <w:rFonts w:ascii="宋体" w:hAnsi="宋体" w:cs="宋体" w:eastAsia="宋体" w:hint="default"/>
          <w:sz w:val="18"/>
          <w:szCs w:val="18"/>
        </w:rPr>
        <w:t>元的行权对价获得股票期权，以认购本公司股份。股票期 权在授予日起分</w:t>
      </w:r>
      <w:r>
        <w:rPr>
          <w:rFonts w:ascii="Times New Roman" w:hAnsi="Times New Roman" w:cs="Times New Roman" w:eastAsia="Times New Roman" w:hint="default"/>
          <w:sz w:val="18"/>
          <w:szCs w:val="18"/>
        </w:rPr>
        <w:t>4</w:t>
      </w:r>
      <w:r>
        <w:rPr>
          <w:rFonts w:ascii="宋体" w:hAnsi="宋体" w:cs="宋体" w:eastAsia="宋体" w:hint="default"/>
          <w:sz w:val="18"/>
          <w:szCs w:val="18"/>
        </w:rPr>
        <w:t>期考核并行权，以达到考核目标作为激励对象的行权条件。</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年股票期权首次授予日为</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日，首次授予激励对象的人数为</w:t>
      </w:r>
      <w:r>
        <w:rPr>
          <w:rFonts w:ascii="Times New Roman" w:hAnsi="Times New Roman" w:cs="Times New Roman" w:eastAsia="Times New Roman" w:hint="default"/>
          <w:sz w:val="18"/>
          <w:szCs w:val="18"/>
        </w:rPr>
        <w:t>176</w:t>
      </w:r>
      <w:r>
        <w:rPr>
          <w:rFonts w:ascii="宋体" w:hAnsi="宋体" w:cs="宋体" w:eastAsia="宋体" w:hint="default"/>
          <w:sz w:val="18"/>
          <w:szCs w:val="18"/>
        </w:rPr>
        <w:t>人，股票期权为</w:t>
      </w:r>
      <w:r>
        <w:rPr>
          <w:rFonts w:ascii="Times New Roman" w:hAnsi="Times New Roman" w:cs="Times New Roman" w:eastAsia="Times New Roman" w:hint="default"/>
          <w:sz w:val="18"/>
          <w:szCs w:val="18"/>
        </w:rPr>
        <w:t>26,590,000</w:t>
      </w:r>
      <w:r>
        <w:rPr>
          <w:rFonts w:ascii="宋体" w:hAnsi="宋体" w:cs="宋体" w:eastAsia="宋体" w:hint="default"/>
          <w:sz w:val="18"/>
          <w:szCs w:val="18"/>
        </w:rPr>
        <w:t>份。</w:t>
      </w:r>
    </w:p>
    <w:p>
      <w:pPr>
        <w:spacing w:before="13"/>
        <w:ind w:left="51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年度，因实施权益分配，董事会分别审议通过并调整了各行权期股票期权数量和行权价格，截至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spacing w:line="300" w:lineRule="auto" w:before="63"/>
        <w:ind w:left="153" w:right="120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日，调整后的首次授予股票期权行权价格为</w:t>
      </w:r>
      <w:r>
        <w:rPr>
          <w:rFonts w:ascii="Times New Roman" w:hAnsi="Times New Roman" w:cs="Times New Roman" w:eastAsia="Times New Roman" w:hint="default"/>
          <w:sz w:val="18"/>
          <w:szCs w:val="18"/>
        </w:rPr>
        <w:t>3.49</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股。本报告期内，首次授予股票期权第三个行权期的行权条件满 足，董事会同意</w:t>
      </w:r>
      <w:r>
        <w:rPr>
          <w:rFonts w:ascii="Times New Roman" w:hAnsi="Times New Roman" w:cs="Times New Roman" w:eastAsia="Times New Roman" w:hint="default"/>
          <w:sz w:val="18"/>
          <w:szCs w:val="18"/>
        </w:rPr>
        <w:t>149</w:t>
      </w:r>
      <w:r>
        <w:rPr>
          <w:rFonts w:ascii="宋体" w:hAnsi="宋体" w:cs="宋体" w:eastAsia="宋体" w:hint="default"/>
          <w:sz w:val="18"/>
          <w:szCs w:val="18"/>
        </w:rPr>
        <w:t>名激励对象行权</w:t>
      </w:r>
      <w:r>
        <w:rPr>
          <w:rFonts w:ascii="Times New Roman" w:hAnsi="Times New Roman" w:cs="Times New Roman" w:eastAsia="Times New Roman" w:hint="default"/>
          <w:sz w:val="18"/>
          <w:szCs w:val="18"/>
        </w:rPr>
        <w:t>21,609,504</w:t>
      </w:r>
      <w:r>
        <w:rPr>
          <w:rFonts w:ascii="宋体" w:hAnsi="宋体" w:cs="宋体" w:eastAsia="宋体" w:hint="default"/>
          <w:sz w:val="18"/>
          <w:szCs w:val="18"/>
        </w:rPr>
        <w:t>份。</w:t>
      </w:r>
    </w:p>
    <w:p>
      <w:pPr>
        <w:spacing w:before="13"/>
        <w:ind w:left="513" w:right="1114"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日，可行权权益工具的最佳估计数量为</w:t>
      </w:r>
      <w:r>
        <w:rPr>
          <w:rFonts w:ascii="Times New Roman" w:hAnsi="Times New Roman" w:cs="Times New Roman" w:eastAsia="Times New Roman" w:hint="default"/>
          <w:sz w:val="18"/>
          <w:szCs w:val="18"/>
        </w:rPr>
        <w:t>21,491,568</w:t>
      </w:r>
      <w:r>
        <w:rPr>
          <w:rFonts w:ascii="宋体" w:hAnsi="宋体" w:cs="宋体" w:eastAsia="宋体" w:hint="default"/>
          <w:sz w:val="18"/>
          <w:szCs w:val="18"/>
        </w:rPr>
        <w:t>份。</w:t>
      </w:r>
    </w:p>
    <w:p>
      <w:pPr>
        <w:spacing w:after="0"/>
        <w:jc w:val="left"/>
        <w:rPr>
          <w:rFonts w:ascii="宋体" w:hAnsi="宋体" w:cs="宋体" w:eastAsia="宋体" w:hint="default"/>
          <w:sz w:val="18"/>
          <w:szCs w:val="18"/>
        </w:rPr>
        <w:sectPr>
          <w:pgSz w:w="11910" w:h="16840"/>
          <w:pgMar w:header="852" w:footer="979" w:top="1260" w:bottom="1160" w:left="980" w:right="0"/>
        </w:sectPr>
      </w:pPr>
    </w:p>
    <w:p>
      <w:pPr>
        <w:spacing w:line="240" w:lineRule="auto" w:before="10"/>
        <w:rPr>
          <w:rFonts w:ascii="宋体" w:hAnsi="宋体" w:cs="宋体" w:eastAsia="宋体" w:hint="default"/>
          <w:sz w:val="9"/>
          <w:szCs w:val="9"/>
        </w:rPr>
      </w:pPr>
    </w:p>
    <w:p>
      <w:pPr>
        <w:spacing w:line="300" w:lineRule="auto" w:before="44"/>
        <w:ind w:left="513" w:right="1213"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年股票期权激励计划预留授予股票期权</w:t>
      </w:r>
      <w:r>
        <w:rPr>
          <w:rFonts w:ascii="宋体" w:hAnsi="宋体" w:cs="宋体" w:eastAsia="宋体" w:hint="default"/>
          <w:b/>
          <w:bCs/>
          <w:w w:val="99"/>
          <w:sz w:val="18"/>
          <w:szCs w:val="18"/>
        </w:rPr>
        <w:t> </w:t>
      </w:r>
      <w:r>
        <w:rPr>
          <w:rFonts w:ascii="宋体" w:hAnsi="宋体" w:cs="宋体" w:eastAsia="宋体" w:hint="default"/>
          <w:sz w:val="18"/>
          <w:szCs w:val="18"/>
        </w:rPr>
        <w:t>根据第三届董事会第二十四次会议审议通过的《关于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年公司股票期权激励计划预留股票授予相关事项的议案》，</w:t>
      </w:r>
    </w:p>
    <w:p>
      <w:pPr>
        <w:spacing w:line="300" w:lineRule="auto" w:before="13"/>
        <w:ind w:left="153" w:right="1258" w:firstLine="0"/>
        <w:jc w:val="left"/>
        <w:rPr>
          <w:rFonts w:ascii="宋体" w:hAnsi="宋体" w:cs="宋体" w:eastAsia="宋体" w:hint="default"/>
          <w:sz w:val="18"/>
          <w:szCs w:val="18"/>
        </w:rPr>
      </w:pPr>
      <w:r>
        <w:rPr>
          <w:rFonts w:ascii="宋体" w:hAnsi="宋体" w:cs="宋体" w:eastAsia="宋体" w:hint="default"/>
          <w:sz w:val="18"/>
          <w:szCs w:val="18"/>
        </w:rPr>
        <w:t>董事会同意将</w:t>
      </w:r>
      <w:r>
        <w:rPr>
          <w:rFonts w:ascii="Times New Roman" w:hAnsi="Times New Roman" w:cs="Times New Roman" w:eastAsia="Times New Roman" w:hint="default"/>
          <w:sz w:val="18"/>
          <w:szCs w:val="18"/>
        </w:rPr>
        <w:t>4,200,000</w:t>
      </w:r>
      <w:r>
        <w:rPr>
          <w:rFonts w:ascii="宋体" w:hAnsi="宋体" w:cs="宋体" w:eastAsia="宋体" w:hint="default"/>
          <w:sz w:val="18"/>
          <w:szCs w:val="18"/>
        </w:rPr>
        <w:t>份预留股票期权授出，授予日期为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日，行权价格为</w:t>
      </w:r>
      <w:r>
        <w:rPr>
          <w:rFonts w:ascii="Times New Roman" w:hAnsi="Times New Roman" w:cs="Times New Roman" w:eastAsia="Times New Roman" w:hint="default"/>
          <w:sz w:val="18"/>
          <w:szCs w:val="18"/>
        </w:rPr>
        <w:t>65.19</w:t>
      </w:r>
      <w:r>
        <w:rPr>
          <w:rFonts w:ascii="宋体" w:hAnsi="宋体" w:cs="宋体" w:eastAsia="宋体" w:hint="default"/>
          <w:sz w:val="18"/>
          <w:szCs w:val="18"/>
        </w:rPr>
        <w:t>元，实际授出期权为</w:t>
      </w:r>
      <w:r>
        <w:rPr>
          <w:rFonts w:ascii="Times New Roman" w:hAnsi="Times New Roman" w:cs="Times New Roman" w:eastAsia="Times New Roman" w:hint="default"/>
          <w:sz w:val="18"/>
          <w:szCs w:val="18"/>
        </w:rPr>
        <w:t>4,104,000 </w:t>
      </w:r>
      <w:r>
        <w:rPr>
          <w:rFonts w:ascii="宋体" w:hAnsi="宋体" w:cs="宋体" w:eastAsia="宋体" w:hint="default"/>
          <w:sz w:val="18"/>
          <w:szCs w:val="18"/>
        </w:rPr>
        <w:t>份。</w:t>
      </w:r>
    </w:p>
    <w:p>
      <w:pPr>
        <w:spacing w:before="31"/>
        <w:ind w:left="51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年度，因实施权益分配，董事会分别审议通过并调整了各行权期股票期权数量和行权价格，截至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spacing w:line="300" w:lineRule="auto" w:before="63"/>
        <w:ind w:left="153"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日，调整后的预留股票期权行权价格为</w:t>
      </w:r>
      <w:r>
        <w:rPr>
          <w:rFonts w:ascii="Times New Roman" w:hAnsi="Times New Roman" w:cs="Times New Roman" w:eastAsia="Times New Roman" w:hint="default"/>
          <w:sz w:val="18"/>
          <w:szCs w:val="18"/>
        </w:rPr>
        <w:t>25.07</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股。本报告期内预留股票期权第二个行权期的行权条件满足，实际股 票期权数量为</w:t>
      </w:r>
      <w:r>
        <w:rPr>
          <w:rFonts w:ascii="Times New Roman" w:hAnsi="Times New Roman" w:cs="Times New Roman" w:eastAsia="Times New Roman" w:hint="default"/>
          <w:sz w:val="18"/>
          <w:szCs w:val="18"/>
        </w:rPr>
        <w:t>0</w:t>
      </w:r>
      <w:r>
        <w:rPr>
          <w:rFonts w:ascii="宋体" w:hAnsi="宋体" w:cs="宋体" w:eastAsia="宋体" w:hint="default"/>
          <w:sz w:val="18"/>
          <w:szCs w:val="18"/>
        </w:rPr>
        <w:t>份，公司注销未行权的股票期权</w:t>
      </w:r>
      <w:r>
        <w:rPr>
          <w:rFonts w:ascii="Times New Roman" w:hAnsi="Times New Roman" w:cs="Times New Roman" w:eastAsia="Times New Roman" w:hint="default"/>
          <w:sz w:val="18"/>
          <w:szCs w:val="18"/>
        </w:rPr>
        <w:t>2,150,712</w:t>
      </w:r>
      <w:r>
        <w:rPr>
          <w:rFonts w:ascii="宋体" w:hAnsi="宋体" w:cs="宋体" w:eastAsia="宋体" w:hint="default"/>
          <w:sz w:val="18"/>
          <w:szCs w:val="18"/>
        </w:rPr>
        <w:t>份。</w:t>
      </w:r>
    </w:p>
    <w:p>
      <w:pPr>
        <w:spacing w:before="13"/>
        <w:ind w:left="513" w:right="1114"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日，可行权权益工具的最佳估计数量为</w:t>
      </w:r>
      <w:r>
        <w:rPr>
          <w:rFonts w:ascii="Times New Roman" w:hAnsi="Times New Roman" w:cs="Times New Roman" w:eastAsia="Times New Roman" w:hint="default"/>
          <w:sz w:val="18"/>
          <w:szCs w:val="18"/>
        </w:rPr>
        <w:t>4,127,760</w:t>
      </w:r>
      <w:r>
        <w:rPr>
          <w:rFonts w:ascii="宋体" w:hAnsi="宋体" w:cs="宋体" w:eastAsia="宋体" w:hint="default"/>
          <w:sz w:val="18"/>
          <w:szCs w:val="18"/>
        </w:rPr>
        <w:t>份。</w:t>
      </w:r>
    </w:p>
    <w:p>
      <w:pPr>
        <w:spacing w:line="240" w:lineRule="auto" w:before="3"/>
        <w:rPr>
          <w:rFonts w:ascii="宋体" w:hAnsi="宋体" w:cs="宋体" w:eastAsia="宋体" w:hint="default"/>
          <w:sz w:val="24"/>
          <w:szCs w:val="24"/>
        </w:rPr>
      </w:pPr>
    </w:p>
    <w:p>
      <w:pPr>
        <w:spacing w:line="506" w:lineRule="auto" w:before="0"/>
        <w:ind w:left="153" w:right="8344" w:firstLine="0"/>
        <w:jc w:val="left"/>
        <w:rPr>
          <w:rFonts w:ascii="宋体" w:hAnsi="宋体" w:cs="宋体" w:eastAsia="宋体" w:hint="default"/>
          <w:sz w:val="18"/>
          <w:szCs w:val="18"/>
        </w:rPr>
      </w:pP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spacing w:line="240" w:lineRule="auto" w:before="7"/>
        <w:rPr>
          <w:rFonts w:ascii="宋体" w:hAnsi="宋体" w:cs="宋体" w:eastAsia="宋体" w:hint="default"/>
          <w:sz w:val="17"/>
          <w:szCs w:val="17"/>
        </w:rPr>
      </w:pPr>
    </w:p>
    <w:p>
      <w:pPr>
        <w:spacing w:line="300" w:lineRule="auto" w:before="0"/>
        <w:ind w:left="153" w:right="3868"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）资产负债表日存在的重要承诺</w:t>
      </w:r>
      <w:r>
        <w:rPr>
          <w:rFonts w:ascii="宋体" w:hAnsi="宋体" w:cs="宋体" w:eastAsia="宋体" w:hint="default"/>
          <w:b/>
          <w:bCs/>
          <w:w w:val="99"/>
          <w:sz w:val="18"/>
          <w:szCs w:val="18"/>
        </w:rPr>
        <w:t> </w:t>
      </w:r>
      <w:r>
        <w:rPr>
          <w:rFonts w:ascii="宋体" w:hAnsi="宋体" w:cs="宋体" w:eastAsia="宋体" w:hint="default"/>
          <w:sz w:val="18"/>
          <w:szCs w:val="18"/>
        </w:rPr>
        <w:t>因公司开展回购业务和融资融券业务，质押或受限的金融资产金额为</w:t>
      </w:r>
      <w:r>
        <w:rPr>
          <w:rFonts w:ascii="Times New Roman" w:hAnsi="Times New Roman" w:cs="Times New Roman" w:eastAsia="Times New Roman" w:hint="default"/>
          <w:sz w:val="18"/>
          <w:szCs w:val="18"/>
        </w:rPr>
        <w:t>151,138,747.23</w:t>
      </w:r>
      <w:r>
        <w:rPr>
          <w:rFonts w:ascii="宋体" w:hAnsi="宋体" w:cs="宋体" w:eastAsia="宋体" w:hint="default"/>
          <w:sz w:val="18"/>
          <w:szCs w:val="18"/>
        </w:rPr>
        <w:t>元。</w:t>
      </w:r>
    </w:p>
    <w:p>
      <w:pPr>
        <w:spacing w:line="240" w:lineRule="auto" w:before="11"/>
        <w:rPr>
          <w:rFonts w:ascii="宋体" w:hAnsi="宋体" w:cs="宋体" w:eastAsia="宋体" w:hint="default"/>
          <w:sz w:val="24"/>
          <w:szCs w:val="24"/>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）本公司因短期借款办理的资产抵押情况如下：</w:t>
      </w:r>
      <w:r>
        <w:rPr>
          <w:rFonts w:ascii="宋体" w:hAnsi="宋体" w:cs="宋体" w:eastAsia="宋体" w:hint="default"/>
          <w:sz w:val="18"/>
          <w:szCs w:val="18"/>
        </w:rPr>
      </w:r>
    </w:p>
    <w:p>
      <w:pPr>
        <w:spacing w:line="240" w:lineRule="auto" w:before="0"/>
        <w:rPr>
          <w:rFonts w:ascii="宋体" w:hAnsi="宋体" w:cs="宋体" w:eastAsia="宋体" w:hint="default"/>
          <w:b/>
          <w:bCs/>
          <w:sz w:val="28"/>
          <w:szCs w:val="28"/>
        </w:rPr>
      </w:pPr>
    </w:p>
    <w:tbl>
      <w:tblPr>
        <w:tblW w:w="0" w:type="auto"/>
        <w:jc w:val="left"/>
        <w:tblInd w:w="153" w:type="dxa"/>
        <w:tblLayout w:type="fixed"/>
        <w:tblCellMar>
          <w:top w:w="0" w:type="dxa"/>
          <w:left w:w="0" w:type="dxa"/>
          <w:bottom w:w="0" w:type="dxa"/>
          <w:right w:w="0" w:type="dxa"/>
        </w:tblCellMar>
        <w:tblLook w:val="01E0"/>
      </w:tblPr>
      <w:tblGrid>
        <w:gridCol w:w="2263"/>
        <w:gridCol w:w="1277"/>
        <w:gridCol w:w="1277"/>
        <w:gridCol w:w="3258"/>
        <w:gridCol w:w="1555"/>
      </w:tblGrid>
      <w:tr>
        <w:trPr>
          <w:trHeight w:val="341" w:hRule="exact"/>
        </w:trPr>
        <w:tc>
          <w:tcPr>
            <w:tcW w:w="2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right="67"/>
              <w:jc w:val="right"/>
              <w:rPr>
                <w:rFonts w:ascii="宋体" w:hAnsi="宋体" w:cs="宋体" w:eastAsia="宋体" w:hint="default"/>
                <w:sz w:val="16"/>
                <w:szCs w:val="16"/>
              </w:rPr>
            </w:pPr>
            <w:r>
              <w:rPr>
                <w:rFonts w:ascii="宋体" w:hAnsi="宋体" w:cs="宋体" w:eastAsia="宋体" w:hint="default"/>
                <w:spacing w:val="-1"/>
                <w:sz w:val="16"/>
                <w:szCs w:val="16"/>
              </w:rPr>
              <w:t>借款余额（元）</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left="232" w:right="0"/>
              <w:jc w:val="left"/>
              <w:rPr>
                <w:rFonts w:ascii="宋体" w:hAnsi="宋体" w:cs="宋体" w:eastAsia="宋体" w:hint="default"/>
                <w:sz w:val="16"/>
                <w:szCs w:val="16"/>
              </w:rPr>
            </w:pPr>
            <w:r>
              <w:rPr>
                <w:rFonts w:ascii="宋体" w:hAnsi="宋体" w:cs="宋体" w:eastAsia="宋体" w:hint="default"/>
                <w:sz w:val="16"/>
                <w:szCs w:val="16"/>
              </w:rPr>
              <w:t>担保抵押人</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left="1" w:right="0"/>
              <w:jc w:val="center"/>
              <w:rPr>
                <w:rFonts w:ascii="宋体" w:hAnsi="宋体" w:cs="宋体" w:eastAsia="宋体" w:hint="default"/>
                <w:sz w:val="16"/>
                <w:szCs w:val="16"/>
              </w:rPr>
            </w:pPr>
            <w:r>
              <w:rPr>
                <w:rFonts w:ascii="宋体" w:hAnsi="宋体" w:cs="宋体" w:eastAsia="宋体" w:hint="default"/>
                <w:sz w:val="16"/>
                <w:szCs w:val="16"/>
              </w:rPr>
              <w:t>抵押物名称</w:t>
            </w:r>
          </w:p>
        </w:tc>
        <w:tc>
          <w:tcPr>
            <w:tcW w:w="1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left="213" w:right="0"/>
              <w:jc w:val="left"/>
              <w:rPr>
                <w:rFonts w:ascii="宋体" w:hAnsi="宋体" w:cs="宋体" w:eastAsia="宋体" w:hint="default"/>
                <w:sz w:val="16"/>
                <w:szCs w:val="16"/>
              </w:rPr>
            </w:pPr>
            <w:r>
              <w:rPr>
                <w:rFonts w:ascii="宋体" w:hAnsi="宋体" w:cs="宋体" w:eastAsia="宋体" w:hint="default"/>
                <w:sz w:val="16"/>
                <w:szCs w:val="16"/>
              </w:rPr>
              <w:t>抵押金额（元）</w:t>
            </w:r>
          </w:p>
        </w:tc>
      </w:tr>
      <w:tr>
        <w:trPr>
          <w:trHeight w:val="656"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pacing w:val="-1"/>
                <w:sz w:val="16"/>
                <w:szCs w:val="16"/>
              </w:rPr>
              <w:t>招商银行股份有限公司上海分行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2"/>
              <w:jc w:val="right"/>
              <w:rPr>
                <w:rFonts w:ascii="Times New Roman" w:hAnsi="Times New Roman" w:cs="Times New Roman" w:eastAsia="Times New Roman" w:hint="default"/>
                <w:sz w:val="16"/>
                <w:szCs w:val="16"/>
              </w:rPr>
            </w:pPr>
            <w:r>
              <w:rPr>
                <w:rFonts w:ascii="Times New Roman"/>
                <w:spacing w:val="-1"/>
                <w:sz w:val="16"/>
              </w:rPr>
              <w:t>213,057,069.31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 w:right="0"/>
              <w:jc w:val="left"/>
              <w:rPr>
                <w:rFonts w:ascii="宋体" w:hAnsi="宋体" w:cs="宋体" w:eastAsia="宋体" w:hint="default"/>
                <w:sz w:val="16"/>
                <w:szCs w:val="16"/>
              </w:rPr>
            </w:pPr>
            <w:r>
              <w:rPr>
                <w:rFonts w:ascii="宋体" w:hAnsi="宋体" w:cs="宋体" w:eastAsia="宋体" w:hint="default"/>
                <w:sz w:val="16"/>
                <w:szCs w:val="16"/>
              </w:rPr>
              <w:t>东方财富</w:t>
            </w:r>
          </w:p>
        </w:tc>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38"/>
              <w:ind w:left="4" w:right="39"/>
              <w:jc w:val="left"/>
              <w:rPr>
                <w:rFonts w:ascii="宋体" w:hAnsi="宋体" w:cs="宋体" w:eastAsia="宋体" w:hint="default"/>
                <w:sz w:val="16"/>
                <w:szCs w:val="16"/>
              </w:rPr>
            </w:pPr>
            <w:r>
              <w:rPr>
                <w:rFonts w:ascii="宋体" w:hAnsi="宋体" w:cs="宋体" w:eastAsia="宋体" w:hint="default"/>
                <w:spacing w:val="-1"/>
                <w:sz w:val="16"/>
                <w:szCs w:val="16"/>
              </w:rPr>
              <w:t>上海市徐汇区宛平南路</w:t>
            </w:r>
            <w:r>
              <w:rPr>
                <w:rFonts w:ascii="Times New Roman" w:hAnsi="Times New Roman" w:cs="Times New Roman" w:eastAsia="Times New Roman" w:hint="default"/>
                <w:spacing w:val="-1"/>
                <w:sz w:val="16"/>
                <w:szCs w:val="16"/>
              </w:rPr>
              <w:t>86</w:t>
            </w:r>
            <w:r>
              <w:rPr>
                <w:rFonts w:ascii="宋体" w:hAnsi="宋体" w:cs="宋体" w:eastAsia="宋体" w:hint="default"/>
                <w:spacing w:val="-1"/>
                <w:sz w:val="16"/>
                <w:szCs w:val="16"/>
              </w:rPr>
              <w:t>号、</w:t>
            </w:r>
            <w:r>
              <w:rPr>
                <w:rFonts w:ascii="Times New Roman" w:hAnsi="Times New Roman" w:cs="Times New Roman" w:eastAsia="Times New Roman" w:hint="default"/>
                <w:spacing w:val="-1"/>
                <w:sz w:val="16"/>
                <w:szCs w:val="16"/>
              </w:rPr>
              <w:t>88</w:t>
            </w:r>
            <w:r>
              <w:rPr>
                <w:rFonts w:ascii="宋体" w:hAnsi="宋体" w:cs="宋体" w:eastAsia="宋体" w:hint="default"/>
                <w:spacing w:val="-1"/>
                <w:sz w:val="16"/>
                <w:szCs w:val="16"/>
              </w:rPr>
              <w:t>号金座整幢房</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产及相关配套车位</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540" w:right="0"/>
              <w:jc w:val="left"/>
              <w:rPr>
                <w:rFonts w:ascii="Times New Roman" w:hAnsi="Times New Roman" w:cs="Times New Roman" w:eastAsia="Times New Roman" w:hint="default"/>
                <w:sz w:val="16"/>
                <w:szCs w:val="16"/>
              </w:rPr>
            </w:pPr>
            <w:r>
              <w:rPr>
                <w:rFonts w:ascii="Times New Roman"/>
                <w:sz w:val="16"/>
              </w:rPr>
              <w:t>700,000,000.00</w:t>
            </w:r>
          </w:p>
        </w:tc>
      </w:tr>
    </w:tbl>
    <w:p>
      <w:pPr>
        <w:spacing w:line="240" w:lineRule="auto" w:before="3"/>
        <w:rPr>
          <w:rFonts w:ascii="宋体" w:hAnsi="宋体" w:cs="宋体" w:eastAsia="宋体" w:hint="default"/>
          <w:b/>
          <w:bCs/>
          <w:sz w:val="19"/>
          <w:szCs w:val="19"/>
        </w:rPr>
      </w:pPr>
    </w:p>
    <w:p>
      <w:pPr>
        <w:pStyle w:val="Heading5"/>
        <w:spacing w:line="240" w:lineRule="auto"/>
        <w:ind w:right="0"/>
        <w:jc w:val="both"/>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right="0"/>
        <w:jc w:val="both"/>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spacing w:line="300" w:lineRule="auto" w:before="0"/>
        <w:ind w:left="513" w:right="112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“13</w:t>
      </w:r>
      <w:r>
        <w:rPr>
          <w:rFonts w:ascii="宋体" w:hAnsi="宋体" w:cs="宋体" w:eastAsia="宋体" w:hint="default"/>
          <w:b/>
          <w:bCs/>
          <w:sz w:val="18"/>
          <w:szCs w:val="18"/>
        </w:rPr>
        <w:t>天威</w:t>
      </w:r>
      <w:r>
        <w:rPr>
          <w:rFonts w:ascii="Times New Roman" w:hAnsi="Times New Roman" w:cs="Times New Roman" w:eastAsia="Times New Roman" w:hint="default"/>
          <w:b/>
          <w:bCs/>
          <w:sz w:val="18"/>
          <w:szCs w:val="18"/>
        </w:rPr>
        <w:t>PPN001”</w:t>
      </w:r>
      <w:r>
        <w:rPr>
          <w:rFonts w:ascii="Times New Roman" w:hAnsi="Times New Roman" w:cs="Times New Roman" w:eastAsia="Times New Roman" w:hint="default"/>
          <w:b/>
          <w:bCs/>
          <w:spacing w:val="29"/>
          <w:sz w:val="18"/>
          <w:szCs w:val="18"/>
        </w:rPr>
        <w:t> </w:t>
      </w:r>
      <w:r>
        <w:rPr>
          <w:rFonts w:ascii="宋体" w:hAnsi="宋体" w:cs="宋体" w:eastAsia="宋体" w:hint="default"/>
          <w:b/>
          <w:bCs/>
          <w:sz w:val="18"/>
          <w:szCs w:val="18"/>
        </w:rPr>
        <w:t>债务违约事项</w:t>
      </w:r>
      <w:r>
        <w:rPr>
          <w:rFonts w:ascii="宋体" w:hAnsi="宋体" w:cs="宋体" w:eastAsia="宋体" w:hint="default"/>
          <w:b/>
          <w:bCs/>
          <w:w w:val="99"/>
          <w:sz w:val="18"/>
          <w:szCs w:val="18"/>
        </w:rPr>
        <w:t> </w:t>
      </w:r>
      <w:r>
        <w:rPr>
          <w:rFonts w:ascii="宋体" w:hAnsi="宋体" w:cs="宋体" w:eastAsia="宋体" w:hint="default"/>
          <w:sz w:val="18"/>
          <w:szCs w:val="18"/>
        </w:rPr>
        <w:t>东方财富证券于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月以人民币</w:t>
      </w:r>
      <w:r>
        <w:rPr>
          <w:rFonts w:ascii="Times New Roman" w:hAnsi="Times New Roman" w:cs="Times New Roman" w:eastAsia="Times New Roman" w:hint="default"/>
          <w:sz w:val="18"/>
          <w:szCs w:val="18"/>
        </w:rPr>
        <w:t>59,702,000.00</w:t>
      </w:r>
      <w:r>
        <w:rPr>
          <w:rFonts w:ascii="宋体" w:hAnsi="宋体" w:cs="宋体" w:eastAsia="宋体" w:hint="default"/>
          <w:sz w:val="18"/>
          <w:szCs w:val="18"/>
        </w:rPr>
        <w:t>元购买天威集团发行的面值为</w:t>
      </w:r>
      <w:r>
        <w:rPr>
          <w:rFonts w:ascii="Times New Roman" w:hAnsi="Times New Roman" w:cs="Times New Roman" w:eastAsia="Times New Roman" w:hint="default"/>
          <w:sz w:val="18"/>
          <w:szCs w:val="18"/>
        </w:rPr>
        <w:t>6,000</w:t>
      </w:r>
      <w:r>
        <w:rPr>
          <w:rFonts w:ascii="宋体" w:hAnsi="宋体" w:cs="宋体" w:eastAsia="宋体" w:hint="default"/>
          <w:sz w:val="18"/>
          <w:szCs w:val="18"/>
        </w:rPr>
        <w:t>万元的</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年度第一期非公开定向</w:t>
      </w:r>
    </w:p>
    <w:p>
      <w:pPr>
        <w:spacing w:line="300" w:lineRule="auto" w:before="13"/>
        <w:ind w:left="153" w:right="1130" w:firstLine="0"/>
        <w:jc w:val="both"/>
        <w:rPr>
          <w:rFonts w:ascii="宋体" w:hAnsi="宋体" w:cs="宋体" w:eastAsia="宋体" w:hint="default"/>
          <w:sz w:val="18"/>
          <w:szCs w:val="18"/>
        </w:rPr>
      </w:pPr>
      <w:r>
        <w:rPr>
          <w:rFonts w:ascii="宋体" w:hAnsi="宋体" w:cs="宋体" w:eastAsia="宋体" w:hint="default"/>
          <w:sz w:val="18"/>
          <w:szCs w:val="18"/>
        </w:rPr>
        <w:t>债务融资工具（以下简称</w:t>
      </w:r>
      <w:r>
        <w:rPr>
          <w:rFonts w:ascii="Times New Roman" w:hAnsi="Times New Roman" w:cs="Times New Roman" w:eastAsia="Times New Roman" w:hint="default"/>
          <w:sz w:val="18"/>
          <w:szCs w:val="18"/>
        </w:rPr>
        <w:t>“13</w:t>
      </w:r>
      <w:r>
        <w:rPr>
          <w:rFonts w:ascii="宋体" w:hAnsi="宋体" w:cs="宋体" w:eastAsia="宋体" w:hint="default"/>
          <w:sz w:val="18"/>
          <w:szCs w:val="18"/>
        </w:rPr>
        <w:t>天威</w:t>
      </w:r>
      <w:r>
        <w:rPr>
          <w:rFonts w:ascii="Times New Roman" w:hAnsi="Times New Roman" w:cs="Times New Roman" w:eastAsia="Times New Roman" w:hint="default"/>
          <w:sz w:val="18"/>
          <w:szCs w:val="18"/>
        </w:rPr>
        <w:t>PPN001”</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天威</w:t>
      </w:r>
      <w:r>
        <w:rPr>
          <w:rFonts w:ascii="Times New Roman" w:hAnsi="Times New Roman" w:cs="Times New Roman" w:eastAsia="Times New Roman" w:hint="default"/>
          <w:sz w:val="18"/>
          <w:szCs w:val="18"/>
        </w:rPr>
        <w:t>PPN001”</w:t>
      </w:r>
      <w:r>
        <w:rPr>
          <w:rFonts w:ascii="宋体" w:hAnsi="宋体" w:cs="宋体" w:eastAsia="宋体" w:hint="default"/>
          <w:sz w:val="18"/>
          <w:szCs w:val="18"/>
        </w:rPr>
        <w:t>存续期间，由于天威集团财务状况出现严重恶化，偿债能力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存在重大不确定性，</w:t>
      </w:r>
      <w:r>
        <w:rPr>
          <w:rFonts w:ascii="Times New Roman" w:hAnsi="Times New Roman" w:cs="Times New Roman" w:eastAsia="Times New Roman" w:hint="default"/>
          <w:sz w:val="18"/>
          <w:szCs w:val="18"/>
        </w:rPr>
        <w:t>“13</w:t>
      </w:r>
      <w:r>
        <w:rPr>
          <w:rFonts w:ascii="宋体" w:hAnsi="宋体" w:cs="宋体" w:eastAsia="宋体" w:hint="default"/>
          <w:sz w:val="18"/>
          <w:szCs w:val="18"/>
        </w:rPr>
        <w:t>天威</w:t>
      </w:r>
      <w:r>
        <w:rPr>
          <w:rFonts w:ascii="Times New Roman" w:hAnsi="Times New Roman" w:cs="Times New Roman" w:eastAsia="Times New Roman" w:hint="default"/>
          <w:sz w:val="18"/>
          <w:szCs w:val="18"/>
        </w:rPr>
        <w:t>PPN001”</w:t>
      </w:r>
      <w:r>
        <w:rPr>
          <w:rFonts w:ascii="宋体" w:hAnsi="宋体" w:cs="宋体" w:eastAsia="宋体" w:hint="default"/>
          <w:sz w:val="18"/>
          <w:szCs w:val="18"/>
        </w:rPr>
        <w:t>持有人会议于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月通过决议，宣布该债项于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日提前到期。因天威集</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团未能偿还其到期债务，各持有人作为共同提起仲裁，中国国际经济贸易仲裁委员会于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日受理。</w:t>
      </w:r>
    </w:p>
    <w:p>
      <w:pPr>
        <w:spacing w:line="309" w:lineRule="auto" w:before="13"/>
        <w:ind w:left="153" w:right="112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月，河北省保定市中级人民法院受理了天威集团的破产重整申请，因此原申请之仲裁程序中止。经与兴业银行 以及仲裁代理律师协商，本公司参照定向债务融资工具其他持有人已经生效的裁决结果向天威集团破产管理人申报债权</w:t>
      </w:r>
      <w:r>
        <w:rPr>
          <w:rFonts w:ascii="宋体" w:hAnsi="宋体" w:cs="宋体" w:eastAsia="宋体" w:hint="default"/>
          <w:spacing w:val="7"/>
          <w:sz w:val="18"/>
          <w:szCs w:val="18"/>
        </w:rPr>
        <w:t> </w:t>
      </w:r>
      <w:r>
        <w:rPr>
          <w:rFonts w:ascii="宋体" w:hAnsi="宋体" w:cs="宋体" w:eastAsia="宋体" w:hint="default"/>
          <w:sz w:val="18"/>
          <w:szCs w:val="18"/>
        </w:rPr>
        <w:t>，</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并向中国国际经济贸易仲裁委员会申请撤回仲裁申请。</w:t>
      </w:r>
    </w:p>
    <w:p>
      <w:pPr>
        <w:spacing w:line="316" w:lineRule="auto" w:before="24"/>
        <w:ind w:left="153" w:right="1133" w:firstLine="360"/>
        <w:jc w:val="both"/>
        <w:rPr>
          <w:rFonts w:ascii="宋体" w:hAnsi="宋体" w:cs="宋体" w:eastAsia="宋体" w:hint="default"/>
          <w:sz w:val="18"/>
          <w:szCs w:val="18"/>
        </w:rPr>
      </w:pPr>
      <w:r>
        <w:rPr>
          <w:rFonts w:ascii="宋体" w:hAnsi="宋体" w:cs="宋体" w:eastAsia="宋体" w:hint="default"/>
          <w:spacing w:val="-2"/>
          <w:sz w:val="18"/>
          <w:szCs w:val="18"/>
        </w:rPr>
        <w:t>截至本财务报告批准日，天威集团破产重整尚未完成，东方财富证券尚未收到上述债券本金、利息及违约金，该等债权</w:t>
      </w:r>
      <w:r>
        <w:rPr>
          <w:rFonts w:ascii="宋体" w:hAnsi="宋体" w:cs="宋体" w:eastAsia="宋体" w:hint="default"/>
          <w:sz w:val="18"/>
          <w:szCs w:val="18"/>
        </w:rPr>
        <w:t> 收回的金额尚不能确定。</w:t>
      </w:r>
    </w:p>
    <w:p>
      <w:pPr>
        <w:spacing w:line="300" w:lineRule="auto" w:before="19"/>
        <w:ind w:left="153" w:right="1132"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关于该项债权，本公司购买东方财富证券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股权时，东方财富证券原股东宇通集团向本公司不可撤销地作出承诺： </w:t>
      </w:r>
      <w:r>
        <w:rPr>
          <w:rFonts w:ascii="Times New Roman" w:hAnsi="Times New Roman" w:cs="Times New Roman" w:eastAsia="Times New Roman" w:hint="default"/>
          <w:sz w:val="18"/>
          <w:szCs w:val="18"/>
        </w:rPr>
        <w:t>“</w:t>
      </w:r>
      <w:r>
        <w:rPr>
          <w:rFonts w:ascii="宋体" w:hAnsi="宋体" w:cs="宋体" w:eastAsia="宋体" w:hint="default"/>
          <w:sz w:val="18"/>
          <w:szCs w:val="18"/>
        </w:rPr>
        <w:t>对于东方财富证券以自有资金购买的天威集团定向工具，相关仲裁完成后，如果天威集团就该部分天威集团定向工具向东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方财富证券偿还的金额不足人民币</w:t>
      </w:r>
      <w:r>
        <w:rPr>
          <w:rFonts w:ascii="Times New Roman" w:hAnsi="Times New Roman" w:cs="Times New Roman" w:eastAsia="Times New Roman" w:hint="default"/>
          <w:sz w:val="18"/>
          <w:szCs w:val="18"/>
        </w:rPr>
        <w:t>58,559,940.00</w:t>
      </w:r>
      <w:r>
        <w:rPr>
          <w:rFonts w:ascii="宋体" w:hAnsi="宋体" w:cs="宋体" w:eastAsia="宋体" w:hint="default"/>
          <w:sz w:val="18"/>
          <w:szCs w:val="18"/>
        </w:rPr>
        <w:t>元（即截至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日天威集团定向工具账面价值及应收利息合计金</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2"/>
          <w:sz w:val="18"/>
          <w:szCs w:val="18"/>
        </w:rPr>
        <w:t>额），宇通集团将在收到本公司书面付款通知之日起</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个工作日内，以现金方式向东方财富证券足额补偿该等天威集团定向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工具实际偿还金额与人民币</w:t>
      </w:r>
      <w:r>
        <w:rPr>
          <w:rFonts w:ascii="Times New Roman" w:hAnsi="Times New Roman" w:cs="Times New Roman" w:eastAsia="Times New Roman" w:hint="default"/>
          <w:sz w:val="18"/>
          <w:szCs w:val="18"/>
        </w:rPr>
        <w:t>58,559,940.00</w:t>
      </w:r>
      <w:r>
        <w:rPr>
          <w:rFonts w:ascii="宋体" w:hAnsi="宋体" w:cs="宋体" w:eastAsia="宋体" w:hint="default"/>
          <w:sz w:val="18"/>
          <w:szCs w:val="18"/>
        </w:rPr>
        <w:t>元之间的差额，以及东方财富证券承担的与该仲裁事项相关的仲裁费用。</w:t>
      </w:r>
      <w:r>
        <w:rPr>
          <w:rFonts w:ascii="Times New Roman" w:hAnsi="Times New Roman" w:cs="Times New Roman" w:eastAsia="Times New Roman" w:hint="default"/>
          <w:sz w:val="18"/>
          <w:szCs w:val="18"/>
        </w:rPr>
        <w:t>”</w:t>
      </w:r>
    </w:p>
    <w:p>
      <w:pPr>
        <w:spacing w:after="0" w:line="300" w:lineRule="auto"/>
        <w:jc w:val="both"/>
        <w:rPr>
          <w:rFonts w:ascii="Times New Roman" w:hAnsi="Times New Roman" w:cs="Times New Roman" w:eastAsia="Times New Roman" w:hint="default"/>
          <w:sz w:val="18"/>
          <w:szCs w:val="18"/>
        </w:rPr>
        <w:sectPr>
          <w:pgSz w:w="11910" w:h="16840"/>
          <w:pgMar w:header="852" w:footer="979" w:top="1260" w:bottom="1160" w:left="980" w:right="0"/>
        </w:sectPr>
      </w:pPr>
    </w:p>
    <w:p>
      <w:pPr>
        <w:pStyle w:val="Heading3"/>
        <w:spacing w:line="240" w:lineRule="auto" w:before="124"/>
        <w:ind w:right="0"/>
        <w:jc w:val="both"/>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0"/>
        <w:jc w:val="both"/>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2"/>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）以未来实施权益分派股权登记日的总股本为基数，用资本公积金向全体股东每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股。</w:t>
      </w:r>
    </w:p>
    <w:p>
      <w:pPr>
        <w:spacing w:before="103"/>
        <w:ind w:left="153"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）以未来实施权益分派股权登记日的总股本为基数，向全体股东每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0"/>
        <w:jc w:val="both"/>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right="0"/>
        <w:jc w:val="both"/>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313"/>
        <w:jc w:val="both"/>
      </w:pPr>
      <w:r>
        <w:rPr>
          <w:spacing w:val="-2"/>
        </w:rPr>
        <w:t>根据本公司的内部组织结构、管理要求及内部报告制度确定经营分部，各个报告分部分别提供不同的产</w:t>
      </w:r>
      <w:r>
        <w:rPr>
          <w:spacing w:val="-21"/>
        </w:rPr>
        <w:t> </w:t>
      </w:r>
      <w:r>
        <w:rPr>
          <w:spacing w:val="-21"/>
        </w:rPr>
      </w:r>
      <w:r>
        <w:rPr>
          <w:spacing w:val="-2"/>
        </w:rPr>
        <w:t>品或服务，本公司以产品或服务内容确定报告分部，但因相关业务混合经营，故资产总额和负债总额及</w:t>
      </w:r>
      <w:r>
        <w:rPr>
          <w:spacing w:val="-21"/>
        </w:rPr>
        <w:t> </w:t>
      </w:r>
      <w:r>
        <w:rPr>
          <w:spacing w:val="-21"/>
        </w:rPr>
      </w:r>
      <w:r>
        <w:rPr/>
        <w:t>期间费用未进行分配。</w:t>
      </w:r>
    </w:p>
    <w:p>
      <w:pPr>
        <w:spacing w:line="240" w:lineRule="auto" w:before="7"/>
        <w:rPr>
          <w:rFonts w:ascii="宋体" w:hAnsi="宋体" w:cs="宋体" w:eastAsia="宋体" w:hint="default"/>
          <w:sz w:val="23"/>
          <w:szCs w:val="23"/>
        </w:rPr>
      </w:pPr>
    </w:p>
    <w:p>
      <w:pPr>
        <w:pStyle w:val="Heading5"/>
        <w:spacing w:line="240" w:lineRule="auto" w:before="0"/>
        <w:ind w:right="0"/>
        <w:jc w:val="both"/>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1375"/>
        <w:gridCol w:w="1378"/>
        <w:gridCol w:w="1378"/>
        <w:gridCol w:w="1536"/>
        <w:gridCol w:w="1421"/>
        <w:gridCol w:w="1172"/>
        <w:gridCol w:w="1370"/>
      </w:tblGrid>
      <w:tr>
        <w:trPr>
          <w:trHeight w:val="402" w:hRule="exact"/>
        </w:trPr>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金融数据服务</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互联网广告服务</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41"/>
              <w:jc w:val="right"/>
              <w:rPr>
                <w:rFonts w:ascii="宋体" w:hAnsi="宋体" w:cs="宋体" w:eastAsia="宋体" w:hint="default"/>
                <w:sz w:val="18"/>
                <w:szCs w:val="18"/>
              </w:rPr>
            </w:pPr>
            <w:r>
              <w:rPr>
                <w:rFonts w:ascii="宋体" w:hAnsi="宋体" w:cs="宋体" w:eastAsia="宋体" w:hint="default"/>
                <w:sz w:val="18"/>
                <w:szCs w:val="18"/>
              </w:rPr>
              <w:t>金融电子商务服务</w:t>
            </w:r>
          </w:p>
        </w:tc>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证券业务</w:t>
            </w:r>
          </w:p>
        </w:tc>
        <w:tc>
          <w:tcPr>
            <w:tcW w:w="1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159,682,454.63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71,011,246.00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1,065,419,166.35</w:t>
            </w:r>
          </w:p>
        </w:tc>
        <w:tc>
          <w:tcPr>
            <w:tcW w:w="1421"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13,467,849.95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1,309,580,716.93</w:t>
            </w:r>
          </w:p>
        </w:tc>
      </w:tr>
      <w:tr>
        <w:trPr>
          <w:trHeight w:val="404" w:hRule="exact"/>
        </w:trPr>
        <w:tc>
          <w:tcPr>
            <w:tcW w:w="13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617,657,409.76</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657,831.14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618,315,240.90</w:t>
            </w:r>
          </w:p>
        </w:tc>
      </w:tr>
      <w:tr>
        <w:trPr>
          <w:trHeight w:val="713" w:hRule="exact"/>
        </w:trPr>
        <w:tc>
          <w:tcPr>
            <w:tcW w:w="13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手续费及佣金净 收入</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1,195,491,439.90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58,609.69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1,195,550,049.59</w:t>
            </w:r>
          </w:p>
        </w:tc>
      </w:tr>
      <w:tr>
        <w:trPr>
          <w:trHeight w:val="403" w:hRule="exact"/>
        </w:trPr>
        <w:tc>
          <w:tcPr>
            <w:tcW w:w="13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营业总收入合计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159,682,454.63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71,011,246.00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1,065,419,166.35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1,813,148,849.66</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14,184,290.78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3,123,446,007.42</w:t>
            </w:r>
          </w:p>
        </w:tc>
      </w:tr>
      <w:tr>
        <w:trPr>
          <w:trHeight w:val="401" w:hRule="exact"/>
        </w:trPr>
        <w:tc>
          <w:tcPr>
            <w:tcW w:w="13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195,346,610.52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75,825,876.86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93,615,216.36</w:t>
            </w:r>
          </w:p>
        </w:tc>
        <w:tc>
          <w:tcPr>
            <w:tcW w:w="1421"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6,548,021.79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371,335,725.53</w:t>
            </w:r>
          </w:p>
        </w:tc>
      </w:tr>
      <w:tr>
        <w:trPr>
          <w:trHeight w:val="403" w:hRule="exact"/>
        </w:trPr>
        <w:tc>
          <w:tcPr>
            <w:tcW w:w="13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营业成本合计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195,346,610.52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75,825,876.86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93,615,216.36</w:t>
            </w:r>
          </w:p>
        </w:tc>
        <w:tc>
          <w:tcPr>
            <w:tcW w:w="1421"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6,548,021.79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371,335,725.53</w:t>
            </w:r>
          </w:p>
        </w:tc>
      </w:tr>
    </w:tbl>
    <w:p>
      <w:pPr>
        <w:spacing w:line="240" w:lineRule="auto" w:before="1"/>
        <w:rPr>
          <w:rFonts w:ascii="宋体" w:hAnsi="宋体" w:cs="宋体" w:eastAsia="宋体" w:hint="default"/>
          <w:sz w:val="18"/>
          <w:szCs w:val="18"/>
        </w:rPr>
      </w:pPr>
    </w:p>
    <w:p>
      <w:pPr>
        <w:pStyle w:val="Heading3"/>
        <w:spacing w:line="240" w:lineRule="auto" w:before="26"/>
        <w:ind w:right="1114"/>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14,496,236.03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337,764,466.09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14,496,236.03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337,764,466.09</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2"/>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after="0"/>
        <w:jc w:val="left"/>
        <w:rPr>
          <w:rFonts w:ascii="宋体" w:hAnsi="宋体" w:cs="宋体" w:eastAsia="宋体" w:hint="default"/>
          <w:sz w:val="18"/>
          <w:szCs w:val="18"/>
        </w:rPr>
        <w:sectPr>
          <w:pgSz w:w="11910" w:h="16840"/>
          <w:pgMar w:header="852" w:footer="979" w:top="1260" w:bottom="1160" w:left="980" w:right="0"/>
        </w:sectPr>
      </w:pPr>
    </w:p>
    <w:p>
      <w:pPr>
        <w:spacing w:line="240" w:lineRule="auto" w:before="10"/>
        <w:rPr>
          <w:rFonts w:ascii="宋体" w:hAnsi="宋体" w:cs="宋体" w:eastAsia="宋体" w:hint="default"/>
          <w:sz w:val="9"/>
          <w:szCs w:val="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635"/>
        <w:gridCol w:w="763"/>
        <w:gridCol w:w="761"/>
        <w:gridCol w:w="763"/>
        <w:gridCol w:w="761"/>
        <w:gridCol w:w="790"/>
        <w:gridCol w:w="655"/>
        <w:gridCol w:w="761"/>
        <w:gridCol w:w="814"/>
        <w:gridCol w:w="931"/>
        <w:gridCol w:w="934"/>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8"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19,635,7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96.74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98.99%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5,139,56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26.17%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14,496,23</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6.03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344,684</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,584.11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99.79%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6,920,118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337,764,46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6.09</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737,500</w:t>
            </w:r>
          </w:p>
          <w:p>
            <w:pPr>
              <w:pStyle w:val="TableParagraph"/>
              <w:spacing w:line="240" w:lineRule="auto" w:before="102"/>
              <w:ind w:left="395"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737,500.0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19,835,7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96.74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5,339,56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0.71</w:t>
            </w: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14,496,23</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6.03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345,422</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,084.11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7,657,618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93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337,764,46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6.09</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260" w:bottom="116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4294" w:space="4535"/>
            <w:col w:w="2101"/>
          </w:cols>
        </w:sectPr>
      </w:pP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494"/>
        <w:gridCol w:w="2294"/>
        <w:gridCol w:w="2391"/>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7"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4"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7,774,728.44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388,736.42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589,230.00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4,600,748.00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2,300,374.00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1,861,220.29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1,861,220.29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16,200,796.73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5,139,560.71</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360" w:lineRule="auto"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50" w:lineRule="auto" w:before="25"/>
        <w:ind w:left="153" w:right="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 组合中，集团公司内部往来形成的应收款项：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1"/>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8"/>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4474" w:space="4374"/>
            <w:col w:w="2082"/>
          </w:cols>
        </w:sectPr>
      </w:pPr>
    </w:p>
    <w:p>
      <w:pPr>
        <w:spacing w:line="240" w:lineRule="auto" w:before="3"/>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3795"/>
        <w:gridCol w:w="2446"/>
        <w:gridCol w:w="1923"/>
        <w:gridCol w:w="1466"/>
      </w:tblGrid>
      <w:tr>
        <w:trPr>
          <w:trHeight w:val="490" w:hRule="exact"/>
        </w:trPr>
        <w:tc>
          <w:tcPr>
            <w:tcW w:w="379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83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3795" w:type="dxa"/>
            <w:vMerge/>
            <w:tcBorders>
              <w:left w:val="single" w:sz="4" w:space="0" w:color="000000"/>
              <w:bottom w:val="single" w:sz="4" w:space="0" w:color="000000"/>
              <w:right w:val="single" w:sz="4" w:space="0" w:color="000000"/>
            </w:tcBorders>
            <w:shd w:val="clear" w:color="auto" w:fill="D9D9D9"/>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9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490" w:hRule="exact"/>
        </w:trPr>
        <w:tc>
          <w:tcPr>
            <w:tcW w:w="3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东财研究所</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1,590,000.00</w:t>
            </w:r>
          </w:p>
        </w:tc>
        <w:tc>
          <w:tcPr>
            <w:tcW w:w="192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置业公司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78,000.00</w:t>
            </w:r>
          </w:p>
        </w:tc>
        <w:tc>
          <w:tcPr>
            <w:tcW w:w="192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东方财富征信有限公司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1,767,000.01</w:t>
            </w:r>
          </w:p>
        </w:tc>
        <w:tc>
          <w:tcPr>
            <w:tcW w:w="192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7"/>
        <w:rPr>
          <w:rFonts w:ascii="宋体" w:hAnsi="宋体" w:cs="宋体" w:eastAsia="宋体" w:hint="default"/>
          <w:sz w:val="12"/>
          <w:szCs w:val="12"/>
        </w:rPr>
      </w:pPr>
    </w:p>
    <w:tbl>
      <w:tblPr>
        <w:tblW w:w="0" w:type="auto"/>
        <w:jc w:val="left"/>
        <w:tblInd w:w="154" w:type="dxa"/>
        <w:tblLayout w:type="fixed"/>
        <w:tblCellMar>
          <w:top w:w="0" w:type="dxa"/>
          <w:left w:w="0" w:type="dxa"/>
          <w:bottom w:w="0" w:type="dxa"/>
          <w:right w:w="0" w:type="dxa"/>
        </w:tblCellMar>
        <w:tblLook w:val="01E0"/>
      </w:tblPr>
      <w:tblGrid>
        <w:gridCol w:w="3794"/>
        <w:gridCol w:w="2446"/>
        <w:gridCol w:w="1923"/>
        <w:gridCol w:w="1466"/>
      </w:tblGrid>
      <w:tr>
        <w:trPr>
          <w:trHeight w:val="490" w:hRule="exact"/>
        </w:trPr>
        <w:tc>
          <w:tcPr>
            <w:tcW w:w="379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83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1" w:hRule="exact"/>
        </w:trPr>
        <w:tc>
          <w:tcPr>
            <w:tcW w:w="3794" w:type="dxa"/>
            <w:vMerge/>
            <w:tcBorders>
              <w:left w:val="single" w:sz="4" w:space="0" w:color="000000"/>
              <w:bottom w:val="single" w:sz="4" w:space="0" w:color="000000"/>
              <w:right w:val="single" w:sz="4" w:space="0" w:color="000000"/>
            </w:tcBorders>
            <w:shd w:val="clear" w:color="auto" w:fill="D9D9D9"/>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9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491" w:hRule="exact"/>
        </w:trPr>
        <w:tc>
          <w:tcPr>
            <w:tcW w:w="3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387" w:right="0"/>
              <w:jc w:val="left"/>
              <w:rPr>
                <w:rFonts w:ascii="Times New Roman" w:hAnsi="Times New Roman" w:cs="Times New Roman" w:eastAsia="Times New Roman" w:hint="default"/>
                <w:sz w:val="18"/>
                <w:szCs w:val="18"/>
              </w:rPr>
            </w:pPr>
            <w:r>
              <w:rPr>
                <w:rFonts w:ascii="Times New Roman"/>
                <w:sz w:val="18"/>
              </w:rPr>
              <w:t>3,435,000.01</w:t>
            </w:r>
          </w:p>
        </w:tc>
        <w:tc>
          <w:tcPr>
            <w:tcW w:w="192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60" w:bottom="1160" w:left="980" w:right="0"/>
        </w:sectPr>
      </w:pPr>
    </w:p>
    <w:p>
      <w:pPr>
        <w:spacing w:before="49"/>
        <w:ind w:left="153" w:right="-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01"/>
        <w:ind w:left="153"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819,442.69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before="103"/>
        <w:ind w:left="153" w:right="-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6325" w:space="2504"/>
            <w:col w:w="2101"/>
          </w:cols>
        </w:sectPr>
      </w:pP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984"/>
        <w:gridCol w:w="4585"/>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3,137,500.00</w:t>
            </w:r>
          </w:p>
        </w:tc>
      </w:tr>
    </w:tbl>
    <w:p>
      <w:pPr>
        <w:spacing w:line="319" w:lineRule="auto" w:before="49"/>
        <w:ind w:left="153" w:right="116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r>
        <w:rPr>
          <w:rFonts w:ascii="宋体" w:hAnsi="宋体" w:cs="宋体" w:eastAsia="宋体" w:hint="default"/>
          <w:w w:val="99"/>
          <w:sz w:val="18"/>
          <w:szCs w:val="18"/>
        </w:rPr>
        <w:t> </w:t>
      </w:r>
      <w:r>
        <w:rPr>
          <w:rFonts w:ascii="宋体" w:hAnsi="宋体" w:cs="宋体" w:eastAsia="宋体" w:hint="default"/>
          <w:sz w:val="18"/>
          <w:szCs w:val="18"/>
        </w:rPr>
        <w:t>按欠款方集中度归集（不包含集团公司内部往来）的期末余额前五名应收账款汇总金额</w:t>
      </w:r>
      <w:r>
        <w:rPr>
          <w:rFonts w:ascii="Times New Roman" w:hAnsi="Times New Roman" w:cs="Times New Roman" w:eastAsia="Times New Roman" w:hint="default"/>
          <w:sz w:val="18"/>
          <w:szCs w:val="18"/>
        </w:rPr>
        <w:t>7,199,393.50</w:t>
      </w:r>
      <w:r>
        <w:rPr>
          <w:rFonts w:ascii="宋体" w:hAnsi="宋体" w:cs="宋体" w:eastAsia="宋体" w:hint="default"/>
          <w:sz w:val="18"/>
          <w:szCs w:val="18"/>
        </w:rPr>
        <w:t>元，占应收账款期末余</w:t>
      </w:r>
      <w:r>
        <w:rPr>
          <w:rFonts w:ascii="宋体" w:hAnsi="宋体" w:cs="宋体" w:eastAsia="宋体" w:hint="default"/>
          <w:w w:val="99"/>
          <w:sz w:val="18"/>
          <w:szCs w:val="18"/>
        </w:rPr>
        <w:t> </w:t>
      </w:r>
      <w:r>
        <w:rPr>
          <w:rFonts w:ascii="宋体" w:hAnsi="宋体" w:cs="宋体" w:eastAsia="宋体" w:hint="default"/>
          <w:sz w:val="18"/>
          <w:szCs w:val="18"/>
        </w:rPr>
        <w:t>额合计数的比例</w:t>
      </w:r>
      <w:r>
        <w:rPr>
          <w:rFonts w:ascii="Times New Roman" w:hAnsi="Times New Roman" w:cs="Times New Roman" w:eastAsia="Times New Roman" w:hint="default"/>
          <w:sz w:val="18"/>
          <w:szCs w:val="18"/>
        </w:rPr>
        <w:t>36.29%</w:t>
      </w:r>
      <w:r>
        <w:rPr>
          <w:rFonts w:ascii="宋体" w:hAnsi="宋体" w:cs="宋体" w:eastAsia="宋体" w:hint="default"/>
          <w:sz w:val="18"/>
          <w:szCs w:val="18"/>
        </w:rPr>
        <w:t>，相应计提的坏账准备期末余额汇总金额</w:t>
      </w:r>
      <w:r>
        <w:rPr>
          <w:rFonts w:ascii="Times New Roman" w:hAnsi="Times New Roman" w:cs="Times New Roman" w:eastAsia="Times New Roman" w:hint="default"/>
          <w:sz w:val="18"/>
          <w:szCs w:val="18"/>
        </w:rPr>
        <w:t>2,075,969.68</w:t>
      </w:r>
      <w:r>
        <w:rPr>
          <w:rFonts w:ascii="宋体" w:hAnsi="宋体" w:cs="宋体" w:eastAsia="宋体" w:hint="default"/>
          <w:sz w:val="18"/>
          <w:szCs w:val="18"/>
        </w:rPr>
        <w:t>元。</w:t>
      </w:r>
    </w:p>
    <w:p>
      <w:pPr>
        <w:spacing w:line="240" w:lineRule="auto" w:before="2"/>
        <w:rPr>
          <w:rFonts w:ascii="宋体" w:hAnsi="宋体" w:cs="宋体" w:eastAsia="宋体" w:hint="default"/>
          <w:sz w:val="21"/>
          <w:szCs w:val="21"/>
        </w:rPr>
      </w:pPr>
    </w:p>
    <w:p>
      <w:pPr>
        <w:pStyle w:val="Heading5"/>
        <w:spacing w:line="240" w:lineRule="auto" w:before="0"/>
        <w:ind w:right="1114"/>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678,898.97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2,636,836.51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991,846,212.82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337,443,429.64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992,525,111.79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340,080,266.15</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171,083.09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集团内部借款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460,273.97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2,465,753.42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678,898.97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2,636,836.51</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635"/>
        <w:gridCol w:w="763"/>
        <w:gridCol w:w="761"/>
        <w:gridCol w:w="763"/>
        <w:gridCol w:w="761"/>
        <w:gridCol w:w="790"/>
        <w:gridCol w:w="655"/>
        <w:gridCol w:w="761"/>
        <w:gridCol w:w="814"/>
        <w:gridCol w:w="931"/>
        <w:gridCol w:w="934"/>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580" w:bottom="70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635"/>
        <w:gridCol w:w="763"/>
        <w:gridCol w:w="761"/>
        <w:gridCol w:w="763"/>
        <w:gridCol w:w="761"/>
        <w:gridCol w:w="790"/>
        <w:gridCol w:w="655"/>
        <w:gridCol w:w="761"/>
        <w:gridCol w:w="814"/>
        <w:gridCol w:w="931"/>
        <w:gridCol w:w="934"/>
      </w:tblGrid>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996,074,</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011.78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4,304,41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991,769,5</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93.42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341,328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,338.16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3,965,014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337,363,32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3.64</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1,387,01</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0.81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1,310,39</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1.41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76,619.40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1,400,2</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29.77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1,320,123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94.28%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80,106.00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997,461,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022.59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5,614,80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9.77</w:t>
            </w: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991,846,2</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12.82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342,728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,567.93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5,285,138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93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337,443,42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9.64</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260" w:bottom="116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39"/>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4474" w:space="4355"/>
            <w:col w:w="2101"/>
          </w:cols>
        </w:sectPr>
      </w:pP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494"/>
        <w:gridCol w:w="2294"/>
        <w:gridCol w:w="2391"/>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4"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2,820,140.48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141,007.02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604,960.00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302,480.00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3,858,531.34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3,858,531.34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7,291,631.82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4,304,418.36</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360" w:lineRule="auto"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5"/>
        <w:ind w:left="153" w:right="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1"/>
        <w:ind w:left="153" w:right="7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组合中，集团公司内部往来形成的其他应收款：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8"/>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4654" w:space="4194"/>
            <w:col w:w="2082"/>
          </w:cols>
        </w:sectPr>
      </w:pPr>
    </w:p>
    <w:p>
      <w:pPr>
        <w:spacing w:line="240" w:lineRule="auto" w:before="3"/>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3973"/>
        <w:gridCol w:w="2271"/>
        <w:gridCol w:w="1921"/>
        <w:gridCol w:w="1466"/>
      </w:tblGrid>
      <w:tr>
        <w:trPr>
          <w:trHeight w:val="491" w:hRule="exact"/>
        </w:trPr>
        <w:tc>
          <w:tcPr>
            <w:tcW w:w="397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5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1" w:hRule="exact"/>
        </w:trPr>
        <w:tc>
          <w:tcPr>
            <w:tcW w:w="3973" w:type="dxa"/>
            <w:vMerge/>
            <w:tcBorders>
              <w:left w:val="single" w:sz="4" w:space="0" w:color="000000"/>
              <w:bottom w:val="single" w:sz="4" w:space="0" w:color="000000"/>
              <w:right w:val="single" w:sz="4" w:space="0" w:color="000000"/>
            </w:tcBorders>
            <w:shd w:val="clear" w:color="auto" w:fill="D9D9D9"/>
          </w:tcPr>
          <w:p>
            <w:pPr/>
          </w:p>
        </w:tc>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90" w:hRule="exact"/>
        </w:trPr>
        <w:tc>
          <w:tcPr>
            <w:tcW w:w="3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东方财富证券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700,000,000.00</w:t>
            </w:r>
          </w:p>
        </w:tc>
        <w:tc>
          <w:tcPr>
            <w:tcW w:w="192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天天基金</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226,155,704.92</w:t>
            </w:r>
          </w:p>
        </w:tc>
        <w:tc>
          <w:tcPr>
            <w:tcW w:w="192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57,779,797.44</w:t>
            </w:r>
          </w:p>
        </w:tc>
        <w:tc>
          <w:tcPr>
            <w:tcW w:w="192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浪客网络科技有限公司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1,397,450.35</w:t>
            </w:r>
          </w:p>
        </w:tc>
        <w:tc>
          <w:tcPr>
            <w:tcW w:w="192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南京东方财富信息技术有限公司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1,200,000.00</w:t>
            </w:r>
          </w:p>
        </w:tc>
        <w:tc>
          <w:tcPr>
            <w:tcW w:w="192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北京京东财信息科技有限公司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1,082,358.72</w:t>
            </w:r>
          </w:p>
        </w:tc>
        <w:tc>
          <w:tcPr>
            <w:tcW w:w="192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7"/>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3973"/>
        <w:gridCol w:w="2271"/>
        <w:gridCol w:w="1921"/>
        <w:gridCol w:w="1466"/>
      </w:tblGrid>
      <w:tr>
        <w:trPr>
          <w:trHeight w:val="490" w:hRule="exact"/>
        </w:trPr>
        <w:tc>
          <w:tcPr>
            <w:tcW w:w="397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5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1" w:hRule="exact"/>
        </w:trPr>
        <w:tc>
          <w:tcPr>
            <w:tcW w:w="3973" w:type="dxa"/>
            <w:vMerge/>
            <w:tcBorders>
              <w:left w:val="single" w:sz="4" w:space="0" w:color="000000"/>
              <w:bottom w:val="single" w:sz="4" w:space="0" w:color="000000"/>
              <w:right w:val="single" w:sz="4" w:space="0" w:color="000000"/>
            </w:tcBorders>
            <w:shd w:val="clear" w:color="auto" w:fill="D9D9D9"/>
          </w:tcPr>
          <w:p>
            <w:pPr/>
          </w:p>
        </w:tc>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91" w:hRule="exact"/>
        </w:trPr>
        <w:tc>
          <w:tcPr>
            <w:tcW w:w="3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715,824.55</w:t>
            </w:r>
          </w:p>
        </w:tc>
        <w:tc>
          <w:tcPr>
            <w:tcW w:w="192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小额贷款公司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451,243.98</w:t>
            </w:r>
          </w:p>
        </w:tc>
        <w:tc>
          <w:tcPr>
            <w:tcW w:w="192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988,782,379.96</w:t>
            </w:r>
          </w:p>
        </w:tc>
        <w:tc>
          <w:tcPr>
            <w:tcW w:w="192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60" w:bottom="1160" w:left="980" w:right="0"/>
        </w:sectPr>
      </w:pPr>
    </w:p>
    <w:p>
      <w:pPr>
        <w:spacing w:before="49"/>
        <w:ind w:left="153" w:right="-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01"/>
        <w:ind w:left="153"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329,671.48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before="103"/>
        <w:ind w:left="153" w:right="-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6325" w:space="2504"/>
            <w:col w:w="2101"/>
          </w:cols>
        </w:sectPr>
      </w:pP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368"/>
        <w:gridCol w:w="3101"/>
        <w:gridCol w:w="3099"/>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3,996,312.00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3,780,912.00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应收第三方支付平台结算款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1,826,932.13</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2,122,067.03</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集团公司内部往来款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988,782,379.96</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335,548,470.56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2,855,398.50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1,277,118.34</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997,461,022.59</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342,728,567.93</w:t>
            </w:r>
          </w:p>
        </w:tc>
      </w:tr>
    </w:tbl>
    <w:p>
      <w:pPr>
        <w:spacing w:before="49"/>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按欠款方归集的期末余额前五名的其他应收款情况</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271"/>
        <w:gridCol w:w="965"/>
        <w:gridCol w:w="1550"/>
        <w:gridCol w:w="1553"/>
        <w:gridCol w:w="1616"/>
        <w:gridCol w:w="1615"/>
      </w:tblGrid>
      <w:tr>
        <w:trPr>
          <w:trHeight w:val="71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上海东湖宾馆</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1,681,000.00</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苹果公司（</w:t>
            </w:r>
            <w:r>
              <w:rPr>
                <w:rFonts w:ascii="Times New Roman" w:hAnsi="Times New Roman" w:cs="Times New Roman" w:eastAsia="Times New Roman" w:hint="default"/>
                <w:sz w:val="18"/>
                <w:szCs w:val="18"/>
              </w:rPr>
              <w:t>Apple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直播充值款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1,387,010.81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1,310,391.41</w:t>
            </w:r>
          </w:p>
        </w:tc>
      </w:tr>
      <w:tr>
        <w:trPr>
          <w:trHeight w:val="401"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上海巨航投资管理有限公司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986,860.00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986,860.00</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上海聚鑫置业有限公司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456,250.00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456,250.00</w:t>
            </w:r>
          </w:p>
        </w:tc>
      </w:tr>
      <w:tr>
        <w:trPr>
          <w:trHeight w:val="713"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紫博蓝网络科技（北京）股 份有限公司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693,699.21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34,684.96</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5,204,820.02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4,469,186.37</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368"/>
        <w:gridCol w:w="1469"/>
        <w:gridCol w:w="852"/>
        <w:gridCol w:w="1416"/>
        <w:gridCol w:w="1733"/>
        <w:gridCol w:w="1105"/>
        <w:gridCol w:w="1630"/>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3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10,352,115,633.55</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10,352,115,633.55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10,148,115,633.55</w:t>
            </w:r>
          </w:p>
        </w:tc>
        <w:tc>
          <w:tcPr>
            <w:tcW w:w="1105"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10,148,115,633.55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444,788,404.58</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444,788,404.58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410,436,340.87</w:t>
            </w:r>
          </w:p>
        </w:tc>
        <w:tc>
          <w:tcPr>
            <w:tcW w:w="1105"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410,436,340.87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368"/>
        <w:gridCol w:w="1469"/>
        <w:gridCol w:w="852"/>
        <w:gridCol w:w="1416"/>
        <w:gridCol w:w="1733"/>
        <w:gridCol w:w="1105"/>
        <w:gridCol w:w="1630"/>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10,796,904,038.13</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10,796,904,038.13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10,558,551,974.42</w:t>
            </w:r>
          </w:p>
        </w:tc>
        <w:tc>
          <w:tcPr>
            <w:tcW w:w="1105"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10,558,551,974.42</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spacing w:before="44"/>
        <w:ind w:left="0" w:right="77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001"/>
        <w:gridCol w:w="1560"/>
        <w:gridCol w:w="1275"/>
        <w:gridCol w:w="888"/>
        <w:gridCol w:w="1419"/>
        <w:gridCol w:w="991"/>
        <w:gridCol w:w="917"/>
      </w:tblGrid>
      <w:tr>
        <w:trPr>
          <w:trHeight w:val="713" w:hRule="exact"/>
        </w:trPr>
        <w:tc>
          <w:tcPr>
            <w:tcW w:w="3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3"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天天基金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东财研究所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71,982,000.00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71,982,000.00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上海东方财富金融数据服务有限公司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北京京东财信息科技有限公司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广州东财信息科技有限公司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置业公司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181,033.55</w:t>
            </w:r>
          </w:p>
        </w:tc>
        <w:tc>
          <w:tcPr>
            <w:tcW w:w="127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181,033.55</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上海长盛电子商务有限公司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上海东鑫互联网金融服务有限公司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扬州东财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173,368,900.00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173,368,900.00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东方财富证券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8,960,583,700.00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9,160,583,700.00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微兆科技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东方财富征信有限公司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浪客网络科技有限公司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南京东方财富信息技术有限公司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小额贷款公司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10,148,115,633.55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204,000,000.00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10,352,115,633.55</w:t>
            </w:r>
          </w:p>
        </w:tc>
        <w:tc>
          <w:tcPr>
            <w:tcW w:w="99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795"/>
        <w:gridCol w:w="799"/>
        <w:gridCol w:w="797"/>
        <w:gridCol w:w="797"/>
        <w:gridCol w:w="799"/>
        <w:gridCol w:w="797"/>
        <w:gridCol w:w="800"/>
        <w:gridCol w:w="797"/>
        <w:gridCol w:w="799"/>
        <w:gridCol w:w="797"/>
        <w:gridCol w:w="799"/>
        <w:gridCol w:w="797"/>
      </w:tblGrid>
      <w:tr>
        <w:trPr>
          <w:trHeight w:val="401" w:hRule="exact"/>
        </w:trPr>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5"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漫道金服</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376,760,5</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36.99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59,801,70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5.27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26,581,00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409,981,2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38.12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中证信用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33,675,80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779,457.4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351,905.1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34,807,16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795"/>
        <w:gridCol w:w="799"/>
        <w:gridCol w:w="797"/>
        <w:gridCol w:w="797"/>
        <w:gridCol w:w="799"/>
        <w:gridCol w:w="797"/>
        <w:gridCol w:w="800"/>
        <w:gridCol w:w="797"/>
        <w:gridCol w:w="799"/>
        <w:gridCol w:w="797"/>
        <w:gridCol w:w="799"/>
        <w:gridCol w:w="797"/>
      </w:tblGrid>
      <w:tr>
        <w:trPr>
          <w:trHeight w:val="363" w:hRule="exact"/>
        </w:trPr>
        <w:tc>
          <w:tcPr>
            <w:tcW w:w="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云</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3" w:right="0"/>
              <w:jc w:val="left"/>
              <w:rPr>
                <w:rFonts w:ascii="Times New Roman" w:hAnsi="Times New Roman" w:cs="Times New Roman" w:eastAsia="Times New Roman" w:hint="default"/>
                <w:sz w:val="18"/>
                <w:szCs w:val="18"/>
              </w:rPr>
            </w:pPr>
            <w:r>
              <w:rPr>
                <w:rFonts w:ascii="Times New Roman"/>
                <w:sz w:val="18"/>
              </w:rPr>
              <w:t>3.88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6.46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410,436,3</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40.87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60,581,16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351,905.1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26,581,00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444,788,4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04.58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410,436,3</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40.87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60,581,16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351,905.1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26,581,00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444,788,4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04.58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95"/>
        <w:gridCol w:w="1837"/>
        <w:gridCol w:w="1913"/>
        <w:gridCol w:w="1913"/>
        <w:gridCol w:w="1913"/>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1,350,205,157.15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321,915,924.00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921,819,254.29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352,096,039.32</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1,350,205,157.15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321,915,924.00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921,819,254.29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352,096,039.32</w:t>
            </w:r>
          </w:p>
        </w:tc>
      </w:tr>
    </w:tbl>
    <w:p>
      <w:pPr>
        <w:spacing w:line="240" w:lineRule="auto" w:before="3"/>
        <w:rPr>
          <w:rFonts w:ascii="宋体" w:hAnsi="宋体" w:cs="宋体" w:eastAsia="宋体" w:hint="default"/>
          <w:sz w:val="19"/>
          <w:szCs w:val="19"/>
        </w:rPr>
      </w:pPr>
    </w:p>
    <w:p>
      <w:pPr>
        <w:pStyle w:val="Heading5"/>
        <w:spacing w:line="240" w:lineRule="auto"/>
        <w:ind w:right="1114"/>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325"/>
        <w:gridCol w:w="3058"/>
        <w:gridCol w:w="3188"/>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485,465,400.00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459,400,000.00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60,581,162.68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83,920,169.95</w:t>
            </w: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548,044,162.68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546,320,074.95</w:t>
            </w:r>
          </w:p>
        </w:tc>
      </w:tr>
    </w:tbl>
    <w:p>
      <w:pPr>
        <w:spacing w:line="240" w:lineRule="auto" w:before="1"/>
        <w:rPr>
          <w:rFonts w:ascii="宋体" w:hAnsi="宋体" w:cs="宋体" w:eastAsia="宋体" w:hint="default"/>
          <w:sz w:val="18"/>
          <w:szCs w:val="18"/>
        </w:rPr>
      </w:pPr>
    </w:p>
    <w:p>
      <w:pPr>
        <w:pStyle w:val="Heading3"/>
        <w:spacing w:line="240" w:lineRule="auto" w:before="26"/>
        <w:ind w:right="1114"/>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spacing w:before="44"/>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8219"/>
        <w:gridCol w:w="1411"/>
      </w:tblGrid>
      <w:tr>
        <w:trPr>
          <w:trHeight w:val="403" w:hRule="exact"/>
        </w:trPr>
        <w:tc>
          <w:tcPr>
            <w:tcW w:w="8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8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-594,999.89</w:t>
            </w:r>
          </w:p>
        </w:tc>
      </w:tr>
      <w:tr>
        <w:trPr>
          <w:trHeight w:val="403" w:hRule="exact"/>
        </w:trPr>
        <w:tc>
          <w:tcPr>
            <w:tcW w:w="8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计入当期损益的政府补助（与企业业务密切相关，按照国家统一标准定额或定量享受的政府补助除外）</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19,340,032.16</w:t>
            </w:r>
          </w:p>
        </w:tc>
      </w:tr>
      <w:tr>
        <w:trPr>
          <w:trHeight w:val="713" w:hRule="exact"/>
        </w:trPr>
        <w:tc>
          <w:tcPr>
            <w:tcW w:w="8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除同公司正常经营业务相关的有效套期保值业务外，持有交易性金融资产、交易性金融负债产生的公允 价值变动损益，以及处置交易性金融资产、交易性金融负债和可供出售金融资产取得的投资收益</w:t>
            </w:r>
          </w:p>
        </w:tc>
        <w:tc>
          <w:tcPr>
            <w:tcW w:w="14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4,172,169.36</w:t>
            </w:r>
          </w:p>
        </w:tc>
      </w:tr>
      <w:tr>
        <w:trPr>
          <w:trHeight w:val="403" w:hRule="exact"/>
        </w:trPr>
        <w:tc>
          <w:tcPr>
            <w:tcW w:w="8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-9,766,175.03</w:t>
            </w:r>
          </w:p>
        </w:tc>
      </w:tr>
      <w:tr>
        <w:trPr>
          <w:trHeight w:val="401" w:hRule="exact"/>
        </w:trPr>
        <w:tc>
          <w:tcPr>
            <w:tcW w:w="8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1,598,110.61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7"/>
        <w:rPr>
          <w:rFonts w:ascii="宋体" w:hAnsi="宋体" w:cs="宋体" w:eastAsia="宋体" w:hint="default"/>
          <w:sz w:val="12"/>
          <w:szCs w:val="12"/>
        </w:rPr>
      </w:pPr>
    </w:p>
    <w:tbl>
      <w:tblPr>
        <w:tblW w:w="0" w:type="auto"/>
        <w:jc w:val="left"/>
        <w:tblInd w:w="154" w:type="dxa"/>
        <w:tblLayout w:type="fixed"/>
        <w:tblCellMar>
          <w:top w:w="0" w:type="dxa"/>
          <w:left w:w="0" w:type="dxa"/>
          <w:bottom w:w="0" w:type="dxa"/>
          <w:right w:w="0" w:type="dxa"/>
        </w:tblCellMar>
        <w:tblLook w:val="01E0"/>
      </w:tblPr>
      <w:tblGrid>
        <w:gridCol w:w="8218"/>
        <w:gridCol w:w="1411"/>
      </w:tblGrid>
      <w:tr>
        <w:trPr>
          <w:trHeight w:val="402" w:hRule="exact"/>
        </w:trPr>
        <w:tc>
          <w:tcPr>
            <w:tcW w:w="8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15,930.58</w:t>
            </w:r>
          </w:p>
        </w:tc>
      </w:tr>
      <w:tr>
        <w:trPr>
          <w:trHeight w:val="402" w:hRule="exact"/>
        </w:trPr>
        <w:tc>
          <w:tcPr>
            <w:tcW w:w="8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11,536,985.41</w:t>
            </w:r>
          </w:p>
        </w:tc>
      </w:tr>
    </w:tbl>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非经常性损益》定义界定的非经常性损益项目，以及把</w:t>
      </w:r>
    </w:p>
    <w:p>
      <w:pPr>
        <w:spacing w:line="300" w:lineRule="auto" w:before="63"/>
        <w:ind w:left="153" w:right="1215" w:firstLine="0"/>
        <w:jc w:val="left"/>
        <w:rPr>
          <w:rFonts w:ascii="宋体" w:hAnsi="宋体" w:cs="宋体" w:eastAsia="宋体" w:hint="default"/>
          <w:sz w:val="18"/>
          <w:szCs w:val="18"/>
        </w:rPr>
      </w:pPr>
      <w:r>
        <w:rPr>
          <w:rFonts w:ascii="宋体" w:hAnsi="宋体" w:cs="宋体" w:eastAsia="宋体" w:hint="default"/>
          <w:sz w:val="18"/>
          <w:szCs w:val="18"/>
        </w:rPr>
        <w:t>《公开发行证券的公司信息披露解释性公告第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非经常性损益》中列举的非经常性损益项目界定为经常性损益的项 目，应说明原因。</w:t>
      </w:r>
    </w:p>
    <w:p>
      <w:pPr>
        <w:spacing w:before="7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before="0"/>
        <w:ind w:right="1114"/>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399"/>
        <w:gridCol w:w="1343"/>
        <w:gridCol w:w="1913"/>
        <w:gridCol w:w="1913"/>
      </w:tblGrid>
      <w:tr>
        <w:trPr>
          <w:trHeight w:val="207" w:hRule="exact"/>
        </w:trPr>
        <w:tc>
          <w:tcPr>
            <w:tcW w:w="43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397" w:right="34"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43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343"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5" w:hRule="exact"/>
        </w:trPr>
        <w:tc>
          <w:tcPr>
            <w:tcW w:w="4399" w:type="dxa"/>
            <w:vMerge/>
            <w:tcBorders>
              <w:left w:val="single" w:sz="4" w:space="0" w:color="000000"/>
              <w:bottom w:val="nil" w:sz="6" w:space="0" w:color="auto"/>
              <w:right w:val="single" w:sz="4" w:space="0" w:color="000000"/>
            </w:tcBorders>
            <w:shd w:val="clear" w:color="auto" w:fill="D2D2D2"/>
          </w:tcPr>
          <w:p>
            <w:pPr/>
          </w:p>
        </w:tc>
        <w:tc>
          <w:tcPr>
            <w:tcW w:w="1343"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3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4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0.1858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0.1858</w:t>
            </w:r>
          </w:p>
        </w:tc>
      </w:tr>
      <w:tr>
        <w:trPr>
          <w:trHeight w:val="401" w:hRule="exact"/>
        </w:trPr>
        <w:tc>
          <w:tcPr>
            <w:tcW w:w="4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0.1836</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Heading1"/>
        <w:spacing w:line="240" w:lineRule="auto"/>
        <w:ind w:left="3285" w:right="1114"/>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1"/>
        <w:rPr>
          <w:rFonts w:ascii="宋体" w:hAnsi="宋体" w:cs="宋体" w:eastAsia="宋体" w:hint="default"/>
          <w:b/>
          <w:bCs/>
          <w:sz w:val="41"/>
          <w:szCs w:val="41"/>
        </w:rPr>
      </w:pPr>
    </w:p>
    <w:p>
      <w:pPr>
        <w:pStyle w:val="BodyText"/>
        <w:spacing w:line="264" w:lineRule="auto"/>
        <w:ind w:right="1239"/>
        <w:jc w:val="left"/>
      </w:pPr>
      <w:r>
        <w:rPr/>
        <w:t>一、载有董事长其实签名的</w:t>
      </w:r>
      <w:r>
        <w:rPr>
          <w:rFonts w:ascii="Times New Roman" w:hAnsi="Times New Roman" w:cs="Times New Roman" w:eastAsia="Times New Roman" w:hint="default"/>
        </w:rPr>
        <w:t>2018</w:t>
      </w:r>
      <w:r>
        <w:rPr/>
        <w:t>年年度报告文件原件；</w:t>
      </w:r>
      <w:r>
        <w:rPr>
          <w:w w:val="100"/>
        </w:rPr>
        <w:t> </w:t>
      </w:r>
      <w:r>
        <w:rPr>
          <w:spacing w:val="-2"/>
        </w:rPr>
        <w:t>二、载有法定代表人其实、主管会计工作负责人陆威、会计机构负责人叶露签名并盖章的财务报告文</w:t>
      </w:r>
      <w:r>
        <w:rPr>
          <w:spacing w:val="-21"/>
        </w:rPr>
        <w:t> </w:t>
      </w:r>
      <w:r>
        <w:rPr>
          <w:spacing w:val="-21"/>
        </w:rPr>
      </w:r>
      <w:r>
        <w:rPr/>
        <w:t>本；</w:t>
      </w:r>
    </w:p>
    <w:p>
      <w:pPr>
        <w:pStyle w:val="BodyText"/>
        <w:spacing w:line="273" w:lineRule="auto" w:before="16"/>
        <w:ind w:right="1114"/>
        <w:jc w:val="left"/>
      </w:pPr>
      <w:r>
        <w:rPr>
          <w:spacing w:val="-2"/>
        </w:rPr>
        <w:t>三、报告期内在中国证监会指定报纸上公开披露过的所有公司文件的正本及公告的原稿；</w:t>
      </w:r>
      <w:r>
        <w:rPr>
          <w:spacing w:val="-32"/>
        </w:rPr>
        <w:t> </w:t>
      </w:r>
      <w:r>
        <w:rPr>
          <w:spacing w:val="-32"/>
        </w:rPr>
      </w:r>
      <w:r>
        <w:rPr/>
        <w:t>四、其它相关资料。</w:t>
      </w:r>
    </w:p>
    <w:p>
      <w:pPr>
        <w:pStyle w:val="BodyText"/>
        <w:spacing w:line="240" w:lineRule="auto" w:before="7"/>
        <w:ind w:right="1114"/>
        <w:jc w:val="left"/>
      </w:pPr>
      <w:r>
        <w:rPr/>
        <w:t>以上备查文件的备置地点：公司董事会秘书办公室</w:t>
      </w:r>
    </w:p>
    <w:sectPr>
      <w:pgSz w:w="11910" w:h="16840"/>
      <w:pgMar w:header="852" w:footer="979" w:top="12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71336"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71216" type="#_x0000_t75" stroked="false">
          <v:imagedata r:id="rId1" o:title=""/>
        </v:shape>
      </w:pict>
    </w:r>
    <w:r>
      <w:rPr/>
      <w:pict>
        <v:shape style="position:absolute;margin-left:532.099976pt;margin-top:781.957947pt;width:8.5pt;height:11pt;mso-position-horizontal-relative:page;mso-position-vertical-relative:page;z-index:-871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71168" type="#_x0000_t75" stroked="false">
          <v:imagedata r:id="rId1" o:title=""/>
        </v:shape>
      </w:pict>
    </w:r>
    <w:r>
      <w:rPr/>
      <w:pict>
        <v:shape style="position:absolute;margin-left:527.659973pt;margin-top:781.957947pt;width:13.15pt;height:11pt;mso-position-horizontal-relative:page;mso-position-vertical-relative:page;z-index:-871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71120" type="#_x0000_t75" stroked="false">
          <v:imagedata r:id="rId1" o:title=""/>
        </v:shape>
      </w:pict>
    </w:r>
    <w:r>
      <w:rPr/>
      <w:pict>
        <v:shape style="position:absolute;margin-left:524.099976pt;margin-top:781.957947pt;width:15.7pt;height:11pt;mso-position-horizontal-relative:page;mso-position-vertical-relative:page;z-index:-8710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71072" type="#_x0000_t75" stroked="false">
          <v:imagedata r:id="rId1" o:title=""/>
        </v:shape>
      </w:pict>
    </w:r>
    <w:r>
      <w:rPr/>
      <w:pict>
        <v:shape style="position:absolute;margin-left:523.099976pt;margin-top:781.957947pt;width:17.7pt;height:11pt;mso-position-horizontal-relative:page;mso-position-vertical-relative:page;z-index:-871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71024" type="#_x0000_t75" stroked="false">
          <v:imagedata r:id="rId1" o:title=""/>
        </v:shape>
      </w:pict>
    </w:r>
    <w:r>
      <w:rPr/>
      <w:pict>
        <v:shape style="position:absolute;margin-left:523.460022pt;margin-top:781.957947pt;width:17.3pt;height:11pt;mso-position-horizontal-relative:page;mso-position-vertical-relative:page;z-index:-871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70976" type="#_x0000_t75" stroked="false">
          <v:imagedata r:id="rId1" o:title=""/>
        </v:shape>
      </w:pict>
    </w:r>
    <w:r>
      <w:rPr/>
      <w:pict>
        <v:shape style="position:absolute;margin-left:523.099976pt;margin-top:781.957947pt;width:17.7pt;height:11pt;mso-position-horizontal-relative:page;mso-position-vertical-relative:page;z-index:-870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pt;margin-top:42.599983pt;width:69.073pt;height:19.25pt;mso-position-horizontal-relative:page;mso-position-vertical-relative:page;z-index:-871312" type="#_x0000_t75" stroked="false">
          <v:imagedata r:id="rId1" o:title=""/>
        </v:shape>
      </w:pict>
    </w:r>
    <w:r>
      <w:rPr/>
      <w:pict>
        <v:group style="position:absolute;margin-left:55.200001pt;margin-top:65.999985pt;width:484.95pt;height:.1pt;mso-position-horizontal-relative:page;mso-position-vertical-relative:page;z-index:-871288" coordorigin="1104,1320" coordsize="9699,2">
          <v:shape style="position:absolute;left:1104;top:1320;width:9699;height:2" coordorigin="1104,1320" coordsize="9699,0" path="m1104,1320l10802,1320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4.190002pt;margin-top:53.305607pt;width:195.5pt;height:11.5pt;mso-position-horizontal-relative:page;mso-position-vertical-relative:page;z-index:-8712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r>
      <w:rPr/>
      <w:pict>
        <v:shape style="position:absolute;margin-left:240.490005pt;margin-top:53.79792pt;width:29.05pt;height:11pt;mso-position-horizontal-relative:page;mso-position-vertical-relative:page;z-index:-8712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300059</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0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ind w:left="296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8"/>
      <w:szCs w:val="28"/>
    </w:rPr>
  </w:style>
  <w:style w:styleId="Heading3" w:type="paragraph">
    <w:name w:val="Heading 3"/>
    <w:basedOn w:val="Normal"/>
    <w:uiPriority w:val="1"/>
    <w:qFormat/>
    <w:pPr>
      <w:ind w:left="153"/>
      <w:outlineLvl w:val="3"/>
    </w:pPr>
    <w:rPr>
      <w:rFonts w:ascii="宋体" w:hAnsi="宋体" w:eastAsia="宋体"/>
      <w:b/>
      <w:bCs/>
      <w:sz w:val="24"/>
      <w:szCs w:val="24"/>
    </w:rPr>
  </w:style>
  <w:style w:styleId="Heading4" w:type="paragraph">
    <w:name w:val="Heading 4"/>
    <w:basedOn w:val="Normal"/>
    <w:uiPriority w:val="1"/>
    <w:qFormat/>
    <w:pPr>
      <w:ind w:left="237" w:firstLine="480"/>
      <w:outlineLvl w:val="4"/>
    </w:pPr>
    <w:rPr>
      <w:rFonts w:ascii="宋体" w:hAnsi="宋体" w:eastAsia="宋体"/>
      <w:sz w:val="24"/>
      <w:szCs w:val="24"/>
    </w:rPr>
  </w:style>
  <w:style w:styleId="Heading5" w:type="paragraph">
    <w:name w:val="Heading 5"/>
    <w:basedOn w:val="Normal"/>
    <w:uiPriority w:val="1"/>
    <w:qFormat/>
    <w:pPr>
      <w:spacing w:before="36"/>
      <w:ind w:left="153"/>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eastmoney.com/" TargetMode="External"/><Relationship Id="rId10" Type="http://schemas.openxmlformats.org/officeDocument/2006/relationships/hyperlink" Target="http://www.18.com.cn/" TargetMode="External"/><Relationship Id="rId11" Type="http://schemas.openxmlformats.org/officeDocument/2006/relationships/hyperlink" Target="http://www.1234567.com.cn/" TargetMode="External"/><Relationship Id="rId12" Type="http://schemas.openxmlformats.org/officeDocument/2006/relationships/hyperlink" Target="mailto:dongmi@eastmoney.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hyperlink" Target="http://w/" TargetMode="External"/><Relationship Id="rId19" Type="http://schemas.openxmlformats.org/officeDocument/2006/relationships/hyperlink" Target="http://irm.cninfo.com.cn/szse/index.html" TargetMode="External"/><Relationship Id="rId20" Type="http://schemas.openxmlformats.org/officeDocument/2006/relationships/image" Target="media/image6.png"/><Relationship Id="rId21" Type="http://schemas.openxmlformats.org/officeDocument/2006/relationships/hyperlink" Target="http://www.cninfo.co/" TargetMode="Externa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东方财富信息股份有限公司</dc:creator>
  <dc:title>东方财富信息股份有限公司2018年年度报告全文</dc:title>
  <dcterms:created xsi:type="dcterms:W3CDTF">2020-05-04T18:31:00Z</dcterms:created>
  <dcterms:modified xsi:type="dcterms:W3CDTF">2020-05-04T18:31:00Z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2019-03-05T00:00:00Z</vt:filetime>
  </property>
  <property fmtid="{D5CDD505-2E9C-101B-9397-08002B2CF9AE}" pid="3" name="Creator">
    <vt:lpwstr>Microsoft® Word 2013</vt:lpwstr>
  </property>
  <property fmtid="{D5CDD505-2E9C-101B-9397-08002B2CF9AE}" pid="4" name="LastSaved">
    <vt:filetime>2020-05-04T00:00:00Z</vt:filetime>
  </property>
</Properties>
</file>