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2670175" cy="7556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670175" cy="755650"/>
                    </a:xfrm>
                    <a:prstGeom prst="rect"/>
                  </pic:spPr>
                </pic:pic>
              </a:graphicData>
            </a:graphic>
          </wp:inline>
        </w:drawing>
      </w:r>
    </w:p>
    <w:p>
      <w:pPr>
        <w:widowControl w:val="0"/>
        <w:spacing w:after="599" w:line="1" w:lineRule="exact"/>
      </w:pPr>
    </w:p>
    <w:p>
      <w:pPr>
        <w:pStyle w:val="Style4"/>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东方财富信息股份有限公司</w:t>
      </w:r>
      <w:bookmarkEnd w:id="0"/>
      <w:bookmarkEnd w:id="1"/>
      <w:bookmarkEnd w:id="2"/>
    </w:p>
    <w:p>
      <w:pPr>
        <w:pStyle w:val="Style6"/>
        <w:keepNext w:val="0"/>
        <w:keepLines w:val="0"/>
        <w:widowControl w:val="0"/>
        <w:shd w:val="clear" w:color="auto" w:fill="auto"/>
        <w:bidi w:val="0"/>
        <w:spacing w:before="0" w:after="440" w:line="240" w:lineRule="auto"/>
        <w:ind w:left="0" w:right="0" w:firstLine="0"/>
        <w:jc w:val="center"/>
        <w:rPr>
          <w:sz w:val="32"/>
          <w:szCs w:val="32"/>
        </w:r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年年度报告</w:t>
      </w:r>
    </w:p>
    <w:p>
      <w:pPr>
        <w:pStyle w:val="Style10"/>
        <w:keepNext w:val="0"/>
        <w:keepLines w:val="0"/>
        <w:widowControl w:val="0"/>
        <w:shd w:val="clear" w:color="auto" w:fill="auto"/>
        <w:bidi w:val="0"/>
        <w:spacing w:before="0" w:after="6020" w:line="240" w:lineRule="auto"/>
        <w:ind w:left="0" w:right="0" w:firstLine="0"/>
        <w:jc w:val="center"/>
      </w:pPr>
      <w:r>
        <w:rPr>
          <w:color w:val="000000"/>
          <w:spacing w:val="0"/>
          <w:w w:val="100"/>
          <w:position w:val="0"/>
        </w:rPr>
        <w:t>2022-040</w:t>
      </w:r>
    </w:p>
    <w:p>
      <w:pPr>
        <w:pStyle w:val="Style6"/>
        <w:keepNext w:val="0"/>
        <w:keepLines w:val="0"/>
        <w:widowControl w:val="0"/>
        <w:shd w:val="clear" w:color="auto" w:fill="auto"/>
        <w:bidi w:val="0"/>
        <w:spacing w:before="0" w:after="520" w:line="240" w:lineRule="auto"/>
        <w:ind w:left="0" w:right="0" w:firstLine="0"/>
        <w:jc w:val="center"/>
        <w:rPr>
          <w:sz w:val="32"/>
          <w:szCs w:val="32"/>
        </w:rPr>
        <w:sectPr>
          <w:footnotePr>
            <w:pos w:val="pageBottom"/>
            <w:numFmt w:val="decimal"/>
            <w:numRestart w:val="continuous"/>
          </w:footnotePr>
          <w:pgSz w:w="11900" w:h="16840"/>
          <w:pgMar w:top="2840" w:right="813" w:bottom="2840" w:left="1109" w:header="0" w:footer="3" w:gutter="0"/>
          <w:cols w:space="720"/>
          <w:noEndnote/>
          <w:rtlGutter w:val="0"/>
          <w:docGrid w:linePitch="360"/>
        </w:sectPr>
      </w:pPr>
      <w:r>
        <w:rPr>
          <w:b/>
          <w:bCs/>
          <w:color w:val="000000"/>
          <w:spacing w:val="0"/>
          <w:w w:val="100"/>
          <w:position w:val="0"/>
          <w:sz w:val="32"/>
          <w:szCs w:val="32"/>
        </w:rPr>
        <w:t>2022</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03</w:t>
      </w:r>
      <w:r>
        <w:rPr>
          <w:rFonts w:ascii="SimSun" w:eastAsia="SimSun" w:hAnsi="SimSun" w:cs="SimSun"/>
          <w:b/>
          <w:bCs/>
          <w:color w:val="000000"/>
          <w:spacing w:val="0"/>
          <w:w w:val="100"/>
          <w:position w:val="0"/>
          <w:sz w:val="32"/>
          <w:szCs w:val="32"/>
        </w:rPr>
        <w:t>月</w:t>
      </w:r>
    </w:p>
    <w:p>
      <w:pPr>
        <w:pStyle w:val="Style12"/>
        <w:keepNext/>
        <w:keepLines/>
        <w:widowControl w:val="0"/>
        <w:shd w:val="clear" w:color="auto" w:fill="auto"/>
        <w:bidi w:val="0"/>
        <w:spacing w:before="0" w:after="38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0"/>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实、准确、完整，不存在虚假记载、误导性陈述或者重大遗漏，并承担个别和连 带的法律责任。</w:t>
      </w:r>
    </w:p>
    <w:p>
      <w:pPr>
        <w:pStyle w:val="Style10"/>
        <w:keepNext w:val="0"/>
        <w:keepLines w:val="0"/>
        <w:widowControl w:val="0"/>
        <w:shd w:val="clear" w:color="auto" w:fill="auto"/>
        <w:bidi w:val="0"/>
        <w:spacing w:before="0" w:line="624" w:lineRule="exact"/>
        <w:ind w:left="0" w:right="0"/>
        <w:jc w:val="both"/>
      </w:pPr>
      <w:r>
        <w:rPr>
          <w:color w:val="000000"/>
          <w:spacing w:val="0"/>
          <w:w w:val="100"/>
          <w:position w:val="0"/>
        </w:rPr>
        <w:t>公司负责人其实、主管会计工作负责人黄建海及会计机构负责人（会计主管 人员）王涛声明：保证本年度报告中财务报告的真实、准确、完整。</w:t>
      </w:r>
    </w:p>
    <w:p>
      <w:pPr>
        <w:pStyle w:val="Style10"/>
        <w:keepNext w:val="0"/>
        <w:keepLines w:val="0"/>
        <w:widowControl w:val="0"/>
        <w:shd w:val="clear" w:color="auto" w:fill="auto"/>
        <w:bidi w:val="0"/>
        <w:spacing w:before="0" w:line="622" w:lineRule="exact"/>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line="619" w:lineRule="exact"/>
        <w:ind w:left="0" w:right="0"/>
        <w:jc w:val="both"/>
      </w:pPr>
      <w:r>
        <w:rPr>
          <w:color w:val="000000"/>
          <w:spacing w:val="0"/>
          <w:w w:val="100"/>
          <w:position w:val="0"/>
        </w:rPr>
        <w:t>公司在经营管理中可能面临的风险与对策举措已在本报告中第三节“管理 层讨论与分析”之“十一、公司未来发展的展望”部分予以描述。敬请广大投资者 关注，并注意投资风险。</w:t>
      </w:r>
    </w:p>
    <w:p>
      <w:pPr>
        <w:pStyle w:val="Style10"/>
        <w:keepNext w:val="0"/>
        <w:keepLines w:val="0"/>
        <w:widowControl w:val="0"/>
        <w:shd w:val="clear" w:color="auto" w:fill="auto"/>
        <w:bidi w:val="0"/>
        <w:spacing w:before="0" w:line="629" w:lineRule="exact"/>
        <w:ind w:left="0" w:right="0"/>
        <w:jc w:val="both"/>
        <w:sectPr>
          <w:footnotePr>
            <w:pos w:val="pageBottom"/>
            <w:numFmt w:val="decimal"/>
            <w:numRestart w:val="continuous"/>
          </w:footnotePr>
          <w:pgSz w:w="11900" w:h="16840"/>
          <w:pgMar w:top="1971" w:right="813" w:bottom="1971" w:left="1109" w:header="0" w:footer="3" w:gutter="0"/>
          <w:cols w:space="720"/>
          <w:noEndnote/>
          <w:rtlGutter w:val="0"/>
          <w:docGrid w:linePitch="360"/>
        </w:sectPr>
      </w:pPr>
      <w:r>
        <w:rPr>
          <w:color w:val="000000"/>
          <w:spacing w:val="0"/>
          <w:w w:val="100"/>
          <w:position w:val="0"/>
        </w:rPr>
        <w:t>公司经本次董事会审议通过的利润分配预案为：以11,011,802,120股为基数， 向全体股东每10股派发现金红利</w:t>
      </w:r>
      <w:r>
        <w:rPr>
          <w:color w:val="000000"/>
          <w:spacing w:val="0"/>
          <w:w w:val="100"/>
          <w:position w:val="0"/>
        </w:rPr>
        <w:t>0.80</w:t>
      </w:r>
      <w:r>
        <w:rPr>
          <w:color w:val="000000"/>
          <w:spacing w:val="0"/>
          <w:w w:val="100"/>
          <w:position w:val="0"/>
        </w:rPr>
        <w:t>元（含税），送红股0股（含税），以资本 公积金向全体股东每10股转增2股。</w:t>
      </w:r>
    </w:p>
    <w:p>
      <w:pPr>
        <w:pStyle w:val="Style4"/>
        <w:keepNext/>
        <w:keepLines/>
        <w:widowControl w:val="0"/>
        <w:shd w:val="clear" w:color="auto" w:fill="auto"/>
        <w:bidi w:val="0"/>
        <w:spacing w:before="0" w:after="1680"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14"/>
        <w:keepNext w:val="0"/>
        <w:keepLines w:val="0"/>
        <w:widowControl w:val="0"/>
        <w:shd w:val="clear" w:color="auto" w:fill="auto"/>
        <w:tabs>
          <w:tab w:pos="920" w:val="left"/>
          <w:tab w:leader="dot" w:pos="9623"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w:t>
          <w:tab/>
          <w:t>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4"/>
        <w:keepNext w:val="0"/>
        <w:keepLines w:val="0"/>
        <w:widowControl w:val="0"/>
        <w:shd w:val="clear" w:color="auto" w:fill="auto"/>
        <w:tabs>
          <w:tab w:leader="dot" w:pos="9623" w:val="right"/>
        </w:tabs>
        <w:bidi w:val="0"/>
        <w:spacing w:before="0" w:line="240" w:lineRule="auto"/>
        <w:ind w:left="0" w:right="0" w:firstLine="0"/>
        <w:jc w:val="left"/>
      </w:pPr>
      <w:hyperlink w:anchor="bookmark20"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14"/>
        <w:keepNext w:val="0"/>
        <w:keepLines w:val="0"/>
        <w:widowControl w:val="0"/>
        <w:shd w:val="clear" w:color="auto" w:fill="auto"/>
        <w:tabs>
          <w:tab w:leader="dot" w:pos="9623" w:val="right"/>
        </w:tabs>
        <w:bidi w:val="0"/>
        <w:spacing w:before="0" w:line="240" w:lineRule="auto"/>
        <w:ind w:left="0" w:right="0" w:firstLine="0"/>
        <w:jc w:val="left"/>
      </w:pPr>
      <w:hyperlink w:anchor="bookmark66"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4"/>
        <w:keepNext w:val="0"/>
        <w:keepLines w:val="0"/>
        <w:widowControl w:val="0"/>
        <w:shd w:val="clear" w:color="auto" w:fill="auto"/>
        <w:tabs>
          <w:tab w:leader="dot" w:pos="9623" w:val="right"/>
        </w:tabs>
        <w:bidi w:val="0"/>
        <w:spacing w:before="0" w:line="240" w:lineRule="auto"/>
        <w:ind w:left="0" w:right="0" w:firstLine="0"/>
        <w:jc w:val="left"/>
      </w:pPr>
      <w:hyperlink w:anchor="bookmark290"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28</w:t>
        </w:r>
      </w:hyperlink>
    </w:p>
    <w:p>
      <w:pPr>
        <w:pStyle w:val="Style14"/>
        <w:keepNext w:val="0"/>
        <w:keepLines w:val="0"/>
        <w:widowControl w:val="0"/>
        <w:shd w:val="clear" w:color="auto" w:fill="auto"/>
        <w:tabs>
          <w:tab w:leader="dot" w:pos="9623" w:val="right"/>
        </w:tabs>
        <w:bidi w:val="0"/>
        <w:spacing w:before="0" w:line="240" w:lineRule="auto"/>
        <w:ind w:left="0" w:right="0" w:firstLine="0"/>
        <w:jc w:val="left"/>
      </w:pPr>
      <w:hyperlink w:anchor="bookmark485"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45</w:t>
        </w:r>
      </w:hyperlink>
    </w:p>
    <w:p>
      <w:pPr>
        <w:pStyle w:val="Style14"/>
        <w:keepNext w:val="0"/>
        <w:keepLines w:val="0"/>
        <w:widowControl w:val="0"/>
        <w:shd w:val="clear" w:color="auto" w:fill="auto"/>
        <w:tabs>
          <w:tab w:leader="dot" w:pos="9623" w:val="right"/>
        </w:tabs>
        <w:bidi w:val="0"/>
        <w:spacing w:before="0" w:line="240" w:lineRule="auto"/>
        <w:ind w:left="0" w:right="0" w:firstLine="0"/>
        <w:jc w:val="left"/>
      </w:pPr>
      <w:hyperlink w:anchor="bookmark500"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14"/>
        <w:keepNext w:val="0"/>
        <w:keepLines w:val="0"/>
        <w:widowControl w:val="0"/>
        <w:shd w:val="clear" w:color="auto" w:fill="auto"/>
        <w:tabs>
          <w:tab w:leader="dot" w:pos="9623" w:val="right"/>
        </w:tabs>
        <w:bidi w:val="0"/>
        <w:spacing w:before="0" w:line="240" w:lineRule="auto"/>
        <w:ind w:left="0" w:right="0" w:firstLine="0"/>
        <w:jc w:val="left"/>
      </w:pPr>
      <w:hyperlink w:anchor="bookmark645"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14"/>
        <w:keepNext w:val="0"/>
        <w:keepLines w:val="0"/>
        <w:widowControl w:val="0"/>
        <w:shd w:val="clear" w:color="auto" w:fill="auto"/>
        <w:tabs>
          <w:tab w:leader="dot" w:pos="9623" w:val="right"/>
        </w:tabs>
        <w:bidi w:val="0"/>
        <w:spacing w:before="0" w:line="240" w:lineRule="auto"/>
        <w:ind w:left="0" w:right="0" w:firstLine="0"/>
        <w:jc w:val="left"/>
      </w:pPr>
      <w:hyperlink w:anchor="bookmark720"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14"/>
        <w:keepNext w:val="0"/>
        <w:keepLines w:val="0"/>
        <w:widowControl w:val="0"/>
        <w:shd w:val="clear" w:color="auto" w:fill="auto"/>
        <w:tabs>
          <w:tab w:leader="dot" w:pos="9623" w:val="right"/>
        </w:tabs>
        <w:bidi w:val="0"/>
        <w:spacing w:before="0" w:line="240" w:lineRule="auto"/>
        <w:ind w:left="0" w:right="0" w:firstLine="0"/>
        <w:jc w:val="left"/>
      </w:pPr>
      <w:hyperlink w:anchor="bookmark723"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14"/>
        <w:keepNext w:val="0"/>
        <w:keepLines w:val="0"/>
        <w:widowControl w:val="0"/>
        <w:shd w:val="clear" w:color="auto" w:fill="auto"/>
        <w:tabs>
          <w:tab w:leader="dot" w:pos="9623" w:val="right"/>
        </w:tabs>
        <w:bidi w:val="0"/>
        <w:spacing w:before="0" w:line="240" w:lineRule="auto"/>
        <w:ind w:left="0" w:right="0" w:firstLine="0"/>
        <w:jc w:val="left"/>
        <w:sectPr>
          <w:footnotePr>
            <w:pos w:val="pageBottom"/>
            <w:numFmt w:val="decimal"/>
            <w:numRestart w:val="continuous"/>
          </w:footnotePr>
          <w:pgSz w:w="11900" w:h="16840"/>
          <w:pgMar w:top="2907" w:right="1100" w:bottom="2907" w:left="1114" w:header="0" w:footer="3" w:gutter="0"/>
          <w:cols w:space="720"/>
          <w:noEndnote/>
          <w:rtlGutter w:val="0"/>
          <w:docGrid w:linePitch="360"/>
        </w:sectPr>
      </w:pPr>
      <w:hyperlink w:anchor="bookmark806"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r>
        <w:fldChar w:fldCharType="end"/>
      </w:r>
    </w:p>
    <w:p>
      <w:pPr>
        <w:pStyle w:val="Style12"/>
        <w:keepNext/>
        <w:keepLines/>
        <w:widowControl w:val="0"/>
        <w:shd w:val="clear" w:color="auto" w:fill="auto"/>
        <w:bidi w:val="0"/>
        <w:spacing w:before="780" w:after="740" w:line="240" w:lineRule="auto"/>
        <w:ind w:left="0" w:right="0" w:firstLine="0"/>
        <w:jc w:val="center"/>
      </w:pPr>
      <w:bookmarkStart w:id="10" w:name="bookmark10"/>
      <w:bookmarkStart w:id="11" w:name="bookmark11"/>
      <w:bookmarkStart w:id="9" w:name="bookmark9"/>
      <w:r>
        <w:rPr>
          <w:color w:val="000000"/>
          <w:spacing w:val="0"/>
          <w:w w:val="100"/>
          <w:position w:val="0"/>
        </w:rPr>
        <w:t>备查文件目录</w:t>
      </w:r>
      <w:bookmarkEnd w:id="10"/>
      <w:bookmarkEnd w:id="11"/>
      <w:bookmarkEnd w:id="9"/>
    </w:p>
    <w:p>
      <w:pPr>
        <w:pStyle w:val="Style10"/>
        <w:keepNext w:val="0"/>
        <w:keepLines w:val="0"/>
        <w:widowControl w:val="0"/>
        <w:shd w:val="clear" w:color="auto" w:fill="auto"/>
        <w:tabs>
          <w:tab w:pos="1006" w:val="left"/>
        </w:tabs>
        <w:bidi w:val="0"/>
        <w:spacing w:before="0" w:after="120" w:line="463" w:lineRule="exact"/>
        <w:ind w:left="0" w:right="0" w:firstLine="480"/>
        <w:jc w:val="left"/>
        <w:rPr>
          <w:sz w:val="24"/>
          <w:szCs w:val="24"/>
        </w:rPr>
      </w:pPr>
      <w:bookmarkStart w:id="12" w:name="bookmark12"/>
      <w:r>
        <w:rPr>
          <w:b w:val="0"/>
          <w:bCs w:val="0"/>
          <w:color w:val="000000"/>
          <w:spacing w:val="0"/>
          <w:w w:val="100"/>
          <w:position w:val="0"/>
          <w:sz w:val="24"/>
          <w:szCs w:val="24"/>
        </w:rPr>
        <w:t>一</w:t>
      </w:r>
      <w:bookmarkEnd w:id="12"/>
      <w:r>
        <w:rPr>
          <w:b w:val="0"/>
          <w:bCs w:val="0"/>
          <w:color w:val="000000"/>
          <w:spacing w:val="0"/>
          <w:w w:val="100"/>
          <w:position w:val="0"/>
          <w:sz w:val="24"/>
          <w:szCs w:val="24"/>
        </w:rPr>
        <w:t>、</w:t>
        <w:tab/>
        <w:t>载有董事长其实签名的</w:t>
      </w:r>
      <w:r>
        <w:rPr>
          <w:rFonts w:ascii="Times New Roman" w:eastAsia="Times New Roman" w:hAnsi="Times New Roman" w:cs="Times New Roman"/>
          <w:b w:val="0"/>
          <w:bCs w:val="0"/>
          <w:color w:val="000000"/>
          <w:spacing w:val="0"/>
          <w:w w:val="100"/>
          <w:position w:val="0"/>
          <w:sz w:val="24"/>
          <w:szCs w:val="24"/>
        </w:rPr>
        <w:t>2021</w:t>
      </w:r>
      <w:r>
        <w:rPr>
          <w:b w:val="0"/>
          <w:bCs w:val="0"/>
          <w:color w:val="000000"/>
          <w:spacing w:val="0"/>
          <w:w w:val="100"/>
          <w:position w:val="0"/>
          <w:sz w:val="24"/>
          <w:szCs w:val="24"/>
        </w:rPr>
        <w:t>年年度报告文件原件；</w:t>
      </w:r>
    </w:p>
    <w:p>
      <w:pPr>
        <w:pStyle w:val="Style10"/>
        <w:keepNext w:val="0"/>
        <w:keepLines w:val="0"/>
        <w:widowControl w:val="0"/>
        <w:shd w:val="clear" w:color="auto" w:fill="auto"/>
        <w:tabs>
          <w:tab w:pos="997" w:val="left"/>
        </w:tabs>
        <w:bidi w:val="0"/>
        <w:spacing w:before="0" w:after="120" w:line="461" w:lineRule="exact"/>
        <w:ind w:left="0" w:right="0" w:firstLine="480"/>
        <w:jc w:val="left"/>
        <w:rPr>
          <w:sz w:val="24"/>
          <w:szCs w:val="24"/>
        </w:rPr>
      </w:pPr>
      <w:bookmarkStart w:id="13" w:name="bookmark13"/>
      <w:r>
        <w:rPr>
          <w:b w:val="0"/>
          <w:bCs w:val="0"/>
          <w:color w:val="000000"/>
          <w:spacing w:val="0"/>
          <w:w w:val="100"/>
          <w:position w:val="0"/>
          <w:sz w:val="24"/>
          <w:szCs w:val="24"/>
        </w:rPr>
        <w:t>二</w:t>
      </w:r>
      <w:bookmarkEnd w:id="13"/>
      <w:r>
        <w:rPr>
          <w:b w:val="0"/>
          <w:bCs w:val="0"/>
          <w:color w:val="000000"/>
          <w:spacing w:val="0"/>
          <w:w w:val="100"/>
          <w:position w:val="0"/>
          <w:sz w:val="24"/>
          <w:szCs w:val="24"/>
        </w:rPr>
        <w:t>、</w:t>
        <w:tab/>
        <w:t>载有法定代表人其实、主管会计工作负责人黄建海、会计机构负责人王涛签名并盖 章的财务报告文本；</w:t>
      </w:r>
    </w:p>
    <w:p>
      <w:pPr>
        <w:pStyle w:val="Style10"/>
        <w:keepNext w:val="0"/>
        <w:keepLines w:val="0"/>
        <w:widowControl w:val="0"/>
        <w:shd w:val="clear" w:color="auto" w:fill="auto"/>
        <w:tabs>
          <w:tab w:pos="1006" w:val="left"/>
        </w:tabs>
        <w:bidi w:val="0"/>
        <w:spacing w:before="0" w:after="120" w:line="466" w:lineRule="exact"/>
        <w:ind w:left="0" w:right="0" w:firstLine="480"/>
        <w:jc w:val="left"/>
        <w:rPr>
          <w:sz w:val="24"/>
          <w:szCs w:val="24"/>
        </w:rPr>
      </w:pPr>
      <w:bookmarkStart w:id="14" w:name="bookmark14"/>
      <w:r>
        <w:rPr>
          <w:b w:val="0"/>
          <w:bCs w:val="0"/>
          <w:color w:val="000000"/>
          <w:spacing w:val="0"/>
          <w:w w:val="100"/>
          <w:position w:val="0"/>
          <w:sz w:val="24"/>
          <w:szCs w:val="24"/>
        </w:rPr>
        <w:t>三</w:t>
      </w:r>
      <w:bookmarkEnd w:id="14"/>
      <w:r>
        <w:rPr>
          <w:b w:val="0"/>
          <w:bCs w:val="0"/>
          <w:color w:val="000000"/>
          <w:spacing w:val="0"/>
          <w:w w:val="100"/>
          <w:position w:val="0"/>
          <w:sz w:val="24"/>
          <w:szCs w:val="24"/>
        </w:rPr>
        <w:t>、</w:t>
        <w:tab/>
        <w:t>报告期内在中国证监会指定报纸上公开披露过的所有公司文件的正本及公告的原 稿；</w:t>
      </w:r>
    </w:p>
    <w:p>
      <w:pPr>
        <w:pStyle w:val="Style10"/>
        <w:keepNext w:val="0"/>
        <w:keepLines w:val="0"/>
        <w:widowControl w:val="0"/>
        <w:shd w:val="clear" w:color="auto" w:fill="auto"/>
        <w:tabs>
          <w:tab w:pos="1006" w:val="left"/>
        </w:tabs>
        <w:bidi w:val="0"/>
        <w:spacing w:before="0" w:after="120" w:line="463" w:lineRule="exact"/>
        <w:ind w:left="0" w:right="0" w:firstLine="480"/>
        <w:jc w:val="left"/>
        <w:rPr>
          <w:sz w:val="24"/>
          <w:szCs w:val="24"/>
        </w:rPr>
      </w:pPr>
      <w:bookmarkStart w:id="15" w:name="bookmark15"/>
      <w:r>
        <w:rPr>
          <w:b w:val="0"/>
          <w:bCs w:val="0"/>
          <w:color w:val="000000"/>
          <w:spacing w:val="0"/>
          <w:w w:val="100"/>
          <w:position w:val="0"/>
          <w:sz w:val="24"/>
          <w:szCs w:val="24"/>
        </w:rPr>
        <w:t>四</w:t>
      </w:r>
      <w:bookmarkEnd w:id="15"/>
      <w:r>
        <w:rPr>
          <w:b w:val="0"/>
          <w:bCs w:val="0"/>
          <w:color w:val="000000"/>
          <w:spacing w:val="0"/>
          <w:w w:val="100"/>
          <w:position w:val="0"/>
          <w:sz w:val="24"/>
          <w:szCs w:val="24"/>
        </w:rPr>
        <w:t>、</w:t>
        <w:tab/>
        <w:t>其它相关资料。</w:t>
      </w:r>
    </w:p>
    <w:p>
      <w:pPr>
        <w:pStyle w:val="Style10"/>
        <w:keepNext w:val="0"/>
        <w:keepLines w:val="0"/>
        <w:widowControl w:val="0"/>
        <w:shd w:val="clear" w:color="auto" w:fill="auto"/>
        <w:bidi w:val="0"/>
        <w:spacing w:before="0" w:after="120" w:line="463" w:lineRule="exact"/>
        <w:ind w:left="0" w:right="0" w:firstLine="480"/>
        <w:jc w:val="left"/>
        <w:rPr>
          <w:sz w:val="24"/>
          <w:szCs w:val="24"/>
        </w:rPr>
      </w:pPr>
      <w:r>
        <w:rPr>
          <w:b w:val="0"/>
          <w:bCs w:val="0"/>
          <w:color w:val="000000"/>
          <w:spacing w:val="0"/>
          <w:w w:val="100"/>
          <w:position w:val="0"/>
          <w:sz w:val="24"/>
          <w:szCs w:val="24"/>
        </w:rPr>
        <w:t>以上备查文件的备置地点：公司董事会秘书办公室</w:t>
      </w:r>
      <w:r>
        <w:br w:type="page"/>
      </w:r>
    </w:p>
    <w:p>
      <w:pPr>
        <w:pStyle w:val="Style12"/>
        <w:keepNext/>
        <w:keepLines/>
        <w:widowControl w:val="0"/>
        <w:shd w:val="clear" w:color="auto" w:fill="auto"/>
        <w:bidi w:val="0"/>
        <w:spacing w:before="0" w:after="820" w:line="240" w:lineRule="auto"/>
        <w:ind w:left="0" w:right="0" w:firstLine="0"/>
        <w:jc w:val="center"/>
      </w:pPr>
      <w:bookmarkStart w:id="16" w:name="bookmark16"/>
      <w:bookmarkStart w:id="17" w:name="bookmark17"/>
      <w:bookmarkStart w:id="18" w:name="bookmark18"/>
      <w:r>
        <w:rPr>
          <w:color w:val="000000"/>
          <w:spacing w:val="0"/>
          <w:w w:val="100"/>
          <w:position w:val="0"/>
        </w:rPr>
        <w:t>释义</w:t>
      </w:r>
      <w:bookmarkEnd w:id="16"/>
      <w:bookmarkEnd w:id="17"/>
      <w:bookmarkEnd w:id="18"/>
    </w:p>
    <w:tbl>
      <w:tblPr>
        <w:tblOverlap w:val="never"/>
        <w:jc w:val="center"/>
        <w:tblLayout w:type="fixed"/>
      </w:tblPr>
      <w:tblGrid>
        <w:gridCol w:w="2256"/>
        <w:gridCol w:w="418"/>
        <w:gridCol w:w="6931"/>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中国证监会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银保监会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中国银行保险监督管理委员会</w:t>
            </w:r>
          </w:p>
        </w:tc>
      </w:tr>
      <w:tr>
        <w:trPr>
          <w:trHeight w:val="3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公司股东大会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东方财富信息股份有限公司股东大会</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w:t>
            </w:r>
            <w:r>
              <w:rPr>
                <w:color w:val="000000"/>
                <w:spacing w:val="0"/>
                <w:w w:val="100"/>
                <w:position w:val="0"/>
              </w:rPr>
              <w:t>/</w:t>
            </w:r>
            <w:r>
              <w:rPr>
                <w:rFonts w:ascii="SimSun" w:eastAsia="SimSun" w:hAnsi="SimSun" w:cs="SimSun"/>
                <w:color w:val="000000"/>
                <w:spacing w:val="0"/>
                <w:w w:val="100"/>
                <w:position w:val="0"/>
              </w:rPr>
              <w:t>董事会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东方财富信息股份有限公司的董事</w:t>
            </w:r>
            <w:r>
              <w:rPr>
                <w:color w:val="000000"/>
                <w:spacing w:val="0"/>
                <w:w w:val="100"/>
                <w:position w:val="0"/>
              </w:rPr>
              <w:t>/</w:t>
            </w:r>
            <w:r>
              <w:rPr>
                <w:rFonts w:ascii="SimSun" w:eastAsia="SimSun" w:hAnsi="SimSun" w:cs="SimSun"/>
                <w:color w:val="000000"/>
                <w:spacing w:val="0"/>
                <w:w w:val="100"/>
                <w:position w:val="0"/>
              </w:rPr>
              <w:t>董事会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公司监事</w:t>
            </w:r>
            <w:r>
              <w:rPr>
                <w:color w:val="000000"/>
                <w:spacing w:val="0"/>
                <w:w w:val="100"/>
                <w:position w:val="0"/>
              </w:rPr>
              <w:t>/</w:t>
            </w:r>
            <w:r>
              <w:rPr>
                <w:rFonts w:ascii="SimSun" w:eastAsia="SimSun" w:hAnsi="SimSun" w:cs="SimSun"/>
                <w:color w:val="000000"/>
                <w:spacing w:val="0"/>
                <w:w w:val="100"/>
                <w:position w:val="0"/>
              </w:rPr>
              <w:t>监事会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东方财富信息股份有限公司的监事</w:t>
            </w:r>
            <w:r>
              <w:rPr>
                <w:color w:val="000000"/>
                <w:spacing w:val="0"/>
                <w:w w:val="100"/>
                <w:position w:val="0"/>
              </w:rPr>
              <w:t>/</w:t>
            </w:r>
            <w:r>
              <w:rPr>
                <w:rFonts w:ascii="SimSun" w:eastAsia="SimSun" w:hAnsi="SimSun" w:cs="SimSun"/>
                <w:color w:val="000000"/>
                <w:spacing w:val="0"/>
                <w:w w:val="100"/>
                <w:position w:val="0"/>
              </w:rPr>
              <w:t>监事会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东方财富、公司、本公司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东方财富信息股份有限公司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网址为</w:t>
            </w:r>
            <w:r>
              <w:rPr>
                <w:rFonts w:ascii="SimSun" w:eastAsia="SimSun" w:hAnsi="SimSun" w:cs="SimSun"/>
                <w:color w:val="000000"/>
                <w:spacing w:val="0"/>
                <w:w w:val="100"/>
                <w:position w:val="0"/>
              </w:rPr>
              <w:t>“</w:t>
            </w:r>
            <w:r>
              <w:rPr>
                <w:color w:val="000000"/>
                <w:spacing w:val="0"/>
                <w:w w:val="100"/>
                <w:position w:val="0"/>
              </w:rPr>
              <w:t>wwweastmoney.com</w:t>
            </w:r>
            <w:r>
              <w:rPr>
                <w:rFonts w:ascii="SimSun" w:eastAsia="SimSun" w:hAnsi="SimSun" w:cs="SimSun"/>
                <w:color w:val="000000"/>
                <w:spacing w:val="0"/>
                <w:w w:val="100"/>
                <w:position w:val="0"/>
              </w:rPr>
              <w:t>”、“</w:t>
            </w:r>
            <w:r>
              <w:rPr>
                <w:color w:val="000000"/>
                <w:spacing w:val="0"/>
                <w:w w:val="100"/>
                <w:position w:val="0"/>
              </w:rPr>
              <w:t>www18.com.cn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的网站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天天基金网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网址为 </w:t>
            </w:r>
            <w:r>
              <w:rPr>
                <w:rFonts w:ascii="SimSun" w:eastAsia="SimSun" w:hAnsi="SimSun" w:cs="SimSun"/>
                <w:color w:val="000000"/>
                <w:spacing w:val="0"/>
                <w:w w:val="100"/>
                <w:position w:val="0"/>
              </w:rPr>
              <w:t>“</w:t>
            </w:r>
            <w:r>
              <w:rPr>
                <w:color w:val="000000"/>
                <w:spacing w:val="0"/>
                <w:w w:val="100"/>
                <w:position w:val="0"/>
              </w:rPr>
              <w:t>www.1234567.com.cn</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的网站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东方财富证券、同信证券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东方财富证券股份有限公司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天天基金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上海天天基金销售有限公司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东财投资咨询</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上海东方财富证券投资咨询有限公司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东财香港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东方财富（香港）有限公司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沪阅信息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上海沪阅信息技术有限公司（原名：上海徐汇东方财富小额贷款有限公司）</w:t>
            </w:r>
          </w:p>
        </w:tc>
      </w:tr>
      <w:tr>
        <w:trPr>
          <w:trHeight w:val="3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东财置业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上海东方财富置业有限公司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东财保险经纪</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东财保险经纪有限公司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东财基金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西藏东财基金管理有限公司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东方财富期货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上海东方财富期货有限公司</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哈富证券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哈富证券有限公司（原名：东方财富国际证券有限公司）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漫道数字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上海漫道数字信息技术股份有限公司（原名：上海漫道金融信息服务股份有限公司）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中证信用云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中证信用云科技（深圳）股份有限公司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东财转</w:t>
            </w:r>
            <w:r>
              <w:rPr>
                <w:color w:val="000000"/>
                <w:spacing w:val="0"/>
                <w:w w:val="100"/>
                <w:position w:val="0"/>
              </w:rPr>
              <w:t>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东方财富信息股份有限公司创业板向不特定对象发行可转换公司债券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《募集说明书》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《东方财富信息股份有限公司创业板向不特定对象发行可转换公司债券募集说明书》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保荐机构、中金公司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中国国际金融股份有限公司</w:t>
            </w:r>
          </w:p>
        </w:tc>
      </w:tr>
      <w:tr>
        <w:trPr>
          <w:trHeight w:val="39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安永</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安永华明会计师事务所（特殊普通合伙）</w:t>
            </w:r>
          </w:p>
        </w:tc>
      </w:tr>
    </w:tbl>
    <w:p>
      <w:pPr>
        <w:spacing w:lineRule="exact" w:line="1"/>
        <w:rPr>
          <w:sz w:val="2"/>
          <w:szCs w:val="2"/>
        </w:rPr>
      </w:pPr>
      <w:r>
        <w:br w:type="page"/>
      </w:r>
    </w:p>
    <w:tbl>
      <w:tblPr>
        <w:tblOverlap w:val="never"/>
        <w:jc w:val="center"/>
        <w:tblLayout w:type="fixed"/>
      </w:tblPr>
      <w:tblGrid>
        <w:gridCol w:w="2256"/>
        <w:gridCol w:w="418"/>
        <w:gridCol w:w="6931"/>
      </w:tblGrid>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CNNIC</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中国互联网络信息中心(</w:t>
            </w:r>
            <w:r>
              <w:rPr>
                <w:color w:val="000000"/>
                <w:spacing w:val="0"/>
                <w:w w:val="100"/>
                <w:position w:val="0"/>
              </w:rPr>
              <w:t>China Internet Network Information Center</w:t>
            </w:r>
            <w:r>
              <w:rPr>
                <w:rFonts w:ascii="SimSun" w:eastAsia="SimSun" w:hAnsi="SimSun" w:cs="SimSun"/>
                <w:color w:val="000000"/>
                <w:spacing w:val="0"/>
                <w:w w:val="100"/>
                <w:position w:val="0"/>
              </w:rPr>
              <w:t xml:space="preserve">，简称 </w:t>
            </w:r>
            <w:r>
              <w:rPr>
                <w:color w:val="000000"/>
                <w:spacing w:val="0"/>
                <w:w w:val="100"/>
                <w:position w:val="0"/>
              </w:rPr>
              <w:t>CNNIC</w:t>
            </w:r>
            <w:r>
              <w:rPr>
                <w:rFonts w:ascii="SimSun" w:eastAsia="SimSun" w:hAnsi="SimSun" w:cs="SimSun"/>
                <w:color w:val="000000"/>
                <w:spacing w:val="0"/>
                <w:w w:val="100"/>
                <w:position w:val="0"/>
              </w:rPr>
              <w:t xml:space="preserve">)于 </w:t>
            </w:r>
            <w:r>
              <w:rPr>
                <w:color w:val="000000"/>
                <w:spacing w:val="0"/>
                <w:w w:val="100"/>
                <w:position w:val="0"/>
              </w:rPr>
              <w:t>1997</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日组建，现为中央网络安全和信息化委员会办公室直属事业单位，行使 国家互联网络信息中心职责</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元、万元、亿元</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人民币元、人民币万元、人民币亿元</w:t>
            </w:r>
          </w:p>
        </w:tc>
      </w:tr>
    </w:tbl>
    <w:p>
      <w:pPr>
        <w:pStyle w:val="Style2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3" w:right="1097" w:bottom="2134" w:left="1097" w:header="0" w:footer="3" w:gutter="0"/>
          <w:cols w:space="720"/>
          <w:noEndnote/>
          <w:rtlGutter w:val="0"/>
          <w:docGrid w:linePitch="360"/>
        </w:sectPr>
      </w:pPr>
      <w:r>
        <w:rPr>
          <w:color w:val="000000"/>
          <w:spacing w:val="0"/>
          <w:w w:val="100"/>
          <w:position w:val="0"/>
        </w:rPr>
        <w:t>注：本报告中若出现总数与各分项数值之和尾数差异的情况，均属四舍五入原因所致,</w:t>
      </w:r>
    </w:p>
    <w:p>
      <w:pPr>
        <w:pStyle w:val="Style12"/>
        <w:keepNext/>
        <w:keepLines/>
        <w:widowControl w:val="0"/>
        <w:shd w:val="clear" w:color="auto" w:fill="auto"/>
        <w:bidi w:val="0"/>
        <w:spacing w:before="600" w:after="540" w:line="240" w:lineRule="auto"/>
        <w:ind w:left="0" w:right="0" w:firstLine="0"/>
        <w:jc w:val="center"/>
      </w:pPr>
      <w:bookmarkStart w:id="19" w:name="bookmark19"/>
      <w:bookmarkStart w:id="20" w:name="bookmark20"/>
      <w:bookmarkStart w:id="21" w:name="bookmark21"/>
      <w:r>
        <w:rPr>
          <w:color w:val="000000"/>
          <w:spacing w:val="0"/>
          <w:w w:val="100"/>
          <w:position w:val="0"/>
        </w:rPr>
        <w:t>第二节公司简介和主要财务指标</w:t>
      </w:r>
      <w:bookmarkEnd w:id="19"/>
      <w:bookmarkEnd w:id="20"/>
      <w:bookmarkEnd w:id="21"/>
    </w:p>
    <w:p>
      <w:pPr>
        <w:pStyle w:val="Style22"/>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bookmarkStart w:id="26" w:name="bookmark26"/>
      <w:r>
        <w:rPr>
          <w:color w:val="000000"/>
          <w:spacing w:val="0"/>
          <w:w w:val="100"/>
          <w:position w:val="0"/>
          <w:sz w:val="24"/>
          <w:szCs w:val="24"/>
        </w:rPr>
        <w:t>一</w:t>
      </w:r>
      <w:bookmarkEnd w:id="25"/>
      <w:r>
        <w:rPr>
          <w:color w:val="000000"/>
          <w:spacing w:val="0"/>
          <w:w w:val="100"/>
          <w:position w:val="0"/>
          <w:sz w:val="24"/>
          <w:szCs w:val="24"/>
        </w:rPr>
        <w:t>、公司信息</w:t>
      </w:r>
      <w:bookmarkEnd w:id="23"/>
      <w:bookmarkEnd w:id="24"/>
      <w:bookmarkEnd w:id="26"/>
      <w:bookmarkEnd w:id="22"/>
    </w:p>
    <w:tbl>
      <w:tblPr>
        <w:tblOverlap w:val="never"/>
        <w:jc w:val="center"/>
        <w:tblLayout w:type="fixed"/>
      </w:tblPr>
      <w:tblGrid>
        <w:gridCol w:w="2299"/>
        <w:gridCol w:w="7306"/>
      </w:tblGrid>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3629" w:val="left"/>
                <w:tab w:pos="5899" w:val="left"/>
              </w:tabs>
              <w:bidi w:val="0"/>
              <w:spacing w:before="0" w:after="0" w:line="240" w:lineRule="auto"/>
              <w:ind w:left="0" w:right="0" w:firstLine="0"/>
              <w:jc w:val="left"/>
            </w:pPr>
            <w:r>
              <w:rPr>
                <w:rFonts w:ascii="SimSun" w:eastAsia="SimSun" w:hAnsi="SimSun" w:cs="SimSun"/>
                <w:color w:val="000000"/>
                <w:spacing w:val="0"/>
                <w:w w:val="100"/>
                <w:position w:val="0"/>
              </w:rPr>
              <w:t>东方财富</w:t>
              <w:tab/>
              <w:t>股票代码</w:t>
              <w:tab/>
            </w:r>
            <w:r>
              <w:rPr>
                <w:color w:val="000000"/>
                <w:spacing w:val="0"/>
                <w:w w:val="100"/>
                <w:position w:val="0"/>
              </w:rPr>
              <w:t>300059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东方财富信息股份有限公司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East Money Information Co. ,Ltd.</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EASTMONEY</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其实</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上海市嘉定区宝安公路</w:t>
            </w:r>
            <w:r>
              <w:rPr>
                <w:color w:val="000000"/>
                <w:spacing w:val="0"/>
                <w:w w:val="100"/>
                <w:position w:val="0"/>
              </w:rPr>
              <w:t>2999</w:t>
            </w:r>
            <w:r>
              <w:rPr>
                <w:rFonts w:ascii="SimSun" w:eastAsia="SimSun" w:hAnsi="SimSun" w:cs="SimSun"/>
                <w:color w:val="000000"/>
                <w:spacing w:val="0"/>
                <w:w w:val="100"/>
                <w:position w:val="0"/>
              </w:rPr>
              <w:t>号</w:t>
            </w:r>
            <w:r>
              <w:rPr>
                <w:color w:val="000000"/>
                <w:spacing w:val="0"/>
                <w:w w:val="100"/>
                <w:position w:val="0"/>
              </w:rPr>
              <w:t>1</w:t>
            </w:r>
            <w:r>
              <w:rPr>
                <w:rFonts w:ascii="SimSun" w:eastAsia="SimSun" w:hAnsi="SimSun" w:cs="SimSun"/>
                <w:color w:val="000000"/>
                <w:spacing w:val="0"/>
                <w:w w:val="100"/>
                <w:position w:val="0"/>
              </w:rPr>
              <w:t>幢</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上海市徐汇区宛平南路</w:t>
            </w:r>
            <w:r>
              <w:rPr>
                <w:color w:val="000000"/>
                <w:spacing w:val="0"/>
                <w:w w:val="100"/>
                <w:position w:val="0"/>
              </w:rPr>
              <w:t>88</w:t>
            </w:r>
            <w:r>
              <w:rPr>
                <w:rFonts w:ascii="SimSun" w:eastAsia="SimSun" w:hAnsi="SimSun" w:cs="SimSun"/>
                <w:color w:val="000000"/>
                <w:spacing w:val="0"/>
                <w:w w:val="100"/>
                <w:position w:val="0"/>
              </w:rPr>
              <w:t>号东方财富大厦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"http://www.eastmoney.com" </w:instrText>
            </w:r>
            <w:r>
              <w:fldChar w:fldCharType="separate"/>
            </w:r>
            <w:r>
              <w:rPr>
                <w:color w:val="000000"/>
                <w:spacing w:val="0"/>
                <w:w w:val="100"/>
                <w:position w:val="0"/>
              </w:rPr>
              <w:t>www.eastmoney.com</w:t>
            </w:r>
            <w:r>
              <w:fldChar w:fldCharType="end"/>
            </w:r>
          </w:p>
        </w:tc>
      </w:tr>
      <w:tr>
        <w:trPr>
          <w:trHeight w:val="3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"mailto:dongmi@eastmoney.com" </w:instrText>
            </w:r>
            <w:r>
              <w:fldChar w:fldCharType="separate"/>
            </w:r>
            <w:r>
              <w:rPr>
                <w:color w:val="000000"/>
                <w:spacing w:val="0"/>
                <w:w w:val="100"/>
                <w:position w:val="0"/>
              </w:rPr>
              <w:t>dongmi@eastmoney.com</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二</w:t>
      </w:r>
      <w:bookmarkEnd w:id="29"/>
      <w:r>
        <w:rPr>
          <w:color w:val="000000"/>
          <w:spacing w:val="0"/>
          <w:w w:val="100"/>
          <w:position w:val="0"/>
          <w:sz w:val="24"/>
          <w:szCs w:val="24"/>
        </w:rPr>
        <w:t>、联系人和联系方式</w:t>
      </w:r>
      <w:bookmarkEnd w:id="27"/>
      <w:bookmarkEnd w:id="28"/>
      <w:bookmarkEnd w:id="30"/>
    </w:p>
    <w:tbl>
      <w:tblPr>
        <w:tblOverlap w:val="never"/>
        <w:jc w:val="center"/>
        <w:tblLayout w:type="fixed"/>
      </w:tblPr>
      <w:tblGrid>
        <w:gridCol w:w="2285"/>
        <w:gridCol w:w="3547"/>
        <w:gridCol w:w="3773"/>
      </w:tblGrid>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黄建海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杨浩</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上海市徐汇区宛平南路</w:t>
            </w:r>
            <w:r>
              <w:rPr>
                <w:color w:val="000000"/>
                <w:spacing w:val="0"/>
                <w:w w:val="100"/>
                <w:position w:val="0"/>
              </w:rPr>
              <w:t>88</w:t>
            </w:r>
            <w:r>
              <w:rPr>
                <w:rFonts w:ascii="SimSun" w:eastAsia="SimSun" w:hAnsi="SimSun" w:cs="SimSun"/>
                <w:color w:val="000000"/>
                <w:spacing w:val="0"/>
                <w:w w:val="100"/>
                <w:position w:val="0"/>
              </w:rPr>
              <w:t>号东方财富大厦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上海市徐汇区宛平南路</w:t>
            </w:r>
            <w:r>
              <w:rPr>
                <w:color w:val="000000"/>
                <w:spacing w:val="0"/>
                <w:w w:val="100"/>
                <w:position w:val="0"/>
              </w:rPr>
              <w:t>88</w:t>
            </w:r>
            <w:r>
              <w:rPr>
                <w:rFonts w:ascii="SimSun" w:eastAsia="SimSun" w:hAnsi="SimSun" w:cs="SimSun"/>
                <w:color w:val="000000"/>
                <w:spacing w:val="0"/>
                <w:w w:val="100"/>
                <w:position w:val="0"/>
              </w:rPr>
              <w:t>号东方财富大厦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021-54660526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021-54660526</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021-54660501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021-54660501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"mailto:dongmi@eastmoney.com" </w:instrText>
            </w:r>
            <w:r>
              <w:fldChar w:fldCharType="separate"/>
            </w:r>
            <w:r>
              <w:rPr>
                <w:color w:val="000000"/>
                <w:spacing w:val="0"/>
                <w:w w:val="100"/>
                <w:position w:val="0"/>
              </w:rPr>
              <w:t>dongmi@eastmoney.com</w:t>
            </w:r>
            <w:r>
              <w:fldChar w:fldCharType="end"/>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"mailto:dongmi@eastmoney.com" </w:instrText>
            </w:r>
            <w:r>
              <w:fldChar w:fldCharType="separate"/>
            </w:r>
            <w:r>
              <w:rPr>
                <w:color w:val="000000"/>
                <w:spacing w:val="0"/>
                <w:w w:val="100"/>
                <w:position w:val="0"/>
              </w:rPr>
              <w:t>dongmi@eastmoney.com</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三</w:t>
      </w:r>
      <w:bookmarkEnd w:id="33"/>
      <w:r>
        <w:rPr>
          <w:color w:val="000000"/>
          <w:spacing w:val="0"/>
          <w:w w:val="100"/>
          <w:position w:val="0"/>
          <w:sz w:val="24"/>
          <w:szCs w:val="24"/>
        </w:rPr>
        <w:t>、信息披露及备置地点</w:t>
      </w:r>
      <w:bookmarkEnd w:id="31"/>
      <w:bookmarkEnd w:id="32"/>
      <w:bookmarkEnd w:id="34"/>
    </w:p>
    <w:tbl>
      <w:tblPr>
        <w:tblOverlap w:val="never"/>
        <w:jc w:val="center"/>
        <w:tblLayout w:type="fixed"/>
      </w:tblPr>
      <w:tblGrid>
        <w:gridCol w:w="3139"/>
        <w:gridCol w:w="6466"/>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深圳证券交易所网站</w:t>
            </w:r>
            <w:r>
              <w:rPr>
                <w:rFonts w:ascii="SimSun" w:eastAsia="SimSun" w:hAnsi="SimSun" w:cs="SimSun"/>
                <w:color w:val="000000"/>
                <w:spacing w:val="0"/>
                <w:w w:val="100"/>
                <w:position w:val="0"/>
              </w:rPr>
              <w:t>(</w:t>
            </w:r>
            <w:r>
              <w:fldChar w:fldCharType="begin"/>
            </w:r>
            <w:r>
              <w:rPr/>
              <w:instrText> HYPERLINK "http://www.szse.cn" </w:instrText>
            </w:r>
            <w:r>
              <w:fldChar w:fldCharType="separate"/>
            </w:r>
            <w:r>
              <w:rPr>
                <w:color w:val="000000"/>
                <w:spacing w:val="0"/>
                <w:w w:val="100"/>
                <w:position w:val="0"/>
              </w:rPr>
              <w:t>www.szse.cn</w:t>
            </w:r>
            <w:r>
              <w:fldChar w:fldCharType="end"/>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《中国证券报》《上海证券报》《证券时报》、巨潮资讯网</w:t>
            </w:r>
            <w:r>
              <w:rPr>
                <w:rFonts w:ascii="SimSun" w:eastAsia="SimSun" w:hAnsi="SimSun" w:cs="SimSun"/>
                <w:color w:val="000000"/>
                <w:spacing w:val="0"/>
                <w:w w:val="100"/>
                <w:position w:val="0"/>
              </w:rPr>
              <w:t>(</w:t>
            </w:r>
            <w:r>
              <w:rPr>
                <w:color w:val="000000"/>
                <w:spacing w:val="0"/>
                <w:w w:val="100"/>
                <w:position w:val="0"/>
              </w:rPr>
              <w:t>wwwcninfo.com.cn</w:t>
            </w:r>
            <w:r>
              <w:rPr>
                <w:rFonts w:ascii="SimSun" w:eastAsia="SimSun" w:hAnsi="SimSun" w:cs="SimSu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公司董事会秘书办公室</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四</w:t>
      </w:r>
      <w:bookmarkEnd w:id="37"/>
      <w:r>
        <w:rPr>
          <w:color w:val="000000"/>
          <w:spacing w:val="0"/>
          <w:w w:val="100"/>
          <w:position w:val="0"/>
          <w:sz w:val="24"/>
          <w:szCs w:val="24"/>
        </w:rPr>
        <w:t>、其他有关资料</w:t>
      </w:r>
      <w:bookmarkEnd w:id="35"/>
      <w:bookmarkEnd w:id="36"/>
      <w:bookmarkEnd w:id="38"/>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3110"/>
        <w:gridCol w:w="6494"/>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安永华明会计师事务所（特殊普通合伙）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中国北京市东长安街</w:t>
            </w:r>
            <w:r>
              <w:rPr>
                <w:color w:val="000000"/>
                <w:spacing w:val="0"/>
                <w:w w:val="100"/>
                <w:position w:val="0"/>
              </w:rPr>
              <w:t>1</w:t>
            </w:r>
            <w:r>
              <w:rPr>
                <w:rFonts w:ascii="SimSun" w:eastAsia="SimSun" w:hAnsi="SimSun" w:cs="SimSun"/>
                <w:color w:val="000000"/>
                <w:spacing w:val="0"/>
                <w:w w:val="100"/>
                <w:position w:val="0"/>
              </w:rPr>
              <w:t>号东方广场安永大楼</w:t>
            </w:r>
            <w:r>
              <w:rPr>
                <w:color w:val="000000"/>
                <w:spacing w:val="0"/>
                <w:w w:val="100"/>
                <w:position w:val="0"/>
              </w:rPr>
              <w:t>16</w:t>
            </w:r>
            <w:r>
              <w:rPr>
                <w:rFonts w:ascii="SimSun" w:eastAsia="SimSun" w:hAnsi="SimSun" w:cs="SimSun"/>
                <w:color w:val="000000"/>
                <w:spacing w:val="0"/>
                <w:w w:val="100"/>
                <w:position w:val="0"/>
              </w:rPr>
              <w:t>层</w:t>
            </w:r>
          </w:p>
        </w:tc>
      </w:tr>
      <w:tr>
        <w:trPr>
          <w:trHeight w:val="3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朱宝钦、严盛炜</w:t>
            </w:r>
          </w:p>
        </w:tc>
      </w:tr>
    </w:tbl>
    <w:p>
      <w:pPr>
        <w:widowControl w:val="0"/>
        <w:spacing w:after="99" w:line="1" w:lineRule="exact"/>
      </w:pPr>
    </w:p>
    <w:p>
      <w:pPr>
        <w:pStyle w:val="Style24"/>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公司聘请的报告期内履行持续督导职责的保荐机构</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285"/>
        <w:gridCol w:w="2669"/>
        <w:gridCol w:w="1584"/>
        <w:gridCol w:w="3067"/>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保荐机构办公地址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持续督导期间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中国国际金融股份有限公司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北京市朝阳区建国门外大街</w:t>
            </w:r>
            <w:r>
              <w:rPr>
                <w:color w:val="000000"/>
                <w:spacing w:val="0"/>
                <w:w w:val="100"/>
                <w:position w:val="0"/>
              </w:rPr>
              <w:t>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唐加威、陈超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中国国际金融股份有限公司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北京市朝阳区建国门外大街</w:t>
            </w:r>
            <w:r>
              <w:rPr>
                <w:color w:val="000000"/>
                <w:spacing w:val="0"/>
                <w:w w:val="100"/>
                <w:position w:val="0"/>
              </w:rPr>
              <w:t>1</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唐加威、陈超</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公司聘请的报告期内履行持续督导职责的财务顾问</w:t>
      </w:r>
    </w:p>
    <w:p>
      <w:pPr>
        <w:pStyle w:val="Style24"/>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bidi w:val="0"/>
        <w:spacing w:before="0" w:after="18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sz w:val="24"/>
          <w:szCs w:val="24"/>
        </w:rPr>
        <w:t>五</w:t>
      </w:r>
      <w:bookmarkEnd w:id="41"/>
      <w:r>
        <w:rPr>
          <w:color w:val="000000"/>
          <w:spacing w:val="0"/>
          <w:w w:val="100"/>
          <w:position w:val="0"/>
          <w:sz w:val="24"/>
          <w:szCs w:val="24"/>
        </w:rPr>
        <w:t>、主要会计数据和财务指标</w:t>
      </w:r>
      <w:bookmarkEnd w:id="39"/>
      <w:bookmarkEnd w:id="40"/>
      <w:bookmarkEnd w:id="42"/>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公司是否需追溯调整或重述以前年度会计数据</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tbl>
      <w:tblPr>
        <w:tblOverlap w:val="never"/>
        <w:jc w:val="center"/>
        <w:tblLayout w:type="fixed"/>
      </w:tblPr>
      <w:tblGrid>
        <w:gridCol w:w="2966"/>
        <w:gridCol w:w="1555"/>
        <w:gridCol w:w="1555"/>
        <w:gridCol w:w="1848"/>
        <w:gridCol w:w="1680"/>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2019 </w:t>
            </w:r>
            <w:r>
              <w:rPr>
                <w:rFonts w:ascii="SimSun" w:eastAsia="SimSun" w:hAnsi="SimSun" w:cs="SimSun"/>
                <w:color w:val="000000"/>
                <w:spacing w:val="0"/>
                <w:w w:val="100"/>
                <w:position w:val="0"/>
              </w:rPr>
              <w:t>年</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营业总收入（元）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13,094,320,648.24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8,238,557,108.92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58.94%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4,231,678,035.56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8,552,927,696.06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4,778,104,850.74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color w:val="000000"/>
                <w:spacing w:val="0"/>
                <w:w w:val="100"/>
                <w:position w:val="0"/>
              </w:rPr>
              <w:t>79.00%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1,831,288,851.32</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8,440,303,766.19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4,711,370,113.92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color w:val="000000"/>
                <w:spacing w:val="0"/>
                <w:w w:val="100"/>
                <w:position w:val="0"/>
              </w:rPr>
              <w:t>79.15%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1,784,769,602.57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8,974,259,181.75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4,529,026,641.46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color w:val="000000"/>
                <w:spacing w:val="0"/>
                <w:w w:val="100"/>
                <w:position w:val="0"/>
              </w:rPr>
              <w:t>98.15%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11,721,170,510.66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color w:val="000000"/>
                <w:spacing w:val="0"/>
                <w:w w:val="100"/>
                <w:position w:val="0"/>
              </w:rPr>
              <w:t>72.92%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color w:val="000000"/>
                <w:spacing w:val="0"/>
                <w:w w:val="100"/>
                <w:position w:val="0"/>
              </w:rPr>
              <w:t>70.83%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2021</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2020</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2019</w:t>
            </w:r>
            <w:r>
              <w:rPr>
                <w:rFonts w:ascii="SimSun" w:eastAsia="SimSun" w:hAnsi="SimSun" w:cs="SimSun"/>
                <w:color w:val="000000"/>
                <w:spacing w:val="0"/>
                <w:w w:val="100"/>
                <w:position w:val="0"/>
              </w:rPr>
              <w:t>年末</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185,020,253,993.91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110,328,735,766.33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61,831,410,991.21</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44,040,236,566.54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33,156,467,221.25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32.83%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21,212,489,255.40</w:t>
            </w:r>
          </w:p>
        </w:tc>
      </w:tr>
    </w:tbl>
    <w:p>
      <w:pPr>
        <w:pStyle w:val="Style24"/>
        <w:keepNext w:val="0"/>
        <w:keepLines w:val="0"/>
        <w:widowControl w:val="0"/>
        <w:shd w:val="clear" w:color="auto" w:fill="auto"/>
        <w:bidi w:val="0"/>
        <w:spacing w:before="0" w:after="100" w:line="326"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 确定性</w:t>
      </w:r>
    </w:p>
    <w:p>
      <w:pPr>
        <w:pStyle w:val="Style28"/>
        <w:keepNext w:val="0"/>
        <w:keepLines w:val="0"/>
        <w:widowControl w:val="0"/>
        <w:numPr>
          <w:ilvl w:val="0"/>
          <w:numId w:val="1"/>
        </w:numPr>
        <w:shd w:val="clear" w:color="auto" w:fill="auto"/>
        <w:tabs>
          <w:tab w:pos="286" w:val="left"/>
        </w:tabs>
        <w:bidi w:val="0"/>
        <w:spacing w:before="0" w:after="0" w:line="379" w:lineRule="auto"/>
        <w:ind w:left="0" w:right="0" w:firstLine="0"/>
        <w:jc w:val="both"/>
      </w:pPr>
      <w:bookmarkStart w:id="43" w:name="bookmark43"/>
      <w:bookmarkEnd w:id="43"/>
      <w:r>
        <w:rPr>
          <w:rFonts w:ascii="SimSun" w:eastAsia="SimSun" w:hAnsi="SimSun" w:cs="SimSun"/>
          <w:b w:val="0"/>
          <w:bCs w:val="0"/>
          <w:color w:val="000000"/>
          <w:spacing w:val="0"/>
          <w:w w:val="100"/>
          <w:position w:val="0"/>
        </w:rPr>
        <w:t xml:space="preserve">是 </w:t>
      </w:r>
      <w:r>
        <w:rPr>
          <w:b w:val="0"/>
          <w:bCs w:val="0"/>
          <w:color w:val="000000"/>
          <w:spacing w:val="0"/>
          <w:w w:val="100"/>
          <w:position w:val="0"/>
        </w:rPr>
        <w:t xml:space="preserve">7 </w:t>
      </w:r>
      <w:r>
        <w:rPr>
          <w:rFonts w:ascii="SimSun" w:eastAsia="SimSun" w:hAnsi="SimSun" w:cs="SimSun"/>
          <w:b w:val="0"/>
          <w:bCs w:val="0"/>
          <w:color w:val="000000"/>
          <w:spacing w:val="0"/>
          <w:w w:val="100"/>
          <w:position w:val="0"/>
        </w:rPr>
        <w:t>否</w:t>
      </w:r>
    </w:p>
    <w:p>
      <w:pPr>
        <w:pStyle w:val="Style24"/>
        <w:keepNext w:val="0"/>
        <w:keepLines w:val="0"/>
        <w:widowControl w:val="0"/>
        <w:shd w:val="clear" w:color="auto" w:fill="auto"/>
        <w:bidi w:val="0"/>
        <w:spacing w:before="0" w:after="180" w:line="326" w:lineRule="exact"/>
        <w:ind w:left="0" w:right="0" w:firstLine="0"/>
        <w:jc w:val="both"/>
      </w:pPr>
      <w:r>
        <w:rPr>
          <w:color w:val="000000"/>
          <w:spacing w:val="0"/>
          <w:w w:val="100"/>
          <w:position w:val="0"/>
        </w:rPr>
        <w:t>扣除非经常损益前后的净利润孰低者为负值</w:t>
      </w:r>
    </w:p>
    <w:p>
      <w:pPr>
        <w:pStyle w:val="Style28"/>
        <w:keepNext w:val="0"/>
        <w:keepLines w:val="0"/>
        <w:widowControl w:val="0"/>
        <w:numPr>
          <w:ilvl w:val="0"/>
          <w:numId w:val="1"/>
        </w:numPr>
        <w:shd w:val="clear" w:color="auto" w:fill="auto"/>
        <w:tabs>
          <w:tab w:pos="286" w:val="left"/>
        </w:tabs>
        <w:bidi w:val="0"/>
        <w:spacing w:before="0" w:after="0" w:line="379" w:lineRule="auto"/>
        <w:ind w:left="0" w:right="0" w:firstLine="0"/>
        <w:jc w:val="both"/>
      </w:pPr>
      <w:bookmarkStart w:id="44" w:name="bookmark44"/>
      <w:bookmarkEnd w:id="44"/>
      <w:r>
        <w:rPr>
          <w:rFonts w:ascii="SimSun" w:eastAsia="SimSun" w:hAnsi="SimSun" w:cs="SimSun"/>
          <w:b w:val="0"/>
          <w:bCs w:val="0"/>
          <w:color w:val="000000"/>
          <w:spacing w:val="0"/>
          <w:w w:val="100"/>
          <w:position w:val="0"/>
        </w:rPr>
        <w:t xml:space="preserve">是 </w:t>
      </w:r>
      <w:r>
        <w:rPr>
          <w:b w:val="0"/>
          <w:bCs w:val="0"/>
          <w:color w:val="000000"/>
          <w:spacing w:val="0"/>
          <w:w w:val="100"/>
          <w:position w:val="0"/>
        </w:rPr>
        <w:t xml:space="preserve">7 </w:t>
      </w:r>
      <w:r>
        <w:rPr>
          <w:rFonts w:ascii="SimSun" w:eastAsia="SimSun" w:hAnsi="SimSun" w:cs="SimSun"/>
          <w:b w:val="0"/>
          <w:bCs w:val="0"/>
          <w:color w:val="000000"/>
          <w:spacing w:val="0"/>
          <w:w w:val="100"/>
          <w:position w:val="0"/>
        </w:rPr>
        <w:t>否</w:t>
      </w:r>
    </w:p>
    <w:p>
      <w:pPr>
        <w:pStyle w:val="Style24"/>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公司报告期末至年度报告披露日股本是否因发行新股、增发、配股、股权激励行权、回购等原因发生变化且影响所有者权 益金额</w:t>
      </w:r>
    </w:p>
    <w:p>
      <w:pPr>
        <w:pStyle w:val="Style28"/>
        <w:keepNext w:val="0"/>
        <w:keepLines w:val="0"/>
        <w:widowControl w:val="0"/>
        <w:shd w:val="clear" w:color="auto" w:fill="auto"/>
        <w:bidi w:val="0"/>
        <w:spacing w:before="0" w:after="0" w:line="360" w:lineRule="auto"/>
        <w:ind w:left="0" w:right="0" w:firstLine="0"/>
        <w:jc w:val="both"/>
      </w:pPr>
      <w:r>
        <w:rPr>
          <w:b w:val="0"/>
          <w:bCs w:val="0"/>
          <w:color w:val="000000"/>
          <w:spacing w:val="0"/>
          <w:w w:val="100"/>
          <w:position w:val="0"/>
        </w:rPr>
        <w:t xml:space="preserve">7 </w:t>
      </w:r>
      <w:r>
        <w:rPr>
          <w:rFonts w:ascii="SimSun" w:eastAsia="SimSun" w:hAnsi="SimSun" w:cs="SimSun"/>
          <w:b w:val="0"/>
          <w:bCs w:val="0"/>
          <w:color w:val="000000"/>
          <w:spacing w:val="0"/>
          <w:w w:val="100"/>
          <w:position w:val="0"/>
        </w:rPr>
        <w:t xml:space="preserve">是 </w:t>
      </w:r>
      <w:r>
        <w:rPr>
          <w:b w:val="0"/>
          <w:bCs w:val="0"/>
          <w:color w:val="000000"/>
          <w:spacing w:val="0"/>
          <w:w w:val="100"/>
          <w:position w:val="0"/>
        </w:rPr>
        <w:t xml:space="preserve">□ </w:t>
      </w:r>
      <w:r>
        <w:rPr>
          <w:rFonts w:ascii="SimSun" w:eastAsia="SimSun" w:hAnsi="SimSun" w:cs="SimSun"/>
          <w:b w:val="0"/>
          <w:bCs w:val="0"/>
          <w:color w:val="000000"/>
          <w:spacing w:val="0"/>
          <w:w w:val="100"/>
          <w:position w:val="0"/>
        </w:rPr>
        <w:t>否</w:t>
      </w:r>
    </w:p>
    <w:tbl>
      <w:tblPr>
        <w:tblOverlap w:val="never"/>
        <w:jc w:val="center"/>
        <w:tblLayout w:type="fixed"/>
      </w:tblPr>
      <w:tblGrid>
        <w:gridCol w:w="4536"/>
        <w:gridCol w:w="5069"/>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支付的永续债利息（元）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不适用</w:t>
            </w:r>
          </w:p>
        </w:tc>
      </w:tr>
      <w:tr>
        <w:trPr>
          <w:trHeight w:val="3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用最新股本计算的全面摊薄每股收益（元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w:t>
            </w:r>
          </w:p>
        </w:tc>
      </w:tr>
    </w:tbl>
    <w:p>
      <w:pPr>
        <w:spacing w:lineRule="exact" w:line="1"/>
        <w:rPr>
          <w:sz w:val="2"/>
          <w:szCs w:val="2"/>
        </w:rPr>
      </w:pPr>
      <w:r>
        <w:br w:type="page"/>
      </w:r>
    </w:p>
    <w:p>
      <w:pPr>
        <w:pStyle w:val="Style22"/>
        <w:keepNext/>
        <w:keepLines/>
        <w:widowControl w:val="0"/>
        <w:shd w:val="clear" w:color="auto" w:fill="auto"/>
        <w:bidi w:val="0"/>
        <w:spacing w:before="0" w:after="360" w:line="240" w:lineRule="auto"/>
        <w:ind w:left="0" w:right="0" w:firstLine="0"/>
        <w:jc w:val="both"/>
      </w:pPr>
      <w:bookmarkStart w:id="45" w:name="bookmark45"/>
      <w:bookmarkStart w:id="46" w:name="bookmark46"/>
      <w:bookmarkStart w:id="47" w:name="bookmark47"/>
      <w:bookmarkStart w:id="48" w:name="bookmark48"/>
      <w:r>
        <w:rPr>
          <w:color w:val="000000"/>
          <w:spacing w:val="0"/>
          <w:w w:val="100"/>
          <w:position w:val="0"/>
          <w:sz w:val="24"/>
          <w:szCs w:val="24"/>
        </w:rPr>
        <w:t>六</w:t>
      </w:r>
      <w:bookmarkEnd w:id="47"/>
      <w:r>
        <w:rPr>
          <w:color w:val="000000"/>
          <w:spacing w:val="0"/>
          <w:w w:val="100"/>
          <w:position w:val="0"/>
          <w:sz w:val="24"/>
          <w:szCs w:val="24"/>
        </w:rPr>
        <w:t>、分季度主要财务指标</w:t>
      </w:r>
      <w:bookmarkEnd w:id="45"/>
      <w:bookmarkEnd w:id="46"/>
      <w:bookmarkEnd w:id="4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47"/>
        <w:gridCol w:w="1742"/>
        <w:gridCol w:w="1747"/>
        <w:gridCol w:w="1738"/>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2,889,553,490.62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2,890,891,523.00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3,855,573,967.68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3,458,301,666.94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1,910,523,644.42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1,816,418,353.14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2,507,462,012.45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2,318,523,686.05</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1,902,835,056.36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1,724,661,232.10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2,502,883,485.50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2,309,923,992.23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3,328,643,018.19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-2,028,876,205.81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4,257,951,261.13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3,416,541,108.24</w:t>
            </w:r>
          </w:p>
        </w:tc>
      </w:tr>
    </w:tbl>
    <w:p>
      <w:pPr>
        <w:widowControl w:val="0"/>
        <w:spacing w:after="11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22"/>
        <w:keepNext/>
        <w:keepLines/>
        <w:widowControl w:val="0"/>
        <w:shd w:val="clear" w:color="auto" w:fill="auto"/>
        <w:tabs>
          <w:tab w:pos="546" w:val="left"/>
        </w:tabs>
        <w:bidi w:val="0"/>
        <w:spacing w:before="0" w:after="36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sz w:val="24"/>
          <w:szCs w:val="24"/>
        </w:rPr>
        <w:t>七</w:t>
      </w:r>
      <w:bookmarkEnd w:id="51"/>
      <w:r>
        <w:rPr>
          <w:color w:val="000000"/>
          <w:spacing w:val="0"/>
          <w:w w:val="100"/>
          <w:position w:val="0"/>
          <w:sz w:val="24"/>
          <w:szCs w:val="24"/>
        </w:rPr>
        <w:t>、</w:t>
        <w:tab/>
        <w:t>境内外会计准则下会计数据差异</w:t>
      </w:r>
      <w:bookmarkEnd w:id="49"/>
      <w:bookmarkEnd w:id="50"/>
      <w:bookmarkEnd w:id="52"/>
    </w:p>
    <w:p>
      <w:pPr>
        <w:pStyle w:val="Style32"/>
        <w:keepNext/>
        <w:keepLines/>
        <w:widowControl w:val="0"/>
        <w:shd w:val="clear" w:color="auto" w:fill="auto"/>
        <w:tabs>
          <w:tab w:pos="434" w:val="left"/>
        </w:tabs>
        <w:bidi w:val="0"/>
        <w:spacing w:before="0" w:after="360" w:line="240" w:lineRule="auto"/>
        <w:ind w:left="0" w:right="0" w:firstLine="0"/>
        <w:jc w:val="both"/>
      </w:pPr>
      <w:bookmarkStart w:id="53" w:name="bookmark53"/>
      <w:bookmarkStart w:id="54" w:name="bookmark54"/>
      <w:bookmarkStart w:id="55" w:name="bookmark55"/>
      <w:bookmarkStart w:id="56" w:name="bookmark56"/>
      <w:r>
        <w:rPr>
          <w:rFonts w:ascii="Times New Roman" w:eastAsia="Times New Roman" w:hAnsi="Times New Roman" w:cs="Times New Roman"/>
          <w:color w:val="000000"/>
          <w:spacing w:val="0"/>
          <w:w w:val="100"/>
          <w:position w:val="0"/>
        </w:rPr>
        <w:t>1</w:t>
      </w:r>
      <w:bookmarkEnd w:id="55"/>
      <w:r>
        <w:rPr>
          <w:color w:val="000000"/>
          <w:spacing w:val="0"/>
          <w:w w:val="100"/>
          <w:position w:val="0"/>
        </w:rPr>
        <w:t>、</w:t>
        <w:tab/>
        <w:t>同时按照国际会计准则与按照中国会计准则披露的财务报告中净利润和净资产差异情况</w:t>
      </w:r>
      <w:bookmarkEnd w:id="53"/>
      <w:bookmarkEnd w:id="54"/>
      <w:bookmarkEnd w:id="56"/>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34" w:val="left"/>
        </w:tabs>
        <w:bidi w:val="0"/>
        <w:spacing w:before="0" w:after="360" w:line="240" w:lineRule="auto"/>
        <w:ind w:left="0" w:right="0" w:firstLine="0"/>
        <w:jc w:val="both"/>
      </w:pPr>
      <w:bookmarkStart w:id="57" w:name="bookmark57"/>
      <w:bookmarkStart w:id="58" w:name="bookmark58"/>
      <w:bookmarkStart w:id="59" w:name="bookmark59"/>
      <w:bookmarkStart w:id="60" w:name="bookmark60"/>
      <w:r>
        <w:rPr>
          <w:rFonts w:ascii="Times New Roman" w:eastAsia="Times New Roman" w:hAnsi="Times New Roman" w:cs="Times New Roman"/>
          <w:color w:val="000000"/>
          <w:spacing w:val="0"/>
          <w:w w:val="100"/>
          <w:position w:val="0"/>
        </w:rPr>
        <w:t>2</w:t>
      </w:r>
      <w:bookmarkEnd w:id="59"/>
      <w:r>
        <w:rPr>
          <w:color w:val="000000"/>
          <w:spacing w:val="0"/>
          <w:w w:val="100"/>
          <w:position w:val="0"/>
        </w:rPr>
        <w:t>、</w:t>
        <w:tab/>
        <w:t>同时按照境外会计准则与按照中国会计准则披露的财务报告中净利润和净资产差异情况</w:t>
      </w:r>
      <w:bookmarkEnd w:id="57"/>
      <w:bookmarkEnd w:id="58"/>
      <w:bookmarkEnd w:id="60"/>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46" w:val="left"/>
        </w:tabs>
        <w:bidi w:val="0"/>
        <w:spacing w:before="0" w:after="360" w:line="240" w:lineRule="auto"/>
        <w:ind w:left="0" w:right="0" w:firstLine="0"/>
        <w:jc w:val="both"/>
      </w:pPr>
      <w:bookmarkStart w:id="61" w:name="bookmark61"/>
      <w:bookmarkStart w:id="62" w:name="bookmark62"/>
      <w:bookmarkStart w:id="63" w:name="bookmark63"/>
      <w:bookmarkStart w:id="64" w:name="bookmark64"/>
      <w:r>
        <w:rPr>
          <w:color w:val="000000"/>
          <w:spacing w:val="0"/>
          <w:w w:val="100"/>
          <w:position w:val="0"/>
          <w:sz w:val="24"/>
          <w:szCs w:val="24"/>
        </w:rPr>
        <w:t>八</w:t>
      </w:r>
      <w:bookmarkEnd w:id="63"/>
      <w:r>
        <w:rPr>
          <w:color w:val="000000"/>
          <w:spacing w:val="0"/>
          <w:w w:val="100"/>
          <w:position w:val="0"/>
          <w:sz w:val="24"/>
          <w:szCs w:val="24"/>
        </w:rPr>
        <w:t>、</w:t>
        <w:tab/>
        <w:t>非经常性损益项目及金额</w:t>
      </w:r>
      <w:bookmarkEnd w:id="61"/>
      <w:bookmarkEnd w:id="62"/>
      <w:bookmarkEnd w:id="64"/>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71"/>
        <w:gridCol w:w="1430"/>
        <w:gridCol w:w="1426"/>
        <w:gridCol w:w="145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2021</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2020</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2019</w:t>
            </w:r>
            <w:r>
              <w:rPr>
                <w:rFonts w:ascii="SimSun" w:eastAsia="SimSun" w:hAnsi="SimSun" w:cs="SimSun"/>
                <w:color w:val="000000"/>
                <w:spacing w:val="0"/>
                <w:w w:val="100"/>
                <w:position w:val="0"/>
              </w:rPr>
              <w:t>年金额</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非流动资产处置损益（包括己计提资产减值准备的冲销部分）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-214,954.06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-477,860.27</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计入当期损益的政府补助（与公司正常经营业务密切相关，符合国 家政策规定、按照一定标准定额或定量持续享受的政府补助除外）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121,607,011.01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93,937,547.92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49,136,219.39</w:t>
            </w:r>
          </w:p>
        </w:tc>
      </w:tr>
      <w:tr>
        <w:trPr>
          <w:trHeight w:val="103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除同公司正常经营业务相关的有效套期保值业务外，持有交易性金 融资产、交易性金融负债产生的公允价值变动损益，以及处置交易 性金融资产交易性金融负债和可供出售金融资产取得的投资收益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27,691,968.95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-10,149,549.95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20,715,359.46</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485,043.23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3,039,115.55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-25,625,480.58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-17,116,860.18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-14,556,205.69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11,017,555.66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10,000,648.64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22,337,214.34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12,978,158.82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8,298,264.14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112,623,929.87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66,734,736.82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46,519,248.75</w:t>
            </w:r>
          </w:p>
        </w:tc>
      </w:tr>
    </w:tbl>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吻东方财富</w:t>
      </w:r>
    </w:p>
    <w:p>
      <w:pPr>
        <w:pStyle w:val="Style37"/>
        <w:keepNext w:val="0"/>
        <w:keepLines w:val="0"/>
        <w:widowControl w:val="0"/>
        <w:shd w:val="clear" w:color="auto" w:fill="auto"/>
        <w:bidi w:val="0"/>
        <w:spacing w:before="0" w:after="200"/>
        <w:ind w:left="0" w:right="0"/>
        <w:jc w:val="left"/>
      </w:pPr>
      <w:r>
        <w:rPr>
          <w:color w:val="717171"/>
          <w:spacing w:val="0"/>
          <w:w w:val="100"/>
          <w:position w:val="0"/>
        </w:rPr>
        <w:t>east</w:t>
      </w:r>
      <w:r>
        <w:rPr>
          <w:spacing w:val="0"/>
          <w:w w:val="100"/>
          <w:position w:val="0"/>
        </w:rPr>
        <w:t>money.com</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其他符合非经常性损益定义的损益项目的具体情况：</w:t>
      </w:r>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其他符合非经常性损益定义的损益项目为增值税进项加计抵减及企业收到的代扣代缴个人所得税手续费返还等。</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 目的情况说明</w:t>
      </w:r>
    </w:p>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293" w:right="1101" w:bottom="1354" w:left="1084"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 定为经常性损益的项目的情形。</w:t>
      </w:r>
    </w:p>
    <w:p>
      <w:pPr>
        <w:widowControl w:val="0"/>
        <w:spacing w:before="72" w:after="72" w:line="240" w:lineRule="exact"/>
        <w:rPr>
          <w:sz w:val="19"/>
          <w:szCs w:val="19"/>
        </w:rPr>
      </w:pPr>
    </w:p>
    <w:p>
      <w:pPr>
        <w:widowControl w:val="0"/>
        <w:spacing w:line="1" w:lineRule="exact"/>
        <w:sectPr>
          <w:footnotePr>
            <w:pos w:val="pageBottom"/>
            <w:numFmt w:val="decimal"/>
            <w:numRestart w:val="continuous"/>
          </w:footnotePr>
          <w:pgSz w:w="11900" w:h="16840"/>
          <w:pgMar w:top="1400" w:right="931" w:bottom="1482" w:left="1053" w:header="0" w:footer="3" w:gutter="0"/>
          <w:cols w:space="720"/>
          <w:noEndnote/>
          <w:rtlGutter w:val="0"/>
          <w:docGrid w:linePitch="360"/>
        </w:sectPr>
      </w:pPr>
    </w:p>
    <w:p>
      <w:pPr>
        <w:pStyle w:val="Style12"/>
        <w:keepNext/>
        <w:keepLines/>
        <w:widowControl w:val="0"/>
        <w:shd w:val="clear" w:color="auto" w:fill="auto"/>
        <w:bidi w:val="0"/>
        <w:spacing w:before="0" w:line="240" w:lineRule="auto"/>
        <w:ind w:left="0" w:right="0" w:firstLine="0"/>
        <w:jc w:val="center"/>
      </w:pPr>
      <w:bookmarkStart w:id="65" w:name="bookmark65"/>
      <w:bookmarkStart w:id="66" w:name="bookmark66"/>
      <w:bookmarkStart w:id="67" w:name="bookmark67"/>
      <w:r>
        <w:rPr>
          <w:color w:val="000000"/>
          <w:spacing w:val="0"/>
          <w:w w:val="100"/>
          <w:position w:val="0"/>
        </w:rPr>
        <w:t>第三节管理层讨论与分析</w:t>
      </w:r>
      <w:bookmarkEnd w:id="65"/>
      <w:bookmarkEnd w:id="66"/>
      <w:bookmarkEnd w:id="67"/>
    </w:p>
    <w:p>
      <w:pPr>
        <w:pStyle w:val="Style22"/>
        <w:keepNext/>
        <w:keepLines/>
        <w:widowControl w:val="0"/>
        <w:shd w:val="clear" w:color="auto" w:fill="auto"/>
        <w:bidi w:val="0"/>
        <w:spacing w:before="0" w:after="300" w:line="240" w:lineRule="auto"/>
        <w:ind w:left="0" w:right="0" w:firstLine="0"/>
        <w:jc w:val="both"/>
      </w:pPr>
      <w:bookmarkStart w:id="68" w:name="bookmark68"/>
      <w:bookmarkStart w:id="69" w:name="bookmark69"/>
      <w:bookmarkStart w:id="70" w:name="bookmark70"/>
      <w:bookmarkStart w:id="71" w:name="bookmark71"/>
      <w:r>
        <w:rPr>
          <w:color w:val="000000"/>
          <w:spacing w:val="0"/>
          <w:w w:val="100"/>
          <w:position w:val="0"/>
          <w:sz w:val="24"/>
          <w:szCs w:val="24"/>
        </w:rPr>
        <w:t>一</w:t>
      </w:r>
      <w:bookmarkEnd w:id="70"/>
      <w:r>
        <w:rPr>
          <w:color w:val="000000"/>
          <w:spacing w:val="0"/>
          <w:w w:val="100"/>
          <w:position w:val="0"/>
          <w:sz w:val="24"/>
          <w:szCs w:val="24"/>
        </w:rPr>
        <w:t>、报告期内公司所处行业情况</w:t>
      </w:r>
      <w:bookmarkEnd w:id="68"/>
      <w:bookmarkEnd w:id="69"/>
      <w:bookmarkEnd w:id="71"/>
    </w:p>
    <w:p>
      <w:pPr>
        <w:pStyle w:val="Style32"/>
        <w:keepNext/>
        <w:keepLines/>
        <w:widowControl w:val="0"/>
        <w:shd w:val="clear" w:color="auto" w:fill="auto"/>
        <w:bidi w:val="0"/>
        <w:spacing w:before="0" w:after="100" w:line="314" w:lineRule="exact"/>
        <w:ind w:left="0" w:right="0" w:firstLine="420"/>
        <w:jc w:val="both"/>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1</w:t>
      </w:r>
      <w:bookmarkEnd w:id="74"/>
      <w:r>
        <w:rPr>
          <w:color w:val="000000"/>
          <w:spacing w:val="0"/>
          <w:w w:val="100"/>
          <w:position w:val="0"/>
        </w:rPr>
        <w:t>、公司所处行业的宏观经济趋势</w:t>
      </w:r>
      <w:bookmarkEnd w:id="72"/>
      <w:bookmarkEnd w:id="73"/>
      <w:bookmarkEnd w:id="75"/>
    </w:p>
    <w:p>
      <w:pPr>
        <w:pStyle w:val="Style32"/>
        <w:keepNext/>
        <w:keepLines/>
        <w:widowControl w:val="0"/>
        <w:shd w:val="clear" w:color="auto" w:fill="auto"/>
        <w:tabs>
          <w:tab w:pos="927" w:val="left"/>
        </w:tabs>
        <w:bidi w:val="0"/>
        <w:spacing w:before="0" w:after="0" w:line="314" w:lineRule="exact"/>
        <w:ind w:left="0" w:right="0" w:firstLine="420"/>
        <w:jc w:val="both"/>
      </w:pPr>
      <w:bookmarkStart w:id="72" w:name="bookmark72"/>
      <w:bookmarkStart w:id="73" w:name="bookmark73"/>
      <w:bookmarkStart w:id="76" w:name="bookmark76"/>
      <w:bookmarkStart w:id="77" w:name="bookmark77"/>
      <w:r>
        <w:rPr>
          <w:color w:val="000000"/>
          <w:spacing w:val="0"/>
          <w:w w:val="100"/>
          <w:position w:val="0"/>
        </w:rPr>
        <w:t>（</w:t>
      </w:r>
      <w:bookmarkEnd w:id="76"/>
      <w:r>
        <w:rPr>
          <w:rFonts w:ascii="Times New Roman" w:eastAsia="Times New Roman" w:hAnsi="Times New Roman" w:cs="Times New Roman"/>
          <w:color w:val="000000"/>
          <w:spacing w:val="0"/>
          <w:w w:val="100"/>
          <w:position w:val="0"/>
        </w:rPr>
        <w:t>1</w:t>
      </w:r>
      <w:r>
        <w:rPr>
          <w:color w:val="000000"/>
          <w:spacing w:val="0"/>
          <w:w w:val="100"/>
          <w:position w:val="0"/>
        </w:rPr>
        <w:t>）</w:t>
        <w:tab/>
        <w:t>资本市场深化改革提速，推动行业长期高质量发展</w:t>
      </w:r>
      <w:bookmarkEnd w:id="72"/>
      <w:bookmarkEnd w:id="73"/>
      <w:bookmarkEnd w:id="77"/>
    </w:p>
    <w:p>
      <w:pPr>
        <w:pStyle w:val="Style41"/>
        <w:keepNext w:val="0"/>
        <w:keepLines w:val="0"/>
        <w:widowControl w:val="0"/>
        <w:shd w:val="clear" w:color="auto" w:fill="auto"/>
        <w:bidi w:val="0"/>
        <w:spacing w:before="0" w:after="100" w:line="314" w:lineRule="exact"/>
        <w:ind w:left="0" w:right="0" w:firstLine="420"/>
        <w:jc w:val="both"/>
      </w:pPr>
      <w:r>
        <w:rPr>
          <w:color w:val="000000"/>
          <w:spacing w:val="0"/>
          <w:w w:val="100"/>
          <w:position w:val="0"/>
        </w:rPr>
        <w:t>国家十四五规划纲要提出，要完善资本市场基础制度，健全多层次资本市场体系，大力发展机构投资 者，提高直接融资特别是股权融资比重。</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日，李克强总理在政府工作报告中提到，要全面实行 股票发行注册制，促进资本市场平稳健康发展。伴随以科创板推出、创业板注册制试点、北交所开市、新 三板转板细则发布、退市新规落地实施等为代表的资本市场配套制度改革，以及以“债券南向通”和“跨 境理财通”上线等为代表的金融对外开放举措，资本市场深化改革不断提速，我国多层次资本市场体系不 断完善，进一步推动行业长期高质量发展。</w:t>
      </w:r>
    </w:p>
    <w:p>
      <w:pPr>
        <w:pStyle w:val="Style41"/>
        <w:keepNext w:val="0"/>
        <w:keepLines w:val="0"/>
        <w:widowControl w:val="0"/>
        <w:shd w:val="clear" w:color="auto" w:fill="auto"/>
        <w:tabs>
          <w:tab w:pos="927" w:val="left"/>
        </w:tabs>
        <w:bidi w:val="0"/>
        <w:spacing w:before="0" w:after="0" w:line="314" w:lineRule="exact"/>
        <w:ind w:left="0" w:right="0" w:firstLine="420"/>
        <w:jc w:val="both"/>
      </w:pPr>
      <w:bookmarkStart w:id="78" w:name="bookmark78"/>
      <w:r>
        <w:rPr>
          <w:b/>
          <w:bCs/>
          <w:color w:val="000000"/>
          <w:spacing w:val="0"/>
          <w:w w:val="100"/>
          <w:position w:val="0"/>
        </w:rPr>
        <w:t>（</w:t>
      </w:r>
      <w:bookmarkEnd w:id="7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居民财富不断积累，行业发展空间十分广阔</w:t>
      </w:r>
    </w:p>
    <w:p>
      <w:pPr>
        <w:pStyle w:val="Style41"/>
        <w:keepNext w:val="0"/>
        <w:keepLines w:val="0"/>
        <w:widowControl w:val="0"/>
        <w:shd w:val="clear" w:color="auto" w:fill="auto"/>
        <w:bidi w:val="0"/>
        <w:spacing w:before="0" w:after="0" w:line="314" w:lineRule="exact"/>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年度我国经济增长国际领先，经济实力显著增强，经济总量达</w:t>
      </w:r>
      <w:r>
        <w:rPr>
          <w:rFonts w:ascii="Times New Roman" w:eastAsia="Times New Roman" w:hAnsi="Times New Roman" w:cs="Times New Roman"/>
          <w:color w:val="000000"/>
          <w:spacing w:val="0"/>
          <w:w w:val="100"/>
          <w:position w:val="0"/>
        </w:rPr>
        <w:t>114.4</w:t>
      </w:r>
      <w:r>
        <w:rPr>
          <w:color w:val="000000"/>
          <w:spacing w:val="0"/>
          <w:w w:val="100"/>
          <w:position w:val="0"/>
        </w:rPr>
        <w:t xml:space="preserve">万亿元，人均国内生产总值 </w:t>
      </w:r>
      <w:r>
        <w:rPr>
          <w:rFonts w:ascii="Times New Roman" w:eastAsia="Times New Roman" w:hAnsi="Times New Roman" w:cs="Times New Roman"/>
          <w:color w:val="000000"/>
          <w:spacing w:val="0"/>
          <w:w w:val="100"/>
          <w:position w:val="0"/>
        </w:rPr>
        <w:t>80,976</w:t>
      </w:r>
      <w:r>
        <w:rPr>
          <w:color w:val="000000"/>
          <w:spacing w:val="0"/>
          <w:w w:val="100"/>
          <w:position w:val="0"/>
        </w:rPr>
        <w:t>元。随着我国经济发展，居民财富不断积累，居民可投资资产也随之快速增长。根据招商银行和贝 恩咨询发布的《</w:t>
      </w:r>
      <w:r>
        <w:rPr>
          <w:rFonts w:ascii="Times New Roman" w:eastAsia="Times New Roman" w:hAnsi="Times New Roman" w:cs="Times New Roman"/>
          <w:color w:val="000000"/>
          <w:spacing w:val="0"/>
          <w:w w:val="100"/>
          <w:position w:val="0"/>
        </w:rPr>
        <w:t>2021</w:t>
      </w:r>
      <w:r>
        <w:rPr>
          <w:color w:val="000000"/>
          <w:spacing w:val="0"/>
          <w:w w:val="100"/>
          <w:position w:val="0"/>
        </w:rPr>
        <w:t>中国私人财富报告》，</w:t>
      </w:r>
      <w:r>
        <w:rPr>
          <w:rFonts w:ascii="Times New Roman" w:eastAsia="Times New Roman" w:hAnsi="Times New Roman" w:cs="Times New Roman"/>
          <w:color w:val="000000"/>
          <w:spacing w:val="0"/>
          <w:w w:val="100"/>
          <w:position w:val="0"/>
        </w:rPr>
        <w:t>2020</w:t>
      </w:r>
      <w:r>
        <w:rPr>
          <w:color w:val="000000"/>
          <w:spacing w:val="0"/>
          <w:w w:val="100"/>
          <w:position w:val="0"/>
        </w:rPr>
        <w:t>年中国个人持有的可投资资产总体规模达</w:t>
      </w:r>
      <w:r>
        <w:rPr>
          <w:rFonts w:ascii="Times New Roman" w:eastAsia="Times New Roman" w:hAnsi="Times New Roman" w:cs="Times New Roman"/>
          <w:color w:val="000000"/>
          <w:spacing w:val="0"/>
          <w:w w:val="100"/>
          <w:position w:val="0"/>
        </w:rPr>
        <w:t>241</w:t>
      </w:r>
      <w:r>
        <w:rPr>
          <w:color w:val="000000"/>
          <w:spacing w:val="0"/>
          <w:w w:val="100"/>
          <w:position w:val="0"/>
        </w:rPr>
        <w:t>万亿元，呈现 健康增长态势。根据中国证券投资基金业协会的统计数据，截至</w:t>
      </w:r>
      <w:r>
        <w:rPr>
          <w:rFonts w:ascii="Times New Roman" w:eastAsia="Times New Roman" w:hAnsi="Times New Roman" w:cs="Times New Roman"/>
          <w:color w:val="000000"/>
          <w:spacing w:val="0"/>
          <w:w w:val="100"/>
          <w:position w:val="0"/>
        </w:rPr>
        <w:t>2021</w:t>
      </w:r>
      <w:r>
        <w:rPr>
          <w:color w:val="000000"/>
          <w:spacing w:val="0"/>
          <w:w w:val="100"/>
          <w:position w:val="0"/>
        </w:rPr>
        <w:t>年末，基金管理公司及其子公司、证 券公司、期货公司、私募基金管理机构资产管理业务总规模约</w:t>
      </w:r>
      <w:r>
        <w:rPr>
          <w:rFonts w:ascii="Times New Roman" w:eastAsia="Times New Roman" w:hAnsi="Times New Roman" w:cs="Times New Roman"/>
          <w:color w:val="000000"/>
          <w:spacing w:val="0"/>
          <w:w w:val="100"/>
          <w:position w:val="0"/>
        </w:rPr>
        <w:t>67.87</w:t>
      </w:r>
      <w:r>
        <w:rPr>
          <w:color w:val="000000"/>
          <w:spacing w:val="0"/>
          <w:w w:val="100"/>
          <w:position w:val="0"/>
        </w:rPr>
        <w:t>万亿元。</w:t>
      </w:r>
    </w:p>
    <w:p>
      <w:pPr>
        <w:widowControl w:val="0"/>
        <w:spacing w:line="1" w:lineRule="exact"/>
      </w:pPr>
      <w:r>
        <mc:AlternateContent>
          <mc:Choice Requires="wps">
            <w:drawing>
              <wp:anchor distT="76200" distB="0" distL="0" distR="0" simplePos="0" relativeHeight="125829378" behindDoc="0" locked="0" layoutInCell="1" allowOverlap="1">
                <wp:simplePos x="0" y="0"/>
                <wp:positionH relativeFrom="page">
                  <wp:posOffset>1080135</wp:posOffset>
                </wp:positionH>
                <wp:positionV relativeFrom="paragraph">
                  <wp:posOffset>76200</wp:posOffset>
                </wp:positionV>
                <wp:extent cx="146050" cy="1481455"/>
                <wp:wrapTopAndBottom/>
                <wp:docPr id="2" name="Shape 2"/>
                <a:graphic xmlns:a="http://schemas.openxmlformats.org/drawingml/2006/main">
                  <a:graphicData uri="http://schemas.microsoft.com/office/word/2010/wordprocessingShape">
                    <wps:wsp>
                      <wps:cNvSpPr txBox="1"/>
                      <wps:spPr>
                        <a:xfrm>
                          <a:ext cx="146050" cy="1481455"/>
                        </a:xfrm>
                        <a:prstGeom prst="rect"/>
                        <a:noFill/>
                      </wps:spPr>
                      <wps:txbx>
                        <w:txbxContent>
                          <w:p>
                            <w:pPr>
                              <w:pStyle w:val="Style28"/>
                              <w:keepNext w:val="0"/>
                              <w:keepLines w:val="0"/>
                              <w:widowControl w:val="0"/>
                              <w:shd w:val="clear" w:color="auto" w:fill="auto"/>
                              <w:bidi w:val="0"/>
                              <w:spacing w:before="0" w:line="240" w:lineRule="auto"/>
                              <w:ind w:left="0" w:right="0" w:firstLine="0"/>
                              <w:jc w:val="left"/>
                            </w:pPr>
                            <w:r>
                              <w:rPr>
                                <w:spacing w:val="0"/>
                                <w:w w:val="100"/>
                                <w:position w:val="0"/>
                              </w:rPr>
                              <w:t>80</w:t>
                            </w:r>
                          </w:p>
                          <w:p>
                            <w:pPr>
                              <w:pStyle w:val="Style28"/>
                              <w:keepNext w:val="0"/>
                              <w:keepLines w:val="0"/>
                              <w:widowControl w:val="0"/>
                              <w:shd w:val="clear" w:color="auto" w:fill="auto"/>
                              <w:bidi w:val="0"/>
                              <w:spacing w:before="0" w:line="240" w:lineRule="auto"/>
                              <w:ind w:left="0" w:right="0" w:firstLine="0"/>
                              <w:jc w:val="left"/>
                            </w:pPr>
                            <w:r>
                              <w:rPr>
                                <w:spacing w:val="0"/>
                                <w:w w:val="100"/>
                                <w:position w:val="0"/>
                              </w:rPr>
                              <w:t>70</w:t>
                            </w:r>
                          </w:p>
                          <w:p>
                            <w:pPr>
                              <w:pStyle w:val="Style28"/>
                              <w:keepNext w:val="0"/>
                              <w:keepLines w:val="0"/>
                              <w:widowControl w:val="0"/>
                              <w:shd w:val="clear" w:color="auto" w:fill="auto"/>
                              <w:bidi w:val="0"/>
                              <w:spacing w:before="0" w:line="240" w:lineRule="auto"/>
                              <w:ind w:left="0" w:right="0" w:firstLine="0"/>
                              <w:jc w:val="left"/>
                            </w:pPr>
                            <w:r>
                              <w:rPr>
                                <w:spacing w:val="0"/>
                                <w:w w:val="100"/>
                                <w:position w:val="0"/>
                              </w:rPr>
                              <w:t>60</w:t>
                            </w:r>
                          </w:p>
                          <w:p>
                            <w:pPr>
                              <w:pStyle w:val="Style28"/>
                              <w:keepNext w:val="0"/>
                              <w:keepLines w:val="0"/>
                              <w:widowControl w:val="0"/>
                              <w:shd w:val="clear" w:color="auto" w:fill="auto"/>
                              <w:bidi w:val="0"/>
                              <w:spacing w:before="0" w:line="240" w:lineRule="auto"/>
                              <w:ind w:left="0" w:right="0" w:firstLine="0"/>
                              <w:jc w:val="left"/>
                            </w:pPr>
                            <w:r>
                              <w:rPr>
                                <w:spacing w:val="0"/>
                                <w:w w:val="100"/>
                                <w:position w:val="0"/>
                              </w:rPr>
                              <w:t>50</w:t>
                            </w:r>
                          </w:p>
                          <w:p>
                            <w:pPr>
                              <w:pStyle w:val="Style28"/>
                              <w:keepNext w:val="0"/>
                              <w:keepLines w:val="0"/>
                              <w:widowControl w:val="0"/>
                              <w:shd w:val="clear" w:color="auto" w:fill="auto"/>
                              <w:bidi w:val="0"/>
                              <w:spacing w:before="0" w:line="240" w:lineRule="auto"/>
                              <w:ind w:left="0" w:right="0" w:firstLine="0"/>
                              <w:jc w:val="left"/>
                            </w:pPr>
                            <w:r>
                              <w:rPr>
                                <w:spacing w:val="0"/>
                                <w:w w:val="100"/>
                                <w:position w:val="0"/>
                              </w:rPr>
                              <w:t>40</w:t>
                            </w:r>
                          </w:p>
                          <w:p>
                            <w:pPr>
                              <w:pStyle w:val="Style28"/>
                              <w:keepNext w:val="0"/>
                              <w:keepLines w:val="0"/>
                              <w:widowControl w:val="0"/>
                              <w:shd w:val="clear" w:color="auto" w:fill="auto"/>
                              <w:bidi w:val="0"/>
                              <w:spacing w:before="0" w:line="240" w:lineRule="auto"/>
                              <w:ind w:left="0" w:right="0" w:firstLine="0"/>
                              <w:jc w:val="left"/>
                            </w:pPr>
                            <w:r>
                              <w:rPr>
                                <w:spacing w:val="0"/>
                                <w:w w:val="100"/>
                                <w:position w:val="0"/>
                              </w:rPr>
                              <w:t>30</w:t>
                            </w:r>
                          </w:p>
                          <w:p>
                            <w:pPr>
                              <w:pStyle w:val="Style28"/>
                              <w:keepNext w:val="0"/>
                              <w:keepLines w:val="0"/>
                              <w:widowControl w:val="0"/>
                              <w:shd w:val="clear" w:color="auto" w:fill="auto"/>
                              <w:bidi w:val="0"/>
                              <w:spacing w:before="0" w:line="240" w:lineRule="auto"/>
                              <w:ind w:left="0" w:right="0" w:firstLine="0"/>
                              <w:jc w:val="left"/>
                            </w:pPr>
                            <w:r>
                              <w:rPr>
                                <w:spacing w:val="0"/>
                                <w:w w:val="100"/>
                                <w:position w:val="0"/>
                              </w:rPr>
                              <w:t>20</w:t>
                            </w:r>
                          </w:p>
                          <w:p>
                            <w:pPr>
                              <w:pStyle w:val="Style28"/>
                              <w:keepNext w:val="0"/>
                              <w:keepLines w:val="0"/>
                              <w:widowControl w:val="0"/>
                              <w:shd w:val="clear" w:color="auto" w:fill="auto"/>
                              <w:bidi w:val="0"/>
                              <w:spacing w:before="0" w:line="240" w:lineRule="auto"/>
                              <w:ind w:left="0" w:right="0" w:firstLine="0"/>
                              <w:jc w:val="left"/>
                            </w:pPr>
                            <w:r>
                              <w:rPr>
                                <w:spacing w:val="0"/>
                                <w:w w:val="100"/>
                                <w:position w:val="0"/>
                              </w:rPr>
                              <w:t>10</w:t>
                            </w:r>
                          </w:p>
                          <w:p>
                            <w:pPr>
                              <w:pStyle w:val="Style28"/>
                              <w:keepNext w:val="0"/>
                              <w:keepLines w:val="0"/>
                              <w:widowControl w:val="0"/>
                              <w:shd w:val="clear" w:color="auto" w:fill="auto"/>
                              <w:bidi w:val="0"/>
                              <w:spacing w:before="0" w:line="240" w:lineRule="auto"/>
                              <w:ind w:left="0" w:right="0" w:firstLine="0"/>
                              <w:jc w:val="left"/>
                            </w:pPr>
                            <w:r>
                              <w:rPr>
                                <w:spacing w:val="0"/>
                                <w:w w:val="100"/>
                                <w:position w:val="0"/>
                              </w:rPr>
                              <w:t>0</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85.049999999999997pt;margin-top:6.pt;width:11.5pt;height:116.65000000000001pt;z-index:-125829375;mso-wrap-distance-left:0;mso-wrap-distance-top:6.pt;mso-wrap-distance-right:0;mso-position-horizontal-relative:page" filled="f" stroked="f">
                <v:textbox inset="0,0,0,0">
                  <w:txbxContent>
                    <w:p>
                      <w:pPr>
                        <w:pStyle w:val="Style28"/>
                        <w:keepNext w:val="0"/>
                        <w:keepLines w:val="0"/>
                        <w:widowControl w:val="0"/>
                        <w:shd w:val="clear" w:color="auto" w:fill="auto"/>
                        <w:bidi w:val="0"/>
                        <w:spacing w:before="0" w:line="240" w:lineRule="auto"/>
                        <w:ind w:left="0" w:right="0" w:firstLine="0"/>
                        <w:jc w:val="left"/>
                      </w:pPr>
                      <w:r>
                        <w:rPr>
                          <w:spacing w:val="0"/>
                          <w:w w:val="100"/>
                          <w:position w:val="0"/>
                        </w:rPr>
                        <w:t>80</w:t>
                      </w:r>
                    </w:p>
                    <w:p>
                      <w:pPr>
                        <w:pStyle w:val="Style28"/>
                        <w:keepNext w:val="0"/>
                        <w:keepLines w:val="0"/>
                        <w:widowControl w:val="0"/>
                        <w:shd w:val="clear" w:color="auto" w:fill="auto"/>
                        <w:bidi w:val="0"/>
                        <w:spacing w:before="0" w:line="240" w:lineRule="auto"/>
                        <w:ind w:left="0" w:right="0" w:firstLine="0"/>
                        <w:jc w:val="left"/>
                      </w:pPr>
                      <w:r>
                        <w:rPr>
                          <w:spacing w:val="0"/>
                          <w:w w:val="100"/>
                          <w:position w:val="0"/>
                        </w:rPr>
                        <w:t>70</w:t>
                      </w:r>
                    </w:p>
                    <w:p>
                      <w:pPr>
                        <w:pStyle w:val="Style28"/>
                        <w:keepNext w:val="0"/>
                        <w:keepLines w:val="0"/>
                        <w:widowControl w:val="0"/>
                        <w:shd w:val="clear" w:color="auto" w:fill="auto"/>
                        <w:bidi w:val="0"/>
                        <w:spacing w:before="0" w:line="240" w:lineRule="auto"/>
                        <w:ind w:left="0" w:right="0" w:firstLine="0"/>
                        <w:jc w:val="left"/>
                      </w:pPr>
                      <w:r>
                        <w:rPr>
                          <w:spacing w:val="0"/>
                          <w:w w:val="100"/>
                          <w:position w:val="0"/>
                        </w:rPr>
                        <w:t>60</w:t>
                      </w:r>
                    </w:p>
                    <w:p>
                      <w:pPr>
                        <w:pStyle w:val="Style28"/>
                        <w:keepNext w:val="0"/>
                        <w:keepLines w:val="0"/>
                        <w:widowControl w:val="0"/>
                        <w:shd w:val="clear" w:color="auto" w:fill="auto"/>
                        <w:bidi w:val="0"/>
                        <w:spacing w:before="0" w:line="240" w:lineRule="auto"/>
                        <w:ind w:left="0" w:right="0" w:firstLine="0"/>
                        <w:jc w:val="left"/>
                      </w:pPr>
                      <w:r>
                        <w:rPr>
                          <w:spacing w:val="0"/>
                          <w:w w:val="100"/>
                          <w:position w:val="0"/>
                        </w:rPr>
                        <w:t>50</w:t>
                      </w:r>
                    </w:p>
                    <w:p>
                      <w:pPr>
                        <w:pStyle w:val="Style28"/>
                        <w:keepNext w:val="0"/>
                        <w:keepLines w:val="0"/>
                        <w:widowControl w:val="0"/>
                        <w:shd w:val="clear" w:color="auto" w:fill="auto"/>
                        <w:bidi w:val="0"/>
                        <w:spacing w:before="0" w:line="240" w:lineRule="auto"/>
                        <w:ind w:left="0" w:right="0" w:firstLine="0"/>
                        <w:jc w:val="left"/>
                      </w:pPr>
                      <w:r>
                        <w:rPr>
                          <w:spacing w:val="0"/>
                          <w:w w:val="100"/>
                          <w:position w:val="0"/>
                        </w:rPr>
                        <w:t>40</w:t>
                      </w:r>
                    </w:p>
                    <w:p>
                      <w:pPr>
                        <w:pStyle w:val="Style28"/>
                        <w:keepNext w:val="0"/>
                        <w:keepLines w:val="0"/>
                        <w:widowControl w:val="0"/>
                        <w:shd w:val="clear" w:color="auto" w:fill="auto"/>
                        <w:bidi w:val="0"/>
                        <w:spacing w:before="0" w:line="240" w:lineRule="auto"/>
                        <w:ind w:left="0" w:right="0" w:firstLine="0"/>
                        <w:jc w:val="left"/>
                      </w:pPr>
                      <w:r>
                        <w:rPr>
                          <w:spacing w:val="0"/>
                          <w:w w:val="100"/>
                          <w:position w:val="0"/>
                        </w:rPr>
                        <w:t>30</w:t>
                      </w:r>
                    </w:p>
                    <w:p>
                      <w:pPr>
                        <w:pStyle w:val="Style28"/>
                        <w:keepNext w:val="0"/>
                        <w:keepLines w:val="0"/>
                        <w:widowControl w:val="0"/>
                        <w:shd w:val="clear" w:color="auto" w:fill="auto"/>
                        <w:bidi w:val="0"/>
                        <w:spacing w:before="0" w:line="240" w:lineRule="auto"/>
                        <w:ind w:left="0" w:right="0" w:firstLine="0"/>
                        <w:jc w:val="left"/>
                      </w:pPr>
                      <w:r>
                        <w:rPr>
                          <w:spacing w:val="0"/>
                          <w:w w:val="100"/>
                          <w:position w:val="0"/>
                        </w:rPr>
                        <w:t>20</w:t>
                      </w:r>
                    </w:p>
                    <w:p>
                      <w:pPr>
                        <w:pStyle w:val="Style28"/>
                        <w:keepNext w:val="0"/>
                        <w:keepLines w:val="0"/>
                        <w:widowControl w:val="0"/>
                        <w:shd w:val="clear" w:color="auto" w:fill="auto"/>
                        <w:bidi w:val="0"/>
                        <w:spacing w:before="0" w:line="240" w:lineRule="auto"/>
                        <w:ind w:left="0" w:right="0" w:firstLine="0"/>
                        <w:jc w:val="left"/>
                      </w:pPr>
                      <w:r>
                        <w:rPr>
                          <w:spacing w:val="0"/>
                          <w:w w:val="100"/>
                          <w:position w:val="0"/>
                        </w:rPr>
                        <w:t>10</w:t>
                      </w:r>
                    </w:p>
                    <w:p>
                      <w:pPr>
                        <w:pStyle w:val="Style28"/>
                        <w:keepNext w:val="0"/>
                        <w:keepLines w:val="0"/>
                        <w:widowControl w:val="0"/>
                        <w:shd w:val="clear" w:color="auto" w:fill="auto"/>
                        <w:bidi w:val="0"/>
                        <w:spacing w:before="0" w:line="240" w:lineRule="auto"/>
                        <w:ind w:left="0" w:right="0" w:firstLine="0"/>
                        <w:jc w:val="left"/>
                      </w:pPr>
                      <w:r>
                        <w:rPr>
                          <w:spacing w:val="0"/>
                          <w:w w:val="100"/>
                          <w:position w:val="0"/>
                        </w:rPr>
                        <w:t>0</w:t>
                      </w:r>
                    </w:p>
                  </w:txbxContent>
                </v:textbox>
                <w10:wrap type="topAndBottom" anchorx="page"/>
              </v:shape>
            </w:pict>
          </mc:Fallback>
        </mc:AlternateContent>
      </w:r>
      <w:r>
        <mc:AlternateContent>
          <mc:Choice Requires="wps">
            <w:drawing>
              <wp:anchor distT="201295" distB="0" distL="0" distR="0" simplePos="0" relativeHeight="125829380" behindDoc="0" locked="0" layoutInCell="1" allowOverlap="1">
                <wp:simplePos x="0" y="0"/>
                <wp:positionH relativeFrom="page">
                  <wp:posOffset>1308735</wp:posOffset>
                </wp:positionH>
                <wp:positionV relativeFrom="paragraph">
                  <wp:posOffset>201295</wp:posOffset>
                </wp:positionV>
                <wp:extent cx="3700145" cy="1356360"/>
                <wp:wrapTopAndBottom/>
                <wp:docPr id="4" name="Shape 4"/>
                <a:graphic xmlns:a="http://schemas.openxmlformats.org/drawingml/2006/main">
                  <a:graphicData uri="http://schemas.microsoft.com/office/word/2010/wordprocessingShape">
                    <wps:wsp>
                      <wps:cNvSpPr txBox="1"/>
                      <wps:spPr>
                        <a:xfrm>
                          <a:ext cx="3700145" cy="13563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8"/>
                                <w:szCs w:val="178"/>
                              </w:rPr>
                            </w:pPr>
                            <w:r>
                              <w:rPr>
                                <w:rFonts w:ascii="Arial" w:eastAsia="Arial" w:hAnsi="Arial" w:cs="Arial"/>
                                <w:b/>
                                <w:bCs/>
                                <w:color w:val="E57E39"/>
                                <w:spacing w:val="0"/>
                                <w:w w:val="100"/>
                                <w:position w:val="0"/>
                                <w:sz w:val="178"/>
                                <w:szCs w:val="178"/>
                              </w:rPr>
                              <w:t>rlflTFfl</w:t>
                            </w:r>
                          </w:p>
                        </w:txbxContent>
                      </wps:txbx>
                      <wps:bodyPr wrap="none" lIns="0" tIns="0" rIns="0" bIns="0">
                        <a:noAutoFit/>
                      </wps:bodyPr>
                    </wps:wsp>
                  </a:graphicData>
                </a:graphic>
              </wp:anchor>
            </w:drawing>
          </mc:Choice>
          <mc:Fallback>
            <w:pict>
              <v:shape id="_x0000_s1030" type="#_x0000_t202" style="position:absolute;margin-left:103.05pt;margin-top:15.85pt;width:291.35000000000002pt;height:106.8pt;z-index:-125829373;mso-wrap-distance-left:0;mso-wrap-distance-top:15.85pt;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78"/>
                          <w:szCs w:val="178"/>
                        </w:rPr>
                      </w:pPr>
                      <w:r>
                        <w:rPr>
                          <w:rFonts w:ascii="Arial" w:eastAsia="Arial" w:hAnsi="Arial" w:cs="Arial"/>
                          <w:b/>
                          <w:bCs/>
                          <w:color w:val="E57E39"/>
                          <w:spacing w:val="0"/>
                          <w:w w:val="100"/>
                          <w:position w:val="0"/>
                          <w:sz w:val="178"/>
                          <w:szCs w:val="178"/>
                        </w:rPr>
                        <w:t>rlflTFfl</w:t>
                      </w:r>
                    </w:p>
                  </w:txbxContent>
                </v:textbox>
                <w10:wrap type="topAndBottom" anchorx="page"/>
              </v:shape>
            </w:pict>
          </mc:Fallback>
        </mc:AlternateContent>
      </w:r>
      <w:r>
        <mc:AlternateContent>
          <mc:Choice Requires="wps">
            <w:drawing>
              <wp:anchor distT="76200" distB="0" distL="0" distR="0" simplePos="0" relativeHeight="125829382" behindDoc="0" locked="0" layoutInCell="1" allowOverlap="1">
                <wp:simplePos x="0" y="0"/>
                <wp:positionH relativeFrom="page">
                  <wp:posOffset>5091430</wp:posOffset>
                </wp:positionH>
                <wp:positionV relativeFrom="paragraph">
                  <wp:posOffset>76200</wp:posOffset>
                </wp:positionV>
                <wp:extent cx="402590" cy="1481455"/>
                <wp:wrapTopAndBottom/>
                <wp:docPr id="6" name="Shape 6"/>
                <a:graphic xmlns:a="http://schemas.openxmlformats.org/drawingml/2006/main">
                  <a:graphicData uri="http://schemas.microsoft.com/office/word/2010/wordprocessingShape">
                    <wps:wsp>
                      <wps:cNvSpPr txBox="1"/>
                      <wps:spPr>
                        <a:xfrm>
                          <a:ext cx="402590" cy="1481455"/>
                        </a:xfrm>
                        <a:prstGeom prst="rect"/>
                        <a:noFill/>
                      </wps:spPr>
                      <wps:txbx>
                        <w:txbxContent>
                          <w:p>
                            <w:pPr>
                              <w:pStyle w:val="Style28"/>
                              <w:keepNext w:val="0"/>
                              <w:keepLines w:val="0"/>
                              <w:widowControl w:val="0"/>
                              <w:shd w:val="clear" w:color="auto" w:fill="auto"/>
                              <w:bidi w:val="0"/>
                              <w:spacing w:before="0" w:after="0" w:line="276" w:lineRule="auto"/>
                              <w:ind w:left="0" w:right="0" w:firstLine="0"/>
                              <w:jc w:val="both"/>
                            </w:pPr>
                            <w:r>
                              <w:rPr>
                                <w:spacing w:val="0"/>
                                <w:w w:val="100"/>
                                <w:position w:val="0"/>
                              </w:rPr>
                              <w:t>180,000</w:t>
                            </w:r>
                          </w:p>
                          <w:p>
                            <w:pPr>
                              <w:pStyle w:val="Style28"/>
                              <w:keepNext w:val="0"/>
                              <w:keepLines w:val="0"/>
                              <w:widowControl w:val="0"/>
                              <w:shd w:val="clear" w:color="auto" w:fill="auto"/>
                              <w:bidi w:val="0"/>
                              <w:spacing w:before="0" w:after="0" w:line="276" w:lineRule="auto"/>
                              <w:ind w:left="0" w:right="0" w:firstLine="0"/>
                              <w:jc w:val="both"/>
                            </w:pPr>
                            <w:r>
                              <w:rPr>
                                <w:spacing w:val="0"/>
                                <w:w w:val="100"/>
                                <w:position w:val="0"/>
                              </w:rPr>
                              <w:t>160,000</w:t>
                            </w:r>
                          </w:p>
                          <w:p>
                            <w:pPr>
                              <w:pStyle w:val="Style28"/>
                              <w:keepNext w:val="0"/>
                              <w:keepLines w:val="0"/>
                              <w:widowControl w:val="0"/>
                              <w:shd w:val="clear" w:color="auto" w:fill="auto"/>
                              <w:bidi w:val="0"/>
                              <w:spacing w:before="0" w:after="0" w:line="276" w:lineRule="auto"/>
                              <w:ind w:left="0" w:right="0" w:firstLine="0"/>
                              <w:jc w:val="both"/>
                            </w:pPr>
                            <w:r>
                              <w:rPr>
                                <w:spacing w:val="0"/>
                                <w:w w:val="100"/>
                                <w:position w:val="0"/>
                              </w:rPr>
                              <w:t>140,000</w:t>
                            </w:r>
                          </w:p>
                          <w:p>
                            <w:pPr>
                              <w:pStyle w:val="Style28"/>
                              <w:keepNext w:val="0"/>
                              <w:keepLines w:val="0"/>
                              <w:widowControl w:val="0"/>
                              <w:shd w:val="clear" w:color="auto" w:fill="auto"/>
                              <w:bidi w:val="0"/>
                              <w:spacing w:before="0" w:after="0" w:line="276" w:lineRule="auto"/>
                              <w:ind w:left="0" w:right="0" w:firstLine="0"/>
                              <w:jc w:val="both"/>
                            </w:pPr>
                            <w:r>
                              <w:rPr>
                                <w:spacing w:val="0"/>
                                <w:w w:val="100"/>
                                <w:position w:val="0"/>
                              </w:rPr>
                              <w:t>120,000</w:t>
                            </w:r>
                          </w:p>
                          <w:p>
                            <w:pPr>
                              <w:pStyle w:val="Style28"/>
                              <w:keepNext w:val="0"/>
                              <w:keepLines w:val="0"/>
                              <w:widowControl w:val="0"/>
                              <w:shd w:val="clear" w:color="auto" w:fill="auto"/>
                              <w:bidi w:val="0"/>
                              <w:spacing w:before="0" w:after="0" w:line="276" w:lineRule="auto"/>
                              <w:ind w:left="0" w:right="0" w:firstLine="0"/>
                              <w:jc w:val="both"/>
                            </w:pPr>
                            <w:r>
                              <w:rPr>
                                <w:spacing w:val="0"/>
                                <w:w w:val="100"/>
                                <w:position w:val="0"/>
                              </w:rPr>
                              <w:t>100,000</w:t>
                            </w:r>
                          </w:p>
                          <w:p>
                            <w:pPr>
                              <w:pStyle w:val="Style28"/>
                              <w:keepNext w:val="0"/>
                              <w:keepLines w:val="0"/>
                              <w:widowControl w:val="0"/>
                              <w:shd w:val="clear" w:color="auto" w:fill="auto"/>
                              <w:bidi w:val="0"/>
                              <w:spacing w:before="0" w:after="0" w:line="276" w:lineRule="auto"/>
                              <w:ind w:left="0" w:right="0" w:firstLine="0"/>
                              <w:jc w:val="both"/>
                            </w:pPr>
                            <w:r>
                              <w:rPr>
                                <w:spacing w:val="0"/>
                                <w:w w:val="100"/>
                                <w:position w:val="0"/>
                              </w:rPr>
                              <w:t>80,000</w:t>
                            </w:r>
                          </w:p>
                          <w:p>
                            <w:pPr>
                              <w:pStyle w:val="Style28"/>
                              <w:keepNext w:val="0"/>
                              <w:keepLines w:val="0"/>
                              <w:widowControl w:val="0"/>
                              <w:shd w:val="clear" w:color="auto" w:fill="auto"/>
                              <w:bidi w:val="0"/>
                              <w:spacing w:before="0" w:after="0" w:line="276" w:lineRule="auto"/>
                              <w:ind w:left="0" w:right="0" w:firstLine="0"/>
                              <w:jc w:val="both"/>
                            </w:pPr>
                            <w:r>
                              <w:rPr>
                                <w:spacing w:val="0"/>
                                <w:w w:val="100"/>
                                <w:position w:val="0"/>
                              </w:rPr>
                              <w:t>60,000</w:t>
                            </w:r>
                          </w:p>
                          <w:p>
                            <w:pPr>
                              <w:pStyle w:val="Style28"/>
                              <w:keepNext w:val="0"/>
                              <w:keepLines w:val="0"/>
                              <w:widowControl w:val="0"/>
                              <w:shd w:val="clear" w:color="auto" w:fill="auto"/>
                              <w:bidi w:val="0"/>
                              <w:spacing w:before="0" w:after="0" w:line="276" w:lineRule="auto"/>
                              <w:ind w:left="0" w:right="0" w:firstLine="0"/>
                              <w:jc w:val="both"/>
                            </w:pPr>
                            <w:r>
                              <w:rPr>
                                <w:spacing w:val="0"/>
                                <w:w w:val="100"/>
                                <w:position w:val="0"/>
                              </w:rPr>
                              <w:t>40,000</w:t>
                            </w:r>
                          </w:p>
                          <w:p>
                            <w:pPr>
                              <w:pStyle w:val="Style28"/>
                              <w:keepNext w:val="0"/>
                              <w:keepLines w:val="0"/>
                              <w:widowControl w:val="0"/>
                              <w:shd w:val="clear" w:color="auto" w:fill="auto"/>
                              <w:bidi w:val="0"/>
                              <w:spacing w:before="0" w:after="0" w:line="276" w:lineRule="auto"/>
                              <w:ind w:left="0" w:right="0" w:firstLine="0"/>
                              <w:jc w:val="both"/>
                            </w:pPr>
                            <w:r>
                              <w:rPr>
                                <w:spacing w:val="0"/>
                                <w:w w:val="100"/>
                                <w:position w:val="0"/>
                              </w:rPr>
                              <w:t>20,000 0</w:t>
                            </w:r>
                          </w:p>
                        </w:txbxContent>
                      </wps:txbx>
                      <wps:bodyPr lIns="0" tIns="0" rIns="0" bIns="0">
                        <a:noAutoFit/>
                      </wps:bodyPr>
                    </wps:wsp>
                  </a:graphicData>
                </a:graphic>
              </wp:anchor>
            </w:drawing>
          </mc:Choice>
          <mc:Fallback>
            <w:pict>
              <v:shape id="_x0000_s1032" type="#_x0000_t202" style="position:absolute;margin-left:400.90000000000003pt;margin-top:6.pt;width:31.699999999999999pt;height:116.65000000000001pt;z-index:-125829371;mso-wrap-distance-left:0;mso-wrap-distance-top:6.pt;mso-wrap-distance-right:0;mso-position-horizontal-relative:page" filled="f" stroked="f">
                <v:textbox inset="0,0,0,0">
                  <w:txbxContent>
                    <w:p>
                      <w:pPr>
                        <w:pStyle w:val="Style28"/>
                        <w:keepNext w:val="0"/>
                        <w:keepLines w:val="0"/>
                        <w:widowControl w:val="0"/>
                        <w:shd w:val="clear" w:color="auto" w:fill="auto"/>
                        <w:bidi w:val="0"/>
                        <w:spacing w:before="0" w:after="0" w:line="276" w:lineRule="auto"/>
                        <w:ind w:left="0" w:right="0" w:firstLine="0"/>
                        <w:jc w:val="both"/>
                      </w:pPr>
                      <w:r>
                        <w:rPr>
                          <w:spacing w:val="0"/>
                          <w:w w:val="100"/>
                          <w:position w:val="0"/>
                        </w:rPr>
                        <w:t>180,000</w:t>
                      </w:r>
                    </w:p>
                    <w:p>
                      <w:pPr>
                        <w:pStyle w:val="Style28"/>
                        <w:keepNext w:val="0"/>
                        <w:keepLines w:val="0"/>
                        <w:widowControl w:val="0"/>
                        <w:shd w:val="clear" w:color="auto" w:fill="auto"/>
                        <w:bidi w:val="0"/>
                        <w:spacing w:before="0" w:after="0" w:line="276" w:lineRule="auto"/>
                        <w:ind w:left="0" w:right="0" w:firstLine="0"/>
                        <w:jc w:val="both"/>
                      </w:pPr>
                      <w:r>
                        <w:rPr>
                          <w:spacing w:val="0"/>
                          <w:w w:val="100"/>
                          <w:position w:val="0"/>
                        </w:rPr>
                        <w:t>160,000</w:t>
                      </w:r>
                    </w:p>
                    <w:p>
                      <w:pPr>
                        <w:pStyle w:val="Style28"/>
                        <w:keepNext w:val="0"/>
                        <w:keepLines w:val="0"/>
                        <w:widowControl w:val="0"/>
                        <w:shd w:val="clear" w:color="auto" w:fill="auto"/>
                        <w:bidi w:val="0"/>
                        <w:spacing w:before="0" w:after="0" w:line="276" w:lineRule="auto"/>
                        <w:ind w:left="0" w:right="0" w:firstLine="0"/>
                        <w:jc w:val="both"/>
                      </w:pPr>
                      <w:r>
                        <w:rPr>
                          <w:spacing w:val="0"/>
                          <w:w w:val="100"/>
                          <w:position w:val="0"/>
                        </w:rPr>
                        <w:t>140,000</w:t>
                      </w:r>
                    </w:p>
                    <w:p>
                      <w:pPr>
                        <w:pStyle w:val="Style28"/>
                        <w:keepNext w:val="0"/>
                        <w:keepLines w:val="0"/>
                        <w:widowControl w:val="0"/>
                        <w:shd w:val="clear" w:color="auto" w:fill="auto"/>
                        <w:bidi w:val="0"/>
                        <w:spacing w:before="0" w:after="0" w:line="276" w:lineRule="auto"/>
                        <w:ind w:left="0" w:right="0" w:firstLine="0"/>
                        <w:jc w:val="both"/>
                      </w:pPr>
                      <w:r>
                        <w:rPr>
                          <w:spacing w:val="0"/>
                          <w:w w:val="100"/>
                          <w:position w:val="0"/>
                        </w:rPr>
                        <w:t>120,000</w:t>
                      </w:r>
                    </w:p>
                    <w:p>
                      <w:pPr>
                        <w:pStyle w:val="Style28"/>
                        <w:keepNext w:val="0"/>
                        <w:keepLines w:val="0"/>
                        <w:widowControl w:val="0"/>
                        <w:shd w:val="clear" w:color="auto" w:fill="auto"/>
                        <w:bidi w:val="0"/>
                        <w:spacing w:before="0" w:after="0" w:line="276" w:lineRule="auto"/>
                        <w:ind w:left="0" w:right="0" w:firstLine="0"/>
                        <w:jc w:val="both"/>
                      </w:pPr>
                      <w:r>
                        <w:rPr>
                          <w:spacing w:val="0"/>
                          <w:w w:val="100"/>
                          <w:position w:val="0"/>
                        </w:rPr>
                        <w:t>100,000</w:t>
                      </w:r>
                    </w:p>
                    <w:p>
                      <w:pPr>
                        <w:pStyle w:val="Style28"/>
                        <w:keepNext w:val="0"/>
                        <w:keepLines w:val="0"/>
                        <w:widowControl w:val="0"/>
                        <w:shd w:val="clear" w:color="auto" w:fill="auto"/>
                        <w:bidi w:val="0"/>
                        <w:spacing w:before="0" w:after="0" w:line="276" w:lineRule="auto"/>
                        <w:ind w:left="0" w:right="0" w:firstLine="0"/>
                        <w:jc w:val="both"/>
                      </w:pPr>
                      <w:r>
                        <w:rPr>
                          <w:spacing w:val="0"/>
                          <w:w w:val="100"/>
                          <w:position w:val="0"/>
                        </w:rPr>
                        <w:t>80,000</w:t>
                      </w:r>
                    </w:p>
                    <w:p>
                      <w:pPr>
                        <w:pStyle w:val="Style28"/>
                        <w:keepNext w:val="0"/>
                        <w:keepLines w:val="0"/>
                        <w:widowControl w:val="0"/>
                        <w:shd w:val="clear" w:color="auto" w:fill="auto"/>
                        <w:bidi w:val="0"/>
                        <w:spacing w:before="0" w:after="0" w:line="276" w:lineRule="auto"/>
                        <w:ind w:left="0" w:right="0" w:firstLine="0"/>
                        <w:jc w:val="both"/>
                      </w:pPr>
                      <w:r>
                        <w:rPr>
                          <w:spacing w:val="0"/>
                          <w:w w:val="100"/>
                          <w:position w:val="0"/>
                        </w:rPr>
                        <w:t>60,000</w:t>
                      </w:r>
                    </w:p>
                    <w:p>
                      <w:pPr>
                        <w:pStyle w:val="Style28"/>
                        <w:keepNext w:val="0"/>
                        <w:keepLines w:val="0"/>
                        <w:widowControl w:val="0"/>
                        <w:shd w:val="clear" w:color="auto" w:fill="auto"/>
                        <w:bidi w:val="0"/>
                        <w:spacing w:before="0" w:after="0" w:line="276" w:lineRule="auto"/>
                        <w:ind w:left="0" w:right="0" w:firstLine="0"/>
                        <w:jc w:val="both"/>
                      </w:pPr>
                      <w:r>
                        <w:rPr>
                          <w:spacing w:val="0"/>
                          <w:w w:val="100"/>
                          <w:position w:val="0"/>
                        </w:rPr>
                        <w:t>40,000</w:t>
                      </w:r>
                    </w:p>
                    <w:p>
                      <w:pPr>
                        <w:pStyle w:val="Style28"/>
                        <w:keepNext w:val="0"/>
                        <w:keepLines w:val="0"/>
                        <w:widowControl w:val="0"/>
                        <w:shd w:val="clear" w:color="auto" w:fill="auto"/>
                        <w:bidi w:val="0"/>
                        <w:spacing w:before="0" w:after="0" w:line="276" w:lineRule="auto"/>
                        <w:ind w:left="0" w:right="0" w:firstLine="0"/>
                        <w:jc w:val="both"/>
                      </w:pPr>
                      <w:r>
                        <w:rPr>
                          <w:spacing w:val="0"/>
                          <w:w w:val="100"/>
                          <w:position w:val="0"/>
                        </w:rPr>
                        <w:t>20,000 0</w:t>
                      </w:r>
                    </w:p>
                  </w:txbxContent>
                </v:textbox>
                <w10:wrap type="topAndBottom" anchorx="page"/>
              </v:shape>
            </w:pict>
          </mc:Fallback>
        </mc:AlternateContent>
      </w:r>
    </w:p>
    <w:p>
      <w:pPr>
        <w:pStyle w:val="Style28"/>
        <w:keepNext w:val="0"/>
        <w:keepLines w:val="0"/>
        <w:widowControl w:val="0"/>
        <w:shd w:val="clear" w:color="auto" w:fill="auto"/>
        <w:tabs>
          <w:tab w:pos="1805" w:val="left"/>
          <w:tab w:pos="2464" w:val="left"/>
          <w:tab w:pos="3270" w:val="left"/>
          <w:tab w:pos="4074" w:val="left"/>
          <w:tab w:pos="4762" w:val="left"/>
          <w:tab w:pos="5448" w:val="left"/>
          <w:tab w:pos="6178" w:val="left"/>
        </w:tabs>
        <w:bidi w:val="0"/>
        <w:spacing w:before="0" w:after="140" w:line="240" w:lineRule="auto"/>
        <w:ind w:left="1080" w:right="0" w:firstLine="0"/>
        <w:jc w:val="left"/>
      </w:pPr>
      <w:r>
        <w:rPr>
          <w:spacing w:val="0"/>
          <w:w w:val="100"/>
          <w:position w:val="0"/>
        </w:rPr>
        <w:t>2014</w:t>
        <w:tab/>
        <w:t>2015</w:t>
        <w:tab/>
        <w:t>2016</w:t>
        <w:tab/>
        <w:t>2017</w:t>
        <w:tab/>
        <w:t>2018</w:t>
        <w:tab/>
        <w:t>2019</w:t>
        <w:tab/>
        <w:t>2020</w:t>
        <w:tab/>
        <w:t>2021</w:t>
      </w:r>
    </w:p>
    <w:p>
      <w:pPr>
        <w:pStyle w:val="Style24"/>
        <w:keepNext w:val="0"/>
        <w:keepLines w:val="0"/>
        <w:widowControl w:val="0"/>
        <w:shd w:val="clear" w:color="auto" w:fill="auto"/>
        <w:tabs>
          <w:tab w:leader="hyphen" w:pos="4762" w:val="left"/>
        </w:tabs>
        <w:bidi w:val="0"/>
        <w:spacing w:before="0" w:after="240" w:line="240" w:lineRule="auto"/>
        <w:ind w:left="2040" w:right="0" w:firstLine="0"/>
        <w:jc w:val="left"/>
      </w:pPr>
      <w:r>
        <w:rPr>
          <w:b/>
          <w:bCs/>
          <w:color w:val="E57E39"/>
          <w:spacing w:val="0"/>
          <w:w w:val="100"/>
          <w:position w:val="0"/>
        </w:rPr>
        <w:t xml:space="preserve">— </w:t>
      </w:r>
      <w:r>
        <w:rPr>
          <w:b/>
          <w:bCs/>
          <w:color w:val="595959"/>
          <w:spacing w:val="0"/>
          <w:w w:val="100"/>
          <w:position w:val="0"/>
        </w:rPr>
        <w:t xml:space="preserve">产品规模（万亿元） </w:t>
      </w:r>
      <w:r>
        <w:rPr>
          <w:b/>
          <w:bCs/>
          <w:color w:val="599BD5"/>
          <w:spacing w:val="0"/>
          <w:w w:val="100"/>
          <w:position w:val="0"/>
        </w:rPr>
        <w:tab/>
      </w:r>
      <w:r>
        <w:rPr>
          <w:b/>
          <w:bCs/>
          <w:color w:val="595959"/>
          <w:spacing w:val="0"/>
          <w:w w:val="100"/>
          <w:position w:val="0"/>
        </w:rPr>
        <w:t>产品数量（只）</w:t>
      </w:r>
    </w:p>
    <w:p>
      <w:pPr>
        <w:pStyle w:val="Style41"/>
        <w:keepNext w:val="0"/>
        <w:keepLines w:val="0"/>
        <w:widowControl w:val="0"/>
        <w:shd w:val="clear" w:color="auto" w:fill="auto"/>
        <w:bidi w:val="0"/>
        <w:spacing w:before="0" w:after="320" w:line="331" w:lineRule="exact"/>
        <w:ind w:left="0" w:right="0" w:firstLine="420"/>
        <w:jc w:val="both"/>
      </w:pPr>
      <w:r>
        <w:rPr>
          <w:color w:val="000000"/>
          <w:spacing w:val="0"/>
          <w:w w:val="100"/>
          <w:position w:val="0"/>
        </w:rPr>
        <w:t>根据中国证券登记结算有限责任公司统计，截至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日投资者数量突破</w:t>
      </w:r>
      <w:r>
        <w:rPr>
          <w:rFonts w:ascii="Times New Roman" w:eastAsia="Times New Roman" w:hAnsi="Times New Roman" w:cs="Times New Roman"/>
          <w:color w:val="000000"/>
          <w:spacing w:val="0"/>
          <w:w w:val="100"/>
          <w:position w:val="0"/>
        </w:rPr>
        <w:t>2</w:t>
      </w:r>
      <w:r>
        <w:rPr>
          <w:color w:val="000000"/>
          <w:spacing w:val="0"/>
          <w:w w:val="100"/>
          <w:position w:val="0"/>
        </w:rPr>
        <w:t>亿。财富管理需求和 投资者数量规模不断增长，为行业发展打开了广阔空间。</w:t>
      </w:r>
    </w:p>
    <w:p>
      <w:pPr>
        <w:pStyle w:val="Style41"/>
        <w:keepNext w:val="0"/>
        <w:keepLines w:val="0"/>
        <w:widowControl w:val="0"/>
        <w:shd w:val="clear" w:color="auto" w:fill="auto"/>
        <w:bidi w:val="0"/>
        <w:spacing w:before="0" w:after="140" w:line="240" w:lineRule="auto"/>
        <w:ind w:left="3160" w:right="0" w:firstLine="0"/>
        <w:jc w:val="left"/>
      </w:pPr>
      <w:r>
        <w:rPr>
          <w:color w:val="000000"/>
          <w:spacing w:val="0"/>
          <w:w w:val="100"/>
          <w:position w:val="0"/>
        </w:rPr>
        <w:t>投资者数量（万）</w:t>
      </w:r>
    </w:p>
    <w:p>
      <w:pPr>
        <w:pStyle w:val="Style28"/>
        <w:keepNext w:val="0"/>
        <w:keepLines w:val="0"/>
        <w:widowControl w:val="0"/>
        <w:shd w:val="clear" w:color="auto" w:fill="auto"/>
        <w:bidi w:val="0"/>
        <w:spacing w:before="0" w:after="140" w:line="240" w:lineRule="auto"/>
        <w:ind w:left="0" w:right="0" w:firstLine="560"/>
        <w:jc w:val="left"/>
      </w:pPr>
      <w:r>
        <w:rPr>
          <w:b w:val="0"/>
          <w:bCs w:val="0"/>
          <w:color w:val="000000"/>
          <w:spacing w:val="0"/>
          <w:w w:val="100"/>
          <w:position w:val="0"/>
        </w:rPr>
        <w:t>25,000</w:t>
      </w:r>
    </w:p>
    <w:p>
      <w:pPr>
        <w:pStyle w:val="Style28"/>
        <w:keepNext w:val="0"/>
        <w:keepLines w:val="0"/>
        <w:widowControl w:val="0"/>
        <w:shd w:val="clear" w:color="auto" w:fill="auto"/>
        <w:bidi w:val="0"/>
        <w:spacing w:before="0" w:after="140" w:line="240" w:lineRule="auto"/>
        <w:ind w:left="0" w:right="0" w:firstLine="560"/>
        <w:jc w:val="left"/>
      </w:pPr>
      <w:r>
        <w:rPr>
          <w:b w:val="0"/>
          <w:bCs w:val="0"/>
          <w:color w:val="000000"/>
          <w:spacing w:val="0"/>
          <w:w w:val="100"/>
          <w:position w:val="0"/>
        </w:rPr>
        <w:t>20,000</w:t>
      </w:r>
    </w:p>
    <w:p>
      <w:pPr>
        <w:pStyle w:val="Style28"/>
        <w:keepNext w:val="0"/>
        <w:keepLines w:val="0"/>
        <w:widowControl w:val="0"/>
        <w:shd w:val="clear" w:color="auto" w:fill="auto"/>
        <w:bidi w:val="0"/>
        <w:spacing w:before="0" w:after="140" w:line="240" w:lineRule="auto"/>
        <w:ind w:left="0" w:right="0" w:firstLine="560"/>
        <w:jc w:val="left"/>
      </w:pPr>
      <w:r>
        <w:rPr>
          <w:b w:val="0"/>
          <w:bCs w:val="0"/>
          <w:color w:val="000000"/>
          <w:spacing w:val="0"/>
          <w:w w:val="100"/>
          <w:position w:val="0"/>
        </w:rPr>
        <w:t>15,000</w:t>
      </w:r>
    </w:p>
    <w:p>
      <w:pPr>
        <w:pStyle w:val="Style28"/>
        <w:keepNext w:val="0"/>
        <w:keepLines w:val="0"/>
        <w:widowControl w:val="0"/>
        <w:shd w:val="clear" w:color="auto" w:fill="auto"/>
        <w:bidi w:val="0"/>
        <w:spacing w:before="0" w:after="140" w:line="240" w:lineRule="auto"/>
        <w:ind w:left="0" w:right="0" w:firstLine="560"/>
        <w:jc w:val="left"/>
      </w:pPr>
      <w:r>
        <w:rPr>
          <w:b w:val="0"/>
          <w:bCs w:val="0"/>
          <w:color w:val="000000"/>
          <w:spacing w:val="0"/>
          <w:w w:val="100"/>
          <w:position w:val="0"/>
        </w:rPr>
        <w:t>10,000</w:t>
      </w:r>
    </w:p>
    <w:p>
      <w:pPr>
        <w:pStyle w:val="Style28"/>
        <w:keepNext w:val="0"/>
        <w:keepLines w:val="0"/>
        <w:widowControl w:val="0"/>
        <w:shd w:val="clear" w:color="auto" w:fill="auto"/>
        <w:bidi w:val="0"/>
        <w:spacing w:before="0" w:after="140" w:line="240" w:lineRule="auto"/>
        <w:ind w:left="0" w:right="0" w:firstLine="640"/>
        <w:jc w:val="left"/>
      </w:pPr>
      <w:r>
        <w:rPr>
          <w:b w:val="0"/>
          <w:bCs w:val="0"/>
          <w:color w:val="000000"/>
          <w:spacing w:val="0"/>
          <w:w w:val="100"/>
          <w:position w:val="0"/>
        </w:rPr>
        <w:t>5,000</w:t>
      </w:r>
    </w:p>
    <w:p>
      <w:pPr>
        <w:pStyle w:val="Style28"/>
        <w:keepNext w:val="0"/>
        <w:keepLines w:val="0"/>
        <w:widowControl w:val="0"/>
        <w:shd w:val="clear" w:color="auto" w:fill="auto"/>
        <w:tabs>
          <w:tab w:pos="1246" w:val="left"/>
          <w:tab w:leader="hyphen" w:pos="7277" w:val="left"/>
        </w:tabs>
        <w:bidi w:val="0"/>
        <w:spacing w:before="0" w:after="0" w:line="240" w:lineRule="auto"/>
        <w:ind w:left="0" w:right="0" w:firstLine="960"/>
        <w:jc w:val="left"/>
      </w:pPr>
      <w:r>
        <w:rPr>
          <w:b w:val="0"/>
          <w:bCs w:val="0"/>
          <w:color w:val="000000"/>
          <w:spacing w:val="0"/>
          <w:w w:val="100"/>
          <w:position w:val="0"/>
        </w:rPr>
        <w:t>0</w:t>
        <w:tab/>
      </w:r>
      <w:r>
        <w:rPr>
          <w:b w:val="0"/>
          <w:bCs w:val="0"/>
          <w:color w:val="D9D9D9"/>
          <w:spacing w:val="0"/>
          <w:w w:val="100"/>
          <w:position w:val="0"/>
        </w:rPr>
        <w:tab/>
      </w:r>
    </w:p>
    <w:p>
      <w:pPr>
        <w:pStyle w:val="Style28"/>
        <w:keepNext w:val="0"/>
        <w:keepLines w:val="0"/>
        <w:widowControl w:val="0"/>
        <w:shd w:val="clear" w:color="auto" w:fill="auto"/>
        <w:tabs>
          <w:tab w:pos="2464" w:val="left"/>
          <w:tab w:pos="3270" w:val="left"/>
          <w:tab w:pos="4074" w:val="left"/>
          <w:tab w:pos="5038" w:val="left"/>
          <w:tab w:pos="5917" w:val="left"/>
          <w:tab w:pos="6685" w:val="left"/>
        </w:tabs>
        <w:bidi w:val="0"/>
        <w:spacing w:before="0" w:after="140" w:line="240" w:lineRule="auto"/>
        <w:ind w:left="1520" w:right="0" w:firstLine="0"/>
        <w:jc w:val="left"/>
      </w:pPr>
      <w:r>
        <w:rPr>
          <w:color w:val="000000"/>
          <w:spacing w:val="0"/>
          <w:w w:val="100"/>
          <w:position w:val="0"/>
        </w:rPr>
        <w:t>2015</w:t>
        <w:tab/>
        <w:t>2016</w:t>
        <w:tab/>
        <w:t>2017</w:t>
        <w:tab/>
        <w:t>2018</w:t>
        <w:tab/>
        <w:t>2019</w:t>
        <w:tab/>
        <w:t>2020</w:t>
        <w:tab/>
      </w:r>
      <w:r>
        <w:rPr>
          <w:color w:val="000000"/>
          <w:spacing w:val="0"/>
          <w:w w:val="100"/>
          <w:position w:val="0"/>
        </w:rPr>
        <w:t>2022.02</w:t>
      </w:r>
    </w:p>
    <w:p>
      <w:pPr>
        <w:pStyle w:val="Style32"/>
        <w:keepNext/>
        <w:keepLines/>
        <w:widowControl w:val="0"/>
        <w:shd w:val="clear" w:color="auto" w:fill="auto"/>
        <w:bidi w:val="0"/>
        <w:spacing w:before="0" w:after="0" w:line="302" w:lineRule="exact"/>
        <w:ind w:left="0" w:right="0" w:firstLine="440"/>
        <w:jc w:val="left"/>
      </w:pPr>
      <w:bookmarkStart w:id="79" w:name="bookmark79"/>
      <w:bookmarkStart w:id="80" w:name="bookmark80"/>
      <w:bookmarkStart w:id="81" w:name="bookmark81"/>
      <w:bookmarkStart w:id="82" w:name="bookmark82"/>
      <w:r>
        <w:rPr>
          <w:color w:val="000000"/>
          <w:spacing w:val="0"/>
          <w:w w:val="100"/>
          <w:position w:val="0"/>
        </w:rPr>
        <w:t>（</w:t>
      </w:r>
      <w:bookmarkEnd w:id="81"/>
      <w:r>
        <w:rPr>
          <w:rFonts w:ascii="Times New Roman" w:eastAsia="Times New Roman" w:hAnsi="Times New Roman" w:cs="Times New Roman"/>
          <w:color w:val="000000"/>
          <w:spacing w:val="0"/>
          <w:w w:val="100"/>
          <w:position w:val="0"/>
        </w:rPr>
        <w:t>3</w:t>
      </w:r>
      <w:r>
        <w:rPr>
          <w:color w:val="000000"/>
          <w:spacing w:val="0"/>
          <w:w w:val="100"/>
          <w:position w:val="0"/>
        </w:rPr>
        <w:t>）网民规模持续扩大，促进互联网服务行业快速发展</w:t>
      </w:r>
      <w:bookmarkEnd w:id="79"/>
      <w:bookmarkEnd w:id="80"/>
      <w:bookmarkEnd w:id="82"/>
    </w:p>
    <w:p>
      <w:pPr>
        <w:pStyle w:val="Style41"/>
        <w:keepNext w:val="0"/>
        <w:keepLines w:val="0"/>
        <w:widowControl w:val="0"/>
        <w:shd w:val="clear" w:color="auto" w:fill="auto"/>
        <w:bidi w:val="0"/>
        <w:spacing w:before="0" w:after="0" w:line="302" w:lineRule="exact"/>
        <w:ind w:left="0" w:right="0" w:firstLine="440"/>
        <w:jc w:val="left"/>
      </w:pPr>
      <w:r>
        <w:rPr>
          <w:color w:val="000000"/>
          <w:spacing w:val="0"/>
          <w:w w:val="100"/>
          <w:position w:val="0"/>
        </w:rPr>
        <w:t>中国互联网络信息中心</w:t>
      </w:r>
      <w:r>
        <w:rPr>
          <w:color w:val="000000"/>
          <w:spacing w:val="0"/>
          <w:w w:val="100"/>
          <w:position w:val="0"/>
        </w:rPr>
        <w:t>（</w:t>
      </w:r>
      <w:r>
        <w:rPr>
          <w:rFonts w:ascii="Times New Roman" w:eastAsia="Times New Roman" w:hAnsi="Times New Roman" w:cs="Times New Roman"/>
          <w:color w:val="000000"/>
          <w:spacing w:val="0"/>
          <w:w w:val="100"/>
          <w:position w:val="0"/>
        </w:rPr>
        <w:t>CNNIC</w:t>
      </w:r>
      <w:r>
        <w:rPr>
          <w:color w:val="000000"/>
          <w:spacing w:val="0"/>
          <w:w w:val="100"/>
          <w:position w:val="0"/>
        </w:rPr>
        <w:t>）</w:t>
      </w:r>
      <w:r>
        <w:rPr>
          <w:color w:val="000000"/>
          <w:spacing w:val="0"/>
          <w:w w:val="100"/>
          <w:position w:val="0"/>
        </w:rPr>
        <w:t>发布的《第</w:t>
      </w:r>
      <w:r>
        <w:rPr>
          <w:rFonts w:ascii="Times New Roman" w:eastAsia="Times New Roman" w:hAnsi="Times New Roman" w:cs="Times New Roman"/>
          <w:color w:val="000000"/>
          <w:spacing w:val="0"/>
          <w:w w:val="100"/>
          <w:position w:val="0"/>
        </w:rPr>
        <w:t>49</w:t>
      </w:r>
      <w:r>
        <w:rPr>
          <w:color w:val="000000"/>
          <w:spacing w:val="0"/>
          <w:w w:val="100"/>
          <w:position w:val="0"/>
        </w:rPr>
        <w:t xml:space="preserve">次中国互联网络发展状况统计报告》显示，截至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月，我国网民使用手机上网的比例达</w:t>
      </w:r>
      <w:r>
        <w:rPr>
          <w:rFonts w:ascii="Times New Roman" w:eastAsia="Times New Roman" w:hAnsi="Times New Roman" w:cs="Times New Roman"/>
          <w:color w:val="000000"/>
          <w:spacing w:val="0"/>
          <w:w w:val="100"/>
          <w:position w:val="0"/>
        </w:rPr>
        <w:t>99.7%</w:t>
      </w:r>
      <w:r>
        <w:rPr>
          <w:color w:val="000000"/>
          <w:spacing w:val="0"/>
          <w:w w:val="100"/>
          <w:position w:val="0"/>
        </w:rPr>
        <w:t>，手机仍是上网的最主要设备。</w:t>
      </w:r>
    </w:p>
    <w:p>
      <w:pPr>
        <w:pStyle w:val="Style41"/>
        <w:keepNext w:val="0"/>
        <w:keepLines w:val="0"/>
        <w:widowControl w:val="0"/>
        <w:shd w:val="clear" w:color="auto" w:fill="auto"/>
        <w:bidi w:val="0"/>
        <w:spacing w:before="0" w:after="0" w:line="331" w:lineRule="exact"/>
        <w:ind w:left="0" w:right="0" w:firstLine="440"/>
        <w:jc w:val="left"/>
      </w:pPr>
      <w:r>
        <w:rPr>
          <w:color w:val="000000"/>
          <w:spacing w:val="0"/>
          <w:w w:val="100"/>
          <w:position w:val="0"/>
        </w:rPr>
        <w:t>报告显示，截至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月我国网民人均每周上网时长达到</w:t>
      </w:r>
      <w:r>
        <w:rPr>
          <w:rFonts w:ascii="Times New Roman" w:eastAsia="Times New Roman" w:hAnsi="Times New Roman" w:cs="Times New Roman"/>
          <w:color w:val="000000"/>
          <w:spacing w:val="0"/>
          <w:w w:val="100"/>
          <w:position w:val="0"/>
        </w:rPr>
        <w:t>28.5</w:t>
      </w:r>
      <w:r>
        <w:rPr>
          <w:color w:val="000000"/>
          <w:spacing w:val="0"/>
          <w:w w:val="100"/>
          <w:position w:val="0"/>
        </w:rPr>
        <w:t>个小时，较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月提升</w:t>
      </w:r>
      <w:r>
        <w:rPr>
          <w:rFonts w:ascii="Times New Roman" w:eastAsia="Times New Roman" w:hAnsi="Times New Roman" w:cs="Times New Roman"/>
          <w:color w:val="000000"/>
          <w:spacing w:val="0"/>
          <w:w w:val="100"/>
          <w:position w:val="0"/>
        </w:rPr>
        <w:t>2.3</w:t>
      </w:r>
      <w:r>
        <w:rPr>
          <w:color w:val="000000"/>
          <w:spacing w:val="0"/>
          <w:w w:val="100"/>
          <w:position w:val="0"/>
        </w:rPr>
        <w:t>个小时， 互联网深度融入人民日常生活。</w:t>
      </w:r>
    </w:p>
    <w:p>
      <w:pPr>
        <w:pStyle w:val="Style41"/>
        <w:keepNext w:val="0"/>
        <w:keepLines w:val="0"/>
        <w:widowControl w:val="0"/>
        <w:shd w:val="clear" w:color="auto" w:fill="auto"/>
        <w:bidi w:val="0"/>
        <w:spacing w:before="0" w:after="140" w:line="319" w:lineRule="exact"/>
        <w:ind w:left="0" w:right="0" w:firstLine="440"/>
        <w:jc w:val="left"/>
      </w:pPr>
      <w:r>
        <w:rPr>
          <w:color w:val="000000"/>
          <w:spacing w:val="0"/>
          <w:w w:val="100"/>
          <w:position w:val="0"/>
        </w:rPr>
        <w:t>目前，我国工业和信息化发展成绩斐然，制造强国和网络强国建设迈出坚实步伐。互联网行业实现跨 越式发展，基础支撑、创新驱动、融合引领作用更加凸显，在国民经济和社会中的地位显著提升。手机网 民规模和人均上网时长的持续增加，将进一步推动互联网服务行业持续健康发展。</w:t>
      </w:r>
    </w:p>
    <w:p>
      <w:pPr>
        <w:pStyle w:val="Style32"/>
        <w:keepNext/>
        <w:keepLines/>
        <w:widowControl w:val="0"/>
        <w:shd w:val="clear" w:color="auto" w:fill="auto"/>
        <w:bidi w:val="0"/>
        <w:spacing w:before="0" w:after="0" w:line="313" w:lineRule="exact"/>
        <w:ind w:left="0" w:right="0" w:firstLine="44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2</w:t>
      </w:r>
      <w:bookmarkEnd w:id="85"/>
      <w:r>
        <w:rPr>
          <w:color w:val="000000"/>
          <w:spacing w:val="0"/>
          <w:w w:val="100"/>
          <w:position w:val="0"/>
        </w:rPr>
        <w:t>、公司行业地位和优势</w:t>
      </w:r>
      <w:bookmarkEnd w:id="83"/>
      <w:bookmarkEnd w:id="84"/>
      <w:bookmarkEnd w:id="86"/>
    </w:p>
    <w:p>
      <w:pPr>
        <w:pStyle w:val="Style41"/>
        <w:keepNext w:val="0"/>
        <w:keepLines w:val="0"/>
        <w:widowControl w:val="0"/>
        <w:shd w:val="clear" w:color="auto" w:fill="auto"/>
        <w:bidi w:val="0"/>
        <w:spacing w:before="0" w:after="340" w:line="310" w:lineRule="exact"/>
        <w:ind w:left="0" w:right="0" w:firstLine="440"/>
        <w:jc w:val="left"/>
      </w:pPr>
      <w:r>
        <w:rPr>
          <w:color w:val="000000"/>
          <w:spacing w:val="0"/>
          <w:w w:val="100"/>
          <w:position w:val="0"/>
        </w:rPr>
        <w:t>东方财富是中国领先的互联网财富管理综合运营商，主要业务有证券业务、金融电子商务服务业务、 金融数据服务业务等，涵盖互联网证券和互联网基金销售等多个细分领域。公司构建以“东方财富网”为 核心的互联网财富管理生态圈，聚集了海量用户资源和用户黏性优势，在垂直财经领域始终保持绝对领先 地位，为公司进一步拓展业务领域、完善服务链条奠定了坚实基础。同时，“东方财富网”具有较高的品 牌知名度和投资者认可度，形成了较强的品牌优势。</w:t>
      </w:r>
    </w:p>
    <w:p>
      <w:pPr>
        <w:pStyle w:val="Style22"/>
        <w:keepNext/>
        <w:keepLines/>
        <w:widowControl w:val="0"/>
        <w:shd w:val="clear" w:color="auto" w:fill="auto"/>
        <w:tabs>
          <w:tab w:pos="540" w:val="left"/>
        </w:tabs>
        <w:bidi w:val="0"/>
        <w:spacing w:before="0" w:after="26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sz w:val="24"/>
          <w:szCs w:val="24"/>
        </w:rPr>
        <w:t>二</w:t>
      </w:r>
      <w:bookmarkEnd w:id="89"/>
      <w:r>
        <w:rPr>
          <w:color w:val="000000"/>
          <w:spacing w:val="0"/>
          <w:w w:val="100"/>
          <w:position w:val="0"/>
          <w:sz w:val="24"/>
          <w:szCs w:val="24"/>
        </w:rPr>
        <w:t>、</w:t>
        <w:tab/>
        <w:t>报告期内公司从事的主要业务</w:t>
      </w:r>
      <w:bookmarkEnd w:id="87"/>
      <w:bookmarkEnd w:id="88"/>
      <w:bookmarkEnd w:id="90"/>
    </w:p>
    <w:p>
      <w:pPr>
        <w:pStyle w:val="Style4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报告期内，公司主要业务有证券业务、金融电子商务服务业务、金融数据服务业务等。主要业务的服 务内容：</w:t>
      </w:r>
    </w:p>
    <w:p>
      <w:pPr>
        <w:pStyle w:val="Style4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证券业务：主要依托构建的互联网财富管理生态圈，通过拥有相关业务牌照的东方财富证券、东方财 富期货、哈富证券等公司，为海量用户提供证券、期货经纪等服务。</w:t>
      </w:r>
    </w:p>
    <w:p>
      <w:pPr>
        <w:pStyle w:val="Style4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金融电子商务服务业务：主要通过天天基金，为用户提供基金第三方销售服务。天天基金依托以</w:t>
      </w:r>
      <w:r>
        <w:rPr>
          <w:rFonts w:ascii="Times New Roman" w:eastAsia="Times New Roman" w:hAnsi="Times New Roman" w:cs="Times New Roman"/>
          <w:color w:val="000000"/>
          <w:spacing w:val="0"/>
          <w:w w:val="100"/>
          <w:position w:val="0"/>
        </w:rPr>
        <w:t>“</w:t>
      </w:r>
      <w:r>
        <w:rPr>
          <w:color w:val="000000"/>
          <w:spacing w:val="0"/>
          <w:w w:val="100"/>
          <w:position w:val="0"/>
        </w:rPr>
        <w:t>东方 财富网</w:t>
      </w:r>
      <w:r>
        <w:rPr>
          <w:rFonts w:ascii="Times New Roman" w:eastAsia="Times New Roman" w:hAnsi="Times New Roman" w:cs="Times New Roman"/>
          <w:color w:val="000000"/>
          <w:spacing w:val="0"/>
          <w:w w:val="100"/>
          <w:position w:val="0"/>
        </w:rPr>
        <w:t>”</w:t>
      </w:r>
      <w:r>
        <w:rPr>
          <w:color w:val="000000"/>
          <w:spacing w:val="0"/>
          <w:w w:val="100"/>
          <w:position w:val="0"/>
        </w:rPr>
        <w:t>为核心的互联网财富管理生态圈所形成的用户资源优势和品牌形象优势，向用户提供一站式互联 网自助基金交易服务。</w:t>
      </w:r>
    </w:p>
    <w:p>
      <w:pPr>
        <w:pStyle w:val="Style41"/>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金融数据服务业务：主要以金融数据终端为载体，通过</w:t>
      </w:r>
      <w:r>
        <w:rPr>
          <w:rFonts w:ascii="Times New Roman" w:eastAsia="Times New Roman" w:hAnsi="Times New Roman" w:cs="Times New Roman"/>
          <w:color w:val="000000"/>
          <w:spacing w:val="0"/>
          <w:w w:val="100"/>
          <w:position w:val="0"/>
        </w:rPr>
        <w:t>PC</w:t>
      </w:r>
      <w:r>
        <w:rPr>
          <w:color w:val="000000"/>
          <w:spacing w:val="0"/>
          <w:w w:val="100"/>
          <w:position w:val="0"/>
        </w:rPr>
        <w:t>端、移动端，向海量用户提供专业化金融数 据服务。</w:t>
      </w:r>
    </w:p>
    <w:p>
      <w:pPr>
        <w:pStyle w:val="Style22"/>
        <w:keepNext/>
        <w:keepLines/>
        <w:widowControl w:val="0"/>
        <w:shd w:val="clear" w:color="auto" w:fill="auto"/>
        <w:tabs>
          <w:tab w:pos="545" w:val="left"/>
        </w:tabs>
        <w:bidi w:val="0"/>
        <w:spacing w:before="0" w:after="26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sz w:val="24"/>
          <w:szCs w:val="24"/>
        </w:rPr>
        <w:t>三</w:t>
      </w:r>
      <w:bookmarkEnd w:id="93"/>
      <w:r>
        <w:rPr>
          <w:color w:val="000000"/>
          <w:spacing w:val="0"/>
          <w:w w:val="100"/>
          <w:position w:val="0"/>
          <w:sz w:val="24"/>
          <w:szCs w:val="24"/>
        </w:rPr>
        <w:t>、</w:t>
        <w:tab/>
        <w:t>核心竞争力分析</w:t>
      </w:r>
      <w:bookmarkEnd w:id="91"/>
      <w:bookmarkEnd w:id="92"/>
      <w:bookmarkEnd w:id="94"/>
    </w:p>
    <w:p>
      <w:pPr>
        <w:pStyle w:val="Style4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东方财富是中国领先的互联网财富管理综合运营商，经过多年发展和积累，形成了自身核心竞争力优 势，为公司未来可持续健康发展奠定了坚实基础。</w:t>
      </w:r>
    </w:p>
    <w:p>
      <w:pPr>
        <w:pStyle w:val="Style41"/>
        <w:keepNext w:val="0"/>
        <w:keepLines w:val="0"/>
        <w:widowControl w:val="0"/>
        <w:shd w:val="clear" w:color="auto" w:fill="auto"/>
        <w:bidi w:val="0"/>
        <w:spacing w:before="0" w:after="0" w:line="313" w:lineRule="exact"/>
        <w:ind w:left="0" w:right="0" w:firstLine="440"/>
        <w:jc w:val="both"/>
      </w:pPr>
      <w:bookmarkStart w:id="95" w:name="bookmark95"/>
      <w:r>
        <w:rPr>
          <w:b/>
          <w:bCs/>
          <w:color w:val="000000"/>
          <w:spacing w:val="0"/>
          <w:w w:val="100"/>
          <w:position w:val="0"/>
        </w:rPr>
        <w:t>（</w:t>
      </w:r>
      <w:bookmarkEnd w:id="95"/>
      <w:r>
        <w:rPr>
          <w:b/>
          <w:bCs/>
          <w:color w:val="000000"/>
          <w:spacing w:val="0"/>
          <w:w w:val="100"/>
          <w:position w:val="0"/>
        </w:rPr>
        <w:t>一）主要核心竞争力</w:t>
      </w:r>
    </w:p>
    <w:p>
      <w:pPr>
        <w:pStyle w:val="Style41"/>
        <w:keepNext w:val="0"/>
        <w:keepLines w:val="0"/>
        <w:widowControl w:val="0"/>
        <w:shd w:val="clear" w:color="auto" w:fill="auto"/>
        <w:tabs>
          <w:tab w:pos="788" w:val="left"/>
        </w:tabs>
        <w:bidi w:val="0"/>
        <w:spacing w:before="0" w:after="0" w:line="313" w:lineRule="exact"/>
        <w:ind w:left="0" w:right="0" w:firstLine="440"/>
        <w:jc w:val="left"/>
      </w:pPr>
      <w:bookmarkStart w:id="96" w:name="bookmark96"/>
      <w:r>
        <w:rPr>
          <w:rFonts w:ascii="Times New Roman" w:eastAsia="Times New Roman" w:hAnsi="Times New Roman" w:cs="Times New Roman"/>
          <w:color w:val="000000"/>
          <w:spacing w:val="0"/>
          <w:w w:val="100"/>
          <w:position w:val="0"/>
        </w:rPr>
        <w:t>1</w:t>
      </w:r>
      <w:bookmarkEnd w:id="96"/>
      <w:r>
        <w:rPr>
          <w:color w:val="000000"/>
          <w:spacing w:val="0"/>
          <w:w w:val="100"/>
          <w:position w:val="0"/>
        </w:rPr>
        <w:t>、</w:t>
        <w:tab/>
        <w:t>用户资源优势</w:t>
      </w:r>
    </w:p>
    <w:p>
      <w:pPr>
        <w:pStyle w:val="Style4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经过多年的发展，公司构建了以</w:t>
      </w:r>
      <w:r>
        <w:rPr>
          <w:rFonts w:ascii="Times New Roman" w:eastAsia="Times New Roman" w:hAnsi="Times New Roman" w:cs="Times New Roman"/>
          <w:color w:val="000000"/>
          <w:spacing w:val="0"/>
          <w:w w:val="100"/>
          <w:position w:val="0"/>
        </w:rPr>
        <w:t>“</w:t>
      </w:r>
      <w:r>
        <w:rPr>
          <w:color w:val="000000"/>
          <w:spacing w:val="0"/>
          <w:w w:val="100"/>
          <w:position w:val="0"/>
        </w:rPr>
        <w:t>东方财富网</w:t>
      </w:r>
      <w:r>
        <w:rPr>
          <w:rFonts w:ascii="Times New Roman" w:eastAsia="Times New Roman" w:hAnsi="Times New Roman" w:cs="Times New Roman"/>
          <w:color w:val="000000"/>
          <w:spacing w:val="0"/>
          <w:w w:val="100"/>
          <w:position w:val="0"/>
        </w:rPr>
        <w:t>”</w:t>
      </w:r>
      <w:r>
        <w:rPr>
          <w:color w:val="000000"/>
          <w:spacing w:val="0"/>
          <w:w w:val="100"/>
          <w:position w:val="0"/>
        </w:rPr>
        <w:t>为核心的互联网财富管理生态圈，聚集了海量用户资源 和用户黏性优势，在垂直财经领域始终保持绝对领先地位。同时，公司积极推进一站式互联网财富管理战 略，不断加强战略投入，延伸和完善服务链条，持续拓展服务范围，提升整体服务能力和质量，进一步巩 固和提升访问量指标和用户黏性方面的优势。用户资源优势是本公司核心的竞争优势，为公司持续健康发 展奠定了坚实基础。</w:t>
      </w:r>
    </w:p>
    <w:p>
      <w:pPr>
        <w:pStyle w:val="Style41"/>
        <w:keepNext w:val="0"/>
        <w:keepLines w:val="0"/>
        <w:widowControl w:val="0"/>
        <w:shd w:val="clear" w:color="auto" w:fill="auto"/>
        <w:tabs>
          <w:tab w:pos="812" w:val="left"/>
        </w:tabs>
        <w:bidi w:val="0"/>
        <w:spacing w:before="0" w:after="0" w:line="313" w:lineRule="exact"/>
        <w:ind w:left="0" w:right="0" w:firstLine="440"/>
        <w:jc w:val="left"/>
      </w:pPr>
      <w:bookmarkStart w:id="97" w:name="bookmark97"/>
      <w:r>
        <w:rPr>
          <w:rFonts w:ascii="Times New Roman" w:eastAsia="Times New Roman" w:hAnsi="Times New Roman" w:cs="Times New Roman"/>
          <w:color w:val="000000"/>
          <w:spacing w:val="0"/>
          <w:w w:val="100"/>
          <w:position w:val="0"/>
        </w:rPr>
        <w:t>2</w:t>
      </w:r>
      <w:bookmarkEnd w:id="97"/>
      <w:r>
        <w:rPr>
          <w:color w:val="000000"/>
          <w:spacing w:val="0"/>
          <w:w w:val="100"/>
          <w:position w:val="0"/>
        </w:rPr>
        <w:t>、</w:t>
        <w:tab/>
        <w:t>研发技术优势</w:t>
      </w:r>
    </w:p>
    <w:p>
      <w:pPr>
        <w:pStyle w:val="Style41"/>
        <w:keepNext w:val="0"/>
        <w:keepLines w:val="0"/>
        <w:widowControl w:val="0"/>
        <w:shd w:val="clear" w:color="auto" w:fill="auto"/>
        <w:bidi w:val="0"/>
        <w:spacing w:before="0" w:after="0" w:line="310" w:lineRule="exact"/>
        <w:ind w:left="0" w:right="0" w:firstLine="440"/>
        <w:jc w:val="left"/>
      </w:pPr>
      <w:r>
        <w:rPr>
          <w:color w:val="000000"/>
          <w:spacing w:val="0"/>
          <w:w w:val="100"/>
          <w:position w:val="0"/>
        </w:rPr>
        <w:t>通过多年运营管理和研发，公司培养了一支人员稳定、技术领先的研发团队，自主研发了一系列的网 络核心技术，并对互联网领域的新技术和行业前瞻性技术进行深入研究和跟踪，不断优化和完善现有互联 网财富管理生态圈系统。强大的技术研发力量和核心技术储备为公司后续持续发展奠定了坚实的技术基础。</w:t>
      </w:r>
    </w:p>
    <w:p>
      <w:pPr>
        <w:pStyle w:val="Style41"/>
        <w:keepNext w:val="0"/>
        <w:keepLines w:val="0"/>
        <w:widowControl w:val="0"/>
        <w:shd w:val="clear" w:color="auto" w:fill="auto"/>
        <w:tabs>
          <w:tab w:pos="812" w:val="left"/>
        </w:tabs>
        <w:bidi w:val="0"/>
        <w:spacing w:before="0" w:after="0" w:line="310" w:lineRule="exact"/>
        <w:ind w:left="0" w:right="0" w:firstLine="440"/>
        <w:jc w:val="left"/>
      </w:pPr>
      <w:bookmarkStart w:id="98" w:name="bookmark98"/>
      <w:r>
        <w:rPr>
          <w:rFonts w:ascii="Times New Roman" w:eastAsia="Times New Roman" w:hAnsi="Times New Roman" w:cs="Times New Roman"/>
          <w:color w:val="000000"/>
          <w:spacing w:val="0"/>
          <w:w w:val="100"/>
          <w:position w:val="0"/>
        </w:rPr>
        <w:t>3</w:t>
      </w:r>
      <w:bookmarkEnd w:id="98"/>
      <w:r>
        <w:rPr>
          <w:color w:val="000000"/>
          <w:spacing w:val="0"/>
          <w:w w:val="100"/>
          <w:position w:val="0"/>
        </w:rPr>
        <w:t>、</w:t>
        <w:tab/>
        <w:t>品牌价值优势</w:t>
      </w:r>
    </w:p>
    <w:p>
      <w:pPr>
        <w:pStyle w:val="Style41"/>
        <w:keepNext w:val="0"/>
        <w:keepLines w:val="0"/>
        <w:widowControl w:val="0"/>
        <w:shd w:val="clear" w:color="auto" w:fill="auto"/>
        <w:bidi w:val="0"/>
        <w:spacing w:before="0" w:after="80" w:line="310" w:lineRule="exact"/>
        <w:ind w:left="0" w:right="0" w:firstLine="440"/>
        <w:jc w:val="left"/>
      </w:pPr>
      <w:r>
        <w:rPr>
          <w:color w:val="000000"/>
          <w:spacing w:val="0"/>
          <w:w w:val="100"/>
          <w:position w:val="0"/>
        </w:rPr>
        <w:t>公司依托于</w:t>
      </w:r>
      <w:r>
        <w:rPr>
          <w:rFonts w:ascii="Times New Roman" w:eastAsia="Times New Roman" w:hAnsi="Times New Roman" w:cs="Times New Roman"/>
          <w:color w:val="000000"/>
          <w:spacing w:val="0"/>
          <w:w w:val="100"/>
          <w:position w:val="0"/>
        </w:rPr>
        <w:t>“</w:t>
      </w:r>
      <w:r>
        <w:rPr>
          <w:color w:val="000000"/>
          <w:spacing w:val="0"/>
          <w:w w:val="100"/>
          <w:position w:val="0"/>
        </w:rPr>
        <w:t>东方财富网</w:t>
      </w:r>
      <w:r>
        <w:rPr>
          <w:rFonts w:ascii="Times New Roman" w:eastAsia="Times New Roman" w:hAnsi="Times New Roman" w:cs="Times New Roman"/>
          <w:color w:val="000000"/>
          <w:spacing w:val="0"/>
          <w:w w:val="100"/>
          <w:position w:val="0"/>
        </w:rPr>
        <w:t>”</w:t>
      </w:r>
      <w:r>
        <w:rPr>
          <w:color w:val="000000"/>
          <w:spacing w:val="0"/>
          <w:w w:val="100"/>
          <w:position w:val="0"/>
        </w:rPr>
        <w:t xml:space="preserve">树立的品牌知名度和投资者认可度，形成了强大的品牌优势，同时公司通过 </w:t>
      </w:r>
      <w:r>
        <w:rPr>
          <w:color w:val="000000"/>
          <w:spacing w:val="0"/>
          <w:w w:val="100"/>
          <w:position w:val="0"/>
        </w:rPr>
        <w:t>持续优化服务效能与加强品牌推广力度，进一步强化用户粘性、提升消费者品牌认知，对公司各项业务的 开展都起到了积极的促进作用。</w:t>
      </w:r>
    </w:p>
    <w:p>
      <w:pPr>
        <w:pStyle w:val="Style41"/>
        <w:keepNext w:val="0"/>
        <w:keepLines w:val="0"/>
        <w:widowControl w:val="0"/>
        <w:shd w:val="clear" w:color="auto" w:fill="auto"/>
        <w:tabs>
          <w:tab w:pos="833" w:val="left"/>
        </w:tabs>
        <w:bidi w:val="0"/>
        <w:spacing w:before="0" w:after="0" w:line="326" w:lineRule="auto"/>
        <w:ind w:left="0" w:right="0" w:firstLine="460"/>
        <w:jc w:val="both"/>
      </w:pPr>
      <w:bookmarkStart w:id="99" w:name="bookmark99"/>
      <w:r>
        <w:rPr>
          <w:rFonts w:ascii="Times New Roman" w:eastAsia="Times New Roman" w:hAnsi="Times New Roman" w:cs="Times New Roman"/>
          <w:color w:val="000000"/>
          <w:spacing w:val="0"/>
          <w:w w:val="100"/>
          <w:position w:val="0"/>
        </w:rPr>
        <w:t>4</w:t>
      </w:r>
      <w:bookmarkEnd w:id="99"/>
      <w:r>
        <w:rPr>
          <w:color w:val="000000"/>
          <w:spacing w:val="0"/>
          <w:w w:val="100"/>
          <w:position w:val="0"/>
        </w:rPr>
        <w:t>、</w:t>
        <w:tab/>
        <w:t>营销渠道优势</w:t>
      </w:r>
    </w:p>
    <w:p>
      <w:pPr>
        <w:pStyle w:val="Style41"/>
        <w:keepNext w:val="0"/>
        <w:keepLines w:val="0"/>
        <w:widowControl w:val="0"/>
        <w:shd w:val="clear" w:color="auto" w:fill="auto"/>
        <w:bidi w:val="0"/>
        <w:spacing w:before="0" w:after="80" w:line="313" w:lineRule="exact"/>
        <w:ind w:left="0" w:right="0" w:firstLine="460"/>
        <w:jc w:val="both"/>
      </w:pPr>
      <w:r>
        <w:rPr>
          <w:color w:val="000000"/>
          <w:spacing w:val="0"/>
          <w:w w:val="100"/>
          <w:position w:val="0"/>
        </w:rPr>
        <w:t>互联网营销渠道不受地域、空间、时间的限制，可以提供全天候不间断的网上信息发布、网上产品展 示、互动交流的平台，用户覆盖区域广，营销渠道价值与网站用户数量和用户访问量成正比。公司构建了 以</w:t>
      </w:r>
      <w:r>
        <w:rPr>
          <w:rFonts w:ascii="Times New Roman" w:eastAsia="Times New Roman" w:hAnsi="Times New Roman" w:cs="Times New Roman"/>
          <w:color w:val="000000"/>
          <w:spacing w:val="0"/>
          <w:w w:val="100"/>
          <w:position w:val="0"/>
        </w:rPr>
        <w:t>“</w:t>
      </w:r>
      <w:r>
        <w:rPr>
          <w:color w:val="000000"/>
          <w:spacing w:val="0"/>
          <w:w w:val="100"/>
          <w:position w:val="0"/>
        </w:rPr>
        <w:t>东方财富网</w:t>
      </w:r>
      <w:r>
        <w:rPr>
          <w:rFonts w:ascii="Times New Roman" w:eastAsia="Times New Roman" w:hAnsi="Times New Roman" w:cs="Times New Roman"/>
          <w:color w:val="000000"/>
          <w:spacing w:val="0"/>
          <w:w w:val="100"/>
          <w:position w:val="0"/>
        </w:rPr>
        <w:t>”</w:t>
      </w:r>
      <w:r>
        <w:rPr>
          <w:color w:val="000000"/>
          <w:spacing w:val="0"/>
          <w:w w:val="100"/>
          <w:position w:val="0"/>
        </w:rPr>
        <w:t>为核心的互联网财富管理生态圈，拥有明显的互联网营销渠道优势。</w:t>
      </w:r>
    </w:p>
    <w:p>
      <w:pPr>
        <w:pStyle w:val="Style41"/>
        <w:keepNext w:val="0"/>
        <w:keepLines w:val="0"/>
        <w:widowControl w:val="0"/>
        <w:shd w:val="clear" w:color="auto" w:fill="auto"/>
        <w:tabs>
          <w:tab w:pos="833" w:val="left"/>
        </w:tabs>
        <w:bidi w:val="0"/>
        <w:spacing w:before="0" w:after="0" w:line="326" w:lineRule="auto"/>
        <w:ind w:left="0" w:right="0" w:firstLine="460"/>
        <w:jc w:val="both"/>
      </w:pPr>
      <w:bookmarkStart w:id="100" w:name="bookmark100"/>
      <w:r>
        <w:rPr>
          <w:rFonts w:ascii="Times New Roman" w:eastAsia="Times New Roman" w:hAnsi="Times New Roman" w:cs="Times New Roman"/>
          <w:color w:val="000000"/>
          <w:spacing w:val="0"/>
          <w:w w:val="100"/>
          <w:position w:val="0"/>
        </w:rPr>
        <w:t>5</w:t>
      </w:r>
      <w:bookmarkEnd w:id="100"/>
      <w:r>
        <w:rPr>
          <w:color w:val="000000"/>
          <w:spacing w:val="0"/>
          <w:w w:val="100"/>
          <w:position w:val="0"/>
        </w:rPr>
        <w:t>、</w:t>
        <w:tab/>
        <w:t>管理团队优势</w:t>
      </w:r>
    </w:p>
    <w:p>
      <w:pPr>
        <w:pStyle w:val="Style41"/>
        <w:keepNext w:val="0"/>
        <w:keepLines w:val="0"/>
        <w:widowControl w:val="0"/>
        <w:shd w:val="clear" w:color="auto" w:fill="auto"/>
        <w:bidi w:val="0"/>
        <w:spacing w:before="0" w:after="320" w:line="313" w:lineRule="exact"/>
        <w:ind w:left="0" w:right="0" w:firstLine="460"/>
        <w:jc w:val="both"/>
      </w:pPr>
      <w:r>
        <w:rPr>
          <w:color w:val="000000"/>
          <w:spacing w:val="0"/>
          <w:w w:val="100"/>
          <w:position w:val="0"/>
        </w:rPr>
        <w:t>公司积极推行</w:t>
      </w:r>
      <w:r>
        <w:rPr>
          <w:rFonts w:ascii="Times New Roman" w:eastAsia="Times New Roman" w:hAnsi="Times New Roman" w:cs="Times New Roman"/>
          <w:color w:val="000000"/>
          <w:spacing w:val="0"/>
          <w:w w:val="100"/>
          <w:position w:val="0"/>
        </w:rPr>
        <w:t>“</w:t>
      </w:r>
      <w:r>
        <w:rPr>
          <w:color w:val="000000"/>
          <w:spacing w:val="0"/>
          <w:w w:val="100"/>
          <w:position w:val="0"/>
        </w:rPr>
        <w:t>以人为本</w:t>
      </w:r>
      <w:r>
        <w:rPr>
          <w:rFonts w:ascii="Times New Roman" w:eastAsia="Times New Roman" w:hAnsi="Times New Roman" w:cs="Times New Roman"/>
          <w:color w:val="000000"/>
          <w:spacing w:val="0"/>
          <w:w w:val="100"/>
          <w:position w:val="0"/>
        </w:rPr>
        <w:t>”</w:t>
      </w:r>
      <w:r>
        <w:rPr>
          <w:color w:val="000000"/>
          <w:spacing w:val="0"/>
          <w:w w:val="100"/>
          <w:position w:val="0"/>
        </w:rPr>
        <w:t>的人才战略，通过内部培养和外部引进，不断扩充和培养骨干队伍，形成了 以创业团队为核心，以资深经理人为骨干的管理团队，主要管理人员具有丰富的管理经验、互联网技术开 发经验、金融研究工作经验和市场营销经验，对互联网服务行业的相关技术、发展历程及未来趋势具有深 刻理解。同时，公司不断完善考核激励制度，先后推出多期股权激励计划，激励和稳定核心团队。</w:t>
      </w:r>
    </w:p>
    <w:p>
      <w:pPr>
        <w:pStyle w:val="Style32"/>
        <w:keepNext/>
        <w:keepLines/>
        <w:widowControl w:val="0"/>
        <w:shd w:val="clear" w:color="auto" w:fill="auto"/>
        <w:bidi w:val="0"/>
        <w:spacing w:before="0" w:after="80" w:line="341" w:lineRule="exact"/>
        <w:ind w:left="0" w:right="0" w:firstLine="46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color w:val="000000"/>
          <w:spacing w:val="0"/>
          <w:w w:val="100"/>
          <w:position w:val="0"/>
        </w:rPr>
        <w:t>二）报告期末公司拥有的商标、软件著作权、专利技术、非专利技术等情况</w:t>
      </w:r>
      <w:bookmarkEnd w:id="101"/>
      <w:bookmarkEnd w:id="102"/>
      <w:bookmarkEnd w:id="104"/>
    </w:p>
    <w:p>
      <w:pPr>
        <w:pStyle w:val="Style41"/>
        <w:keepNext w:val="0"/>
        <w:keepLines w:val="0"/>
        <w:widowControl w:val="0"/>
        <w:shd w:val="clear" w:color="auto" w:fill="auto"/>
        <w:tabs>
          <w:tab w:pos="809" w:val="left"/>
        </w:tabs>
        <w:bidi w:val="0"/>
        <w:spacing w:before="0" w:after="80" w:line="240" w:lineRule="auto"/>
        <w:ind w:left="0" w:right="0" w:firstLine="460"/>
        <w:jc w:val="left"/>
      </w:pPr>
      <w:bookmarkStart w:id="105" w:name="bookmark105"/>
      <w:r>
        <w:rPr>
          <w:rFonts w:ascii="Times New Roman" w:eastAsia="Times New Roman" w:hAnsi="Times New Roman" w:cs="Times New Roman"/>
          <w:color w:val="000000"/>
          <w:spacing w:val="0"/>
          <w:w w:val="100"/>
          <w:position w:val="0"/>
        </w:rPr>
        <w:t>1</w:t>
      </w:r>
      <w:bookmarkEnd w:id="105"/>
      <w:r>
        <w:rPr>
          <w:color w:val="000000"/>
          <w:spacing w:val="0"/>
          <w:w w:val="100"/>
          <w:position w:val="0"/>
        </w:rPr>
        <w:t>、</w:t>
        <w:tab/>
        <w:t>商标</w:t>
      </w:r>
    </w:p>
    <w:p>
      <w:pPr>
        <w:pStyle w:val="Style41"/>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截至报告期末，公司及子公司共获得注册的商标</w:t>
      </w:r>
      <w:r>
        <w:rPr>
          <w:rFonts w:ascii="Times New Roman" w:eastAsia="Times New Roman" w:hAnsi="Times New Roman" w:cs="Times New Roman"/>
          <w:color w:val="000000"/>
          <w:spacing w:val="0"/>
          <w:w w:val="100"/>
          <w:position w:val="0"/>
        </w:rPr>
        <w:t>219</w:t>
      </w:r>
      <w:r>
        <w:rPr>
          <w:color w:val="000000"/>
          <w:spacing w:val="0"/>
          <w:w w:val="100"/>
          <w:position w:val="0"/>
        </w:rPr>
        <w:t>项。</w:t>
      </w:r>
    </w:p>
    <w:p>
      <w:pPr>
        <w:pStyle w:val="Style41"/>
        <w:keepNext w:val="0"/>
        <w:keepLines w:val="0"/>
        <w:widowControl w:val="0"/>
        <w:shd w:val="clear" w:color="auto" w:fill="auto"/>
        <w:tabs>
          <w:tab w:pos="833" w:val="left"/>
        </w:tabs>
        <w:bidi w:val="0"/>
        <w:spacing w:before="0" w:after="0" w:line="360" w:lineRule="auto"/>
        <w:ind w:left="0" w:right="0" w:firstLine="460"/>
        <w:jc w:val="left"/>
      </w:pPr>
      <w:bookmarkStart w:id="106" w:name="bookmark106"/>
      <w:r>
        <w:rPr>
          <w:rFonts w:ascii="Times New Roman" w:eastAsia="Times New Roman" w:hAnsi="Times New Roman" w:cs="Times New Roman"/>
          <w:color w:val="000000"/>
          <w:spacing w:val="0"/>
          <w:w w:val="100"/>
          <w:position w:val="0"/>
        </w:rPr>
        <w:t>2</w:t>
      </w:r>
      <w:bookmarkEnd w:id="106"/>
      <w:r>
        <w:rPr>
          <w:color w:val="000000"/>
          <w:spacing w:val="0"/>
          <w:w w:val="100"/>
          <w:position w:val="0"/>
        </w:rPr>
        <w:t>、</w:t>
        <w:tab/>
        <w:t>软件著作权</w:t>
      </w:r>
    </w:p>
    <w:p>
      <w:pPr>
        <w:pStyle w:val="Style41"/>
        <w:keepNext w:val="0"/>
        <w:keepLines w:val="0"/>
        <w:widowControl w:val="0"/>
        <w:shd w:val="clear" w:color="auto" w:fill="auto"/>
        <w:bidi w:val="0"/>
        <w:spacing w:before="0" w:after="380" w:line="341" w:lineRule="exact"/>
        <w:ind w:left="0" w:right="0" w:firstLine="460"/>
        <w:jc w:val="left"/>
      </w:pPr>
      <w:r>
        <w:rPr>
          <w:color w:val="000000"/>
          <w:spacing w:val="0"/>
          <w:w w:val="100"/>
          <w:position w:val="0"/>
        </w:rPr>
        <w:t>截至报告期末，公司及子公司获得国家版权局登记的软件著作权</w:t>
      </w:r>
      <w:r>
        <w:rPr>
          <w:rFonts w:ascii="Times New Roman" w:eastAsia="Times New Roman" w:hAnsi="Times New Roman" w:cs="Times New Roman"/>
          <w:color w:val="000000"/>
          <w:spacing w:val="0"/>
          <w:w w:val="100"/>
          <w:position w:val="0"/>
        </w:rPr>
        <w:t>363</w:t>
      </w:r>
      <w:r>
        <w:rPr>
          <w:color w:val="000000"/>
          <w:spacing w:val="0"/>
          <w:w w:val="100"/>
          <w:position w:val="0"/>
        </w:rPr>
        <w:t>项。</w:t>
      </w:r>
    </w:p>
    <w:p>
      <w:pPr>
        <w:pStyle w:val="Style41"/>
        <w:keepNext w:val="0"/>
        <w:keepLines w:val="0"/>
        <w:widowControl w:val="0"/>
        <w:shd w:val="clear" w:color="auto" w:fill="auto"/>
        <w:tabs>
          <w:tab w:pos="833" w:val="left"/>
        </w:tabs>
        <w:bidi w:val="0"/>
        <w:spacing w:before="0" w:after="0" w:line="360" w:lineRule="auto"/>
        <w:ind w:left="0" w:right="0" w:firstLine="460"/>
        <w:jc w:val="both"/>
      </w:pPr>
      <w:bookmarkStart w:id="107" w:name="bookmark107"/>
      <w:r>
        <w:rPr>
          <w:rFonts w:ascii="Times New Roman" w:eastAsia="Times New Roman" w:hAnsi="Times New Roman" w:cs="Times New Roman"/>
          <w:color w:val="000000"/>
          <w:spacing w:val="0"/>
          <w:w w:val="100"/>
          <w:position w:val="0"/>
        </w:rPr>
        <w:t>3</w:t>
      </w:r>
      <w:bookmarkEnd w:id="107"/>
      <w:r>
        <w:rPr>
          <w:color w:val="000000"/>
          <w:spacing w:val="0"/>
          <w:w w:val="100"/>
          <w:position w:val="0"/>
        </w:rPr>
        <w:t>、</w:t>
        <w:tab/>
        <w:t>专利技术</w:t>
      </w:r>
    </w:p>
    <w:p>
      <w:pPr>
        <w:pStyle w:val="Style41"/>
        <w:keepNext w:val="0"/>
        <w:keepLines w:val="0"/>
        <w:widowControl w:val="0"/>
        <w:shd w:val="clear" w:color="auto" w:fill="auto"/>
        <w:bidi w:val="0"/>
        <w:spacing w:before="0" w:after="380" w:line="341" w:lineRule="exact"/>
        <w:ind w:left="0" w:right="0" w:firstLine="460"/>
        <w:jc w:val="both"/>
      </w:pPr>
      <w:r>
        <w:rPr>
          <w:color w:val="000000"/>
          <w:spacing w:val="0"/>
          <w:w w:val="100"/>
          <w:position w:val="0"/>
        </w:rPr>
        <w:t>截至报告期末，公司及子公司拥有的专利技术</w:t>
      </w:r>
      <w:r>
        <w:rPr>
          <w:rFonts w:ascii="Times New Roman" w:eastAsia="Times New Roman" w:hAnsi="Times New Roman" w:cs="Times New Roman"/>
          <w:color w:val="000000"/>
          <w:spacing w:val="0"/>
          <w:w w:val="100"/>
          <w:position w:val="0"/>
        </w:rPr>
        <w:t>14</w:t>
      </w:r>
      <w:r>
        <w:rPr>
          <w:color w:val="000000"/>
          <w:spacing w:val="0"/>
          <w:w w:val="100"/>
          <w:position w:val="0"/>
        </w:rPr>
        <w:t>项。</w:t>
      </w:r>
    </w:p>
    <w:p>
      <w:pPr>
        <w:pStyle w:val="Style41"/>
        <w:keepNext w:val="0"/>
        <w:keepLines w:val="0"/>
        <w:widowControl w:val="0"/>
        <w:shd w:val="clear" w:color="auto" w:fill="auto"/>
        <w:tabs>
          <w:tab w:pos="833" w:val="left"/>
        </w:tabs>
        <w:bidi w:val="0"/>
        <w:spacing w:before="0" w:after="0" w:line="360" w:lineRule="auto"/>
        <w:ind w:left="0" w:right="0" w:firstLine="460"/>
        <w:jc w:val="both"/>
      </w:pPr>
      <w:bookmarkStart w:id="108" w:name="bookmark108"/>
      <w:r>
        <w:rPr>
          <w:rFonts w:ascii="Times New Roman" w:eastAsia="Times New Roman" w:hAnsi="Times New Roman" w:cs="Times New Roman"/>
          <w:color w:val="000000"/>
          <w:spacing w:val="0"/>
          <w:w w:val="100"/>
          <w:position w:val="0"/>
        </w:rPr>
        <w:t>4</w:t>
      </w:r>
      <w:bookmarkEnd w:id="108"/>
      <w:r>
        <w:rPr>
          <w:color w:val="000000"/>
          <w:spacing w:val="0"/>
          <w:w w:val="100"/>
          <w:position w:val="0"/>
        </w:rPr>
        <w:t>、</w:t>
        <w:tab/>
        <w:t>非专利技术</w:t>
      </w:r>
    </w:p>
    <w:p>
      <w:pPr>
        <w:pStyle w:val="Style41"/>
        <w:keepNext w:val="0"/>
        <w:keepLines w:val="0"/>
        <w:widowControl w:val="0"/>
        <w:shd w:val="clear" w:color="auto" w:fill="auto"/>
        <w:bidi w:val="0"/>
        <w:spacing w:before="0" w:after="380" w:line="341" w:lineRule="exact"/>
        <w:ind w:left="0" w:right="0" w:firstLine="460"/>
        <w:jc w:val="both"/>
      </w:pPr>
      <w:r>
        <w:rPr>
          <w:color w:val="000000"/>
          <w:spacing w:val="0"/>
          <w:w w:val="100"/>
          <w:position w:val="0"/>
        </w:rPr>
        <w:t>截至报告期末，公司及子公司拥有的非专利技术</w:t>
      </w:r>
      <w:r>
        <w:rPr>
          <w:rFonts w:ascii="Times New Roman" w:eastAsia="Times New Roman" w:hAnsi="Times New Roman" w:cs="Times New Roman"/>
          <w:color w:val="000000"/>
          <w:spacing w:val="0"/>
          <w:w w:val="100"/>
          <w:position w:val="0"/>
        </w:rPr>
        <w:t>178</w:t>
      </w:r>
      <w:r>
        <w:rPr>
          <w:color w:val="000000"/>
          <w:spacing w:val="0"/>
          <w:w w:val="100"/>
          <w:position w:val="0"/>
        </w:rPr>
        <w:t>项。</w:t>
      </w:r>
    </w:p>
    <w:p>
      <w:pPr>
        <w:pStyle w:val="Style22"/>
        <w:keepNext/>
        <w:keepLines/>
        <w:widowControl w:val="0"/>
        <w:shd w:val="clear" w:color="auto" w:fill="auto"/>
        <w:bidi w:val="0"/>
        <w:spacing w:before="0" w:after="44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sz w:val="24"/>
          <w:szCs w:val="24"/>
        </w:rPr>
        <w:t>四</w:t>
      </w:r>
      <w:bookmarkEnd w:id="111"/>
      <w:r>
        <w:rPr>
          <w:color w:val="000000"/>
          <w:spacing w:val="0"/>
          <w:w w:val="100"/>
          <w:position w:val="0"/>
          <w:sz w:val="24"/>
          <w:szCs w:val="24"/>
        </w:rPr>
        <w:t>、主营业务分析</w:t>
      </w:r>
      <w:bookmarkEnd w:id="109"/>
      <w:bookmarkEnd w:id="110"/>
      <w:bookmarkEnd w:id="112"/>
    </w:p>
    <w:p>
      <w:pPr>
        <w:pStyle w:val="Style32"/>
        <w:keepNext/>
        <w:keepLines/>
        <w:widowControl w:val="0"/>
        <w:shd w:val="clear" w:color="auto" w:fill="auto"/>
        <w:bidi w:val="0"/>
        <w:spacing w:before="0" w:after="0" w:line="360" w:lineRule="auto"/>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1</w:t>
      </w:r>
      <w:bookmarkEnd w:id="115"/>
      <w:r>
        <w:rPr>
          <w:color w:val="000000"/>
          <w:spacing w:val="0"/>
          <w:w w:val="100"/>
          <w:position w:val="0"/>
        </w:rPr>
        <w:t>、概述</w:t>
      </w:r>
      <w:bookmarkEnd w:id="113"/>
      <w:bookmarkEnd w:id="114"/>
      <w:bookmarkEnd w:id="116"/>
    </w:p>
    <w:p>
      <w:pPr>
        <w:pStyle w:val="Style41"/>
        <w:keepNext w:val="0"/>
        <w:keepLines w:val="0"/>
        <w:widowControl w:val="0"/>
        <w:shd w:val="clear" w:color="auto" w:fill="auto"/>
        <w:bidi w:val="0"/>
        <w:spacing w:before="0" w:after="0" w:line="341" w:lineRule="exact"/>
        <w:ind w:left="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开局之年，我国在统筹经济发展和疫情防控方面取得的成效全球瞩目，经济社会发 展总体稳定。</w:t>
      </w:r>
      <w:r>
        <w:rPr>
          <w:rFonts w:ascii="Times New Roman" w:eastAsia="Times New Roman" w:hAnsi="Times New Roman" w:cs="Times New Roman"/>
          <w:color w:val="000000"/>
          <w:spacing w:val="0"/>
          <w:w w:val="100"/>
          <w:position w:val="0"/>
        </w:rPr>
        <w:t>2021</w:t>
      </w:r>
      <w:r>
        <w:rPr>
          <w:color w:val="000000"/>
          <w:spacing w:val="0"/>
          <w:w w:val="100"/>
          <w:position w:val="0"/>
        </w:rPr>
        <w:t>年，我国国内生产总值比上年增长</w:t>
      </w:r>
      <w:r>
        <w:rPr>
          <w:rFonts w:ascii="Times New Roman" w:eastAsia="Times New Roman" w:hAnsi="Times New Roman" w:cs="Times New Roman"/>
          <w:color w:val="000000"/>
          <w:spacing w:val="0"/>
          <w:w w:val="100"/>
          <w:position w:val="0"/>
        </w:rPr>
        <w:t>8.1%</w:t>
      </w:r>
      <w:r>
        <w:rPr>
          <w:color w:val="000000"/>
          <w:spacing w:val="0"/>
          <w:w w:val="100"/>
          <w:position w:val="0"/>
        </w:rPr>
        <w:t>，经济增速在全球主要经济体中名列前茅。面对 国内外复杂形势和各种风险挑战，公司立足于自身战略定位，始终秉持以用户为中心的发展理念，进一步 加强研发科技投入，充分利用大数据、人工智能等技术，提升科技赋能金融水平，进一步满足用户需求， 增强用户体验和黏性，积极探索互联网资产管理业务，进一步完善互联网财富管理生态圈。报告期内，公 司实现营业总收入</w:t>
      </w:r>
      <w:r>
        <w:rPr>
          <w:rFonts w:ascii="Times New Roman" w:eastAsia="Times New Roman" w:hAnsi="Times New Roman" w:cs="Times New Roman"/>
          <w:color w:val="000000"/>
          <w:spacing w:val="0"/>
          <w:w w:val="100"/>
          <w:position w:val="0"/>
        </w:rPr>
        <w:t>13,094,320,648.24</w:t>
      </w:r>
      <w:r>
        <w:rPr>
          <w:color w:val="000000"/>
          <w:spacing w:val="0"/>
          <w:w w:val="100"/>
          <w:position w:val="0"/>
        </w:rPr>
        <w:t>元，同比增长</w:t>
      </w:r>
      <w:r>
        <w:rPr>
          <w:rFonts w:ascii="Times New Roman" w:eastAsia="Times New Roman" w:hAnsi="Times New Roman" w:cs="Times New Roman"/>
          <w:color w:val="000000"/>
          <w:spacing w:val="0"/>
          <w:w w:val="100"/>
          <w:position w:val="0"/>
        </w:rPr>
        <w:t>58.94%</w:t>
      </w:r>
      <w:r>
        <w:rPr>
          <w:color w:val="000000"/>
          <w:spacing w:val="0"/>
          <w:w w:val="100"/>
          <w:position w:val="0"/>
        </w:rPr>
        <w:t>，实现归属于上市公司股东净利润</w:t>
      </w:r>
      <w:r>
        <w:rPr>
          <w:rFonts w:ascii="Times New Roman" w:eastAsia="Times New Roman" w:hAnsi="Times New Roman" w:cs="Times New Roman"/>
          <w:color w:val="000000"/>
          <w:spacing w:val="0"/>
          <w:w w:val="100"/>
          <w:position w:val="0"/>
        </w:rPr>
        <w:t xml:space="preserve">8,552,927,696.06 </w:t>
      </w:r>
      <w:r>
        <w:rPr>
          <w:color w:val="000000"/>
          <w:spacing w:val="0"/>
          <w:w w:val="100"/>
          <w:position w:val="0"/>
        </w:rPr>
        <w:t>元，同比增长</w:t>
      </w:r>
      <w:r>
        <w:rPr>
          <w:rFonts w:ascii="Times New Roman" w:eastAsia="Times New Roman" w:hAnsi="Times New Roman" w:cs="Times New Roman"/>
          <w:color w:val="000000"/>
          <w:spacing w:val="0"/>
          <w:w w:val="100"/>
          <w:position w:val="0"/>
        </w:rPr>
        <w:t>79.00%</w:t>
      </w:r>
      <w:r>
        <w:rPr>
          <w:color w:val="000000"/>
          <w:spacing w:val="0"/>
          <w:w w:val="100"/>
          <w:position w:val="0"/>
        </w:rPr>
        <w:t>。</w:t>
      </w:r>
    </w:p>
    <w:p>
      <w:pPr>
        <w:pStyle w:val="Style41"/>
        <w:keepNext w:val="0"/>
        <w:keepLines w:val="0"/>
        <w:widowControl w:val="0"/>
        <w:shd w:val="clear" w:color="auto" w:fill="auto"/>
        <w:bidi w:val="0"/>
        <w:spacing w:before="0" w:after="0" w:line="341" w:lineRule="exact"/>
        <w:ind w:left="0" w:right="0" w:firstLine="460"/>
        <w:jc w:val="both"/>
      </w:pPr>
      <w:r>
        <w:rPr>
          <w:color w:val="000000"/>
          <w:spacing w:val="0"/>
          <w:w w:val="100"/>
          <w:position w:val="0"/>
        </w:rPr>
        <w:t>报告期内，公司进一步发挥互联网财富管理生态圈和海量用户的核心竞争优势及整体协同效应，加强 研发技术投入，提升智能化、个性化服务水平，探索财富管理新模式，为用户提供稳定高效优质的服务。 报告期内，东方财富证券获准公募基金投顾业务试点展业资格，实现新突破。截至报告期末，东方财富证 券在全国</w:t>
      </w:r>
      <w:r>
        <w:rPr>
          <w:rFonts w:ascii="Times New Roman" w:eastAsia="Times New Roman" w:hAnsi="Times New Roman" w:cs="Times New Roman"/>
          <w:color w:val="000000"/>
          <w:spacing w:val="0"/>
          <w:w w:val="100"/>
          <w:position w:val="0"/>
        </w:rPr>
        <w:t>31</w:t>
      </w:r>
      <w:r>
        <w:rPr>
          <w:color w:val="000000"/>
          <w:spacing w:val="0"/>
          <w:w w:val="100"/>
          <w:position w:val="0"/>
        </w:rPr>
        <w:t>个省（自治区、直辖市）共设有</w:t>
      </w:r>
      <w:r>
        <w:rPr>
          <w:rFonts w:ascii="Times New Roman" w:eastAsia="Times New Roman" w:hAnsi="Times New Roman" w:cs="Times New Roman"/>
          <w:color w:val="000000"/>
          <w:spacing w:val="0"/>
          <w:w w:val="100"/>
          <w:position w:val="0"/>
        </w:rPr>
        <w:t>186</w:t>
      </w:r>
      <w:r>
        <w:rPr>
          <w:color w:val="000000"/>
          <w:spacing w:val="0"/>
          <w:w w:val="100"/>
          <w:position w:val="0"/>
        </w:rPr>
        <w:t>家分支机构。报告期内，资本市场活跃度较高，股票交易额 同比大幅增加，公司证券业务实现快速发展。</w:t>
      </w:r>
    </w:p>
    <w:p>
      <w:pPr>
        <w:pStyle w:val="Style41"/>
        <w:keepNext w:val="0"/>
        <w:keepLines w:val="0"/>
        <w:widowControl w:val="0"/>
        <w:shd w:val="clear" w:color="auto" w:fill="auto"/>
        <w:bidi w:val="0"/>
        <w:spacing w:before="0" w:after="200" w:line="341" w:lineRule="exact"/>
        <w:ind w:left="0" w:right="0" w:firstLine="460"/>
        <w:jc w:val="both"/>
        <w:sectPr>
          <w:footnotePr>
            <w:pos w:val="pageBottom"/>
            <w:numFmt w:val="decimal"/>
            <w:numRestart w:val="continuous"/>
          </w:footnotePr>
          <w:type w:val="continuous"/>
          <w:pgSz w:w="11900" w:h="16840"/>
          <w:pgMar w:top="1400" w:right="931" w:bottom="1482" w:left="1053" w:header="0" w:footer="3" w:gutter="0"/>
          <w:cols w:space="720"/>
          <w:noEndnote/>
          <w:rtlGutter w:val="0"/>
          <w:docGrid w:linePitch="360"/>
        </w:sectPr>
      </w:pPr>
      <w:r>
        <w:rPr>
          <w:color w:val="000000"/>
          <w:spacing w:val="0"/>
          <w:w w:val="100"/>
          <w:position w:val="0"/>
        </w:rPr>
        <w:t>报告期内，天天基金深入推进业务创新和差异化发展，持续提升交易体验，提高专业化、个性化服务 能力，拓宽服务范围，进一步完善一站式线上自助理财服务。报告期内，公司基金销售保有规模大幅增长，</w:t>
      </w:r>
    </w:p>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吻东方财富</w:t>
      </w:r>
    </w:p>
    <w:p>
      <w:pPr>
        <w:pStyle w:val="Style37"/>
        <w:keepNext w:val="0"/>
        <w:keepLines w:val="0"/>
        <w:widowControl w:val="0"/>
        <w:shd w:val="clear" w:color="auto" w:fill="auto"/>
        <w:bidi w:val="0"/>
        <w:spacing w:before="0" w:after="160"/>
        <w:ind w:left="0" w:right="0"/>
        <w:jc w:val="both"/>
      </w:pPr>
      <w:r>
        <w:rPr>
          <w:color w:val="717171"/>
          <w:spacing w:val="0"/>
          <w:w w:val="100"/>
          <w:position w:val="0"/>
        </w:rPr>
        <w:t>east</w:t>
      </w:r>
      <w:r>
        <w:rPr>
          <w:spacing w:val="0"/>
          <w:w w:val="100"/>
          <w:position w:val="0"/>
        </w:rPr>
        <w:t>money.com</w:t>
      </w:r>
    </w:p>
    <w:p>
      <w:pPr>
        <w:pStyle w:val="Style41"/>
        <w:keepNext w:val="0"/>
        <w:keepLines w:val="0"/>
        <w:widowControl w:val="0"/>
        <w:shd w:val="clear" w:color="auto" w:fill="auto"/>
        <w:bidi w:val="0"/>
        <w:spacing w:before="0" w:after="0" w:line="340" w:lineRule="exact"/>
        <w:ind w:left="0" w:right="0" w:firstLine="0"/>
        <w:jc w:val="both"/>
      </w:pPr>
      <w:r>
        <w:rPr>
          <w:color w:val="000000"/>
          <w:spacing w:val="0"/>
          <w:w w:val="100"/>
          <w:position w:val="0"/>
        </w:rPr>
        <w:t>市场占有率持续提升，互联网基金销售业务实现较快增长。截至报告期末，共上线</w:t>
      </w:r>
      <w:r>
        <w:rPr>
          <w:rFonts w:ascii="Times New Roman" w:eastAsia="Times New Roman" w:hAnsi="Times New Roman" w:cs="Times New Roman"/>
          <w:color w:val="000000"/>
          <w:spacing w:val="0"/>
          <w:w w:val="100"/>
          <w:position w:val="0"/>
        </w:rPr>
        <w:t>150</w:t>
      </w:r>
      <w:r>
        <w:rPr>
          <w:color w:val="000000"/>
          <w:spacing w:val="0"/>
          <w:w w:val="100"/>
          <w:position w:val="0"/>
        </w:rPr>
        <w:t xml:space="preserve">家公募基金管理人 </w:t>
      </w:r>
      <w:r>
        <w:rPr>
          <w:rFonts w:ascii="Times New Roman" w:eastAsia="Times New Roman" w:hAnsi="Times New Roman" w:cs="Times New Roman"/>
          <w:color w:val="000000"/>
          <w:spacing w:val="0"/>
          <w:w w:val="100"/>
          <w:position w:val="0"/>
        </w:rPr>
        <w:t>12,777</w:t>
      </w:r>
      <w:r>
        <w:rPr>
          <w:color w:val="000000"/>
          <w:spacing w:val="0"/>
          <w:w w:val="100"/>
          <w:position w:val="0"/>
        </w:rPr>
        <w:t>只</w:t>
      </w:r>
      <w:r>
        <w:rPr>
          <w:rFonts w:ascii="Arial" w:eastAsia="Arial" w:hAnsi="Arial" w:cs="Arial"/>
          <w:b/>
          <w:bCs/>
          <w:color w:val="000000"/>
          <w:spacing w:val="0"/>
          <w:w w:val="100"/>
          <w:position w:val="0"/>
          <w:sz w:val="9"/>
          <w:szCs w:val="9"/>
          <w:vertAlign w:val="superscript"/>
        </w:rPr>
        <w:footnoteReference w:id="2"/>
      </w:r>
      <w:r>
        <w:rPr>
          <w:color w:val="000000"/>
          <w:spacing w:val="0"/>
          <w:w w:val="100"/>
          <w:position w:val="0"/>
        </w:rPr>
        <w:t>基金产品，公司互联网金融电子商务平台共计实现基金认（申）购（含定投）交易</w:t>
      </w:r>
      <w:r>
        <w:rPr>
          <w:rFonts w:ascii="Times New Roman" w:eastAsia="Times New Roman" w:hAnsi="Times New Roman" w:cs="Times New Roman"/>
          <w:color w:val="000000"/>
          <w:spacing w:val="0"/>
          <w:w w:val="100"/>
          <w:position w:val="0"/>
        </w:rPr>
        <w:t>374,555,304</w:t>
      </w:r>
      <w:r>
        <w:rPr>
          <w:color w:val="000000"/>
          <w:spacing w:val="0"/>
          <w:w w:val="100"/>
          <w:position w:val="0"/>
        </w:rPr>
        <w:t>笔， 基金销售额为</w:t>
      </w:r>
      <w:r>
        <w:rPr>
          <w:rFonts w:ascii="Times New Roman" w:eastAsia="Times New Roman" w:hAnsi="Times New Roman" w:cs="Times New Roman"/>
          <w:color w:val="000000"/>
          <w:spacing w:val="0"/>
          <w:w w:val="100"/>
          <w:position w:val="0"/>
        </w:rPr>
        <w:t>22,385.71</w:t>
      </w:r>
      <w:r>
        <w:rPr>
          <w:color w:val="000000"/>
          <w:spacing w:val="0"/>
          <w:w w:val="100"/>
          <w:position w:val="0"/>
        </w:rPr>
        <w:t>亿元，其中非货币型基金共计实现认（申）购（含定投）交易</w:t>
      </w:r>
      <w:r>
        <w:rPr>
          <w:rFonts w:ascii="Times New Roman" w:eastAsia="Times New Roman" w:hAnsi="Times New Roman" w:cs="Times New Roman"/>
          <w:color w:val="000000"/>
          <w:spacing w:val="0"/>
          <w:w w:val="100"/>
          <w:position w:val="0"/>
        </w:rPr>
        <w:t>318,056,364</w:t>
      </w:r>
      <w:r>
        <w:rPr>
          <w:color w:val="000000"/>
          <w:spacing w:val="0"/>
          <w:w w:val="100"/>
          <w:position w:val="0"/>
        </w:rPr>
        <w:t>笔，销售 额为</w:t>
      </w:r>
      <w:r>
        <w:rPr>
          <w:rFonts w:ascii="Times New Roman" w:eastAsia="Times New Roman" w:hAnsi="Times New Roman" w:cs="Times New Roman"/>
          <w:color w:val="000000"/>
          <w:spacing w:val="0"/>
          <w:w w:val="100"/>
          <w:position w:val="0"/>
        </w:rPr>
        <w:t>13,404.09</w:t>
      </w:r>
      <w:r>
        <w:rPr>
          <w:color w:val="000000"/>
          <w:spacing w:val="0"/>
          <w:w w:val="100"/>
          <w:position w:val="0"/>
        </w:rPr>
        <w:t>亿元。截至报告期末，天天基金非货币市场公募基金保有规模</w:t>
      </w:r>
      <w:r>
        <w:rPr>
          <w:rFonts w:ascii="Times New Roman" w:eastAsia="Times New Roman" w:hAnsi="Times New Roman" w:cs="Times New Roman"/>
          <w:color w:val="000000"/>
          <w:spacing w:val="0"/>
          <w:w w:val="100"/>
          <w:position w:val="0"/>
        </w:rPr>
        <w:t>6,739</w:t>
      </w:r>
      <w:r>
        <w:rPr>
          <w:color w:val="000000"/>
          <w:spacing w:val="0"/>
          <w:w w:val="100"/>
          <w:position w:val="0"/>
        </w:rPr>
        <w:t>亿元，累计基金销售额超 过</w:t>
      </w:r>
      <w:r>
        <w:rPr>
          <w:rFonts w:ascii="Times New Roman" w:eastAsia="Times New Roman" w:hAnsi="Times New Roman" w:cs="Times New Roman"/>
          <w:color w:val="000000"/>
          <w:spacing w:val="0"/>
          <w:w w:val="100"/>
          <w:position w:val="0"/>
        </w:rPr>
        <w:t>6</w:t>
      </w:r>
      <w:r>
        <w:rPr>
          <w:color w:val="000000"/>
          <w:spacing w:val="0"/>
          <w:w w:val="100"/>
          <w:position w:val="0"/>
        </w:rPr>
        <w:t>万亿元。天天基金平台日均活跃访问用户数为</w:t>
      </w:r>
      <w:r>
        <w:rPr>
          <w:rFonts w:ascii="Times New Roman" w:eastAsia="Times New Roman" w:hAnsi="Times New Roman" w:cs="Times New Roman"/>
          <w:color w:val="000000"/>
          <w:spacing w:val="0"/>
          <w:w w:val="100"/>
          <w:position w:val="0"/>
        </w:rPr>
        <w:t>314.7</w:t>
      </w:r>
      <w:r>
        <w:rPr>
          <w:color w:val="000000"/>
          <w:spacing w:val="0"/>
          <w:w w:val="100"/>
          <w:position w:val="0"/>
        </w:rPr>
        <w:t>万，其中，交易日日均活跃访问用户数为</w:t>
      </w:r>
      <w:r>
        <w:rPr>
          <w:rFonts w:ascii="Times New Roman" w:eastAsia="Times New Roman" w:hAnsi="Times New Roman" w:cs="Times New Roman"/>
          <w:color w:val="000000"/>
          <w:spacing w:val="0"/>
          <w:w w:val="100"/>
          <w:position w:val="0"/>
        </w:rPr>
        <w:t>394.81</w:t>
      </w:r>
      <w:r>
        <w:rPr>
          <w:color w:val="000000"/>
          <w:spacing w:val="0"/>
          <w:w w:val="100"/>
          <w:position w:val="0"/>
        </w:rPr>
        <w:t>万， 非交易日日均活跃访问用户数为</w:t>
      </w:r>
      <w:r>
        <w:rPr>
          <w:rFonts w:ascii="Times New Roman" w:eastAsia="Times New Roman" w:hAnsi="Times New Roman" w:cs="Times New Roman"/>
          <w:color w:val="000000"/>
          <w:spacing w:val="0"/>
          <w:w w:val="100"/>
          <w:position w:val="0"/>
        </w:rPr>
        <w:t>155.12</w:t>
      </w:r>
      <w:r>
        <w:rPr>
          <w:color w:val="000000"/>
          <w:spacing w:val="0"/>
          <w:w w:val="100"/>
          <w:position w:val="0"/>
        </w:rPr>
        <w:t>万。</w:t>
      </w:r>
    </w:p>
    <w:p>
      <w:pPr>
        <w:pStyle w:val="Style41"/>
        <w:keepNext w:val="0"/>
        <w:keepLines w:val="0"/>
        <w:widowControl w:val="0"/>
        <w:shd w:val="clear" w:color="auto" w:fill="auto"/>
        <w:bidi w:val="0"/>
        <w:spacing w:before="0" w:after="0" w:line="340" w:lineRule="exact"/>
        <w:ind w:left="0" w:right="0" w:firstLine="480"/>
        <w:jc w:val="left"/>
      </w:pPr>
      <w:r>
        <w:rPr>
          <w:color w:val="000000"/>
          <w:spacing w:val="0"/>
          <w:w w:val="100"/>
          <w:position w:val="0"/>
        </w:rPr>
        <w:t>报告期内，公司完成可转债</w:t>
      </w: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3”</w:t>
      </w:r>
      <w:r>
        <w:rPr>
          <w:color w:val="000000"/>
          <w:spacing w:val="0"/>
          <w:w w:val="100"/>
          <w:position w:val="0"/>
        </w:rPr>
        <w:t>发行及上市工作，募集资金总额</w:t>
      </w:r>
      <w:r>
        <w:rPr>
          <w:rFonts w:ascii="Times New Roman" w:eastAsia="Times New Roman" w:hAnsi="Times New Roman" w:cs="Times New Roman"/>
          <w:color w:val="000000"/>
          <w:spacing w:val="0"/>
          <w:w w:val="100"/>
          <w:position w:val="0"/>
        </w:rPr>
        <w:t>158</w:t>
      </w:r>
      <w:r>
        <w:rPr>
          <w:color w:val="000000"/>
          <w:spacing w:val="0"/>
          <w:w w:val="100"/>
          <w:position w:val="0"/>
        </w:rPr>
        <w:t>亿元；海外子公司完成境外 美元债发行及上市工作，募集资金</w:t>
      </w:r>
      <w:r>
        <w:rPr>
          <w:rFonts w:ascii="Times New Roman" w:eastAsia="Times New Roman" w:hAnsi="Times New Roman" w:cs="Times New Roman"/>
          <w:color w:val="000000"/>
          <w:spacing w:val="0"/>
          <w:w w:val="100"/>
          <w:position w:val="0"/>
        </w:rPr>
        <w:t>3</w:t>
      </w:r>
      <w:r>
        <w:rPr>
          <w:color w:val="000000"/>
          <w:spacing w:val="0"/>
          <w:w w:val="100"/>
          <w:position w:val="0"/>
        </w:rPr>
        <w:t>亿美元；东方财富证券完成短期融资券、私募债、公募债等债券发行工 作，进一步丰富融资手段，降低融资成本；提升了公司的资本实力与综合竞争力，为公司业务的持续健康 发展提供了资本助力。</w:t>
      </w:r>
    </w:p>
    <w:p>
      <w:pPr>
        <w:pStyle w:val="Style41"/>
        <w:keepNext w:val="0"/>
        <w:keepLines w:val="0"/>
        <w:widowControl w:val="0"/>
        <w:shd w:val="clear" w:color="auto" w:fill="auto"/>
        <w:bidi w:val="0"/>
        <w:spacing w:before="0" w:after="0" w:line="340" w:lineRule="exact"/>
        <w:ind w:left="0" w:right="0" w:firstLine="480"/>
        <w:jc w:val="left"/>
      </w:pPr>
      <w:r>
        <w:rPr>
          <w:color w:val="000000"/>
          <w:spacing w:val="0"/>
          <w:w w:val="100"/>
          <w:position w:val="0"/>
        </w:rPr>
        <w:t>报告期内，公司进一步加强财务管理工作，提升资金管理水平，充分发挥财务职能作用。报告期内， 公司进一步优化组织结构，提高资源配置效率，完善绩效考核和激励机制，实施新一期股权激励计划，激 发员工的积极性和创造性。报告期内，公司进一步加大外部优秀人才引进，强化内部人才梯队建设，夯实 企业发展人才基础。同时，公司进一步加强办公信息化、智能化建设，发挥自身技术优势，进一步提升公 司管理水平。</w:t>
      </w:r>
    </w:p>
    <w:p>
      <w:pPr>
        <w:pStyle w:val="Style41"/>
        <w:keepNext w:val="0"/>
        <w:keepLines w:val="0"/>
        <w:widowControl w:val="0"/>
        <w:shd w:val="clear" w:color="auto" w:fill="auto"/>
        <w:bidi w:val="0"/>
        <w:spacing w:before="0" w:after="160" w:line="340" w:lineRule="exact"/>
        <w:ind w:left="0" w:right="0" w:firstLine="480"/>
        <w:jc w:val="left"/>
      </w:pPr>
      <w:r>
        <w:rPr>
          <w:color w:val="000000"/>
          <w:spacing w:val="0"/>
          <w:w w:val="100"/>
          <w:position w:val="0"/>
        </w:rPr>
        <w:t>报告期内，公司加强与广大投资者的沟通交流，积极回应市场广泛关切，进一步提升了公司市场形象。 报告期内，公司共接听投资者来电</w:t>
      </w:r>
      <w:r>
        <w:rPr>
          <w:rFonts w:ascii="Times New Roman" w:eastAsia="Times New Roman" w:hAnsi="Times New Roman" w:cs="Times New Roman"/>
          <w:color w:val="000000"/>
          <w:spacing w:val="0"/>
          <w:w w:val="100"/>
          <w:position w:val="0"/>
        </w:rPr>
        <w:t>1,306</w:t>
      </w:r>
      <w:r>
        <w:rPr>
          <w:color w:val="000000"/>
          <w:spacing w:val="0"/>
          <w:w w:val="100"/>
          <w:position w:val="0"/>
        </w:rPr>
        <w:t>个，回答深交所互动易平台投资者提问</w:t>
      </w:r>
      <w:r>
        <w:rPr>
          <w:rFonts w:ascii="Times New Roman" w:eastAsia="Times New Roman" w:hAnsi="Times New Roman" w:cs="Times New Roman"/>
          <w:color w:val="000000"/>
          <w:spacing w:val="0"/>
          <w:w w:val="100"/>
          <w:position w:val="0"/>
        </w:rPr>
        <w:t>280</w:t>
      </w:r>
      <w:r>
        <w:rPr>
          <w:color w:val="000000"/>
          <w:spacing w:val="0"/>
          <w:w w:val="100"/>
          <w:position w:val="0"/>
        </w:rPr>
        <w:t>个，举办公司创业板向 不特定对象发行可转换公司债券网上路演</w:t>
      </w:r>
      <w:r>
        <w:rPr>
          <w:rFonts w:ascii="Times New Roman" w:eastAsia="Times New Roman" w:hAnsi="Times New Roman" w:cs="Times New Roman"/>
          <w:color w:val="000000"/>
          <w:spacing w:val="0"/>
          <w:w w:val="100"/>
          <w:position w:val="0"/>
        </w:rPr>
        <w:t>1</w:t>
      </w:r>
      <w:r>
        <w:rPr>
          <w:color w:val="000000"/>
          <w:spacing w:val="0"/>
          <w:w w:val="100"/>
          <w:position w:val="0"/>
        </w:rPr>
        <w:t>次、公司董事长交流会</w:t>
      </w:r>
      <w:r>
        <w:rPr>
          <w:rFonts w:ascii="Times New Roman" w:eastAsia="Times New Roman" w:hAnsi="Times New Roman" w:cs="Times New Roman"/>
          <w:color w:val="000000"/>
          <w:spacing w:val="0"/>
          <w:w w:val="100"/>
          <w:position w:val="0"/>
        </w:rPr>
        <w:t>1</w:t>
      </w:r>
      <w:r>
        <w:rPr>
          <w:color w:val="000000"/>
          <w:spacing w:val="0"/>
          <w:w w:val="100"/>
          <w:position w:val="0"/>
        </w:rPr>
        <w:t>次、公司</w:t>
      </w:r>
      <w:r>
        <w:rPr>
          <w:rFonts w:ascii="Times New Roman" w:eastAsia="Times New Roman" w:hAnsi="Times New Roman" w:cs="Times New Roman"/>
          <w:color w:val="000000"/>
          <w:spacing w:val="0"/>
          <w:w w:val="100"/>
          <w:position w:val="0"/>
        </w:rPr>
        <w:t>2020</w:t>
      </w:r>
      <w:r>
        <w:rPr>
          <w:color w:val="000000"/>
          <w:spacing w:val="0"/>
          <w:w w:val="100"/>
          <w:position w:val="0"/>
        </w:rPr>
        <w:t>年度网上业绩说明会</w:t>
      </w:r>
      <w:r>
        <w:rPr>
          <w:rFonts w:ascii="Times New Roman" w:eastAsia="Times New Roman" w:hAnsi="Times New Roman" w:cs="Times New Roman"/>
          <w:color w:val="000000"/>
          <w:spacing w:val="0"/>
          <w:w w:val="100"/>
          <w:position w:val="0"/>
        </w:rPr>
        <w:t>1</w:t>
      </w:r>
      <w:r>
        <w:rPr>
          <w:color w:val="000000"/>
          <w:spacing w:val="0"/>
          <w:w w:val="100"/>
          <w:position w:val="0"/>
        </w:rPr>
        <w:t>次。</w:t>
      </w:r>
    </w:p>
    <w:p>
      <w:pPr>
        <w:pStyle w:val="Style41"/>
        <w:keepNext w:val="0"/>
        <w:keepLines w:val="0"/>
        <w:widowControl w:val="0"/>
        <w:shd w:val="clear" w:color="auto" w:fill="auto"/>
        <w:bidi w:val="0"/>
        <w:spacing w:before="0" w:after="300" w:line="340" w:lineRule="exact"/>
        <w:ind w:left="0" w:right="0" w:firstLine="0"/>
        <w:jc w:val="both"/>
      </w:pPr>
      <w:bookmarkStart w:id="117" w:name="bookmark117"/>
      <w:r>
        <w:rPr>
          <w:rFonts w:ascii="Times New Roman" w:eastAsia="Times New Roman" w:hAnsi="Times New Roman" w:cs="Times New Roman"/>
          <w:b/>
          <w:bCs/>
          <w:color w:val="000000"/>
          <w:spacing w:val="0"/>
          <w:w w:val="100"/>
          <w:position w:val="0"/>
        </w:rPr>
        <w:t>2</w:t>
      </w:r>
      <w:bookmarkEnd w:id="117"/>
      <w:r>
        <w:rPr>
          <w:b/>
          <w:bCs/>
          <w:color w:val="000000"/>
          <w:spacing w:val="0"/>
          <w:w w:val="100"/>
          <w:position w:val="0"/>
        </w:rPr>
        <w:t>、收入与成本</w:t>
      </w:r>
    </w:p>
    <w:p>
      <w:pPr>
        <w:pStyle w:val="Style20"/>
        <w:keepNext w:val="0"/>
        <w:keepLines w:val="0"/>
        <w:widowControl w:val="0"/>
        <w:shd w:val="clear" w:color="auto" w:fill="auto"/>
        <w:bidi w:val="0"/>
        <w:spacing w:before="0" w:after="100" w:line="340" w:lineRule="exact"/>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）营业总收入构成</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营业总收入整体情况如下：</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603"/>
        <w:gridCol w:w="1598"/>
        <w:gridCol w:w="1584"/>
        <w:gridCol w:w="1603"/>
        <w:gridCol w:w="1608"/>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占营业总收入比重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占营业总收入比重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营业总收入合计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13,094,320,648.24</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8,238,557,108.92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58.94%</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7,686,558,806.20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4,981,829,455.73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54.29%</w:t>
            </w:r>
          </w:p>
        </w:tc>
      </w:tr>
      <w:tr>
        <w:trPr>
          <w:trHeight w:val="3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5,396,578,032.32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3,236,067,391.19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11,183,809.72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20,660,262.00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-45.87%</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7,686,558,806.20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4,981,829,455.73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金融电子商务服务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5,072,507,947.30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2,962,428,571.69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金融数据服务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253,338,643.55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187,999,809.41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互联网广告服务等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81,915,251.19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106,299,272.09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-22.94%</w:t>
            </w:r>
          </w:p>
        </w:tc>
      </w:tr>
      <w:tr>
        <w:trPr>
          <w:trHeight w:val="413" w:hRule="exact"/>
        </w:trPr>
        <w:tc>
          <w:tcPr>
            <w:gridSpan w:val="6"/>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bl>
    <w:p>
      <w:pPr>
        <w:sectPr>
          <w:footnotePr>
            <w:pos w:val="pageBottom"/>
            <w:numFmt w:val="upperRoman"/>
            <w:numStart w:val="1"/>
            <w:numRestart w:val="continuous"/>
            <w15:footnoteColumns w:val="1"/>
          </w:footnotePr>
          <w:pgSz w:w="11900" w:h="16840"/>
          <w:pgMar w:top="824" w:right="985" w:bottom="1150" w:left="1109" w:header="0" w:footer="3" w:gutter="0"/>
          <w:cols w:space="720"/>
          <w:noEndnote/>
          <w:rtlGutter w:val="0"/>
          <w:docGrid w:linePitch="360"/>
        </w:sectPr>
      </w:pPr>
    </w:p>
    <w:tbl>
      <w:tblPr>
        <w:tblOverlap w:val="never"/>
        <w:jc w:val="center"/>
        <w:tblLayout w:type="fixed"/>
      </w:tblPr>
      <w:tblGrid>
        <w:gridCol w:w="1608"/>
        <w:gridCol w:w="1603"/>
        <w:gridCol w:w="1598"/>
        <w:gridCol w:w="1584"/>
        <w:gridCol w:w="1603"/>
        <w:gridCol w:w="1608"/>
      </w:tblGrid>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中国大陆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12,927,167,015.91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8,146,277,232.71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中国香港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167,153,632.33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92,279,876.21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81.14%</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2</w:t>
      </w:r>
      <w:r>
        <w:rPr>
          <w:color w:val="000000"/>
          <w:spacing w:val="0"/>
          <w:w w:val="100"/>
          <w:position w:val="0"/>
        </w:rPr>
        <w:t>）占公司营业总收入或营业利润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8"/>
      <w:bookmarkEnd w:id="119"/>
      <w:bookmarkEnd w:id="121"/>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9"/>
        <w:gridCol w:w="1560"/>
        <w:gridCol w:w="1411"/>
        <w:gridCol w:w="994"/>
        <w:gridCol w:w="1430"/>
        <w:gridCol w:w="1411"/>
        <w:gridCol w:w="1219"/>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营业总收入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营业总收入比上 年同期增减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7,686,558,806.20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5,396,578,032.32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662,461,651.83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87.72%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5.10%</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7,686,558,806.20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金融电子商务服务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5,072,507,947.30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328,734,211.38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93.52%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1.82%</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中国大陆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12,927,167,015.91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663,441,110.02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94.87%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1.83%</w:t>
            </w:r>
          </w:p>
        </w:tc>
      </w:tr>
      <w:tr>
        <w:trPr>
          <w:trHeight w:val="39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中国香港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167,153,632.33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2"/>
        <w:keepNext/>
        <w:keepLines/>
        <w:widowControl w:val="0"/>
        <w:shd w:val="clear" w:color="auto" w:fill="auto"/>
        <w:tabs>
          <w:tab w:pos="522" w:val="left"/>
        </w:tabs>
        <w:bidi w:val="0"/>
        <w:spacing w:before="0" w:after="38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2"/>
      <w:bookmarkEnd w:id="123"/>
      <w:bookmarkEnd w:id="125"/>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32"/>
        <w:keepNext/>
        <w:keepLines/>
        <w:widowControl w:val="0"/>
        <w:shd w:val="clear" w:color="auto" w:fill="auto"/>
        <w:tabs>
          <w:tab w:pos="522" w:val="left"/>
        </w:tabs>
        <w:bidi w:val="0"/>
        <w:spacing w:before="0" w:after="38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6"/>
      <w:bookmarkEnd w:id="127"/>
      <w:bookmarkEnd w:id="129"/>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7 </w:t>
      </w:r>
      <w:r>
        <w:rPr>
          <w:color w:val="000000"/>
          <w:spacing w:val="0"/>
          <w:w w:val="100"/>
          <w:position w:val="0"/>
        </w:rPr>
        <w:t>不适用</w:t>
      </w:r>
    </w:p>
    <w:p>
      <w:pPr>
        <w:pStyle w:val="Style32"/>
        <w:keepNext/>
        <w:keepLines/>
        <w:widowControl w:val="0"/>
        <w:shd w:val="clear" w:color="auto" w:fill="auto"/>
        <w:tabs>
          <w:tab w:pos="522" w:val="left"/>
        </w:tabs>
        <w:bidi w:val="0"/>
        <w:spacing w:before="0" w:after="38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0"/>
      <w:bookmarkEnd w:id="131"/>
      <w:bookmarkEnd w:id="13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2050"/>
        <w:gridCol w:w="1267"/>
        <w:gridCol w:w="1426"/>
        <w:gridCol w:w="1272"/>
        <w:gridCol w:w="1426"/>
        <w:gridCol w:w="787"/>
      </w:tblGrid>
      <w:tr>
        <w:trPr>
          <w:trHeight w:val="41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信息技术服务业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结算手续费等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298,307,427.78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242,665,144.64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信息技术服务业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网络技术及信息数据费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264,287,507.87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226,866,855.50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16.49%</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sectPr>
          <w:footnotePr>
            <w:pos w:val="pageBottom"/>
            <w:numFmt w:val="upperRoman"/>
            <w:numStart w:val="1"/>
            <w:numRestart w:val="continuous"/>
            <w15:footnoteColumns w:val="1"/>
          </w:footnotePr>
          <w:pgSz w:w="11900" w:h="16840"/>
          <w:pgMar w:top="1443" w:right="1100" w:bottom="1443" w:left="1119" w:header="0" w:footer="3" w:gutter="0"/>
          <w:cols w:space="720"/>
          <w:noEndnote/>
          <w:rtlGutter w:val="0"/>
          <w:docGrid w:linePitch="360"/>
        </w:sectPr>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4"/>
      <w:bookmarkEnd w:id="135"/>
      <w:bookmarkEnd w:id="137"/>
    </w:p>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吻东方财富</w:t>
      </w:r>
    </w:p>
    <w:p>
      <w:pPr>
        <w:pStyle w:val="Style37"/>
        <w:keepNext w:val="0"/>
        <w:keepLines w:val="0"/>
        <w:widowControl w:val="0"/>
        <w:shd w:val="clear" w:color="auto" w:fill="auto"/>
        <w:bidi w:val="0"/>
        <w:spacing w:before="0" w:after="300"/>
        <w:ind w:left="0" w:right="0"/>
        <w:jc w:val="left"/>
      </w:pPr>
      <w:r>
        <w:rPr>
          <w:color w:val="717171"/>
          <w:spacing w:val="0"/>
          <w:w w:val="100"/>
          <w:position w:val="0"/>
        </w:rPr>
        <w:t>east</w:t>
      </w:r>
      <w:r>
        <w:rPr>
          <w:spacing w:val="0"/>
          <w:w w:val="100"/>
          <w:position w:val="0"/>
        </w:rPr>
        <w:t>money.com</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本年合并范围内新增</w:t>
      </w:r>
      <w:r>
        <w:rPr>
          <w:rFonts w:ascii="Times New Roman" w:eastAsia="Times New Roman" w:hAnsi="Times New Roman" w:cs="Times New Roman"/>
          <w:color w:val="000000"/>
          <w:spacing w:val="0"/>
          <w:w w:val="100"/>
          <w:position w:val="0"/>
        </w:rPr>
        <w:t>9</w:t>
      </w:r>
      <w:r>
        <w:rPr>
          <w:color w:val="000000"/>
          <w:spacing w:val="0"/>
          <w:w w:val="100"/>
          <w:position w:val="0"/>
        </w:rPr>
        <w:t xml:space="preserve">家全资子公司，为上海哈富网络科技有限公司、扬州东方财富数据服务有限公司、成都东方财富信息 技术有限公司、东方财富国际证券有限公司、东方财富国际期货有限公司、哈富网络科技有限公司、哈富有限公司、 </w:t>
      </w:r>
      <w:r>
        <w:rPr>
          <w:rFonts w:ascii="Times New Roman" w:eastAsia="Times New Roman" w:hAnsi="Times New Roman" w:cs="Times New Roman"/>
          <w:color w:val="000000"/>
          <w:spacing w:val="0"/>
          <w:w w:val="100"/>
          <w:position w:val="0"/>
        </w:rPr>
        <w:t>Eastmoney Sea Holdings PTE. LTD.</w:t>
      </w:r>
      <w:r>
        <w:rPr>
          <w:color w:val="000000"/>
          <w:spacing w:val="0"/>
          <w:w w:val="100"/>
          <w:position w:val="0"/>
        </w:rPr>
        <w:t xml:space="preserve">和 </w:t>
      </w:r>
      <w:r>
        <w:rPr>
          <w:rFonts w:ascii="Times New Roman" w:eastAsia="Times New Roman" w:hAnsi="Times New Roman" w:cs="Times New Roman"/>
          <w:color w:val="000000"/>
          <w:spacing w:val="0"/>
          <w:w w:val="100"/>
          <w:position w:val="0"/>
        </w:rPr>
        <w:t>Hafoo Securities （Singapore） PTE. LTD.</w:t>
      </w:r>
      <w:r>
        <w:rPr>
          <w:color w:val="000000"/>
          <w:spacing w:val="0"/>
          <w:w w:val="100"/>
          <w:position w:val="0"/>
        </w:rPr>
        <w:t>。</w:t>
      </w:r>
      <w:r>
        <w:rPr>
          <w:color w:val="000000"/>
          <w:spacing w:val="0"/>
          <w:w w:val="100"/>
          <w:position w:val="0"/>
        </w:rPr>
        <w:t xml:space="preserve">本年合并范围内新增 </w:t>
      </w:r>
      <w:r>
        <w:rPr>
          <w:rFonts w:ascii="Times New Roman" w:eastAsia="Times New Roman" w:hAnsi="Times New Roman" w:cs="Times New Roman"/>
          <w:color w:val="000000"/>
          <w:spacing w:val="0"/>
          <w:w w:val="100"/>
          <w:position w:val="0"/>
        </w:rPr>
        <w:t xml:space="preserve">24 </w:t>
      </w:r>
      <w:r>
        <w:rPr>
          <w:color w:val="000000"/>
          <w:spacing w:val="0"/>
          <w:w w:val="100"/>
          <w:position w:val="0"/>
        </w:rPr>
        <w:t xml:space="preserve">家结构化主体，减少 </w:t>
      </w:r>
      <w:r>
        <w:rPr>
          <w:rFonts w:ascii="Times New Roman" w:eastAsia="Times New Roman" w:hAnsi="Times New Roman" w:cs="Times New Roman"/>
          <w:color w:val="000000"/>
          <w:spacing w:val="0"/>
          <w:w w:val="100"/>
          <w:position w:val="0"/>
        </w:rPr>
        <w:t xml:space="preserve">2 </w:t>
      </w:r>
      <w:r>
        <w:rPr>
          <w:color w:val="000000"/>
          <w:spacing w:val="0"/>
          <w:w w:val="100"/>
          <w:position w:val="0"/>
        </w:rPr>
        <w:t>家结构化主体。</w:t>
      </w:r>
    </w:p>
    <w:p>
      <w:pPr>
        <w:pStyle w:val="Style32"/>
        <w:keepNext/>
        <w:keepLines/>
        <w:widowControl w:val="0"/>
        <w:shd w:val="clear" w:color="auto" w:fill="auto"/>
        <w:tabs>
          <w:tab w:pos="522" w:val="left"/>
        </w:tabs>
        <w:bidi w:val="0"/>
        <w:spacing w:before="0" w:after="30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8"/>
      <w:bookmarkEnd w:id="139"/>
      <w:bookmarkEnd w:id="141"/>
    </w:p>
    <w:p>
      <w:pPr>
        <w:pStyle w:val="Style24"/>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2"/>
        <w:keepNext/>
        <w:keepLines/>
        <w:widowControl w:val="0"/>
        <w:shd w:val="clear" w:color="auto" w:fill="auto"/>
        <w:tabs>
          <w:tab w:pos="522" w:val="left"/>
        </w:tabs>
        <w:bidi w:val="0"/>
        <w:spacing w:before="0" w:after="30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2"/>
      <w:bookmarkEnd w:id="143"/>
      <w:bookmarkEnd w:id="145"/>
    </w:p>
    <w:p>
      <w:pPr>
        <w:pStyle w:val="Style24"/>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公司主要销售客户情况</w:t>
      </w:r>
    </w:p>
    <w:tbl>
      <w:tblPr>
        <w:tblOverlap w:val="never"/>
        <w:jc w:val="center"/>
        <w:tblLayout w:type="fixed"/>
      </w:tblPr>
      <w:tblGrid>
        <w:gridCol w:w="6509"/>
        <w:gridCol w:w="3096"/>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1,595,950,556.18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16"/>
        <w:gridCol w:w="3302"/>
        <w:gridCol w:w="2318"/>
        <w:gridCol w:w="3168"/>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433,269,608.21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60" w:right="0" w:firstLine="0"/>
              <w:jc w:val="both"/>
            </w:pPr>
            <w:r>
              <w:rPr>
                <w:color w:val="000000"/>
                <w:spacing w:val="0"/>
                <w:w w:val="100"/>
                <w:position w:val="0"/>
              </w:rPr>
              <w:t>3.31%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413,410,367.77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60" w:right="0" w:firstLine="0"/>
              <w:jc w:val="both"/>
            </w:pPr>
            <w:r>
              <w:rPr>
                <w:color w:val="000000"/>
                <w:spacing w:val="0"/>
                <w:w w:val="100"/>
                <w:position w:val="0"/>
              </w:rPr>
              <w:t>3.16%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293,342,161.37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60" w:right="0" w:firstLine="0"/>
              <w:jc w:val="both"/>
            </w:pPr>
            <w:r>
              <w:rPr>
                <w:color w:val="000000"/>
                <w:spacing w:val="0"/>
                <w:w w:val="100"/>
                <w:position w:val="0"/>
              </w:rPr>
              <w:t>2.24%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228,678,086.67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60" w:right="0" w:firstLine="0"/>
              <w:jc w:val="both"/>
            </w:pPr>
            <w:r>
              <w:rPr>
                <w:color w:val="000000"/>
                <w:spacing w:val="0"/>
                <w:w w:val="100"/>
                <w:position w:val="0"/>
              </w:rPr>
              <w:t>1.75%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227,250,332.16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60" w:right="0" w:firstLine="0"/>
              <w:jc w:val="both"/>
            </w:pPr>
            <w:r>
              <w:rPr>
                <w:color w:val="000000"/>
                <w:spacing w:val="0"/>
                <w:w w:val="100"/>
                <w:position w:val="0"/>
              </w:rPr>
              <w:t>1.74%</w:t>
            </w:r>
          </w:p>
        </w:tc>
      </w:tr>
      <w:tr>
        <w:trPr>
          <w:trHeight w:val="3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1,595,950,556.18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主要客户其他情况说明</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前五名客户与公司不存在关联关系，公司董事、监事、高级管理人员、持股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以上股东、实际控制人与其他关联方在主要</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客户中没有直接或间接拥有权益。</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6509"/>
        <w:gridCol w:w="3096"/>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679,087,360.34</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99" w:line="1" w:lineRule="exact"/>
      </w:pPr>
    </w:p>
    <w:tbl>
      <w:tblPr>
        <w:tblOverlap w:val="never"/>
        <w:jc w:val="center"/>
        <w:tblLayout w:type="fixed"/>
      </w:tblPr>
      <w:tblGrid>
        <w:gridCol w:w="946"/>
        <w:gridCol w:w="3173"/>
        <w:gridCol w:w="2323"/>
        <w:gridCol w:w="3163"/>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180,427,468.26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172,218,574.32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132,402,066.24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w:t>
            </w:r>
          </w:p>
        </w:tc>
      </w:tr>
    </w:tbl>
    <w:p>
      <w:pPr>
        <w:sectPr>
          <w:footnotePr>
            <w:pos w:val="pageBottom"/>
            <w:numFmt w:val="upperRoman"/>
            <w:numStart w:val="1"/>
            <w:numRestart w:val="continuous"/>
            <w15:footnoteColumns w:val="1"/>
          </w:footnotePr>
          <w:pgSz w:w="11900" w:h="16840"/>
          <w:pgMar w:top="824" w:right="1090" w:bottom="1150" w:left="1104" w:header="0" w:footer="3" w:gutter="0"/>
          <w:cols w:space="720"/>
          <w:noEndnote/>
          <w:rtlGutter w:val="0"/>
          <w:docGrid w:linePitch="360"/>
        </w:sectPr>
      </w:pPr>
    </w:p>
    <w:tbl>
      <w:tblPr>
        <w:tblOverlap w:val="never"/>
        <w:jc w:val="center"/>
        <w:tblLayout w:type="fixed"/>
      </w:tblPr>
      <w:tblGrid>
        <w:gridCol w:w="946"/>
        <w:gridCol w:w="3173"/>
        <w:gridCol w:w="2318"/>
        <w:gridCol w:w="3168"/>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105,905,023.85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88,134,227.67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w:t>
            </w:r>
          </w:p>
        </w:tc>
      </w:tr>
      <w:tr>
        <w:trPr>
          <w:trHeight w:val="3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679,087,360.34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29.64%</w:t>
            </w:r>
          </w:p>
        </w:tc>
      </w:tr>
    </w:tbl>
    <w:p>
      <w:pPr>
        <w:pStyle w:val="Style24"/>
        <w:keepNext w:val="0"/>
        <w:keepLines w:val="0"/>
        <w:widowControl w:val="0"/>
        <w:shd w:val="clear" w:color="auto" w:fill="auto"/>
        <w:bidi w:val="0"/>
        <w:spacing w:before="0" w:after="140" w:line="331" w:lineRule="exact"/>
        <w:ind w:left="0" w:right="0" w:firstLine="0"/>
        <w:jc w:val="left"/>
      </w:pPr>
      <w:r>
        <w:rPr>
          <w:color w:val="000000"/>
          <w:spacing w:val="0"/>
          <w:w w:val="100"/>
          <w:position w:val="0"/>
        </w:rPr>
        <w:t>主要供应商其他情况说明</w:t>
      </w:r>
    </w:p>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320" w:line="331" w:lineRule="exact"/>
        <w:ind w:left="0" w:right="0" w:firstLine="0"/>
        <w:jc w:val="left"/>
      </w:pPr>
      <w:r>
        <w:rPr>
          <w:color w:val="000000"/>
          <w:spacing w:val="0"/>
          <w:w w:val="100"/>
          <w:position w:val="0"/>
        </w:rPr>
        <w:t>前五名供应商与公司不存在关联关系，公司董事、监事、高级管理人员、持股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以上股东、实际控制人与其他关联方在主 要客户中没有直接或间接拥有权益。</w:t>
      </w:r>
    </w:p>
    <w:p>
      <w:pPr>
        <w:pStyle w:val="Style32"/>
        <w:keepNext/>
        <w:keepLines/>
        <w:widowControl w:val="0"/>
        <w:shd w:val="clear" w:color="auto" w:fill="auto"/>
        <w:bidi w:val="0"/>
        <w:spacing w:before="0" w:after="36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3</w:t>
      </w:r>
      <w:bookmarkEnd w:id="148"/>
      <w:r>
        <w:rPr>
          <w:color w:val="000000"/>
          <w:spacing w:val="0"/>
          <w:w w:val="100"/>
          <w:position w:val="0"/>
        </w:rPr>
        <w:t>、费用</w:t>
      </w:r>
      <w:bookmarkEnd w:id="146"/>
      <w:bookmarkEnd w:id="147"/>
      <w:bookmarkEnd w:id="149"/>
    </w:p>
    <w:p>
      <w:pPr>
        <w:pStyle w:val="Style20"/>
        <w:keepNext w:val="0"/>
        <w:keepLines w:val="0"/>
        <w:widowControl w:val="0"/>
        <w:shd w:val="clear" w:color="auto" w:fill="auto"/>
        <w:bidi w:val="0"/>
        <w:spacing w:before="0" w:after="0" w:line="240" w:lineRule="auto"/>
        <w:ind w:left="8866" w:right="0" w:firstLine="0"/>
        <w:jc w:val="left"/>
      </w:pPr>
      <w:r>
        <w:rPr>
          <w:color w:val="000000"/>
          <w:spacing w:val="0"/>
          <w:w w:val="100"/>
          <w:position w:val="0"/>
        </w:rPr>
        <w:t>单位：元</w:t>
      </w:r>
    </w:p>
    <w:tbl>
      <w:tblPr>
        <w:tblOverlap w:val="never"/>
        <w:jc w:val="center"/>
        <w:tblLayout w:type="fixed"/>
      </w:tblPr>
      <w:tblGrid>
        <w:gridCol w:w="1925"/>
        <w:gridCol w:w="1891"/>
        <w:gridCol w:w="1723"/>
        <w:gridCol w:w="1579"/>
        <w:gridCol w:w="2486"/>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652,179,275.76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522,997,937.41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1,849,387,236.61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1,467,987,211.68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138,898,538.88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33,921,773.79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可转债利息费用增加</w:t>
            </w:r>
          </w:p>
        </w:tc>
      </w:tr>
      <w:tr>
        <w:trPr>
          <w:trHeight w:val="3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723,971,197.23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378,383,908.01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加大研发投入</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4</w:t>
      </w:r>
      <w:bookmarkEnd w:id="152"/>
      <w:r>
        <w:rPr>
          <w:color w:val="000000"/>
          <w:spacing w:val="0"/>
          <w:w w:val="100"/>
          <w:position w:val="0"/>
        </w:rPr>
        <w:t>、研发投入</w:t>
      </w:r>
      <w:bookmarkEnd w:id="150"/>
      <w:bookmarkEnd w:id="151"/>
      <w:bookmarkEnd w:id="153"/>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36"/>
        <w:gridCol w:w="3446"/>
        <w:gridCol w:w="1138"/>
        <w:gridCol w:w="1704"/>
        <w:gridCol w:w="1781"/>
      </w:tblGrid>
      <w:tr>
        <w:trPr>
          <w:trHeight w:val="77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主要研发项目名称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项目目的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项目进展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预计对公司未来 发展的影响</w:t>
            </w:r>
          </w:p>
        </w:tc>
      </w:tr>
      <w:tr>
        <w:trPr>
          <w:trHeight w:val="132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东方财富多媒体智 能资讯及互动平台 系统研发项目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构建完整自媒体互动社区生态体系，进一 步完善涵盖财经、股票、基金、外汇、商 品、债券、保险和理财等金融专业领域的 自媒体互动平台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进行中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提供更优质的互动服</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务支持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提高公司产品及服务 能力，提升用户体验</w:t>
            </w:r>
          </w:p>
        </w:tc>
      </w:tr>
      <w:tr>
        <w:trPr>
          <w:trHeight w:val="134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东方财富全球化综 合市场行情数据极 速云平台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东方财富全球化综合市场行情数据极速云 平台接入全球主要证券交易所的各类行情 数据，并最终对用户提供极速、稳定的基 础行情服务和增值行情服务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进行中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为用户提供极速、稳 定的基础行情服务和 增值行情服务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提高公司产品及服务 能力，提升用户体验</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东方财富产业数据</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管理平台研发项目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布局从数据到决策的一体化投研系统，深 度挖掘金融机构用户全方位的需求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进行中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深挖产业知识图谱， 拓展企业链信息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提高公司产品及服务 能力，提升用户体验</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东方财富优化交易 开户平台研发项目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为更好满足用户认证的安全性，同时提高 用户开户的使用体验，优化开户审核功能 及用户操作，规范开户审核过程，提升用 户体验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已完成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提升开户审核的安全 性和准确性；进一步 优化用户使用体验</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提升用户体验</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东方财富用户交互 服务平台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为东方财富用户及客服部门提供一整套的 智能服务平台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已完成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提升服务能力与水平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提升用户体验</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东方财富分布式千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进一步优化互联网账户系统管理平台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已完成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提升系统服务能力</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提升用户体验</w:t>
            </w:r>
          </w:p>
        </w:tc>
      </w:tr>
    </w:tbl>
    <w:p>
      <w:pPr>
        <w:spacing w:lineRule="exact" w:line="1"/>
        <w:rPr>
          <w:sz w:val="2"/>
          <w:szCs w:val="2"/>
        </w:rPr>
      </w:pPr>
      <w:r>
        <w:br w:type="page"/>
      </w:r>
    </w:p>
    <w:tbl>
      <w:tblPr>
        <w:tblOverlap w:val="never"/>
        <w:jc w:val="center"/>
        <w:tblLayout w:type="fixed"/>
      </w:tblPr>
      <w:tblGrid>
        <w:gridCol w:w="1536"/>
        <w:gridCol w:w="3446"/>
        <w:gridCol w:w="1138"/>
        <w:gridCol w:w="1704"/>
        <w:gridCol w:w="1781"/>
      </w:tblGrid>
      <w:tr>
        <w:trPr>
          <w:trHeight w:val="37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万级并发用户系统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966"/>
        <w:gridCol w:w="2405"/>
        <w:gridCol w:w="2280"/>
        <w:gridCol w:w="1954"/>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35.13%</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本科及以下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研发人员年龄构成</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岁以下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 ~40 </w:t>
            </w:r>
            <w:r>
              <w:rPr>
                <w:rFonts w:ascii="SimSun" w:eastAsia="SimSun" w:hAnsi="SimSun" w:cs="SimSun"/>
                <w:color w:val="000000"/>
                <w:spacing w:val="0"/>
                <w:w w:val="100"/>
                <w:position w:val="0"/>
              </w:rPr>
              <w:t>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r>
              <w:rPr>
                <w:rFonts w:ascii="SimSun" w:eastAsia="SimSun" w:hAnsi="SimSun" w:cs="SimSun"/>
                <w:color w:val="000000"/>
                <w:spacing w:val="0"/>
                <w:w w:val="100"/>
                <w:position w:val="0"/>
              </w:rPr>
              <w:t>岁以上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近三年公司研发投入金额及占营业总收入的比例</w:t>
      </w:r>
    </w:p>
    <w:p>
      <w:pPr>
        <w:widowControl w:val="0"/>
        <w:spacing w:after="79" w:line="1" w:lineRule="exact"/>
      </w:pPr>
    </w:p>
    <w:tbl>
      <w:tblPr>
        <w:tblOverlap w:val="never"/>
        <w:jc w:val="center"/>
        <w:tblLayout w:type="fixed"/>
      </w:tblPr>
      <w:tblGrid>
        <w:gridCol w:w="2966"/>
        <w:gridCol w:w="2405"/>
        <w:gridCol w:w="2280"/>
        <w:gridCol w:w="1954"/>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723,971,197.23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378,383,908.01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305,408,028.00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研发投入占营业总收入比例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公司研发人员构成发生重大变化的原因及影响</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研发投入总额占营业总收入的比重较上年发生显著变化的原因</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5</w:t>
      </w:r>
      <w:bookmarkEnd w:id="156"/>
      <w:r>
        <w:rPr>
          <w:color w:val="000000"/>
          <w:spacing w:val="0"/>
          <w:w w:val="100"/>
          <w:position w:val="0"/>
        </w:rPr>
        <w:t>、现金流</w:t>
      </w:r>
      <w:bookmarkEnd w:id="154"/>
      <w:bookmarkEnd w:id="155"/>
      <w:bookmarkEnd w:id="157"/>
    </w:p>
    <w:p>
      <w:pPr>
        <w:pStyle w:val="Style20"/>
        <w:keepNext w:val="0"/>
        <w:keepLines w:val="0"/>
        <w:widowControl w:val="0"/>
        <w:shd w:val="clear" w:color="auto" w:fill="auto"/>
        <w:bidi w:val="0"/>
        <w:spacing w:before="0" w:after="0" w:line="240" w:lineRule="auto"/>
        <w:ind w:left="8866" w:right="0" w:firstLine="0"/>
        <w:jc w:val="left"/>
      </w:pPr>
      <w:r>
        <w:rPr>
          <w:color w:val="000000"/>
          <w:spacing w:val="0"/>
          <w:w w:val="100"/>
          <w:position w:val="0"/>
        </w:rPr>
        <w:t>单位：元</w:t>
      </w:r>
    </w:p>
    <w:tbl>
      <w:tblPr>
        <w:tblOverlap w:val="never"/>
        <w:jc w:val="center"/>
        <w:tblLayout w:type="fixed"/>
      </w:tblPr>
      <w:tblGrid>
        <w:gridCol w:w="2573"/>
        <w:gridCol w:w="2266"/>
        <w:gridCol w:w="2366"/>
        <w:gridCol w:w="240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49,530,703,604.46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34,308,500,821.30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40,556,444,422.71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29,779,474,179.84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36.19%</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8,974,259,181.75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4,529,026,641.46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4,470,043,464.81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1,309,353,622.12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241.39%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19,342,860,102.43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1,720,307,448.04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1,024.38%</w:t>
            </w:r>
          </w:p>
        </w:tc>
      </w:tr>
    </w:tbl>
    <w:p>
      <w:pPr>
        <w:spacing w:lineRule="exact" w:line="1"/>
        <w:rPr>
          <w:sz w:val="2"/>
          <w:szCs w:val="2"/>
        </w:rPr>
      </w:pPr>
      <w:r>
        <w:br w:type="page"/>
      </w:r>
    </w:p>
    <w:tbl>
      <w:tblPr>
        <w:tblOverlap w:val="never"/>
        <w:jc w:val="center"/>
        <w:tblLayout w:type="fixed"/>
      </w:tblPr>
      <w:tblGrid>
        <w:gridCol w:w="2573"/>
        <w:gridCol w:w="2266"/>
        <w:gridCol w:w="2366"/>
        <w:gridCol w:w="240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-14,872,816,637.62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-410,953,825.92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-3,519.10%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58,780,362,683.18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25,883,737,752.26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31,033,580,302.39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10,278,518,737.33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27,746,782,380.79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15,605,219,014.93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77.80%</w:t>
            </w:r>
          </w:p>
        </w:tc>
      </w:tr>
      <w:tr>
        <w:trPr>
          <w:trHeight w:val="3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21,818,615,694.03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19,671,893,041.09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w:t>
            </w:r>
          </w:p>
        </w:tc>
      </w:tr>
    </w:tbl>
    <w:p>
      <w:pPr>
        <w:pStyle w:val="Style24"/>
        <w:keepNext w:val="0"/>
        <w:keepLines w:val="0"/>
        <w:widowControl w:val="0"/>
        <w:shd w:val="clear" w:color="auto" w:fill="auto"/>
        <w:bidi w:val="0"/>
        <w:spacing w:before="0" w:line="319" w:lineRule="exact"/>
        <w:ind w:left="0" w:right="0" w:firstLine="0"/>
        <w:jc w:val="left"/>
      </w:pPr>
      <w:r>
        <w:rPr>
          <w:color w:val="000000"/>
          <w:spacing w:val="0"/>
          <w:w w:val="100"/>
          <w:position w:val="0"/>
        </w:rPr>
        <w:t>相关数据同比发生重大变动的主要影响因素说明</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numPr>
          <w:ilvl w:val="0"/>
          <w:numId w:val="3"/>
        </w:numPr>
        <w:shd w:val="clear" w:color="auto" w:fill="auto"/>
        <w:tabs>
          <w:tab w:pos="397" w:val="left"/>
        </w:tabs>
        <w:bidi w:val="0"/>
        <w:spacing w:before="0" w:after="0" w:line="317" w:lineRule="exact"/>
        <w:ind w:left="0" w:right="0" w:firstLine="0"/>
        <w:jc w:val="left"/>
      </w:pPr>
      <w:bookmarkStart w:id="158" w:name="bookmark158"/>
      <w:bookmarkEnd w:id="158"/>
      <w:r>
        <w:rPr>
          <w:color w:val="000000"/>
          <w:spacing w:val="0"/>
          <w:w w:val="100"/>
          <w:position w:val="0"/>
        </w:rPr>
        <w:t>报告期内，经营活动产生的现金流量净流入同比增加，主要原因是公司营业收入和净利润同比增加，经营活动的现金流 量净额随之增加。</w:t>
      </w:r>
    </w:p>
    <w:p>
      <w:pPr>
        <w:pStyle w:val="Style24"/>
        <w:keepNext w:val="0"/>
        <w:keepLines w:val="0"/>
        <w:widowControl w:val="0"/>
        <w:numPr>
          <w:ilvl w:val="0"/>
          <w:numId w:val="3"/>
        </w:numPr>
        <w:shd w:val="clear" w:color="auto" w:fill="auto"/>
        <w:tabs>
          <w:tab w:pos="397" w:val="left"/>
        </w:tabs>
        <w:bidi w:val="0"/>
        <w:spacing w:before="0" w:after="0" w:line="317" w:lineRule="exact"/>
        <w:ind w:left="0" w:right="0" w:firstLine="0"/>
        <w:jc w:val="left"/>
      </w:pPr>
      <w:bookmarkStart w:id="159" w:name="bookmark159"/>
      <w:bookmarkEnd w:id="159"/>
      <w:r>
        <w:rPr>
          <w:color w:val="000000"/>
          <w:spacing w:val="0"/>
          <w:w w:val="100"/>
          <w:position w:val="0"/>
        </w:rPr>
        <w:t>报告期内，投资活动产生的现金流量净流出同比增加，主要原因是公司其他债权投资规模增加。</w:t>
      </w:r>
    </w:p>
    <w:p>
      <w:pPr>
        <w:pStyle w:val="Style24"/>
        <w:keepNext w:val="0"/>
        <w:keepLines w:val="0"/>
        <w:widowControl w:val="0"/>
        <w:numPr>
          <w:ilvl w:val="0"/>
          <w:numId w:val="3"/>
        </w:numPr>
        <w:shd w:val="clear" w:color="auto" w:fill="auto"/>
        <w:tabs>
          <w:tab w:pos="397" w:val="left"/>
        </w:tabs>
        <w:bidi w:val="0"/>
        <w:spacing w:before="0" w:after="360" w:line="322" w:lineRule="exact"/>
        <w:ind w:left="0" w:right="0" w:firstLine="0"/>
        <w:jc w:val="left"/>
      </w:pPr>
      <w:bookmarkStart w:id="160" w:name="bookmark160"/>
      <w:bookmarkEnd w:id="160"/>
      <w:r>
        <w:rPr>
          <w:color w:val="000000"/>
          <w:spacing w:val="0"/>
          <w:w w:val="100"/>
          <w:position w:val="0"/>
        </w:rPr>
        <w:t>报告期内，筹资活动产生的现金流量净流入同比增加，主要原因是发行可转债及东方财富证券发行的债务工具的现金流 入抵减偿还相关债务工具的现金流出后同比增加。</w:t>
      </w:r>
    </w:p>
    <w:p>
      <w:pPr>
        <w:pStyle w:val="Style24"/>
        <w:keepNext w:val="0"/>
        <w:keepLines w:val="0"/>
        <w:widowControl w:val="0"/>
        <w:shd w:val="clear" w:color="auto" w:fill="auto"/>
        <w:bidi w:val="0"/>
        <w:spacing w:before="0" w:line="319"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tabs>
          <w:tab w:pos="541" w:val="left"/>
        </w:tabs>
        <w:bidi w:val="0"/>
        <w:spacing w:before="0" w:after="36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sz w:val="24"/>
          <w:szCs w:val="24"/>
        </w:rPr>
        <w:t>五</w:t>
      </w:r>
      <w:bookmarkEnd w:id="163"/>
      <w:r>
        <w:rPr>
          <w:color w:val="000000"/>
          <w:spacing w:val="0"/>
          <w:w w:val="100"/>
          <w:position w:val="0"/>
          <w:sz w:val="24"/>
          <w:szCs w:val="24"/>
        </w:rPr>
        <w:t>、</w:t>
        <w:tab/>
        <w:t>非主营业务情况</w:t>
      </w:r>
      <w:bookmarkEnd w:id="161"/>
      <w:bookmarkEnd w:id="162"/>
      <w:bookmarkEnd w:id="164"/>
    </w:p>
    <w:p>
      <w:pPr>
        <w:pStyle w:val="Style2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tabs>
          <w:tab w:pos="546" w:val="left"/>
        </w:tabs>
        <w:bidi w:val="0"/>
        <w:spacing w:before="0" w:after="36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sz w:val="24"/>
          <w:szCs w:val="24"/>
        </w:rPr>
        <w:t>六</w:t>
      </w:r>
      <w:bookmarkEnd w:id="167"/>
      <w:r>
        <w:rPr>
          <w:color w:val="000000"/>
          <w:spacing w:val="0"/>
          <w:w w:val="100"/>
          <w:position w:val="0"/>
          <w:sz w:val="24"/>
          <w:szCs w:val="24"/>
        </w:rPr>
        <w:t>、</w:t>
        <w:tab/>
        <w:t>资产及负债状况分析</w:t>
      </w:r>
      <w:bookmarkEnd w:id="165"/>
      <w:bookmarkEnd w:id="166"/>
      <w:bookmarkEnd w:id="168"/>
    </w:p>
    <w:p>
      <w:pPr>
        <w:pStyle w:val="Style32"/>
        <w:keepNext/>
        <w:keepLines/>
        <w:widowControl w:val="0"/>
        <w:shd w:val="clear" w:color="auto" w:fill="auto"/>
        <w:bidi w:val="0"/>
        <w:spacing w:before="0" w:after="36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1</w:t>
      </w:r>
      <w:bookmarkEnd w:id="171"/>
      <w:r>
        <w:rPr>
          <w:color w:val="000000"/>
          <w:spacing w:val="0"/>
          <w:w w:val="100"/>
          <w:position w:val="0"/>
        </w:rPr>
        <w:t>、资产构成重大变动情况</w:t>
      </w:r>
      <w:bookmarkEnd w:id="169"/>
      <w:bookmarkEnd w:id="170"/>
      <w:bookmarkEnd w:id="172"/>
    </w:p>
    <w:p>
      <w:pPr>
        <w:pStyle w:val="Style20"/>
        <w:keepNext w:val="0"/>
        <w:keepLines w:val="0"/>
        <w:widowControl w:val="0"/>
        <w:shd w:val="clear" w:color="auto" w:fill="auto"/>
        <w:bidi w:val="0"/>
        <w:spacing w:before="0" w:after="0" w:line="240" w:lineRule="auto"/>
        <w:ind w:left="8866" w:right="0" w:firstLine="0"/>
        <w:jc w:val="left"/>
      </w:pPr>
      <w:r>
        <w:rPr>
          <w:color w:val="000000"/>
          <w:spacing w:val="0"/>
          <w:w w:val="100"/>
          <w:position w:val="0"/>
        </w:rPr>
        <w:t>单位：元</w:t>
      </w:r>
    </w:p>
    <w:tbl>
      <w:tblPr>
        <w:tblOverlap w:val="never"/>
        <w:jc w:val="center"/>
        <w:tblLayout w:type="fixed"/>
      </w:tblPr>
      <w:tblGrid>
        <w:gridCol w:w="1853"/>
        <w:gridCol w:w="1848"/>
        <w:gridCol w:w="1426"/>
        <w:gridCol w:w="1848"/>
        <w:gridCol w:w="1411"/>
        <w:gridCol w:w="1291"/>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比重增减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占总资产比例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占总资产比例</w:t>
            </w:r>
          </w:p>
        </w:tc>
        <w:tc>
          <w:tcPr>
            <w:vMerge/>
            <w:tcBorders>
              <w:left w:val="single" w:sz="4"/>
              <w:right w:val="single" w:sz="4"/>
            </w:tcBorders>
            <w:shd w:val="clear" w:color="auto" w:fill="D3D3D3"/>
            <w:vAlign w:val="center"/>
          </w:tcPr>
          <w:p>
            <w:pP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59,610,593,783.57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41,420,490,433.77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10,475,675,745.56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6,652,245,869.33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融出资金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43,407,081,598.64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30,072,385,470.42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33,570,836,530.79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12,831,853,398.85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1,819,259,030.82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726,021,922.60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14,030,143,691.09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380,963,170.98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451,522,742.84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2,692,122,169.62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1,763,881,149.40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123,356,696.08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36,294,004.57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162,305,199.78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161,266,325.97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3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2,809,602,383.88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2,940,214,165.22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r>
    </w:tbl>
    <w:p>
      <w:pPr>
        <w:spacing w:lineRule="exact" w:line="1"/>
        <w:rPr>
          <w:sz w:val="2"/>
          <w:szCs w:val="2"/>
        </w:rPr>
      </w:pPr>
      <w:r>
        <w:br w:type="page"/>
      </w:r>
    </w:p>
    <w:tbl>
      <w:tblPr>
        <w:tblOverlap w:val="never"/>
        <w:jc w:val="center"/>
        <w:tblLayout w:type="fixed"/>
      </w:tblPr>
      <w:tblGrid>
        <w:gridCol w:w="1853"/>
        <w:gridCol w:w="1848"/>
        <w:gridCol w:w="1426"/>
        <w:gridCol w:w="1848"/>
        <w:gridCol w:w="1411"/>
        <w:gridCol w:w="1291"/>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应付短期融资券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13,122,179,421.45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8,402,188,109.28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197,209,026.86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180,183,670.38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26,707,665,609.89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8,533,225,079.65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63,928,842,159.88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49,797,784,255.00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19,710,301,844.62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1,218,986,301.37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w:t>
            </w:r>
          </w:p>
        </w:tc>
      </w:tr>
      <w:tr>
        <w:trPr>
          <w:trHeight w:val="3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81,951,615.12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82,314,965.83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bl>
    <w:p>
      <w:pPr>
        <w:widowControl w:val="0"/>
        <w:spacing w:after="11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2</w:t>
      </w:r>
      <w:bookmarkEnd w:id="175"/>
      <w:r>
        <w:rPr>
          <w:color w:val="000000"/>
          <w:spacing w:val="0"/>
          <w:w w:val="100"/>
          <w:position w:val="0"/>
        </w:rPr>
        <w:t>、以公允价值计量的资产和负债</w:t>
      </w:r>
      <w:bookmarkEnd w:id="173"/>
      <w:bookmarkEnd w:id="174"/>
      <w:bookmarkEnd w:id="176"/>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386"/>
        <w:gridCol w:w="1142"/>
        <w:gridCol w:w="850"/>
        <w:gridCol w:w="994"/>
        <w:gridCol w:w="850"/>
        <w:gridCol w:w="1142"/>
        <w:gridCol w:w="1138"/>
        <w:gridCol w:w="1104"/>
      </w:tblGrid>
      <w:tr>
        <w:trPr>
          <w:trHeight w:val="73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本期公允</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价值变动</w:t>
            </w:r>
          </w:p>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损益</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2" w:lineRule="exact"/>
              <w:ind w:left="0" w:right="0" w:firstLine="0"/>
              <w:jc w:val="center"/>
            </w:pPr>
            <w:r>
              <w:rPr>
                <w:rFonts w:ascii="SimSun" w:eastAsia="SimSun" w:hAnsi="SimSun" w:cs="SimSun"/>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本期计提 的减值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本期购买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本期出售 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pPr>
            <w:r>
              <w:rPr>
                <w:rFonts w:ascii="SimSun" w:eastAsia="SimSun" w:hAnsi="SimSun" w:cs="SimSun"/>
                <w:color w:val="000000"/>
                <w:spacing w:val="0"/>
                <w:w w:val="100"/>
                <w:position w:val="0"/>
              </w:rPr>
              <w:t>期末数</w:t>
            </w:r>
          </w:p>
        </w:tc>
      </w:tr>
      <w:tr>
        <w:trPr>
          <w:trHeight w:val="403"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交易性金融资产（不含衍生 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1,283,185.34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32,890.69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51,195,574.01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49,154,566.38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3,357,083.65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10,705.90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11,076.72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18,444.29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1,384,570.08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1,403,014.37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12,392.61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1,145.17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32,737.77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1,295,577.95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44,741.75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18,444.29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52,600,009.82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49,154,861.29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4,803,912.52</w:t>
            </w:r>
          </w:p>
        </w:tc>
      </w:tr>
      <w:tr>
        <w:trPr>
          <w:trHeight w:val="403"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-7,689.82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5,766.57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12,366.98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-9,592.99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3,787,474.69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3,516,218.16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293,216.50</w:t>
            </w:r>
          </w:p>
        </w:tc>
      </w:tr>
      <w:tr>
        <w:trPr>
          <w:trHeight w:val="3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12,410.08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-17,282.81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3,787,580.43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3,518,290.26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298,983.06</w:t>
            </w:r>
          </w:p>
        </w:tc>
      </w:tr>
    </w:tbl>
    <w:p>
      <w:pPr>
        <w:widowControl w:val="0"/>
        <w:spacing w:after="1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32"/>
        <w:keepNext/>
        <w:keepLines/>
        <w:widowControl w:val="0"/>
        <w:shd w:val="clear" w:color="auto" w:fill="auto"/>
        <w:bidi w:val="0"/>
        <w:spacing w:before="0" w:after="38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3</w:t>
      </w:r>
      <w:bookmarkEnd w:id="179"/>
      <w:r>
        <w:rPr>
          <w:color w:val="000000"/>
          <w:spacing w:val="0"/>
          <w:w w:val="100"/>
          <w:position w:val="0"/>
        </w:rPr>
        <w:t>、截至报告期末的资产权利受限情况</w:t>
      </w:r>
      <w:bookmarkEnd w:id="177"/>
      <w:bookmarkEnd w:id="178"/>
      <w:bookmarkEnd w:id="180"/>
    </w:p>
    <w:p>
      <w:pPr>
        <w:pStyle w:val="Style20"/>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211"/>
        <w:gridCol w:w="3178"/>
        <w:gridCol w:w="3216"/>
      </w:tblGrid>
      <w:tr>
        <w:trPr>
          <w:trHeight w:val="44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158,480,874.54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r>
      <w:tr>
        <w:trPr>
          <w:trHeight w:val="4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3,807,871.06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公募基金业务一般风险准备金</w:t>
            </w:r>
          </w:p>
        </w:tc>
      </w:tr>
      <w:tr>
        <w:trPr>
          <w:trHeight w:val="4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112,560,425.46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以自有资产抵押向银行申请授信及贷款</w:t>
            </w:r>
          </w:p>
        </w:tc>
      </w:tr>
    </w:tbl>
    <w:p>
      <w:pPr>
        <w:spacing w:lineRule="exact" w:line="1"/>
        <w:rPr>
          <w:sz w:val="2"/>
          <w:szCs w:val="2"/>
        </w:rPr>
      </w:pPr>
      <w:r>
        <w:br w:type="page"/>
      </w:r>
    </w:p>
    <w:tbl>
      <w:tblPr>
        <w:tblOverlap w:val="never"/>
        <w:jc w:val="center"/>
        <w:tblLayout w:type="fixed"/>
      </w:tblPr>
      <w:tblGrid>
        <w:gridCol w:w="3211"/>
        <w:gridCol w:w="3178"/>
        <w:gridCol w:w="3216"/>
      </w:tblGrid>
      <w:tr>
        <w:trPr>
          <w:trHeight w:val="44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19,368,079,483.90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卖出回购交易质押糜让、债券借贷</w:t>
            </w:r>
          </w:p>
        </w:tc>
      </w:tr>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726,681,578.72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融券业务融出证券</w:t>
            </w:r>
          </w:p>
        </w:tc>
      </w:tr>
      <w:tr>
        <w:trPr>
          <w:trHeight w:val="4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11,442,825,200.91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卖出回购交易质押、债券借贷</w:t>
            </w:r>
          </w:p>
        </w:tc>
      </w:tr>
      <w:tr>
        <w:trPr>
          <w:trHeight w:val="4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pPr>
            <w:r>
              <w:rPr>
                <w:color w:val="000000"/>
                <w:spacing w:val="0"/>
                <w:w w:val="100"/>
                <w:position w:val="0"/>
              </w:rPr>
              <w:t>31,812,435,434.59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2"/>
        <w:keepNext/>
        <w:keepLines/>
        <w:widowControl w:val="0"/>
        <w:shd w:val="clear" w:color="auto" w:fill="auto"/>
        <w:bidi w:val="0"/>
        <w:spacing w:before="0" w:line="240" w:lineRule="auto"/>
        <w:ind w:left="0" w:right="0" w:firstLine="0"/>
        <w:jc w:val="both"/>
      </w:pPr>
      <w:bookmarkStart w:id="181" w:name="bookmark181"/>
      <w:bookmarkStart w:id="182" w:name="bookmark182"/>
      <w:bookmarkStart w:id="183" w:name="bookmark183"/>
      <w:bookmarkStart w:id="184" w:name="bookmark184"/>
      <w:r>
        <w:rPr>
          <w:color w:val="000000"/>
          <w:spacing w:val="0"/>
          <w:w w:val="100"/>
          <w:position w:val="0"/>
          <w:sz w:val="24"/>
          <w:szCs w:val="24"/>
        </w:rPr>
        <w:t>七</w:t>
      </w:r>
      <w:bookmarkEnd w:id="183"/>
      <w:r>
        <w:rPr>
          <w:color w:val="000000"/>
          <w:spacing w:val="0"/>
          <w:w w:val="100"/>
          <w:position w:val="0"/>
          <w:sz w:val="24"/>
          <w:szCs w:val="24"/>
        </w:rPr>
        <w:t>、投资状况分析</w:t>
      </w:r>
      <w:bookmarkEnd w:id="181"/>
      <w:bookmarkEnd w:id="182"/>
      <w:bookmarkEnd w:id="184"/>
    </w:p>
    <w:p>
      <w:pPr>
        <w:pStyle w:val="Style32"/>
        <w:keepNext/>
        <w:keepLines/>
        <w:widowControl w:val="0"/>
        <w:shd w:val="clear" w:color="auto" w:fill="auto"/>
        <w:bidi w:val="0"/>
        <w:spacing w:before="0" w:after="340" w:line="240" w:lineRule="auto"/>
        <w:ind w:left="0" w:right="0" w:firstLine="0"/>
        <w:jc w:val="both"/>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1</w:t>
      </w:r>
      <w:bookmarkEnd w:id="187"/>
      <w:r>
        <w:rPr>
          <w:color w:val="000000"/>
          <w:spacing w:val="0"/>
          <w:w w:val="100"/>
          <w:position w:val="0"/>
        </w:rPr>
        <w:t>、总体情况</w:t>
      </w:r>
      <w:bookmarkEnd w:id="185"/>
      <w:bookmarkEnd w:id="186"/>
      <w:bookmarkEnd w:id="188"/>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8866" w:right="0" w:firstLine="0"/>
        <w:jc w:val="left"/>
      </w:pPr>
      <w:r>
        <w:rPr>
          <w:color w:val="000000"/>
          <w:spacing w:val="0"/>
          <w:w w:val="100"/>
          <w:position w:val="0"/>
        </w:rPr>
        <w:t>单位：元</w:t>
      </w:r>
    </w:p>
    <w:tbl>
      <w:tblPr>
        <w:tblOverlap w:val="never"/>
        <w:jc w:val="center"/>
        <w:tblLayout w:type="fixed"/>
      </w:tblPr>
      <w:tblGrid>
        <w:gridCol w:w="3211"/>
        <w:gridCol w:w="3182"/>
        <w:gridCol w:w="3211"/>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19,342,860,102.43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1,720,307,448.04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1,024.38%</w:t>
            </w:r>
          </w:p>
        </w:tc>
      </w:tr>
    </w:tbl>
    <w:p>
      <w:pPr>
        <w:widowControl w:val="0"/>
        <w:spacing w:after="339" w:line="1" w:lineRule="exact"/>
      </w:pPr>
    </w:p>
    <w:p>
      <w:pPr>
        <w:pStyle w:val="Style32"/>
        <w:keepNext/>
        <w:keepLines/>
        <w:widowControl w:val="0"/>
        <w:shd w:val="clear" w:color="auto" w:fill="auto"/>
        <w:tabs>
          <w:tab w:pos="392" w:val="left"/>
        </w:tabs>
        <w:bidi w:val="0"/>
        <w:spacing w:before="0" w:after="340" w:line="240" w:lineRule="auto"/>
        <w:ind w:left="0" w:right="0" w:firstLine="0"/>
        <w:jc w:val="both"/>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2</w:t>
      </w:r>
      <w:bookmarkEnd w:id="191"/>
      <w:r>
        <w:rPr>
          <w:color w:val="000000"/>
          <w:spacing w:val="0"/>
          <w:w w:val="100"/>
          <w:position w:val="0"/>
        </w:rPr>
        <w:t>、</w:t>
        <w:tab/>
        <w:t>报告期内获取的重大的股权投资情况</w:t>
      </w:r>
      <w:bookmarkEnd w:id="189"/>
      <w:bookmarkEnd w:id="190"/>
      <w:bookmarkEnd w:id="192"/>
    </w:p>
    <w:p>
      <w:pPr>
        <w:pStyle w:val="Style2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2"/>
        <w:keepNext/>
        <w:keepLines/>
        <w:widowControl w:val="0"/>
        <w:shd w:val="clear" w:color="auto" w:fill="auto"/>
        <w:tabs>
          <w:tab w:pos="392" w:val="left"/>
        </w:tabs>
        <w:bidi w:val="0"/>
        <w:spacing w:before="0" w:after="340" w:line="240" w:lineRule="auto"/>
        <w:ind w:left="0" w:right="0" w:firstLine="0"/>
        <w:jc w:val="both"/>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3</w:t>
      </w:r>
      <w:bookmarkEnd w:id="195"/>
      <w:r>
        <w:rPr>
          <w:color w:val="000000"/>
          <w:spacing w:val="0"/>
          <w:w w:val="100"/>
          <w:position w:val="0"/>
        </w:rPr>
        <w:t>、</w:t>
        <w:tab/>
        <w:t>报告期内正在进行的重大的非股权投资情况</w:t>
      </w:r>
      <w:bookmarkEnd w:id="193"/>
      <w:bookmarkEnd w:id="194"/>
      <w:bookmarkEnd w:id="196"/>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8894" w:right="0" w:firstLine="0"/>
        <w:jc w:val="left"/>
      </w:pPr>
      <w:r>
        <w:rPr>
          <w:color w:val="000000"/>
          <w:spacing w:val="0"/>
          <w:w w:val="100"/>
          <w:position w:val="0"/>
        </w:rPr>
        <w:t>单位：元</w:t>
      </w:r>
    </w:p>
    <w:tbl>
      <w:tblPr>
        <w:tblOverlap w:val="never"/>
        <w:jc w:val="center"/>
        <w:tblLayout w:type="fixed"/>
      </w:tblPr>
      <w:tblGrid>
        <w:gridCol w:w="1565"/>
        <w:gridCol w:w="576"/>
        <w:gridCol w:w="984"/>
        <w:gridCol w:w="1426"/>
        <w:gridCol w:w="1210"/>
        <w:gridCol w:w="1373"/>
        <w:gridCol w:w="1109"/>
        <w:gridCol w:w="605"/>
        <w:gridCol w:w="816"/>
      </w:tblGrid>
      <w:tr>
        <w:trPr>
          <w:trHeight w:val="13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投资</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是否为固定 资产投资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投资项目</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涉及行业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本报告期</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right"/>
            </w:pPr>
            <w:r>
              <w:rPr>
                <w:rFonts w:ascii="SimSun" w:eastAsia="SimSun" w:hAnsi="SimSun" w:cs="SimSun"/>
                <w:color w:val="000000"/>
                <w:spacing w:val="0"/>
                <w:w w:val="100"/>
                <w:position w:val="0"/>
              </w:rPr>
              <w:t>截至报告期末累 计实际投入金额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资金</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项目</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进度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未达到计</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划进度和</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预计收益</w:t>
            </w:r>
          </w:p>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的原因</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嘉定新城中心</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B16-1</w:t>
            </w:r>
            <w:r>
              <w:rPr>
                <w:rFonts w:ascii="SimSun" w:eastAsia="SimSun" w:hAnsi="SimSun" w:cs="SimSun"/>
                <w:color w:val="000000"/>
                <w:spacing w:val="0"/>
                <w:w w:val="100"/>
                <w:position w:val="0"/>
              </w:rPr>
              <w:t>地块项目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办公楼及配套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95,642,064.60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259,382,058.10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自有资金及</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银行贷款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95,642,064.60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259,382,058.10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4</w:t>
      </w:r>
      <w:bookmarkEnd w:id="199"/>
      <w:r>
        <w:rPr>
          <w:color w:val="000000"/>
          <w:spacing w:val="0"/>
          <w:w w:val="100"/>
          <w:position w:val="0"/>
        </w:rPr>
        <w:t>、以公允价值计量的金融资产</w:t>
      </w:r>
      <w:bookmarkEnd w:id="197"/>
      <w:bookmarkEnd w:id="198"/>
      <w:bookmarkEnd w:id="200"/>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p>
    <w:tbl>
      <w:tblPr>
        <w:tblOverlap w:val="never"/>
        <w:jc w:val="center"/>
        <w:tblLayout w:type="fixed"/>
      </w:tblPr>
      <w:tblGrid>
        <w:gridCol w:w="830"/>
        <w:gridCol w:w="1166"/>
        <w:gridCol w:w="1286"/>
        <w:gridCol w:w="994"/>
        <w:gridCol w:w="1267"/>
        <w:gridCol w:w="1387"/>
        <w:gridCol w:w="994"/>
        <w:gridCol w:w="1166"/>
        <w:gridCol w:w="514"/>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初始投资成本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本期公允价值 变动损益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报告期内</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报告期内</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售出金额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累计投</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期末金额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资金</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来源</w:t>
            </w: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3,560,468.90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14,594.82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18,444.29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46,824,141.14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44,042,239.43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71,295.90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3,641,355.56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自有</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w:t>
            </w:r>
          </w:p>
        </w:tc>
      </w:tr>
    </w:tbl>
    <w:p>
      <w:pPr>
        <w:spacing w:lineRule="exact" w:line="1"/>
        <w:rPr>
          <w:sz w:val="2"/>
          <w:szCs w:val="2"/>
        </w:rPr>
      </w:pPr>
      <w:r>
        <w:br w:type="page"/>
      </w:r>
    </w:p>
    <w:tbl>
      <w:tblPr>
        <w:tblOverlap w:val="never"/>
        <w:jc w:val="center"/>
        <w:tblLayout w:type="fixed"/>
      </w:tblPr>
      <w:tblGrid>
        <w:gridCol w:w="830"/>
        <w:gridCol w:w="1166"/>
        <w:gridCol w:w="1286"/>
        <w:gridCol w:w="994"/>
        <w:gridCol w:w="1267"/>
        <w:gridCol w:w="1387"/>
        <w:gridCol w:w="994"/>
        <w:gridCol w:w="1166"/>
        <w:gridCol w:w="514"/>
      </w:tblGrid>
      <w:tr>
        <w:trPr>
          <w:trHeight w:val="73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926,803.96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13,717.05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1,877,599.81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1,130,029.94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9,911.94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947,375.03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自有</w:t>
            </w:r>
          </w:p>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资金</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35,049.22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-797.87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112,868.12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110,082.45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3,639.94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34,208.86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自有</w:t>
            </w:r>
          </w:p>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资金</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160,857.00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6,521.85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3,784,735.01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3,872,214.56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169,896.34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自有</w:t>
            </w:r>
          </w:p>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资金</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金融衍生</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10,705.90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3,855.83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11,076.72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自有</w:t>
            </w:r>
          </w:p>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资金</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4,683,179.08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44,741.75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18,444.29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52,600,009.82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49,154,861.29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101,386.74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4,803,912.52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5</w:t>
      </w:r>
      <w:bookmarkEnd w:id="203"/>
      <w:r>
        <w:rPr>
          <w:color w:val="000000"/>
          <w:spacing w:val="0"/>
          <w:w w:val="100"/>
          <w:position w:val="0"/>
        </w:rPr>
        <w:t>、募集资金使用情况</w:t>
      </w:r>
      <w:bookmarkEnd w:id="201"/>
      <w:bookmarkEnd w:id="202"/>
      <w:bookmarkEnd w:id="204"/>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w:t>
      </w:r>
      <w:bookmarkEnd w:id="20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5"/>
      <w:bookmarkEnd w:id="206"/>
      <w:bookmarkEnd w:id="208"/>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8674" w:right="0" w:firstLine="0"/>
        <w:jc w:val="left"/>
      </w:pPr>
      <w:r>
        <w:rPr>
          <w:color w:val="000000"/>
          <w:spacing w:val="0"/>
          <w:w w:val="100"/>
          <w:position w:val="0"/>
        </w:rPr>
        <w:t>单位：万元</w:t>
      </w:r>
    </w:p>
    <w:tbl>
      <w:tblPr>
        <w:tblOverlap w:val="never"/>
        <w:jc w:val="center"/>
        <w:tblLayout w:type="fixed"/>
      </w:tblPr>
      <w:tblGrid>
        <w:gridCol w:w="686"/>
        <w:gridCol w:w="1210"/>
        <w:gridCol w:w="1075"/>
        <w:gridCol w:w="1133"/>
        <w:gridCol w:w="1008"/>
        <w:gridCol w:w="850"/>
        <w:gridCol w:w="854"/>
        <w:gridCol w:w="696"/>
        <w:gridCol w:w="715"/>
        <w:gridCol w:w="994"/>
        <w:gridCol w:w="701"/>
      </w:tblGrid>
      <w:tr>
        <w:trPr>
          <w:trHeight w:val="166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240" w:lineRule="auto"/>
              <w:ind w:left="0" w:right="0" w:firstLine="140"/>
              <w:jc w:val="left"/>
            </w:pPr>
            <w:r>
              <w:rPr>
                <w:rFonts w:ascii="SimSun" w:eastAsia="SimSun" w:hAnsi="SimSun" w:cs="SimSun"/>
                <w:color w:val="000000"/>
                <w:spacing w:val="0"/>
                <w:w w:val="100"/>
                <w:position w:val="0"/>
              </w:rPr>
              <w:t>募集</w:t>
            </w:r>
          </w:p>
          <w:p>
            <w:pPr>
              <w:pStyle w:val="Style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center"/>
            </w:pPr>
            <w:r>
              <w:rPr>
                <w:rFonts w:ascii="SimSun" w:eastAsia="SimSun" w:hAnsi="SimSun" w:cs="SimSun"/>
                <w:color w:val="000000"/>
                <w:spacing w:val="0"/>
                <w:w w:val="100"/>
                <w:position w:val="0"/>
              </w:rPr>
              <w:t>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本期已使用</w:t>
            </w:r>
          </w:p>
          <w:p>
            <w:pPr>
              <w:pStyle w:val="Style6"/>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募集资金</w:t>
            </w:r>
          </w:p>
          <w:p>
            <w:pPr>
              <w:pStyle w:val="Style6"/>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已累计使用</w:t>
            </w:r>
          </w:p>
          <w:p>
            <w:pPr>
              <w:pStyle w:val="Style6"/>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募集资金</w:t>
            </w:r>
          </w:p>
          <w:p>
            <w:pPr>
              <w:pStyle w:val="Style6"/>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报告期内</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变更用途</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的募集资</w:t>
            </w:r>
          </w:p>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累计变更</w:t>
            </w:r>
          </w:p>
          <w:p>
            <w:pPr>
              <w:pStyle w:val="Style6"/>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用途的募</w:t>
            </w:r>
          </w:p>
          <w:p>
            <w:pPr>
              <w:pStyle w:val="Style6"/>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集资金</w:t>
            </w:r>
          </w:p>
          <w:p>
            <w:pPr>
              <w:pStyle w:val="Style6"/>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累计变</w:t>
            </w:r>
          </w:p>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更用途</w:t>
            </w:r>
          </w:p>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的募集</w:t>
            </w:r>
          </w:p>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资金总</w:t>
            </w:r>
          </w:p>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尚未使</w:t>
            </w:r>
          </w:p>
          <w:p>
            <w:pPr>
              <w:pStyle w:val="Style6"/>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用募集</w:t>
            </w:r>
          </w:p>
          <w:p>
            <w:pPr>
              <w:pStyle w:val="Style6"/>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资金</w:t>
            </w:r>
          </w:p>
          <w:p>
            <w:pPr>
              <w:pStyle w:val="Style6"/>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尚未使用募</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集资金用途</w:t>
            </w:r>
          </w:p>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及去向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闲置两</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年以上</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募集资</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金金额</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创业板向不特</w:t>
            </w:r>
          </w:p>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定对象发行可</w:t>
            </w:r>
          </w:p>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转换公司债券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1,577,992.55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1,577,992.55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1,577,992.55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1,577,992.55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1,577,992.55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1,577,992.55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募集资金总体使用情况说明</w:t>
            </w:r>
          </w:p>
        </w:tc>
      </w:tr>
      <w:tr>
        <w:trPr>
          <w:trHeight w:val="1354" w:hRule="exact"/>
        </w:trPr>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经中国证监会《关于同意东方财富信息股份有限公司向不特定对象发行可转换公司债券注册的批复》（证监许可</w:t>
            </w:r>
            <w:r>
              <w:rPr>
                <w:color w:val="000000"/>
                <w:spacing w:val="0"/>
                <w:w w:val="100"/>
                <w:position w:val="0"/>
              </w:rPr>
              <w:t>[20</w:t>
            </w:r>
            <w:r>
              <w:rPr>
                <w:color w:val="000000"/>
                <w:spacing w:val="0"/>
                <w:w w:val="100"/>
                <w:position w:val="0"/>
              </w:rPr>
              <w:t>21]885</w:t>
            </w:r>
            <w:r>
              <w:rPr>
                <w:rFonts w:ascii="SimSun" w:eastAsia="SimSun" w:hAnsi="SimSun" w:cs="SimSun"/>
                <w:color w:val="000000"/>
                <w:spacing w:val="0"/>
                <w:w w:val="100"/>
                <w:position w:val="0"/>
              </w:rPr>
              <w:t>号） 核准，公司于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 xml:space="preserve">日向不特定对象发行了 </w:t>
            </w:r>
            <w:r>
              <w:rPr>
                <w:color w:val="000000"/>
                <w:spacing w:val="0"/>
                <w:w w:val="100"/>
                <w:position w:val="0"/>
              </w:rPr>
              <w:t>15,800</w:t>
            </w:r>
            <w:r>
              <w:rPr>
                <w:rFonts w:ascii="SimSun" w:eastAsia="SimSun" w:hAnsi="SimSun" w:cs="SimSun"/>
                <w:color w:val="000000"/>
                <w:spacing w:val="0"/>
                <w:w w:val="100"/>
                <w:position w:val="0"/>
              </w:rPr>
              <w:t>万张可转换公司债券，期限</w:t>
            </w:r>
            <w:r>
              <w:rPr>
                <w:color w:val="000000"/>
                <w:spacing w:val="0"/>
                <w:w w:val="100"/>
                <w:position w:val="0"/>
              </w:rPr>
              <w:t>6</w:t>
            </w:r>
            <w:r>
              <w:rPr>
                <w:rFonts w:ascii="SimSun" w:eastAsia="SimSun" w:hAnsi="SimSun" w:cs="SimSun"/>
                <w:color w:val="000000"/>
                <w:spacing w:val="0"/>
                <w:w w:val="100"/>
                <w:position w:val="0"/>
              </w:rPr>
              <w:t>年。本次可转换公司债券募集资金总 额为</w:t>
            </w:r>
            <w:r>
              <w:rPr>
                <w:color w:val="000000"/>
                <w:spacing w:val="0"/>
                <w:w w:val="100"/>
                <w:position w:val="0"/>
              </w:rPr>
              <w:t>1,580,000.00</w:t>
            </w:r>
            <w:r>
              <w:rPr>
                <w:rFonts w:ascii="SimSun" w:eastAsia="SimSun" w:hAnsi="SimSun" w:cs="SimSun"/>
                <w:color w:val="000000"/>
                <w:spacing w:val="0"/>
                <w:w w:val="100"/>
                <w:position w:val="0"/>
              </w:rPr>
              <w:t>万元，扣除发行费用后，实际募集资金净额为人民</w:t>
            </w:r>
            <w:r>
              <w:rPr>
                <w:color w:val="000000"/>
                <w:spacing w:val="0"/>
                <w:w w:val="100"/>
                <w:position w:val="0"/>
              </w:rPr>
              <w:t>1,577,992.55</w:t>
            </w:r>
            <w:r>
              <w:rPr>
                <w:rFonts w:ascii="SimSun" w:eastAsia="SimSun" w:hAnsi="SimSun" w:cs="SimSun"/>
                <w:color w:val="000000"/>
                <w:spacing w:val="0"/>
                <w:w w:val="100"/>
                <w:position w:val="0"/>
              </w:rPr>
              <w:t>万元，该募集资金已全部补充东方财富证券 营运资金。</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w:t>
      </w:r>
      <w:bookmarkEnd w:id="211"/>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09"/>
      <w:bookmarkEnd w:id="210"/>
      <w:bookmarkEnd w:id="212"/>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706"/>
        <w:gridCol w:w="1013"/>
        <w:gridCol w:w="994"/>
        <w:gridCol w:w="1008"/>
        <w:gridCol w:w="1138"/>
        <w:gridCol w:w="710"/>
        <w:gridCol w:w="965"/>
        <w:gridCol w:w="706"/>
        <w:gridCol w:w="734"/>
        <w:gridCol w:w="432"/>
        <w:gridCol w:w="701"/>
      </w:tblGrid>
      <w:tr>
        <w:trPr>
          <w:trHeight w:val="166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承诺投资项目</w:t>
            </w:r>
          </w:p>
          <w:p>
            <w:pPr>
              <w:pStyle w:val="Style6"/>
              <w:keepNext w:val="0"/>
              <w:keepLines w:val="0"/>
              <w:widowControl w:val="0"/>
              <w:shd w:val="clear" w:color="auto" w:fill="auto"/>
              <w:bidi w:val="0"/>
              <w:spacing w:before="0" w:after="0" w:line="317" w:lineRule="exact"/>
              <w:ind w:left="500" w:right="0" w:hanging="500"/>
              <w:jc w:val="both"/>
            </w:pPr>
            <w:r>
              <w:rPr>
                <w:rFonts w:ascii="SimSun" w:eastAsia="SimSun" w:hAnsi="SimSun" w:cs="SimSun"/>
                <w:color w:val="000000"/>
                <w:spacing w:val="0"/>
                <w:w w:val="100"/>
                <w:position w:val="0"/>
              </w:rPr>
              <w:t>和超募资金投 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是否已 变更项 目</w:t>
            </w:r>
            <w:r>
              <w:rPr>
                <w:color w:val="000000"/>
                <w:spacing w:val="0"/>
                <w:w w:val="100"/>
                <w:position w:val="0"/>
              </w:rPr>
              <w:t>(</w:t>
            </w:r>
            <w:r>
              <w:rPr>
                <w:rFonts w:ascii="SimSun" w:eastAsia="SimSun" w:hAnsi="SimSun" w:cs="SimSun"/>
                <w:color w:val="000000"/>
                <w:spacing w:val="0"/>
                <w:w w:val="100"/>
                <w:position w:val="0"/>
              </w:rPr>
              <w:t>含部 分变更</w:t>
            </w: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募集资金承</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诺投资总额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调整后投资</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总额</w:t>
            </w:r>
            <w:r>
              <w:rPr>
                <w:color w:val="000000"/>
                <w:spacing w:val="0"/>
                <w:w w:val="100"/>
                <w:position w:val="0"/>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本报告期投 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截至期末累</w:t>
            </w:r>
          </w:p>
          <w:p>
            <w:pPr>
              <w:pStyle w:val="Style6"/>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计投入金额</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截至期 末投资 进度</w:t>
            </w:r>
            <w:r>
              <w:rPr>
                <w:color w:val="000000"/>
                <w:spacing w:val="0"/>
                <w:w w:val="100"/>
                <w:position w:val="0"/>
              </w:rPr>
              <w:t xml:space="preserve">(3) </w:t>
            </w:r>
            <w:r>
              <w:rPr>
                <w:rFonts w:ascii="SimSun" w:eastAsia="SimSun" w:hAnsi="SimSun" w:cs="SimSun"/>
                <w:color w:val="000000"/>
                <w:spacing w:val="0"/>
                <w:w w:val="100"/>
                <w:position w:val="0"/>
              </w:rPr>
              <w:t>=</w:t>
            </w:r>
            <w:r>
              <w:rPr>
                <w:color w:val="000000"/>
                <w:spacing w:val="0"/>
                <w:w w:val="100"/>
                <w:position w:val="0"/>
              </w:rPr>
              <w:t>(2)/(1)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项目达到预</w:t>
            </w:r>
          </w:p>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定可使用状</w:t>
            </w:r>
          </w:p>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态日期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本报告 期实现 的效益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6" w:lineRule="exact"/>
              <w:ind w:left="0" w:right="0" w:firstLine="0"/>
              <w:jc w:val="center"/>
            </w:pPr>
            <w:r>
              <w:rPr>
                <w:rFonts w:ascii="SimSun" w:eastAsia="SimSun" w:hAnsi="SimSun" w:cs="SimSun"/>
                <w:color w:val="000000"/>
                <w:spacing w:val="0"/>
                <w:w w:val="100"/>
                <w:position w:val="0"/>
              </w:rPr>
              <w:t>截至报 告期末 累计实 现的效 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rPr>
              <w:t>项目可 行性是 否发生 重大变 化</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补充东方财富</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证券营运资金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1,577,992.55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1,577,992.55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1,577,992.55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1,577,992.55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不适</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承诺投资项目 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1,577,992.55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1,577,992.55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1,577,992.55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1,577,992.55</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1,577,992.55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1,577,992.55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1,577,992.55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1,577,992.55</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未达到计划进</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度或预计收益</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的情况和原因</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项目可行性发</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生重大变化的</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情况说明</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103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超募资金的金 额、用途及使 用进展情况</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募集资金投资</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项目实施地点</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变更情况</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10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募集资金投资 项目实施方式 调整情况</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103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募集资金投资 项目先期投入 及置换情况</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用闲置募集资 金暂时补充流 动资金情况</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117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项目实施出现</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募集资金结余</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的金额及原因</w:t>
            </w:r>
          </w:p>
        </w:tc>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bl>
    <w:tbl>
      <w:tblPr>
        <w:tblOverlap w:val="never"/>
        <w:jc w:val="center"/>
        <w:tblLayout w:type="fixed"/>
      </w:tblPr>
      <w:tblGrid>
        <w:gridCol w:w="1205"/>
        <w:gridCol w:w="9091"/>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尚未使用的募</w:t>
            </w:r>
          </w:p>
          <w:p>
            <w:pPr>
              <w:pStyle w:val="Style6"/>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集资金用途及 去向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募集资金使用 及披露中存在 的问题或其他 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w:t>
      </w:r>
      <w:bookmarkEnd w:id="215"/>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3"/>
      <w:bookmarkEnd w:id="214"/>
      <w:bookmarkEnd w:id="216"/>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2"/>
        <w:keepNext/>
        <w:keepLines/>
        <w:widowControl w:val="0"/>
        <w:shd w:val="clear" w:color="auto" w:fill="auto"/>
        <w:tabs>
          <w:tab w:pos="541" w:val="left"/>
        </w:tabs>
        <w:bidi w:val="0"/>
        <w:spacing w:before="0" w:after="36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sz w:val="24"/>
          <w:szCs w:val="24"/>
        </w:rPr>
        <w:t>八</w:t>
      </w:r>
      <w:bookmarkEnd w:id="219"/>
      <w:r>
        <w:rPr>
          <w:color w:val="000000"/>
          <w:spacing w:val="0"/>
          <w:w w:val="100"/>
          <w:position w:val="0"/>
          <w:sz w:val="24"/>
          <w:szCs w:val="24"/>
        </w:rPr>
        <w:t>、</w:t>
        <w:tab/>
        <w:t>重大资产和股权出售</w:t>
      </w:r>
      <w:bookmarkEnd w:id="217"/>
      <w:bookmarkEnd w:id="218"/>
      <w:bookmarkEnd w:id="220"/>
    </w:p>
    <w:p>
      <w:pPr>
        <w:pStyle w:val="Style32"/>
        <w:keepNext/>
        <w:keepLines/>
        <w:widowControl w:val="0"/>
        <w:shd w:val="clear" w:color="auto" w:fill="auto"/>
        <w:tabs>
          <w:tab w:pos="437" w:val="left"/>
        </w:tabs>
        <w:bidi w:val="0"/>
        <w:spacing w:before="0" w:after="36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1</w:t>
      </w:r>
      <w:bookmarkEnd w:id="223"/>
      <w:r>
        <w:rPr>
          <w:color w:val="000000"/>
          <w:spacing w:val="0"/>
          <w:w w:val="100"/>
          <w:position w:val="0"/>
        </w:rPr>
        <w:t>、</w:t>
        <w:tab/>
        <w:t>出售重大资产情况</w:t>
      </w:r>
      <w:bookmarkEnd w:id="221"/>
      <w:bookmarkEnd w:id="222"/>
      <w:bookmarkEnd w:id="224"/>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2"/>
        <w:keepNext/>
        <w:keepLines/>
        <w:widowControl w:val="0"/>
        <w:shd w:val="clear" w:color="auto" w:fill="auto"/>
        <w:tabs>
          <w:tab w:pos="437" w:val="left"/>
        </w:tabs>
        <w:bidi w:val="0"/>
        <w:spacing w:before="0" w:after="36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2</w:t>
      </w:r>
      <w:bookmarkEnd w:id="227"/>
      <w:r>
        <w:rPr>
          <w:color w:val="000000"/>
          <w:spacing w:val="0"/>
          <w:w w:val="100"/>
          <w:position w:val="0"/>
        </w:rPr>
        <w:t>、</w:t>
        <w:tab/>
        <w:t>出售重大股权情况</w:t>
      </w:r>
      <w:bookmarkEnd w:id="225"/>
      <w:bookmarkEnd w:id="226"/>
      <w:bookmarkEnd w:id="228"/>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公司报告期未出售重大股权。</w:t>
      </w:r>
    </w:p>
    <w:p>
      <w:pPr>
        <w:pStyle w:val="Style22"/>
        <w:keepNext/>
        <w:keepLines/>
        <w:widowControl w:val="0"/>
        <w:shd w:val="clear" w:color="auto" w:fill="auto"/>
        <w:tabs>
          <w:tab w:pos="541" w:val="left"/>
        </w:tabs>
        <w:bidi w:val="0"/>
        <w:spacing w:before="0" w:after="36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九</w:t>
      </w:r>
      <w:bookmarkEnd w:id="231"/>
      <w:r>
        <w:rPr>
          <w:color w:val="000000"/>
          <w:spacing w:val="0"/>
          <w:w w:val="100"/>
          <w:position w:val="0"/>
          <w:sz w:val="24"/>
          <w:szCs w:val="24"/>
        </w:rPr>
        <w:t>、</w:t>
        <w:tab/>
        <w:t>主要控股参股公司分析</w:t>
      </w:r>
      <w:bookmarkEnd w:id="229"/>
      <w:bookmarkEnd w:id="230"/>
      <w:bookmarkEnd w:id="232"/>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0"/>
        <w:keepNext w:val="0"/>
        <w:keepLines w:val="0"/>
        <w:widowControl w:val="0"/>
        <w:shd w:val="clear" w:color="auto" w:fill="auto"/>
        <w:bidi w:val="0"/>
        <w:spacing w:before="0" w:after="0" w:line="240" w:lineRule="auto"/>
        <w:ind w:left="8674" w:right="0" w:firstLine="0"/>
        <w:jc w:val="left"/>
      </w:pPr>
      <w:r>
        <w:rPr>
          <w:color w:val="000000"/>
          <w:spacing w:val="0"/>
          <w:w w:val="100"/>
          <w:position w:val="0"/>
        </w:rPr>
        <w:t>单位：亿元</w:t>
      </w:r>
    </w:p>
    <w:tbl>
      <w:tblPr>
        <w:tblOverlap w:val="never"/>
        <w:jc w:val="center"/>
        <w:tblLayout w:type="fixed"/>
      </w:tblPr>
      <w:tblGrid>
        <w:gridCol w:w="1291"/>
        <w:gridCol w:w="850"/>
        <w:gridCol w:w="1560"/>
        <w:gridCol w:w="994"/>
        <w:gridCol w:w="994"/>
        <w:gridCol w:w="994"/>
        <w:gridCol w:w="998"/>
        <w:gridCol w:w="864"/>
        <w:gridCol w:w="1061"/>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净利润</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东方财富证券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证券经纪、融资融 券业务等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73.00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天天基金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w:t>
            </w:r>
          </w:p>
        </w:tc>
      </w:tr>
    </w:tbl>
    <w:p>
      <w:pPr>
        <w:widowControl w:val="0"/>
        <w:spacing w:after="11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3845"/>
        <w:gridCol w:w="2986"/>
        <w:gridCol w:w="2774"/>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对整体生产经营和业绩的影响</w:t>
            </w:r>
          </w:p>
        </w:tc>
      </w:tr>
      <w:tr>
        <w:trPr>
          <w:trHeight w:val="3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扬州东方财富数据服务有限公司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不构成重大影响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上海哈富网络科技有限公司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不构成重大影响</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成都东方财富信息技术有限公司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不构成重大影响</w:t>
            </w:r>
          </w:p>
        </w:tc>
      </w:tr>
    </w:tbl>
    <w:tbl>
      <w:tblPr>
        <w:tblOverlap w:val="never"/>
        <w:jc w:val="center"/>
        <w:tblLayout w:type="fixed"/>
      </w:tblPr>
      <w:tblGrid>
        <w:gridCol w:w="3845"/>
        <w:gridCol w:w="2986"/>
        <w:gridCol w:w="2774"/>
      </w:tblGrid>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东方财富国际证券有限公司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不构成重大影响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东方财富国际期货有限公司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不构成重大影响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哈富网络科技有限公司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不构成重大影响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哈富有限公司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不构成重大影响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Eastmoney Sea Holdings PTE.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不构成重大影响</w:t>
            </w:r>
          </w:p>
        </w:tc>
      </w:tr>
      <w:tr>
        <w:trPr>
          <w:trHeight w:val="39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Hafoo Securities (Singapore) PTE. LTD.</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不构成重大影响</w:t>
            </w:r>
          </w:p>
        </w:tc>
      </w:tr>
    </w:tbl>
    <w:p>
      <w:pPr>
        <w:widowControl w:val="0"/>
        <w:spacing w:after="339" w:line="1" w:lineRule="exact"/>
      </w:pPr>
    </w:p>
    <w:p>
      <w:pPr>
        <w:pStyle w:val="Style22"/>
        <w:keepNext/>
        <w:keepLines/>
        <w:widowControl w:val="0"/>
        <w:shd w:val="clear" w:color="auto" w:fill="auto"/>
        <w:bidi w:val="0"/>
        <w:spacing w:before="0" w:line="240" w:lineRule="auto"/>
        <w:ind w:left="0" w:right="0" w:firstLine="0"/>
        <w:jc w:val="left"/>
      </w:pPr>
      <w:bookmarkStart w:id="233" w:name="bookmark233"/>
      <w:bookmarkStart w:id="234" w:name="bookmark234"/>
      <w:bookmarkStart w:id="235" w:name="bookmark235"/>
      <w:r>
        <w:rPr>
          <w:color w:val="000000"/>
          <w:spacing w:val="0"/>
          <w:w w:val="100"/>
          <w:position w:val="0"/>
          <w:sz w:val="24"/>
          <w:szCs w:val="24"/>
        </w:rPr>
        <w:t>十、公司控制的结构化主体情况</w:t>
      </w:r>
      <w:bookmarkEnd w:id="233"/>
      <w:bookmarkEnd w:id="234"/>
      <w:bookmarkEnd w:id="235"/>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本年合并范围内新增</w:t>
      </w:r>
      <w:r>
        <w:rPr>
          <w:rFonts w:ascii="Times New Roman" w:eastAsia="Times New Roman" w:hAnsi="Times New Roman" w:cs="Times New Roman"/>
          <w:color w:val="000000"/>
          <w:spacing w:val="0"/>
          <w:w w:val="100"/>
          <w:position w:val="0"/>
        </w:rPr>
        <w:t>24</w:t>
      </w:r>
      <w:r>
        <w:rPr>
          <w:color w:val="000000"/>
          <w:spacing w:val="0"/>
          <w:w w:val="100"/>
          <w:position w:val="0"/>
        </w:rPr>
        <w:t>家结构化主体，减少</w:t>
      </w:r>
      <w:r>
        <w:rPr>
          <w:rFonts w:ascii="Times New Roman" w:eastAsia="Times New Roman" w:hAnsi="Times New Roman" w:cs="Times New Roman"/>
          <w:color w:val="000000"/>
          <w:spacing w:val="0"/>
          <w:w w:val="100"/>
          <w:position w:val="0"/>
        </w:rPr>
        <w:t>2</w:t>
      </w:r>
      <w:r>
        <w:rPr>
          <w:color w:val="000000"/>
          <w:spacing w:val="0"/>
          <w:w w:val="100"/>
          <w:position w:val="0"/>
        </w:rPr>
        <w:t>家结构化主体。截至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日，共有</w:t>
      </w:r>
      <w:r>
        <w:rPr>
          <w:rFonts w:ascii="Times New Roman" w:eastAsia="Times New Roman" w:hAnsi="Times New Roman" w:cs="Times New Roman"/>
          <w:color w:val="000000"/>
          <w:spacing w:val="0"/>
          <w:w w:val="100"/>
          <w:position w:val="0"/>
        </w:rPr>
        <w:t>26</w:t>
      </w:r>
      <w:r>
        <w:rPr>
          <w:color w:val="000000"/>
          <w:spacing w:val="0"/>
          <w:w w:val="100"/>
          <w:position w:val="0"/>
        </w:rPr>
        <w:t>只产品因本公 司享有的可变回报重大而纳入本公司合并财务报表的合并范围。公司纳入合并范围的结构化主体主要为 公司作为管理人或投资顾问并投资的结构化主体。公司参与该等结构化主体的相关活动享有的可变回报 影响重大，并且有能力运用对该等结构化主体的权力影响其回报金额。</w:t>
      </w:r>
    </w:p>
    <w:p>
      <w:pPr>
        <w:pStyle w:val="Style22"/>
        <w:keepNext/>
        <w:keepLines/>
        <w:widowControl w:val="0"/>
        <w:shd w:val="clear" w:color="auto" w:fill="auto"/>
        <w:bidi w:val="0"/>
        <w:spacing w:before="0" w:after="220" w:line="240" w:lineRule="auto"/>
        <w:ind w:left="0" w:right="0" w:firstLine="0"/>
        <w:jc w:val="left"/>
      </w:pPr>
      <w:bookmarkStart w:id="236" w:name="bookmark236"/>
      <w:bookmarkStart w:id="237" w:name="bookmark237"/>
      <w:bookmarkStart w:id="238" w:name="bookmark238"/>
      <w:r>
        <w:rPr>
          <w:color w:val="000000"/>
          <w:spacing w:val="0"/>
          <w:w w:val="100"/>
          <w:position w:val="0"/>
          <w:sz w:val="24"/>
          <w:szCs w:val="24"/>
        </w:rPr>
        <w:t>十一、公司未来发展的展望</w:t>
      </w:r>
      <w:bookmarkEnd w:id="236"/>
      <w:bookmarkEnd w:id="237"/>
      <w:bookmarkEnd w:id="238"/>
    </w:p>
    <w:p>
      <w:pPr>
        <w:pStyle w:val="Style32"/>
        <w:keepNext/>
        <w:keepLines/>
        <w:widowControl w:val="0"/>
        <w:shd w:val="clear" w:color="auto" w:fill="auto"/>
        <w:tabs>
          <w:tab w:pos="1077" w:val="left"/>
        </w:tabs>
        <w:bidi w:val="0"/>
        <w:spacing w:before="0" w:after="0" w:line="336" w:lineRule="exact"/>
        <w:ind w:left="0" w:right="0" w:firstLine="440"/>
        <w:jc w:val="both"/>
      </w:pPr>
      <w:bookmarkStart w:id="239" w:name="bookmark239"/>
      <w:bookmarkStart w:id="240" w:name="bookmark240"/>
      <w:bookmarkStart w:id="241" w:name="bookmark241"/>
      <w:bookmarkStart w:id="242" w:name="bookmark242"/>
      <w:r>
        <w:rPr>
          <w:color w:val="000000"/>
          <w:spacing w:val="0"/>
          <w:w w:val="100"/>
          <w:position w:val="0"/>
        </w:rPr>
        <w:t>（</w:t>
      </w:r>
      <w:bookmarkEnd w:id="241"/>
      <w:r>
        <w:rPr>
          <w:color w:val="000000"/>
          <w:spacing w:val="0"/>
          <w:w w:val="100"/>
          <w:position w:val="0"/>
        </w:rPr>
        <w:t>一）</w:t>
        <w:tab/>
        <w:t>未来发展战略</w:t>
      </w:r>
      <w:bookmarkEnd w:id="239"/>
      <w:bookmarkEnd w:id="240"/>
      <w:bookmarkEnd w:id="242"/>
    </w:p>
    <w:p>
      <w:pPr>
        <w:pStyle w:val="Style41"/>
        <w:keepNext w:val="0"/>
        <w:keepLines w:val="0"/>
        <w:widowControl w:val="0"/>
        <w:shd w:val="clear" w:color="auto" w:fill="auto"/>
        <w:bidi w:val="0"/>
        <w:spacing w:before="0" w:after="0" w:line="336" w:lineRule="exact"/>
        <w:ind w:left="0" w:right="0" w:firstLine="480"/>
        <w:jc w:val="both"/>
      </w:pPr>
      <w:r>
        <w:rPr>
          <w:color w:val="000000"/>
          <w:spacing w:val="0"/>
          <w:w w:val="100"/>
          <w:position w:val="0"/>
        </w:rPr>
        <w:t>公司致力于构建人与财富的金融生态圈，提供集财经、证券、基金、期货、社交服务等一站式互联网 财富管理服务，为用户创造更多价值。</w:t>
      </w:r>
    </w:p>
    <w:p>
      <w:pPr>
        <w:pStyle w:val="Style41"/>
        <w:keepNext w:val="0"/>
        <w:keepLines w:val="0"/>
        <w:widowControl w:val="0"/>
        <w:shd w:val="clear" w:color="auto" w:fill="auto"/>
        <w:tabs>
          <w:tab w:pos="1077" w:val="left"/>
        </w:tabs>
        <w:bidi w:val="0"/>
        <w:spacing w:before="0" w:after="0" w:line="336" w:lineRule="exact"/>
        <w:ind w:left="0" w:right="0" w:firstLine="440"/>
        <w:jc w:val="both"/>
      </w:pPr>
      <w:bookmarkStart w:id="243" w:name="bookmark243"/>
      <w:r>
        <w:rPr>
          <w:b/>
          <w:bCs/>
          <w:color w:val="000000"/>
          <w:spacing w:val="0"/>
          <w:w w:val="100"/>
          <w:position w:val="0"/>
        </w:rPr>
        <w:t>（</w:t>
      </w:r>
      <w:bookmarkEnd w:id="243"/>
      <w:r>
        <w:rPr>
          <w:b/>
          <w:bCs/>
          <w:color w:val="000000"/>
          <w:spacing w:val="0"/>
          <w:w w:val="100"/>
          <w:position w:val="0"/>
        </w:rPr>
        <w:t>二）</w:t>
        <w:tab/>
      </w:r>
      <w:r>
        <w:rPr>
          <w:rFonts w:ascii="Times New Roman" w:eastAsia="Times New Roman" w:hAnsi="Times New Roman" w:cs="Times New Roman"/>
          <w:b/>
          <w:bCs/>
          <w:color w:val="000000"/>
          <w:spacing w:val="0"/>
          <w:w w:val="100"/>
          <w:position w:val="0"/>
        </w:rPr>
        <w:t>2022</w:t>
      </w:r>
      <w:r>
        <w:rPr>
          <w:b/>
          <w:bCs/>
          <w:color w:val="000000"/>
          <w:spacing w:val="0"/>
          <w:w w:val="100"/>
          <w:position w:val="0"/>
        </w:rPr>
        <w:t>年度经营计划</w:t>
      </w:r>
    </w:p>
    <w:p>
      <w:pPr>
        <w:pStyle w:val="Style41"/>
        <w:keepNext w:val="0"/>
        <w:keepLines w:val="0"/>
        <w:widowControl w:val="0"/>
        <w:shd w:val="clear" w:color="auto" w:fill="auto"/>
        <w:bidi w:val="0"/>
        <w:spacing w:before="0" w:after="0" w:line="370" w:lineRule="exact"/>
        <w:ind w:left="0" w:right="0" w:firstLine="480"/>
        <w:jc w:val="left"/>
      </w:pPr>
      <w:r>
        <w:rPr>
          <w:color w:val="000000"/>
          <w:spacing w:val="0"/>
          <w:w w:val="100"/>
          <w:position w:val="0"/>
        </w:rPr>
        <w:t>公司将紧紧围绕发展战略目标，继续加大研发技术投入，提升公司服务能力和水平，提升用户体验， 增强用户黏性和忠诚度，进一步巩固和提升公司核心竞争力，努力实现公司可持续健康发展。</w:t>
      </w:r>
    </w:p>
    <w:p>
      <w:pPr>
        <w:pStyle w:val="Style32"/>
        <w:keepNext/>
        <w:keepLines/>
        <w:widowControl w:val="0"/>
        <w:shd w:val="clear" w:color="auto" w:fill="auto"/>
        <w:tabs>
          <w:tab w:pos="822" w:val="left"/>
        </w:tabs>
        <w:bidi w:val="0"/>
        <w:spacing w:before="0" w:after="0" w:line="341" w:lineRule="exact"/>
        <w:ind w:left="0" w:right="0" w:firstLine="44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1</w:t>
      </w:r>
      <w:bookmarkEnd w:id="246"/>
      <w:r>
        <w:rPr>
          <w:color w:val="000000"/>
          <w:spacing w:val="0"/>
          <w:w w:val="100"/>
          <w:position w:val="0"/>
        </w:rPr>
        <w:t>、</w:t>
        <w:tab/>
        <w:t>进一步加强研发科技投入，提升公司整体服务能力和质量</w:t>
      </w:r>
      <w:bookmarkEnd w:id="244"/>
      <w:bookmarkEnd w:id="245"/>
      <w:bookmarkEnd w:id="247"/>
    </w:p>
    <w:p>
      <w:pPr>
        <w:pStyle w:val="Style41"/>
        <w:keepNext w:val="0"/>
        <w:keepLines w:val="0"/>
        <w:widowControl w:val="0"/>
        <w:shd w:val="clear" w:color="auto" w:fill="auto"/>
        <w:bidi w:val="0"/>
        <w:spacing w:before="0" w:after="0" w:line="341" w:lineRule="exact"/>
        <w:ind w:left="0" w:right="0" w:firstLine="480"/>
        <w:jc w:val="left"/>
      </w:pPr>
      <w:r>
        <w:rPr>
          <w:color w:val="000000"/>
          <w:spacing w:val="0"/>
          <w:w w:val="100"/>
          <w:position w:val="0"/>
        </w:rPr>
        <w:t>公司将进一步加强研发科技人才引进和培养力度，增强研发团队力量，不断构建和完善互联网财富管 理生态圈建设，提升整体服务能力。同时公司进一步加强智能化等方面的投入，推动核心海量数据库的升 级、优化和完善工作，实现底层海量数据的共享覆盖并提升数据处理和响应能力，充分发挥整体协同效应， 实现以更精准的需求匹配、更实时的用户响应、更健全的风险管控，打造更高效的互联网财富管理生态。</w:t>
      </w:r>
    </w:p>
    <w:p>
      <w:pPr>
        <w:pStyle w:val="Style32"/>
        <w:keepNext/>
        <w:keepLines/>
        <w:widowControl w:val="0"/>
        <w:shd w:val="clear" w:color="auto" w:fill="auto"/>
        <w:tabs>
          <w:tab w:pos="885" w:val="left"/>
        </w:tabs>
        <w:bidi w:val="0"/>
        <w:spacing w:before="0" w:after="0" w:line="341" w:lineRule="exact"/>
        <w:ind w:left="0" w:right="0" w:firstLine="48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2</w:t>
      </w:r>
      <w:bookmarkEnd w:id="250"/>
      <w:r>
        <w:rPr>
          <w:color w:val="000000"/>
          <w:spacing w:val="0"/>
          <w:w w:val="100"/>
          <w:position w:val="0"/>
        </w:rPr>
        <w:t>、</w:t>
        <w:tab/>
        <w:t>提升科技赋能业务能力，推动证券业务规范稳健发展</w:t>
      </w:r>
      <w:bookmarkEnd w:id="248"/>
      <w:bookmarkEnd w:id="249"/>
      <w:bookmarkEnd w:id="251"/>
    </w:p>
    <w:p>
      <w:pPr>
        <w:pStyle w:val="Style41"/>
        <w:keepNext w:val="0"/>
        <w:keepLines w:val="0"/>
        <w:widowControl w:val="0"/>
        <w:shd w:val="clear" w:color="auto" w:fill="auto"/>
        <w:bidi w:val="0"/>
        <w:spacing w:before="0" w:after="0" w:line="341" w:lineRule="exact"/>
        <w:ind w:left="0" w:right="0" w:firstLine="480"/>
        <w:jc w:val="left"/>
      </w:pPr>
      <w:r>
        <w:rPr>
          <w:color w:val="000000"/>
          <w:spacing w:val="0"/>
          <w:w w:val="100"/>
          <w:position w:val="0"/>
        </w:rPr>
        <w:t>公司将进一步发挥互联网财富管理服务生态协同优势，利用海量用户核心竞争优势，以用户需求为中 心，推进数字化建设，科技赋能业务，不断提升公司在证券交易及财富管理领域的专业能力与服务水平， 践行精品化、专业化、差异化的发展战略。同时，公司继续推进国际化战略，进一步加强产品服务创新， 探索主营业务相关新领域，提升用户体验，进一步提升财富管理服务能力和水平；加强合规与风险管理， 建立健全公司全面风险管理体系，坚守合规底线，推动证券业务实现规范稳健发展。</w:t>
      </w:r>
    </w:p>
    <w:p>
      <w:pPr>
        <w:pStyle w:val="Style32"/>
        <w:keepNext/>
        <w:keepLines/>
        <w:widowControl w:val="0"/>
        <w:shd w:val="clear" w:color="auto" w:fill="auto"/>
        <w:tabs>
          <w:tab w:pos="832" w:val="left"/>
        </w:tabs>
        <w:bidi w:val="0"/>
        <w:spacing w:before="0" w:after="0" w:line="341" w:lineRule="exact"/>
        <w:ind w:left="0" w:right="0" w:firstLine="440"/>
        <w:jc w:val="both"/>
      </w:pPr>
      <w:bookmarkStart w:id="252" w:name="bookmark252"/>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rPr>
        <w:t>3</w:t>
      </w:r>
      <w:bookmarkEnd w:id="254"/>
      <w:r>
        <w:rPr>
          <w:color w:val="000000"/>
          <w:spacing w:val="0"/>
          <w:w w:val="100"/>
          <w:position w:val="0"/>
        </w:rPr>
        <w:t>、</w:t>
        <w:tab/>
        <w:t>持续巩固专业化优势，实现基金销售差异化发展</w:t>
      </w:r>
      <w:bookmarkEnd w:id="252"/>
      <w:bookmarkEnd w:id="253"/>
      <w:bookmarkEnd w:id="255"/>
    </w:p>
    <w:p>
      <w:pPr>
        <w:pStyle w:val="Style41"/>
        <w:keepNext w:val="0"/>
        <w:keepLines w:val="0"/>
        <w:widowControl w:val="0"/>
        <w:shd w:val="clear" w:color="auto" w:fill="auto"/>
        <w:bidi w:val="0"/>
        <w:spacing w:before="0" w:after="0" w:line="341" w:lineRule="exact"/>
        <w:ind w:left="0" w:right="0" w:firstLine="480"/>
        <w:jc w:val="both"/>
      </w:pPr>
      <w:r>
        <w:rPr>
          <w:color w:val="000000"/>
          <w:spacing w:val="0"/>
          <w:w w:val="100"/>
          <w:position w:val="0"/>
        </w:rPr>
        <w:t>公司将坚持以用户需求为中心，进一步强化产品及服务创新，加快产品优化迭代，持续提升用户体验， 持续加强自身在专业理财方面的优势，进一步扩大服务范围，为用户提供更有价值的服务，努力实现互联 网金融电子商务服务业务差异化发展，巩固和强化行业领先地位。</w:t>
      </w:r>
    </w:p>
    <w:p>
      <w:pPr>
        <w:pStyle w:val="Style32"/>
        <w:keepNext/>
        <w:keepLines/>
        <w:widowControl w:val="0"/>
        <w:shd w:val="clear" w:color="auto" w:fill="auto"/>
        <w:tabs>
          <w:tab w:pos="885" w:val="left"/>
        </w:tabs>
        <w:bidi w:val="0"/>
        <w:spacing w:before="0" w:after="0" w:line="341" w:lineRule="exact"/>
        <w:ind w:left="0" w:right="0" w:firstLine="480"/>
        <w:jc w:val="both"/>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4</w:t>
      </w:r>
      <w:bookmarkEnd w:id="258"/>
      <w:r>
        <w:rPr>
          <w:color w:val="000000"/>
          <w:spacing w:val="0"/>
          <w:w w:val="100"/>
          <w:position w:val="0"/>
        </w:rPr>
        <w:t>、</w:t>
        <w:tab/>
        <w:t>专注主营业务领域，进一步完善服务链</w:t>
      </w:r>
      <w:bookmarkEnd w:id="256"/>
      <w:bookmarkEnd w:id="257"/>
      <w:bookmarkEnd w:id="259"/>
    </w:p>
    <w:p>
      <w:pPr>
        <w:pStyle w:val="Style41"/>
        <w:keepNext w:val="0"/>
        <w:keepLines w:val="0"/>
        <w:widowControl w:val="0"/>
        <w:shd w:val="clear" w:color="auto" w:fill="auto"/>
        <w:bidi w:val="0"/>
        <w:spacing w:before="0" w:after="120" w:line="341" w:lineRule="exact"/>
        <w:ind w:left="0" w:right="0" w:firstLine="480"/>
        <w:jc w:val="both"/>
        <w:sectPr>
          <w:footnotePr>
            <w:pos w:val="pageBottom"/>
            <w:numFmt w:val="upperRoman"/>
            <w:numStart w:val="1"/>
            <w:numRestart w:val="continuous"/>
            <w15:footnoteColumns w:val="1"/>
          </w:footnotePr>
          <w:pgSz w:w="11900" w:h="16840"/>
          <w:pgMar w:top="1443" w:right="605" w:bottom="1438" w:left="922" w:header="0" w:footer="3" w:gutter="0"/>
          <w:cols w:space="720"/>
          <w:noEndnote/>
          <w:rtlGutter w:val="0"/>
          <w:docGrid w:linePitch="360"/>
        </w:sectPr>
      </w:pPr>
      <w:r>
        <w:rPr>
          <w:color w:val="000000"/>
          <w:spacing w:val="0"/>
          <w:w w:val="100"/>
          <w:position w:val="0"/>
        </w:rPr>
        <w:t>公司将围绕整体战略目标，坚持以用户需求为中心，为用户创造更多价值，增强核心业务能力，进一 步优化业务结构，加强主营业务领域研究和探索，不断延伸和完善服务链条，拓宽服务范围，满足广大投</w:t>
      </w:r>
    </w:p>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吻东方财富</w:t>
      </w:r>
    </w:p>
    <w:p>
      <w:pPr>
        <w:pStyle w:val="Style37"/>
        <w:keepNext w:val="0"/>
        <w:keepLines w:val="0"/>
        <w:widowControl w:val="0"/>
        <w:shd w:val="clear" w:color="auto" w:fill="auto"/>
        <w:bidi w:val="0"/>
        <w:spacing w:before="0" w:after="140"/>
        <w:ind w:left="0" w:right="0" w:firstLine="440"/>
        <w:jc w:val="left"/>
      </w:pPr>
      <w:r>
        <w:rPr>
          <w:spacing w:val="0"/>
          <w:w w:val="100"/>
          <w:position w:val="0"/>
        </w:rPr>
        <w:t>eastmoney.com</w:t>
      </w:r>
    </w:p>
    <w:p>
      <w:pPr>
        <w:pStyle w:val="Style41"/>
        <w:keepNext w:val="0"/>
        <w:keepLines w:val="0"/>
        <w:widowControl w:val="0"/>
        <w:shd w:val="clear" w:color="auto" w:fill="auto"/>
        <w:bidi w:val="0"/>
        <w:spacing w:before="0" w:after="0" w:line="350" w:lineRule="exact"/>
        <w:ind w:left="0" w:right="0" w:firstLine="0"/>
        <w:jc w:val="both"/>
      </w:pPr>
      <w:r>
        <w:rPr>
          <w:color w:val="000000"/>
          <w:spacing w:val="0"/>
          <w:w w:val="100"/>
          <w:position w:val="0"/>
        </w:rPr>
        <w:t>资者日益增长的财富管理需求。同时，公司将持续优化产品和服务，不断地进行自我更新迭代，保持产品 及服务生命力和竞争力，持续构建和完善人与财富的金融生态圈。</w:t>
      </w:r>
    </w:p>
    <w:p>
      <w:pPr>
        <w:pStyle w:val="Style32"/>
        <w:keepNext/>
        <w:keepLines/>
        <w:widowControl w:val="0"/>
        <w:shd w:val="clear" w:color="auto" w:fill="auto"/>
        <w:tabs>
          <w:tab w:pos="801" w:val="left"/>
        </w:tabs>
        <w:bidi w:val="0"/>
        <w:spacing w:before="0" w:after="0" w:line="340" w:lineRule="exact"/>
        <w:ind w:left="0" w:right="0" w:firstLine="440"/>
        <w:jc w:val="left"/>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5</w:t>
      </w:r>
      <w:bookmarkEnd w:id="262"/>
      <w:r>
        <w:rPr>
          <w:color w:val="000000"/>
          <w:spacing w:val="0"/>
          <w:w w:val="100"/>
          <w:position w:val="0"/>
        </w:rPr>
        <w:t>、</w:t>
        <w:tab/>
        <w:t>综合运用资本市场工具，推动公司快速发展</w:t>
      </w:r>
      <w:bookmarkEnd w:id="260"/>
      <w:bookmarkEnd w:id="261"/>
      <w:bookmarkEnd w:id="263"/>
    </w:p>
    <w:p>
      <w:pPr>
        <w:pStyle w:val="Style41"/>
        <w:keepNext w:val="0"/>
        <w:keepLines w:val="0"/>
        <w:widowControl w:val="0"/>
        <w:shd w:val="clear" w:color="auto" w:fill="auto"/>
        <w:bidi w:val="0"/>
        <w:spacing w:before="0" w:after="0" w:line="340" w:lineRule="exact"/>
        <w:ind w:left="0" w:right="0" w:firstLine="460"/>
        <w:jc w:val="both"/>
      </w:pPr>
      <w:r>
        <w:rPr>
          <w:color w:val="000000"/>
          <w:spacing w:val="0"/>
          <w:w w:val="100"/>
          <w:position w:val="0"/>
        </w:rPr>
        <w:t>公司将根据各业务发展情况，适时借助资本市场，综合运用债务与权益类融资工具，统筹募集业务发 展所需资金，提升融资能力，优化融资结构，有效降低资金成本，提高资金管理水平，进一步推动公司高 质量快速发展。</w:t>
      </w:r>
    </w:p>
    <w:p>
      <w:pPr>
        <w:pStyle w:val="Style32"/>
        <w:keepNext/>
        <w:keepLines/>
        <w:widowControl w:val="0"/>
        <w:shd w:val="clear" w:color="auto" w:fill="auto"/>
        <w:tabs>
          <w:tab w:pos="812" w:val="left"/>
        </w:tabs>
        <w:bidi w:val="0"/>
        <w:spacing w:before="0" w:after="0" w:line="340" w:lineRule="exact"/>
        <w:ind w:left="0" w:right="0" w:firstLine="460"/>
        <w:jc w:val="both"/>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6</w:t>
      </w:r>
      <w:bookmarkEnd w:id="266"/>
      <w:r>
        <w:rPr>
          <w:color w:val="000000"/>
          <w:spacing w:val="0"/>
          <w:w w:val="100"/>
          <w:position w:val="0"/>
        </w:rPr>
        <w:t>、</w:t>
        <w:tab/>
        <w:t>加强公司治理工作，适应新形势需要</w:t>
      </w:r>
      <w:bookmarkEnd w:id="264"/>
      <w:bookmarkEnd w:id="265"/>
      <w:bookmarkEnd w:id="267"/>
    </w:p>
    <w:p>
      <w:pPr>
        <w:pStyle w:val="Style41"/>
        <w:keepNext w:val="0"/>
        <w:keepLines w:val="0"/>
        <w:widowControl w:val="0"/>
        <w:shd w:val="clear" w:color="auto" w:fill="auto"/>
        <w:bidi w:val="0"/>
        <w:spacing w:before="0" w:after="0" w:line="340" w:lineRule="exact"/>
        <w:ind w:left="0" w:right="0" w:firstLine="460"/>
        <w:jc w:val="both"/>
      </w:pPr>
      <w:r>
        <w:rPr>
          <w:color w:val="000000"/>
          <w:spacing w:val="0"/>
          <w:w w:val="100"/>
          <w:position w:val="0"/>
        </w:rPr>
        <w:t>公司将继续保持战略定力，专注主营业务，稳健规范运营，进一步巩固和增强公司核心竞争力，不断 提高经营管理水平。公司将结合自身业务快速发展情况，进一步健全公司治理和内控机制，加强内部规范 管理工作，强化财务管理，充分发挥财务职能作用，同时进一步加强人力资源管理，持续优化绩效考核和 激励机制，进一步激发员工积极性和创造性，加强外部优秀人才引进，强化内部人才培养，进一步做好人 才梯队建设工作，夯实企业持续发展的人才基础。公司将进一步加大信息化智能化建设力度，提升内部治 理效率，优化工作流程，适应新形势下公司治理需要。</w:t>
      </w:r>
    </w:p>
    <w:p>
      <w:pPr>
        <w:pStyle w:val="Style32"/>
        <w:keepNext/>
        <w:keepLines/>
        <w:widowControl w:val="0"/>
        <w:shd w:val="clear" w:color="auto" w:fill="auto"/>
        <w:tabs>
          <w:tab w:pos="812" w:val="left"/>
        </w:tabs>
        <w:bidi w:val="0"/>
        <w:spacing w:before="0" w:after="0" w:line="340" w:lineRule="exact"/>
        <w:ind w:left="0" w:right="0" w:firstLine="460"/>
        <w:jc w:val="both"/>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7</w:t>
      </w:r>
      <w:bookmarkEnd w:id="270"/>
      <w:r>
        <w:rPr>
          <w:color w:val="000000"/>
          <w:spacing w:val="0"/>
          <w:w w:val="100"/>
          <w:position w:val="0"/>
        </w:rPr>
        <w:t>、</w:t>
        <w:tab/>
        <w:t>加强投资者沟通交流，保持良好互动关系</w:t>
      </w:r>
      <w:bookmarkEnd w:id="268"/>
      <w:bookmarkEnd w:id="269"/>
      <w:bookmarkEnd w:id="271"/>
    </w:p>
    <w:p>
      <w:pPr>
        <w:pStyle w:val="Style41"/>
        <w:keepNext w:val="0"/>
        <w:keepLines w:val="0"/>
        <w:widowControl w:val="0"/>
        <w:shd w:val="clear" w:color="auto" w:fill="auto"/>
        <w:bidi w:val="0"/>
        <w:spacing w:before="0" w:after="0" w:line="340" w:lineRule="exact"/>
        <w:ind w:left="0" w:right="0" w:firstLine="460"/>
        <w:jc w:val="both"/>
      </w:pPr>
      <w:r>
        <w:rPr>
          <w:color w:val="000000"/>
          <w:spacing w:val="0"/>
          <w:w w:val="100"/>
          <w:position w:val="0"/>
        </w:rPr>
        <w:t>投资者关系管理是上市公司治理的重要组成部分，也是上市公司高质量发展的重要因素。公司将以提 升上市公司质量为目标，以投资者需求为导向，积极通过电话沟通、网上业绩说明会、现场交流等多种方 式，增进投资者对公司经营情况、发展战略的了解，听取广大投资者对公司产品、服务的相关意见和建议， 保持与投资者的良好互动关系，促进公司持续健康发展。</w:t>
      </w:r>
    </w:p>
    <w:p>
      <w:pPr>
        <w:pStyle w:val="Style41"/>
        <w:keepNext w:val="0"/>
        <w:keepLines w:val="0"/>
        <w:widowControl w:val="0"/>
        <w:shd w:val="clear" w:color="auto" w:fill="auto"/>
        <w:bidi w:val="0"/>
        <w:spacing w:before="0" w:after="0" w:line="340" w:lineRule="exact"/>
        <w:ind w:left="0" w:right="0" w:firstLine="440"/>
        <w:jc w:val="left"/>
      </w:pPr>
      <w:bookmarkStart w:id="272" w:name="bookmark272"/>
      <w:r>
        <w:rPr>
          <w:b/>
          <w:bCs/>
          <w:color w:val="000000"/>
          <w:spacing w:val="0"/>
          <w:w w:val="100"/>
          <w:position w:val="0"/>
        </w:rPr>
        <w:t>（</w:t>
      </w:r>
      <w:bookmarkEnd w:id="272"/>
      <w:r>
        <w:rPr>
          <w:b/>
          <w:bCs/>
          <w:color w:val="000000"/>
          <w:spacing w:val="0"/>
          <w:w w:val="100"/>
          <w:position w:val="0"/>
        </w:rPr>
        <w:t>三）公司可能面临的行业风险</w:t>
      </w:r>
    </w:p>
    <w:p>
      <w:pPr>
        <w:pStyle w:val="Style41"/>
        <w:keepNext w:val="0"/>
        <w:keepLines w:val="0"/>
        <w:widowControl w:val="0"/>
        <w:shd w:val="clear" w:color="auto" w:fill="auto"/>
        <w:tabs>
          <w:tab w:pos="801" w:val="left"/>
        </w:tabs>
        <w:bidi w:val="0"/>
        <w:spacing w:before="0" w:after="0" w:line="340" w:lineRule="exact"/>
        <w:ind w:left="0" w:right="0" w:firstLine="440"/>
        <w:jc w:val="left"/>
      </w:pPr>
      <w:bookmarkStart w:id="273" w:name="bookmark273"/>
      <w:r>
        <w:rPr>
          <w:rFonts w:ascii="Times New Roman" w:eastAsia="Times New Roman" w:hAnsi="Times New Roman" w:cs="Times New Roman"/>
          <w:b/>
          <w:bCs/>
          <w:color w:val="000000"/>
          <w:spacing w:val="0"/>
          <w:w w:val="100"/>
          <w:position w:val="0"/>
        </w:rPr>
        <w:t>1</w:t>
      </w:r>
      <w:bookmarkEnd w:id="273"/>
      <w:r>
        <w:rPr>
          <w:b/>
          <w:bCs/>
          <w:color w:val="000000"/>
          <w:spacing w:val="0"/>
          <w:w w:val="100"/>
          <w:position w:val="0"/>
        </w:rPr>
        <w:t>、</w:t>
        <w:tab/>
        <w:t>行业及业务受资本市场景气度波动影响的风险</w:t>
      </w:r>
    </w:p>
    <w:p>
      <w:pPr>
        <w:pStyle w:val="Style41"/>
        <w:keepNext w:val="0"/>
        <w:keepLines w:val="0"/>
        <w:widowControl w:val="0"/>
        <w:shd w:val="clear" w:color="auto" w:fill="auto"/>
        <w:bidi w:val="0"/>
        <w:spacing w:before="0" w:after="0" w:line="340" w:lineRule="exact"/>
        <w:ind w:left="0" w:right="0" w:firstLine="460"/>
        <w:jc w:val="both"/>
      </w:pPr>
      <w:r>
        <w:rPr>
          <w:color w:val="000000"/>
          <w:spacing w:val="0"/>
          <w:w w:val="100"/>
          <w:position w:val="0"/>
        </w:rPr>
        <w:t>公司所提供的一站式互联网财富管理服务，与资本市场的景气度具有较高的相关性，一旦资本市场景 气度下降，市场活跃度和投资者热情均会受到直接影响，可能抑制投资者对互联网服务的市场需求，进而 影响公司整体业务的盈利能力。</w:t>
      </w:r>
    </w:p>
    <w:p>
      <w:pPr>
        <w:pStyle w:val="Style41"/>
        <w:keepNext w:val="0"/>
        <w:keepLines w:val="0"/>
        <w:widowControl w:val="0"/>
        <w:shd w:val="clear" w:color="auto" w:fill="auto"/>
        <w:bidi w:val="0"/>
        <w:spacing w:before="0" w:after="0" w:line="340" w:lineRule="exact"/>
        <w:ind w:left="0" w:right="0" w:firstLine="460"/>
        <w:jc w:val="both"/>
      </w:pPr>
      <w:r>
        <w:rPr>
          <w:color w:val="000000"/>
          <w:spacing w:val="0"/>
          <w:w w:val="100"/>
          <w:position w:val="0"/>
        </w:rPr>
        <w:t>应对措施：公司将积极推进和实施公司整体战略，坚持以用户需求为中心，进一步加强战略投入，强 化技术和产品的研发创新，不断拓展和完善生态圈服务的内容，进一步提高综合服务能力、质量和水平， 持续提升用户体验，巩固和增强用户规模优势和用户黏性优势，提高公司整体竞争实力。未来，随着财富 管理生态圈的构建完成，公司所提供的专业服务，将更加丰富和完善，各业务板块之间协同效应将大大增 强，资本市场景气度波动对公司业务带来的影响也将会降低。</w:t>
      </w:r>
    </w:p>
    <w:p>
      <w:pPr>
        <w:pStyle w:val="Style32"/>
        <w:keepNext/>
        <w:keepLines/>
        <w:widowControl w:val="0"/>
        <w:shd w:val="clear" w:color="auto" w:fill="auto"/>
        <w:tabs>
          <w:tab w:pos="812" w:val="left"/>
        </w:tabs>
        <w:bidi w:val="0"/>
        <w:spacing w:before="0" w:after="0" w:line="340" w:lineRule="exact"/>
        <w:ind w:left="0" w:right="0" w:firstLine="460"/>
        <w:jc w:val="both"/>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2</w:t>
      </w:r>
      <w:bookmarkEnd w:id="276"/>
      <w:r>
        <w:rPr>
          <w:color w:val="000000"/>
          <w:spacing w:val="0"/>
          <w:w w:val="100"/>
          <w:position w:val="0"/>
        </w:rPr>
        <w:t>、</w:t>
        <w:tab/>
        <w:t>互联网信息传输系统安全运行风险</w:t>
      </w:r>
      <w:bookmarkEnd w:id="274"/>
      <w:bookmarkEnd w:id="275"/>
      <w:bookmarkEnd w:id="277"/>
    </w:p>
    <w:p>
      <w:pPr>
        <w:pStyle w:val="Style41"/>
        <w:keepNext w:val="0"/>
        <w:keepLines w:val="0"/>
        <w:widowControl w:val="0"/>
        <w:shd w:val="clear" w:color="auto" w:fill="auto"/>
        <w:bidi w:val="0"/>
        <w:spacing w:before="0" w:after="0" w:line="340" w:lineRule="exact"/>
        <w:ind w:left="0" w:right="0" w:firstLine="460"/>
        <w:jc w:val="both"/>
      </w:pPr>
      <w:r>
        <w:rPr>
          <w:color w:val="000000"/>
          <w:spacing w:val="0"/>
          <w:w w:val="100"/>
          <w:position w:val="0"/>
        </w:rPr>
        <w:t>公司商业模式的持续运作和盈利模式的有效实施，有赖于公司互联网信息传输系统的安全运行。如果 出现互联网系统安全运行问题，可能造成公司网站不能正常访问和金融数据服务客户端不能正常使用等后 果。虽然公司已制定了完善的数据库备份、数据安全传输和质量管理体系等措施，但由于第三方服务提供 方而造成的互联网系统安全运行问题，将可能影响公司网站及终端产品的正常运行及服务的正常提供，降 低用户体验和满意度，甚至给公司品牌形象带来不利影响。</w:t>
      </w:r>
    </w:p>
    <w:p>
      <w:pPr>
        <w:pStyle w:val="Style41"/>
        <w:keepNext w:val="0"/>
        <w:keepLines w:val="0"/>
        <w:widowControl w:val="0"/>
        <w:shd w:val="clear" w:color="auto" w:fill="auto"/>
        <w:bidi w:val="0"/>
        <w:spacing w:before="0" w:after="0" w:line="340" w:lineRule="exact"/>
        <w:ind w:left="0" w:right="0" w:firstLine="460"/>
        <w:jc w:val="both"/>
      </w:pPr>
      <w:r>
        <w:rPr>
          <w:color w:val="000000"/>
          <w:spacing w:val="0"/>
          <w:w w:val="100"/>
          <w:position w:val="0"/>
        </w:rPr>
        <w:t>应对措施：经过多年发展，公司已经形成完善的数据库本地与异地灾备制度，配备了专业的数据库管 理与系统运营维护人员，以保证信息系统与网络系统稳定运行。公司将进一步加强研发技术投入，加大科 技应用及拓展，完善内部软硬件管理规范，严格执行内部实时监控流程，定期进行相关技术人员的安全技 能培训，提高技术安全维护队伍的技术水平，以防范软件、硬件和系统故障等风险。</w:t>
      </w:r>
    </w:p>
    <w:p>
      <w:pPr>
        <w:pStyle w:val="Style32"/>
        <w:keepNext/>
        <w:keepLines/>
        <w:widowControl w:val="0"/>
        <w:shd w:val="clear" w:color="auto" w:fill="auto"/>
        <w:tabs>
          <w:tab w:pos="812" w:val="left"/>
        </w:tabs>
        <w:bidi w:val="0"/>
        <w:spacing w:before="0" w:after="0" w:line="350" w:lineRule="exact"/>
        <w:ind w:left="0" w:right="0" w:firstLine="460"/>
        <w:jc w:val="both"/>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3</w:t>
      </w:r>
      <w:bookmarkEnd w:id="280"/>
      <w:r>
        <w:rPr>
          <w:color w:val="000000"/>
          <w:spacing w:val="0"/>
          <w:w w:val="100"/>
          <w:position w:val="0"/>
        </w:rPr>
        <w:t>、</w:t>
        <w:tab/>
        <w:t>行业竞争进一步加剧的风险</w:t>
      </w:r>
      <w:bookmarkEnd w:id="278"/>
      <w:bookmarkEnd w:id="279"/>
      <w:bookmarkEnd w:id="281"/>
    </w:p>
    <w:p>
      <w:pPr>
        <w:pStyle w:val="Style41"/>
        <w:keepNext w:val="0"/>
        <w:keepLines w:val="0"/>
        <w:widowControl w:val="0"/>
        <w:shd w:val="clear" w:color="auto" w:fill="auto"/>
        <w:bidi w:val="0"/>
        <w:spacing w:before="0" w:after="0" w:line="350" w:lineRule="exact"/>
        <w:ind w:left="0" w:right="0" w:firstLine="460"/>
        <w:jc w:val="both"/>
        <w:sectPr>
          <w:footnotePr>
            <w:pos w:val="pageBottom"/>
            <w:numFmt w:val="upperRoman"/>
            <w:numStart w:val="1"/>
            <w:numRestart w:val="continuous"/>
            <w15:footnoteColumns w:val="1"/>
          </w:footnotePr>
          <w:pgSz w:w="11900" w:h="16840"/>
          <w:pgMar w:top="824" w:right="458" w:bottom="1150" w:left="1107" w:header="0" w:footer="3" w:gutter="0"/>
          <w:cols w:space="720"/>
          <w:noEndnote/>
          <w:rtlGutter w:val="0"/>
          <w:docGrid w:linePitch="360"/>
        </w:sectPr>
      </w:pPr>
      <w:r>
        <w:rPr>
          <w:color w:val="000000"/>
          <w:spacing w:val="0"/>
          <w:w w:val="100"/>
          <w:position w:val="0"/>
        </w:rPr>
        <w:t>鉴于行业广阔的发展前景、国内资本市场的进一步健全开放和相关政策的出台，行业的参与者将越来 越多，相关费率市场化程度会越来越高，行业竞争将会进一步加剧，缺乏竞争力和核心优势的企业将会被</w:t>
      </w:r>
    </w:p>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吻东方财富</w:t>
      </w:r>
    </w:p>
    <w:p>
      <w:pPr>
        <w:pStyle w:val="Style37"/>
        <w:keepNext w:val="0"/>
        <w:keepLines w:val="0"/>
        <w:widowControl w:val="0"/>
        <w:shd w:val="clear" w:color="auto" w:fill="auto"/>
        <w:bidi w:val="0"/>
        <w:spacing w:before="0" w:after="140"/>
        <w:ind w:left="0" w:right="0" w:firstLine="440"/>
        <w:jc w:val="left"/>
      </w:pPr>
      <w:r>
        <w:rPr>
          <w:spacing w:val="0"/>
          <w:w w:val="100"/>
          <w:position w:val="0"/>
        </w:rPr>
        <w:t>eastmoney.com</w:t>
      </w:r>
    </w:p>
    <w:p>
      <w:pPr>
        <w:pStyle w:val="Style41"/>
        <w:keepNext w:val="0"/>
        <w:keepLines w:val="0"/>
        <w:widowControl w:val="0"/>
        <w:shd w:val="clear" w:color="auto" w:fill="auto"/>
        <w:bidi w:val="0"/>
        <w:spacing w:before="0" w:after="0" w:line="355" w:lineRule="exact"/>
        <w:ind w:left="0" w:right="0" w:firstLine="0"/>
        <w:jc w:val="both"/>
      </w:pPr>
      <w:r>
        <w:rPr>
          <w:color w:val="000000"/>
          <w:spacing w:val="0"/>
          <w:w w:val="100"/>
          <w:position w:val="0"/>
        </w:rPr>
        <w:t>市场淘汰，如果公司不能紧跟行业发展形势，提高公司的竞争力和核心优势，可能将无法适应激烈的行业 竞争。</w:t>
      </w:r>
    </w:p>
    <w:p>
      <w:pPr>
        <w:pStyle w:val="Style41"/>
        <w:keepNext w:val="0"/>
        <w:keepLines w:val="0"/>
        <w:widowControl w:val="0"/>
        <w:shd w:val="clear" w:color="auto" w:fill="auto"/>
        <w:bidi w:val="0"/>
        <w:spacing w:before="0" w:after="0" w:line="348" w:lineRule="exact"/>
        <w:ind w:left="0" w:right="0" w:firstLine="440"/>
        <w:jc w:val="both"/>
      </w:pPr>
      <w:r>
        <w:rPr>
          <w:color w:val="000000"/>
          <w:spacing w:val="0"/>
          <w:w w:val="100"/>
          <w:position w:val="0"/>
        </w:rPr>
        <w:t>应对措施：公司将进一步立足于整体战略定位，持续加大研发投入和科技应用，紧密跟踪行业发展趋 势和前沿创新技术，进一步巩固和强化公司在用户访问量、用户黏性及技术方面的核心竞争优势，进一步 夯实公司可持续健康发展的基础。</w:t>
      </w:r>
    </w:p>
    <w:p>
      <w:pPr>
        <w:pStyle w:val="Style32"/>
        <w:keepNext/>
        <w:keepLines/>
        <w:widowControl w:val="0"/>
        <w:shd w:val="clear" w:color="auto" w:fill="auto"/>
        <w:bidi w:val="0"/>
        <w:spacing w:before="0" w:after="0" w:line="343" w:lineRule="exact"/>
        <w:ind w:left="0" w:right="0" w:firstLine="440"/>
        <w:jc w:val="both"/>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4</w:t>
      </w:r>
      <w:bookmarkEnd w:id="284"/>
      <w:r>
        <w:rPr>
          <w:color w:val="000000"/>
          <w:spacing w:val="0"/>
          <w:w w:val="100"/>
          <w:position w:val="0"/>
        </w:rPr>
        <w:t>、政策法律合规风险</w:t>
      </w:r>
      <w:bookmarkEnd w:id="282"/>
      <w:bookmarkEnd w:id="283"/>
      <w:bookmarkEnd w:id="285"/>
    </w:p>
    <w:p>
      <w:pPr>
        <w:pStyle w:val="Style41"/>
        <w:keepNext w:val="0"/>
        <w:keepLines w:val="0"/>
        <w:widowControl w:val="0"/>
        <w:shd w:val="clear" w:color="auto" w:fill="auto"/>
        <w:bidi w:val="0"/>
        <w:spacing w:before="0" w:after="0" w:line="343"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月和</w:t>
      </w:r>
      <w:r>
        <w:rPr>
          <w:rFonts w:ascii="Times New Roman" w:eastAsia="Times New Roman" w:hAnsi="Times New Roman" w:cs="Times New Roman"/>
          <w:color w:val="000000"/>
          <w:spacing w:val="0"/>
          <w:w w:val="100"/>
          <w:position w:val="0"/>
        </w:rPr>
        <w:t>8</w:t>
      </w:r>
      <w:r>
        <w:rPr>
          <w:color w:val="000000"/>
          <w:spacing w:val="0"/>
          <w:w w:val="100"/>
          <w:position w:val="0"/>
        </w:rPr>
        <w:t>月，国家分别出台了《数据安全法》和《个人信息保护法》，个人信息保护的法律制度 体系进一步健全。随着行业发展的进一步深入，监管行业发展的法律、法规等将会越来越规范和完善，相 关监管力度会不断加强。对于政策及法律尚未明确的领域，若在经营中不能适应政策的变化，违反相关法 律法规和政策的有关规定，可能会受到监管机构罚款、暂停或取消业务资格等行政处罚。</w:t>
      </w:r>
    </w:p>
    <w:p>
      <w:pPr>
        <w:pStyle w:val="Style41"/>
        <w:keepNext w:val="0"/>
        <w:keepLines w:val="0"/>
        <w:widowControl w:val="0"/>
        <w:shd w:val="clear" w:color="auto" w:fill="auto"/>
        <w:bidi w:val="0"/>
        <w:spacing w:before="0" w:after="380" w:line="343" w:lineRule="exact"/>
        <w:ind w:left="0" w:right="0" w:firstLine="440"/>
        <w:jc w:val="both"/>
      </w:pPr>
      <w:r>
        <w:rPr>
          <w:color w:val="000000"/>
          <w:spacing w:val="0"/>
          <w:w w:val="100"/>
          <w:position w:val="0"/>
        </w:rPr>
        <w:t>应对措施：公司一直坚持规范运作，严格按照相关法律法规和政策规定开展公司业务。公司将进一步 加强落实主动合规意识和全面风险管理工作，深化全员合规理念，不断完善全面风险管理体系与风险管理 机制，保障公司合规风险管控能力与业务发展相适应。同时，公司积极跟踪和研究行业相关政策及变化， 以用户需求为中心，根据市场发展情况，在政策允许和条件成熟时，积极把握新的机遇，努力实现公司的 整体战略目标。</w:t>
      </w:r>
    </w:p>
    <w:p>
      <w:pPr>
        <w:pStyle w:val="Style22"/>
        <w:keepNext/>
        <w:keepLines/>
        <w:widowControl w:val="0"/>
        <w:shd w:val="clear" w:color="auto" w:fill="auto"/>
        <w:bidi w:val="0"/>
        <w:spacing w:before="0" w:line="240" w:lineRule="auto"/>
        <w:ind w:left="0" w:right="0" w:firstLine="0"/>
        <w:jc w:val="left"/>
      </w:pPr>
      <w:bookmarkStart w:id="286" w:name="bookmark286"/>
      <w:bookmarkStart w:id="287" w:name="bookmark287"/>
      <w:bookmarkStart w:id="288" w:name="bookmark288"/>
      <w:r>
        <w:rPr>
          <w:color w:val="000000"/>
          <w:spacing w:val="0"/>
          <w:w w:val="100"/>
          <w:position w:val="0"/>
          <w:sz w:val="24"/>
          <w:szCs w:val="24"/>
        </w:rPr>
        <w:t>十二、报告期内接待调研、沟通、采访等活动登记表</w:t>
      </w:r>
      <w:bookmarkEnd w:id="286"/>
      <w:bookmarkEnd w:id="287"/>
      <w:bookmarkEnd w:id="288"/>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65"/>
        <w:gridCol w:w="1992"/>
        <w:gridCol w:w="850"/>
        <w:gridCol w:w="994"/>
        <w:gridCol w:w="2554"/>
        <w:gridCol w:w="1709"/>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接待地点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谈论的主要内容及提供的资料</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调研的基本情况索引</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公司会议室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在线投资者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公司创业板向不特定对象发行 可转换公司债券网上路演</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pPr>
            <w:r>
              <w:fldChar w:fldCharType="begin"/>
            </w:r>
            <w:r>
              <w:rPr/>
              <w:instrText> HYPERLINK "http://irm.cninfo.com" </w:instrText>
            </w:r>
            <w:r>
              <w:fldChar w:fldCharType="separate"/>
            </w:r>
            <w:r>
              <w:rPr>
                <w:color w:val="000000"/>
                <w:spacing w:val="0"/>
                <w:w w:val="100"/>
                <w:position w:val="0"/>
              </w:rPr>
              <w:t>http</w:t>
            </w:r>
            <w:r>
              <w:rPr>
                <w:color w:val="000000"/>
                <w:spacing w:val="0"/>
                <w:w w:val="100"/>
                <w:position w:val="0"/>
              </w:rPr>
              <w:t>://</w:t>
            </w:r>
            <w:r>
              <w:rPr>
                <w:color w:val="000000"/>
                <w:spacing w:val="0"/>
                <w:w w:val="100"/>
                <w:position w:val="0"/>
              </w:rPr>
              <w:t>irm.cninfo.com</w:t>
            </w:r>
            <w:r>
              <w:fldChar w:fldCharType="end"/>
            </w:r>
            <w:r>
              <w:rPr>
                <w:color w:val="000000"/>
                <w:spacing w:val="0"/>
                <w:w w:val="100"/>
                <w:position w:val="0"/>
              </w:rPr>
              <w:t>. cn/szs e/ indexhtml</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上海浦东香格里拉酒店 浦江楼</w:t>
            </w:r>
            <w:r>
              <w:rPr>
                <w:color w:val="000000"/>
                <w:spacing w:val="0"/>
                <w:w w:val="100"/>
                <w:position w:val="0"/>
              </w:rPr>
              <w:t>3</w:t>
            </w:r>
            <w:r>
              <w:rPr>
                <w:rFonts w:ascii="SimSun" w:eastAsia="SimSun" w:hAnsi="SimSun" w:cs="SimSun"/>
                <w:color w:val="000000"/>
                <w:spacing w:val="0"/>
                <w:w w:val="100"/>
                <w:position w:val="0"/>
              </w:rPr>
              <w:t>层开封洛阳厅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机构投资者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公司董事长交流会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50" w:lineRule="auto"/>
              <w:ind w:left="0" w:right="0" w:firstLine="0"/>
              <w:jc w:val="left"/>
            </w:pPr>
            <w:r>
              <w:fldChar w:fldCharType="begin"/>
            </w:r>
            <w:r>
              <w:rPr/>
              <w:instrText> HYPERLINK "http://irm.cninfo.com" </w:instrText>
            </w:r>
            <w:r>
              <w:fldChar w:fldCharType="separate"/>
            </w:r>
            <w:r>
              <w:rPr>
                <w:color w:val="000000"/>
                <w:spacing w:val="0"/>
                <w:w w:val="100"/>
                <w:position w:val="0"/>
              </w:rPr>
              <w:t>http</w:t>
            </w:r>
            <w:r>
              <w:rPr>
                <w:color w:val="000000"/>
                <w:spacing w:val="0"/>
                <w:w w:val="100"/>
                <w:position w:val="0"/>
              </w:rPr>
              <w:t>:</w:t>
            </w:r>
            <w:r>
              <w:rPr>
                <w:color w:val="000000"/>
                <w:spacing w:val="0"/>
                <w:w w:val="100"/>
                <w:position w:val="0"/>
              </w:rPr>
              <w:t>//irm.cninfo.com</w:t>
            </w:r>
            <w:r>
              <w:fldChar w:fldCharType="end"/>
            </w:r>
            <w:r>
              <w:rPr>
                <w:color w:val="000000"/>
                <w:spacing w:val="0"/>
                <w:w w:val="100"/>
                <w:position w:val="0"/>
              </w:rPr>
              <w:t>. cn/szs e/ indexhtml</w:t>
            </w:r>
          </w:p>
        </w:tc>
      </w:tr>
      <w:tr>
        <w:trPr>
          <w:trHeight w:val="71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在线投资者</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r>
              <w:rPr>
                <w:color w:val="000000"/>
                <w:spacing w:val="0"/>
                <w:w w:val="100"/>
                <w:position w:val="0"/>
              </w:rPr>
              <w:t>2020</w:t>
            </w:r>
            <w:r>
              <w:rPr>
                <w:rFonts w:ascii="SimSun" w:eastAsia="SimSun" w:hAnsi="SimSun" w:cs="SimSun"/>
                <w:color w:val="000000"/>
                <w:spacing w:val="0"/>
                <w:w w:val="100"/>
                <w:position w:val="0"/>
              </w:rPr>
              <w:t>年度网上业绩说明会</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60" w:lineRule="auto"/>
              <w:ind w:left="0" w:right="0" w:firstLine="0"/>
              <w:jc w:val="left"/>
            </w:pPr>
            <w:r>
              <w:fldChar w:fldCharType="begin"/>
            </w:r>
            <w:r>
              <w:rPr/>
              <w:instrText> HYPERLINK "http://irm.cninfo.com" </w:instrText>
            </w:r>
            <w:r>
              <w:fldChar w:fldCharType="separate"/>
            </w:r>
            <w:r>
              <w:rPr>
                <w:color w:val="000000"/>
                <w:spacing w:val="0"/>
                <w:w w:val="100"/>
                <w:position w:val="0"/>
              </w:rPr>
              <w:t>http</w:t>
            </w:r>
            <w:r>
              <w:rPr>
                <w:color w:val="000000"/>
                <w:spacing w:val="0"/>
                <w:w w:val="100"/>
                <w:position w:val="0"/>
              </w:rPr>
              <w:t>:</w:t>
            </w:r>
            <w:r>
              <w:rPr>
                <w:color w:val="000000"/>
                <w:spacing w:val="0"/>
                <w:w w:val="100"/>
                <w:position w:val="0"/>
              </w:rPr>
              <w:t>//irm.cninfo.com</w:t>
            </w:r>
            <w:r>
              <w:fldChar w:fldCharType="end"/>
            </w:r>
            <w:r>
              <w:rPr>
                <w:color w:val="000000"/>
                <w:spacing w:val="0"/>
                <w:w w:val="100"/>
                <w:position w:val="0"/>
              </w:rPr>
              <w:t>. cn/szs e/ indexhtml</w:t>
            </w:r>
          </w:p>
        </w:tc>
      </w:tr>
    </w:tbl>
    <w:p>
      <w:pPr>
        <w:sectPr>
          <w:footnotePr>
            <w:pos w:val="pageBottom"/>
            <w:numFmt w:val="upperRoman"/>
            <w:numStart w:val="1"/>
            <w:numRestart w:val="continuous"/>
            <w15:footnoteColumns w:val="1"/>
          </w:footnotePr>
          <w:pgSz w:w="11900" w:h="16840"/>
          <w:pgMar w:top="824" w:right="458" w:bottom="1150" w:left="1107" w:header="0" w:footer="3" w:gutter="0"/>
          <w:cols w:space="720"/>
          <w:noEndnote/>
          <w:rtlGutter w:val="0"/>
          <w:docGrid w:linePitch="360"/>
        </w:sectPr>
      </w:pPr>
    </w:p>
    <w:p>
      <w:pPr>
        <w:pStyle w:val="Style12"/>
        <w:keepNext/>
        <w:keepLines/>
        <w:widowControl w:val="0"/>
        <w:shd w:val="clear" w:color="auto" w:fill="auto"/>
        <w:bidi w:val="0"/>
        <w:spacing w:before="500" w:line="240" w:lineRule="auto"/>
        <w:ind w:left="0" w:right="0" w:firstLine="0"/>
        <w:jc w:val="center"/>
      </w:pPr>
      <w:bookmarkStart w:id="289" w:name="bookmark289"/>
      <w:bookmarkStart w:id="290" w:name="bookmark290"/>
      <w:bookmarkStart w:id="291" w:name="bookmark291"/>
      <w:r>
        <w:rPr>
          <w:color w:val="000000"/>
          <w:spacing w:val="0"/>
          <w:w w:val="100"/>
          <w:position w:val="0"/>
        </w:rPr>
        <w:t>第四节公司治理</w:t>
      </w:r>
      <w:bookmarkEnd w:id="289"/>
      <w:bookmarkEnd w:id="290"/>
      <w:bookmarkEnd w:id="291"/>
    </w:p>
    <w:p>
      <w:pPr>
        <w:pStyle w:val="Style22"/>
        <w:keepNext/>
        <w:keepLines/>
        <w:widowControl w:val="0"/>
        <w:shd w:val="clear" w:color="auto" w:fill="auto"/>
        <w:bidi w:val="0"/>
        <w:spacing w:before="0" w:after="260" w:line="240" w:lineRule="auto"/>
        <w:ind w:left="0" w:right="0" w:firstLine="0"/>
        <w:jc w:val="left"/>
      </w:pPr>
      <w:bookmarkStart w:id="292" w:name="bookmark292"/>
      <w:bookmarkStart w:id="293" w:name="bookmark293"/>
      <w:bookmarkStart w:id="294" w:name="bookmark294"/>
      <w:bookmarkStart w:id="295" w:name="bookmark295"/>
      <w:r>
        <w:rPr>
          <w:color w:val="000000"/>
          <w:spacing w:val="0"/>
          <w:w w:val="100"/>
          <w:position w:val="0"/>
          <w:sz w:val="24"/>
          <w:szCs w:val="24"/>
        </w:rPr>
        <w:t>一</w:t>
      </w:r>
      <w:bookmarkEnd w:id="294"/>
      <w:r>
        <w:rPr>
          <w:color w:val="000000"/>
          <w:spacing w:val="0"/>
          <w:w w:val="100"/>
          <w:position w:val="0"/>
          <w:sz w:val="24"/>
          <w:szCs w:val="24"/>
        </w:rPr>
        <w:t>、公司治理的基本状况</w:t>
      </w:r>
      <w:bookmarkEnd w:id="292"/>
      <w:bookmarkEnd w:id="293"/>
      <w:bookmarkEnd w:id="295"/>
    </w:p>
    <w:p>
      <w:pPr>
        <w:pStyle w:val="Style41"/>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报告期内，公司严格按照《公司法》《证券法》《上市公司治理准则》《上市公司信息披露管理办法》 《深圳证券交易所创业板股票上市规则》等法律法规、规范性文件及监管部门的相关规定和要求，不断完 善公司法人治理结构、建立健全公司内部管理和控制制度，公司运作及治理水平得到进一步提高。报告期 内，公司根据《证券法》及创业板改革并试点注册制相关规定，修订了《公司章程》《公司股东大会议事 规则》《公司对外投资管理制度》《公司内幕信息知情人登记管理制度》《公司董事会秘书制度》等，制 定了《公司子公司管理制度》《公司重大信息内部报告制度》《公司信息披露暂缓与豁免业务管理制度》 等。</w:t>
      </w:r>
    </w:p>
    <w:p>
      <w:pPr>
        <w:pStyle w:val="Style32"/>
        <w:keepNext/>
        <w:keepLines/>
        <w:widowControl w:val="0"/>
        <w:shd w:val="clear" w:color="auto" w:fill="auto"/>
        <w:tabs>
          <w:tab w:pos="1044" w:val="left"/>
        </w:tabs>
        <w:bidi w:val="0"/>
        <w:spacing w:before="0" w:after="0" w:line="318" w:lineRule="exact"/>
        <w:ind w:left="0" w:right="0" w:firstLine="440"/>
        <w:jc w:val="both"/>
      </w:pPr>
      <w:bookmarkStart w:id="296" w:name="bookmark296"/>
      <w:bookmarkStart w:id="297" w:name="bookmark297"/>
      <w:bookmarkStart w:id="298" w:name="bookmark298"/>
      <w:bookmarkStart w:id="299" w:name="bookmark299"/>
      <w:r>
        <w:rPr>
          <w:color w:val="000000"/>
          <w:spacing w:val="0"/>
          <w:w w:val="100"/>
          <w:position w:val="0"/>
        </w:rPr>
        <w:t>（</w:t>
      </w:r>
      <w:bookmarkEnd w:id="298"/>
      <w:r>
        <w:rPr>
          <w:color w:val="000000"/>
          <w:spacing w:val="0"/>
          <w:w w:val="100"/>
          <w:position w:val="0"/>
        </w:rPr>
        <w:t>一）</w:t>
        <w:tab/>
        <w:t>股东与股东大会</w:t>
      </w:r>
      <w:bookmarkEnd w:id="296"/>
      <w:bookmarkEnd w:id="297"/>
      <w:bookmarkEnd w:id="299"/>
    </w:p>
    <w:p>
      <w:pPr>
        <w:pStyle w:val="Style41"/>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公司严格按照《公司法》《上市公司股东大会规则》《公司章程》《公司股东大会议事规则》等相关 法律法规、规范性文件和公司规章制度的有关规定和要求，规范地召集、召开股东大会，平等对待所有股 东，在会议召开时采用现场投票和网络投票相结合的方式，为股东参加股东大会提供便利。</w:t>
      </w:r>
    </w:p>
    <w:p>
      <w:pPr>
        <w:pStyle w:val="Style41"/>
        <w:keepNext w:val="0"/>
        <w:keepLines w:val="0"/>
        <w:widowControl w:val="0"/>
        <w:shd w:val="clear" w:color="auto" w:fill="auto"/>
        <w:bidi w:val="0"/>
        <w:spacing w:before="0" w:after="140" w:line="318" w:lineRule="exact"/>
        <w:ind w:left="0" w:right="0" w:firstLine="440"/>
        <w:jc w:val="both"/>
      </w:pPr>
      <w:r>
        <w:rPr>
          <w:color w:val="000000"/>
          <w:spacing w:val="0"/>
          <w:w w:val="100"/>
          <w:position w:val="0"/>
        </w:rPr>
        <w:t>报告期内，公司召开的</w:t>
      </w:r>
      <w:r>
        <w:rPr>
          <w:rFonts w:ascii="Times New Roman" w:eastAsia="Times New Roman" w:hAnsi="Times New Roman" w:cs="Times New Roman"/>
          <w:color w:val="000000"/>
          <w:spacing w:val="0"/>
          <w:w w:val="100"/>
          <w:position w:val="0"/>
        </w:rPr>
        <w:t>3</w:t>
      </w:r>
      <w:r>
        <w:rPr>
          <w:color w:val="000000"/>
          <w:spacing w:val="0"/>
          <w:w w:val="100"/>
          <w:position w:val="0"/>
        </w:rPr>
        <w:t>次股东大会均由公司董事会召集召开，经见证律师进行现场见证并出具法律 意见书。在股东大会上保障各位股东有充分的发言权，确保股东对公司重大事项的知情权、参与权、表决 权，使其充分行使股东合法权利。</w:t>
      </w:r>
    </w:p>
    <w:p>
      <w:pPr>
        <w:pStyle w:val="Style32"/>
        <w:keepNext/>
        <w:keepLines/>
        <w:widowControl w:val="0"/>
        <w:shd w:val="clear" w:color="auto" w:fill="auto"/>
        <w:tabs>
          <w:tab w:pos="1044" w:val="left"/>
        </w:tabs>
        <w:bidi w:val="0"/>
        <w:spacing w:before="0" w:after="0" w:line="314" w:lineRule="exact"/>
        <w:ind w:left="0" w:right="0" w:firstLine="440"/>
        <w:jc w:val="both"/>
      </w:pPr>
      <w:bookmarkStart w:id="300" w:name="bookmark300"/>
      <w:bookmarkStart w:id="301" w:name="bookmark301"/>
      <w:bookmarkStart w:id="302" w:name="bookmark302"/>
      <w:bookmarkStart w:id="303" w:name="bookmark303"/>
      <w:r>
        <w:rPr>
          <w:color w:val="000000"/>
          <w:spacing w:val="0"/>
          <w:w w:val="100"/>
          <w:position w:val="0"/>
        </w:rPr>
        <w:t>（</w:t>
      </w:r>
      <w:bookmarkEnd w:id="302"/>
      <w:r>
        <w:rPr>
          <w:color w:val="000000"/>
          <w:spacing w:val="0"/>
          <w:w w:val="100"/>
          <w:position w:val="0"/>
        </w:rPr>
        <w:t>二）</w:t>
        <w:tab/>
        <w:t>公司与控股股东</w:t>
      </w:r>
      <w:bookmarkEnd w:id="300"/>
      <w:bookmarkEnd w:id="301"/>
      <w:bookmarkEnd w:id="303"/>
    </w:p>
    <w:p>
      <w:pPr>
        <w:pStyle w:val="Style41"/>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公司控股股东、实际控制人严格按照《上市公司治理准则》《深圳证券交易所创业板股票上市规则》 《公司章程》等相关规定和要求，依法行使股东权利，履行股东义务，不存在超越股东大会直接或间接干 预公司的决策和经营活动的行为，没有损害公司及全体股东的利益。公司不存在控股股东占用公司资金或 为控股股东提供担保的情形。公司拥有独立完整的业务和自主经营能力，在业务、人员、资产、机构、财 务上独立于控股股东，公司董事会、监事会和内部机构独立运作。控股股东、实际控制人切实履行诚信义 务，维护上市公司独立性，切实保障上市公司和投资者的合法权益。</w:t>
      </w:r>
    </w:p>
    <w:p>
      <w:pPr>
        <w:pStyle w:val="Style32"/>
        <w:keepNext/>
        <w:keepLines/>
        <w:widowControl w:val="0"/>
        <w:shd w:val="clear" w:color="auto" w:fill="auto"/>
        <w:tabs>
          <w:tab w:pos="1044" w:val="left"/>
        </w:tabs>
        <w:bidi w:val="0"/>
        <w:spacing w:before="0" w:after="0" w:line="316" w:lineRule="exact"/>
        <w:ind w:left="0" w:right="0" w:firstLine="440"/>
        <w:jc w:val="both"/>
      </w:pPr>
      <w:bookmarkStart w:id="304" w:name="bookmark304"/>
      <w:bookmarkStart w:id="305" w:name="bookmark305"/>
      <w:bookmarkStart w:id="306" w:name="bookmark306"/>
      <w:bookmarkStart w:id="307" w:name="bookmark307"/>
      <w:r>
        <w:rPr>
          <w:color w:val="000000"/>
          <w:spacing w:val="0"/>
          <w:w w:val="100"/>
          <w:position w:val="0"/>
        </w:rPr>
        <w:t>（</w:t>
      </w:r>
      <w:bookmarkEnd w:id="306"/>
      <w:r>
        <w:rPr>
          <w:color w:val="000000"/>
          <w:spacing w:val="0"/>
          <w:w w:val="100"/>
          <w:position w:val="0"/>
        </w:rPr>
        <w:t>三）</w:t>
        <w:tab/>
        <w:t>董事与董事会</w:t>
      </w:r>
      <w:bookmarkEnd w:id="304"/>
      <w:bookmarkEnd w:id="305"/>
      <w:bookmarkEnd w:id="307"/>
    </w:p>
    <w:p>
      <w:pPr>
        <w:pStyle w:val="Style4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8</w:t>
      </w:r>
      <w:r>
        <w:rPr>
          <w:color w:val="000000"/>
          <w:spacing w:val="0"/>
          <w:w w:val="100"/>
          <w:position w:val="0"/>
        </w:rPr>
        <w:t>次董事会会议。第五届董事会设董事</w:t>
      </w:r>
      <w:r>
        <w:rPr>
          <w:rFonts w:ascii="Times New Roman" w:eastAsia="Times New Roman" w:hAnsi="Times New Roman" w:cs="Times New Roman"/>
          <w:color w:val="000000"/>
          <w:spacing w:val="0"/>
          <w:w w:val="100"/>
          <w:position w:val="0"/>
        </w:rPr>
        <w:t>6</w:t>
      </w:r>
      <w:r>
        <w:rPr>
          <w:color w:val="000000"/>
          <w:spacing w:val="0"/>
          <w:w w:val="100"/>
          <w:position w:val="0"/>
        </w:rPr>
        <w:t>名，其中独立董事</w:t>
      </w:r>
      <w:r>
        <w:rPr>
          <w:rFonts w:ascii="Times New Roman" w:eastAsia="Times New Roman" w:hAnsi="Times New Roman" w:cs="Times New Roman"/>
          <w:color w:val="000000"/>
          <w:spacing w:val="0"/>
          <w:w w:val="100"/>
          <w:position w:val="0"/>
        </w:rPr>
        <w:t>2</w:t>
      </w:r>
      <w:r>
        <w:rPr>
          <w:color w:val="000000"/>
          <w:spacing w:val="0"/>
          <w:w w:val="100"/>
          <w:position w:val="0"/>
        </w:rPr>
        <w:t>名，达到公司董事总 数的</w:t>
      </w:r>
      <w:r>
        <w:rPr>
          <w:rFonts w:ascii="Times New Roman" w:eastAsia="Times New Roman" w:hAnsi="Times New Roman" w:cs="Times New Roman"/>
          <w:color w:val="000000"/>
          <w:spacing w:val="0"/>
          <w:w w:val="100"/>
          <w:position w:val="0"/>
        </w:rPr>
        <w:t>1 /3</w:t>
      </w:r>
      <w:r>
        <w:rPr>
          <w:color w:val="000000"/>
          <w:spacing w:val="0"/>
          <w:w w:val="100"/>
          <w:position w:val="0"/>
        </w:rPr>
        <w:t>。公司董事会的人数及人员构成符合法律、法规和《公司章程》的要求。各位董事能够依据《公司 董事会议事规则》《公司独立董事制度》等要求，规范有序开展工作，出席董事会、董事会专门委员会和 股东大会，勤勉尽责地履行职责和义务。</w:t>
      </w:r>
    </w:p>
    <w:p>
      <w:pPr>
        <w:pStyle w:val="Style41"/>
        <w:keepNext w:val="0"/>
        <w:keepLines w:val="0"/>
        <w:widowControl w:val="0"/>
        <w:shd w:val="clear" w:color="auto" w:fill="auto"/>
        <w:bidi w:val="0"/>
        <w:spacing w:before="0" w:after="140" w:line="316" w:lineRule="exact"/>
        <w:ind w:left="0" w:right="0" w:firstLine="440"/>
        <w:jc w:val="both"/>
      </w:pPr>
      <w:r>
        <w:rPr>
          <w:color w:val="000000"/>
          <w:spacing w:val="0"/>
          <w:w w:val="100"/>
          <w:position w:val="0"/>
        </w:rPr>
        <w:t>公司董事会下设有战略委员会、提名委员会、薪酬与考核委员会、审计委员会四个专门委员会，对公 司董事会负责，依照《公司章程》和董事会授权履行职责。</w:t>
      </w:r>
    </w:p>
    <w:p>
      <w:pPr>
        <w:pStyle w:val="Style32"/>
        <w:keepNext/>
        <w:keepLines/>
        <w:widowControl w:val="0"/>
        <w:shd w:val="clear" w:color="auto" w:fill="auto"/>
        <w:tabs>
          <w:tab w:pos="1044" w:val="left"/>
        </w:tabs>
        <w:bidi w:val="0"/>
        <w:spacing w:before="0" w:after="0" w:line="316" w:lineRule="exact"/>
        <w:ind w:left="0" w:right="0" w:firstLine="440"/>
        <w:jc w:val="left"/>
      </w:pPr>
      <w:bookmarkStart w:id="308" w:name="bookmark308"/>
      <w:bookmarkStart w:id="309" w:name="bookmark309"/>
      <w:bookmarkStart w:id="310" w:name="bookmark310"/>
      <w:bookmarkStart w:id="311" w:name="bookmark311"/>
      <w:r>
        <w:rPr>
          <w:color w:val="000000"/>
          <w:spacing w:val="0"/>
          <w:w w:val="100"/>
          <w:position w:val="0"/>
        </w:rPr>
        <w:t>（</w:t>
      </w:r>
      <w:bookmarkEnd w:id="310"/>
      <w:r>
        <w:rPr>
          <w:color w:val="000000"/>
          <w:spacing w:val="0"/>
          <w:w w:val="100"/>
          <w:position w:val="0"/>
        </w:rPr>
        <w:t>四）</w:t>
        <w:tab/>
        <w:t>监事与监事会</w:t>
      </w:r>
      <w:bookmarkEnd w:id="308"/>
      <w:bookmarkEnd w:id="309"/>
      <w:bookmarkEnd w:id="311"/>
    </w:p>
    <w:p>
      <w:pPr>
        <w:pStyle w:val="Style41"/>
        <w:keepNext w:val="0"/>
        <w:keepLines w:val="0"/>
        <w:widowControl w:val="0"/>
        <w:shd w:val="clear" w:color="auto" w:fill="auto"/>
        <w:bidi w:val="0"/>
        <w:spacing w:before="0" w:after="140" w:line="318" w:lineRule="exact"/>
        <w:ind w:left="0" w:right="0" w:firstLine="44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6</w:t>
      </w:r>
      <w:r>
        <w:rPr>
          <w:color w:val="000000"/>
          <w:spacing w:val="0"/>
          <w:w w:val="100"/>
          <w:position w:val="0"/>
        </w:rPr>
        <w:t>次监事会会议。公司第五届监事会设监事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 的人数和构成符合相关法律法规、规范性文件和公司规章制度的有关规定和要求。各位监事本着对全体股 东负责的态度，认真履行监事会监督职能，对公司重大事项、关联交易、财务状况以及董事和高管人员履 行职责情况进行监督，维护公司及全体股东的合法权益。</w:t>
      </w:r>
    </w:p>
    <w:p>
      <w:pPr>
        <w:pStyle w:val="Style32"/>
        <w:keepNext/>
        <w:keepLines/>
        <w:widowControl w:val="0"/>
        <w:shd w:val="clear" w:color="auto" w:fill="auto"/>
        <w:tabs>
          <w:tab w:pos="1044" w:val="left"/>
        </w:tabs>
        <w:bidi w:val="0"/>
        <w:spacing w:before="0" w:after="0" w:line="316" w:lineRule="exact"/>
        <w:ind w:left="0" w:right="0" w:firstLine="440"/>
        <w:jc w:val="both"/>
      </w:pPr>
      <w:bookmarkStart w:id="312" w:name="bookmark312"/>
      <w:bookmarkStart w:id="313" w:name="bookmark313"/>
      <w:bookmarkStart w:id="314" w:name="bookmark314"/>
      <w:bookmarkStart w:id="315" w:name="bookmark315"/>
      <w:r>
        <w:rPr>
          <w:color w:val="000000"/>
          <w:spacing w:val="0"/>
          <w:w w:val="100"/>
          <w:position w:val="0"/>
        </w:rPr>
        <w:t>（</w:t>
      </w:r>
      <w:bookmarkEnd w:id="314"/>
      <w:r>
        <w:rPr>
          <w:color w:val="000000"/>
          <w:spacing w:val="0"/>
          <w:w w:val="100"/>
          <w:position w:val="0"/>
        </w:rPr>
        <w:t>五）</w:t>
        <w:tab/>
        <w:t>建立健全绩效考核与激励机制，提升员工积极性</w:t>
      </w:r>
      <w:bookmarkEnd w:id="312"/>
      <w:bookmarkEnd w:id="313"/>
      <w:bookmarkEnd w:id="315"/>
    </w:p>
    <w:p>
      <w:pPr>
        <w:pStyle w:val="Style41"/>
        <w:keepNext w:val="0"/>
        <w:keepLines w:val="0"/>
        <w:widowControl w:val="0"/>
        <w:shd w:val="clear" w:color="auto" w:fill="auto"/>
        <w:bidi w:val="0"/>
        <w:spacing w:before="0" w:after="140" w:line="316" w:lineRule="exact"/>
        <w:ind w:left="0" w:right="0" w:firstLine="440"/>
        <w:jc w:val="both"/>
      </w:pPr>
      <w:r>
        <w:rPr>
          <w:color w:val="000000"/>
          <w:spacing w:val="0"/>
          <w:w w:val="100"/>
          <w:position w:val="0"/>
        </w:rPr>
        <w:t xml:space="preserve">公司董事会下设薪酬与考核委员会，建立并逐步完善公正、有效的高级管理人员的绩效评价标准和激 </w:t>
      </w:r>
      <w:r>
        <w:rPr>
          <w:color w:val="000000"/>
          <w:spacing w:val="0"/>
          <w:w w:val="100"/>
          <w:position w:val="0"/>
        </w:rPr>
        <w:t>励约束机制。报告期内，公司审议通过并实施</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rPr>
        <w:t>2021</w:t>
      </w:r>
      <w:r>
        <w:rPr>
          <w:color w:val="000000"/>
          <w:spacing w:val="0"/>
          <w:w w:val="100"/>
          <w:position w:val="0"/>
        </w:rPr>
        <w:t>年内已向</w:t>
      </w:r>
      <w:r>
        <w:rPr>
          <w:rFonts w:ascii="Times New Roman" w:eastAsia="Times New Roman" w:hAnsi="Times New Roman" w:cs="Times New Roman"/>
          <w:color w:val="000000"/>
          <w:spacing w:val="0"/>
          <w:w w:val="100"/>
          <w:position w:val="0"/>
        </w:rPr>
        <w:t>818</w:t>
      </w:r>
      <w:r>
        <w:rPr>
          <w:color w:val="000000"/>
          <w:spacing w:val="0"/>
          <w:w w:val="100"/>
          <w:position w:val="0"/>
        </w:rPr>
        <w:t>名激励对象首 次授予第二类限制性股票</w:t>
      </w:r>
      <w:r>
        <w:rPr>
          <w:rFonts w:ascii="Times New Roman" w:eastAsia="Times New Roman" w:hAnsi="Times New Roman" w:cs="Times New Roman"/>
          <w:color w:val="000000"/>
          <w:spacing w:val="0"/>
          <w:w w:val="100"/>
          <w:position w:val="0"/>
        </w:rPr>
        <w:t>4,500</w:t>
      </w:r>
      <w:r>
        <w:rPr>
          <w:color w:val="000000"/>
          <w:spacing w:val="0"/>
          <w:w w:val="100"/>
          <w:position w:val="0"/>
        </w:rPr>
        <w:t>万股，增强公司管理团队和技术（业务）骨干人员对实现公司持续、健康发 展的责任感、使命感，提升了员工积极性，增强了凝聚力和向心力。</w:t>
      </w:r>
    </w:p>
    <w:p>
      <w:pPr>
        <w:pStyle w:val="Style32"/>
        <w:keepNext/>
        <w:keepLines/>
        <w:widowControl w:val="0"/>
        <w:shd w:val="clear" w:color="auto" w:fill="auto"/>
        <w:tabs>
          <w:tab w:pos="1046" w:val="left"/>
        </w:tabs>
        <w:bidi w:val="0"/>
        <w:spacing w:before="0" w:after="0" w:line="315" w:lineRule="exact"/>
        <w:ind w:left="0" w:right="0" w:firstLine="440"/>
        <w:jc w:val="left"/>
      </w:pPr>
      <w:bookmarkStart w:id="316" w:name="bookmark316"/>
      <w:bookmarkStart w:id="317" w:name="bookmark317"/>
      <w:bookmarkStart w:id="318" w:name="bookmark318"/>
      <w:bookmarkStart w:id="319" w:name="bookmark319"/>
      <w:r>
        <w:rPr>
          <w:color w:val="000000"/>
          <w:spacing w:val="0"/>
          <w:w w:val="100"/>
          <w:position w:val="0"/>
        </w:rPr>
        <w:t>（</w:t>
      </w:r>
      <w:bookmarkEnd w:id="318"/>
      <w:r>
        <w:rPr>
          <w:color w:val="000000"/>
          <w:spacing w:val="0"/>
          <w:w w:val="100"/>
          <w:position w:val="0"/>
        </w:rPr>
        <w:t>六）</w:t>
        <w:tab/>
        <w:t>提升信息披露质量，切实保护投资者权益</w:t>
      </w:r>
      <w:bookmarkEnd w:id="316"/>
      <w:bookmarkEnd w:id="317"/>
      <w:bookmarkEnd w:id="319"/>
    </w:p>
    <w:p>
      <w:pPr>
        <w:pStyle w:val="Style41"/>
        <w:keepNext w:val="0"/>
        <w:keepLines w:val="0"/>
        <w:widowControl w:val="0"/>
        <w:shd w:val="clear" w:color="auto" w:fill="auto"/>
        <w:bidi w:val="0"/>
        <w:spacing w:before="0" w:after="140" w:line="315" w:lineRule="exact"/>
        <w:ind w:left="0" w:right="0" w:firstLine="440"/>
        <w:jc w:val="left"/>
      </w:pPr>
      <w:r>
        <w:rPr>
          <w:color w:val="000000"/>
          <w:spacing w:val="0"/>
          <w:w w:val="100"/>
          <w:position w:val="0"/>
        </w:rPr>
        <w:t>公司严格按照有关法律法规及《公司信息披露管理办法》《公司投资者关系管理办法》等相关要求， 在深圳证券交易所网站和符合中国证监会规定条件的信息披露媒体上，真实、准确、及时、公平、完整地 披露信息，确保公司所有股东能够公平地获取公司信息。同时，公司高度重视投资者关系管理，通过设立 投资者电话专线、传真、董秘邮箱等多种渠道，采取认真回复投资者咨询、进行网上业绩说明会及投资者 交流会等多种形式，保障投资者知情权和参与权，积极维护公司与投资者良好关系，提高公司信息透明度， 切实保护投资者特别是中小投资者的合法权益。</w:t>
      </w:r>
    </w:p>
    <w:p>
      <w:pPr>
        <w:pStyle w:val="Style32"/>
        <w:keepNext/>
        <w:keepLines/>
        <w:widowControl w:val="0"/>
        <w:shd w:val="clear" w:color="auto" w:fill="auto"/>
        <w:tabs>
          <w:tab w:pos="1046" w:val="left"/>
        </w:tabs>
        <w:bidi w:val="0"/>
        <w:spacing w:before="0" w:after="0" w:line="315" w:lineRule="exact"/>
        <w:ind w:left="0" w:right="0" w:firstLine="440"/>
        <w:jc w:val="left"/>
      </w:pPr>
      <w:bookmarkStart w:id="320" w:name="bookmark320"/>
      <w:bookmarkStart w:id="321" w:name="bookmark321"/>
      <w:bookmarkStart w:id="322" w:name="bookmark322"/>
      <w:bookmarkStart w:id="323" w:name="bookmark323"/>
      <w:r>
        <w:rPr>
          <w:color w:val="000000"/>
          <w:spacing w:val="0"/>
          <w:w w:val="100"/>
          <w:position w:val="0"/>
        </w:rPr>
        <w:t>（</w:t>
      </w:r>
      <w:bookmarkEnd w:id="322"/>
      <w:r>
        <w:rPr>
          <w:color w:val="000000"/>
          <w:spacing w:val="0"/>
          <w:w w:val="100"/>
          <w:position w:val="0"/>
        </w:rPr>
        <w:t>七）</w:t>
        <w:tab/>
        <w:t>完善内部控制体系，提升公司治理水平</w:t>
      </w:r>
      <w:bookmarkEnd w:id="320"/>
      <w:bookmarkEnd w:id="321"/>
      <w:bookmarkEnd w:id="323"/>
    </w:p>
    <w:p>
      <w:pPr>
        <w:pStyle w:val="Style41"/>
        <w:keepNext w:val="0"/>
        <w:keepLines w:val="0"/>
        <w:widowControl w:val="0"/>
        <w:shd w:val="clear" w:color="auto" w:fill="auto"/>
        <w:bidi w:val="0"/>
        <w:spacing w:before="0" w:after="0" w:line="315" w:lineRule="exact"/>
        <w:ind w:left="0" w:right="0" w:firstLine="440"/>
        <w:jc w:val="left"/>
      </w:pPr>
      <w:r>
        <w:rPr>
          <w:color w:val="000000"/>
          <w:spacing w:val="0"/>
          <w:w w:val="100"/>
          <w:position w:val="0"/>
        </w:rPr>
        <w:t>为规范公司经营管理，控制风险，保证经营业务活动的正常开展，公司根据《公司法》《证券法》《企 业内部控制基本规范》等相关法律法规、规范性文件和公司规章制度有关规定和要求，结合公司的实际情 况、自身特点和管理需要，制定并不断完善贯穿于公司经营管理各层面、各环节的内部控制体系。公司严 格执行上市公司内控制度，进一步加强内控规范体系建设，提升内控有效性。通过对公司各项治理制度的 规范和落实，公司治理水平不断提高，有效保证了公司各项经营目标的实现。</w:t>
      </w:r>
    </w:p>
    <w:p>
      <w:pPr>
        <w:pStyle w:val="Style41"/>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公司董事会下设审计委员会，主要负责公司内部审计与外部审计之间进行沟通，并监督公司内部审计 制度的实施，审查公司内部控制制度的执行情况，审查公司的财务信息等。审计委员会下设独立的审计部， 审计部直接对审计委员会负责及报告工作。</w:t>
      </w:r>
    </w:p>
    <w:p>
      <w:pPr>
        <w:pStyle w:val="Style41"/>
        <w:keepNext w:val="0"/>
        <w:keepLines w:val="0"/>
        <w:widowControl w:val="0"/>
        <w:shd w:val="clear" w:color="auto" w:fill="auto"/>
        <w:bidi w:val="0"/>
        <w:spacing w:before="0" w:after="140" w:line="315" w:lineRule="exact"/>
        <w:ind w:left="0" w:right="0" w:firstLine="440"/>
        <w:jc w:val="left"/>
      </w:pPr>
      <w:r>
        <w:rPr>
          <w:color w:val="000000"/>
          <w:spacing w:val="0"/>
          <w:w w:val="100"/>
          <w:position w:val="0"/>
        </w:rPr>
        <w:t>报告期内，公司在上海证监局的指导下，积极试点上市公司按照公司章程设立内控合规机构，不断探 索提升公司规范运作水平。公司修改《公司章程》，新增合规总监作为公司高级管理人员，设立内控合规 部，负责对公司的重要营运行为、下属公司管控、财务信息披露和法律法规遵守执行情况进行检查和监督， 同时，制定并实施《公司合规管理制度》，并相应调整公司组织架构。</w:t>
      </w:r>
    </w:p>
    <w:p>
      <w:pPr>
        <w:pStyle w:val="Style32"/>
        <w:keepNext/>
        <w:keepLines/>
        <w:widowControl w:val="0"/>
        <w:shd w:val="clear" w:color="auto" w:fill="auto"/>
        <w:tabs>
          <w:tab w:pos="1046" w:val="left"/>
        </w:tabs>
        <w:bidi w:val="0"/>
        <w:spacing w:before="0" w:after="0" w:line="312" w:lineRule="exact"/>
        <w:ind w:left="0" w:right="0" w:firstLine="440"/>
        <w:jc w:val="left"/>
      </w:pPr>
      <w:bookmarkStart w:id="324" w:name="bookmark324"/>
      <w:bookmarkStart w:id="325" w:name="bookmark325"/>
      <w:bookmarkStart w:id="326" w:name="bookmark326"/>
      <w:bookmarkStart w:id="327" w:name="bookmark327"/>
      <w:r>
        <w:rPr>
          <w:color w:val="000000"/>
          <w:spacing w:val="0"/>
          <w:w w:val="100"/>
          <w:position w:val="0"/>
        </w:rPr>
        <w:t>（</w:t>
      </w:r>
      <w:bookmarkEnd w:id="326"/>
      <w:r>
        <w:rPr>
          <w:color w:val="000000"/>
          <w:spacing w:val="0"/>
          <w:w w:val="100"/>
          <w:position w:val="0"/>
        </w:rPr>
        <w:t>八）</w:t>
        <w:tab/>
        <w:t>维护利益相关方，实现协调持续发展</w:t>
      </w:r>
      <w:bookmarkEnd w:id="324"/>
      <w:bookmarkEnd w:id="325"/>
      <w:bookmarkEnd w:id="327"/>
    </w:p>
    <w:p>
      <w:pPr>
        <w:pStyle w:val="Style41"/>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公司积极与相关利益方密切合作，加强与各方的沟通和交流，积极维护员工、供应商、客户等利益相 关方，充分尊重和维护相关利益方的合法权益，不断促进公司与社会协调、和谐发展。同时，公司积极履 行社会责任，倡导全民健康理财的理念，传递证券市场正能量，吸引了全国范围内数千万投资者的广泛参 与，产生了良好的社会效益，获得了监管部门及广大投资者的高度认可。</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2"/>
        <w:keepNext/>
        <w:keepLines/>
        <w:widowControl w:val="0"/>
        <w:shd w:val="clear" w:color="auto" w:fill="auto"/>
        <w:tabs>
          <w:tab w:pos="521" w:val="left"/>
        </w:tabs>
        <w:bidi w:val="0"/>
        <w:spacing w:before="0" w:after="260" w:line="317" w:lineRule="exact"/>
        <w:ind w:left="0" w:right="0" w:firstLine="0"/>
        <w:jc w:val="left"/>
      </w:pPr>
      <w:bookmarkStart w:id="328" w:name="bookmark328"/>
      <w:bookmarkStart w:id="329" w:name="bookmark329"/>
      <w:bookmarkStart w:id="330" w:name="bookmark330"/>
      <w:bookmarkStart w:id="331" w:name="bookmark331"/>
      <w:r>
        <w:rPr>
          <w:color w:val="000000"/>
          <w:spacing w:val="0"/>
          <w:w w:val="100"/>
          <w:position w:val="0"/>
          <w:sz w:val="24"/>
          <w:szCs w:val="24"/>
        </w:rPr>
        <w:t>二</w:t>
      </w:r>
      <w:bookmarkEnd w:id="330"/>
      <w:r>
        <w:rPr>
          <w:color w:val="000000"/>
          <w:spacing w:val="0"/>
          <w:w w:val="100"/>
          <w:position w:val="0"/>
          <w:sz w:val="24"/>
          <w:szCs w:val="24"/>
        </w:rPr>
        <w:t>、</w:t>
        <w:tab/>
        <w:t>公司相对于控股股东、实际控制人在保证公司资产、人员、财务、机构、业务等方面的 独立情况</w:t>
      </w:r>
      <w:bookmarkEnd w:id="328"/>
      <w:bookmarkEnd w:id="329"/>
      <w:bookmarkEnd w:id="331"/>
    </w:p>
    <w:p>
      <w:pPr>
        <w:pStyle w:val="Style41"/>
        <w:keepNext w:val="0"/>
        <w:keepLines w:val="0"/>
        <w:widowControl w:val="0"/>
        <w:shd w:val="clear" w:color="auto" w:fill="auto"/>
        <w:bidi w:val="0"/>
        <w:spacing w:before="0" w:after="340" w:line="312" w:lineRule="exact"/>
        <w:ind w:left="0" w:right="0" w:firstLine="440"/>
        <w:jc w:val="left"/>
      </w:pPr>
      <w:r>
        <w:rPr>
          <w:color w:val="000000"/>
          <w:spacing w:val="0"/>
          <w:w w:val="100"/>
          <w:position w:val="0"/>
        </w:rPr>
        <w:t>公司自成立及上市以来严格按照《公司法》《证券法》等有关法律法规及《公司章程》的相关要求 规范运作，在资产、人员、财务、机构和业务等方面独立于公司控股股东。</w:t>
      </w:r>
    </w:p>
    <w:p>
      <w:pPr>
        <w:pStyle w:val="Style22"/>
        <w:keepNext/>
        <w:keepLines/>
        <w:widowControl w:val="0"/>
        <w:shd w:val="clear" w:color="auto" w:fill="auto"/>
        <w:tabs>
          <w:tab w:pos="521" w:val="left"/>
        </w:tabs>
        <w:bidi w:val="0"/>
        <w:spacing w:before="0" w:line="317" w:lineRule="exact"/>
        <w:ind w:left="0" w:right="0" w:firstLine="0"/>
        <w:jc w:val="both"/>
      </w:pPr>
      <w:bookmarkStart w:id="332" w:name="bookmark332"/>
      <w:bookmarkStart w:id="333" w:name="bookmark333"/>
      <w:bookmarkStart w:id="334" w:name="bookmark334"/>
      <w:bookmarkStart w:id="335" w:name="bookmark335"/>
      <w:r>
        <w:rPr>
          <w:color w:val="000000"/>
          <w:spacing w:val="0"/>
          <w:w w:val="100"/>
          <w:position w:val="0"/>
          <w:sz w:val="24"/>
          <w:szCs w:val="24"/>
        </w:rPr>
        <w:t>三</w:t>
      </w:r>
      <w:bookmarkEnd w:id="334"/>
      <w:r>
        <w:rPr>
          <w:color w:val="000000"/>
          <w:spacing w:val="0"/>
          <w:w w:val="100"/>
          <w:position w:val="0"/>
          <w:sz w:val="24"/>
          <w:szCs w:val="24"/>
        </w:rPr>
        <w:t>、</w:t>
        <w:tab/>
        <w:t>同业竞争情况</w:t>
      </w:r>
      <w:bookmarkEnd w:id="332"/>
      <w:bookmarkEnd w:id="333"/>
      <w:bookmarkEnd w:id="335"/>
    </w:p>
    <w:p>
      <w:pPr>
        <w:pStyle w:val="Style24"/>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sz w:val="24"/>
          <w:szCs w:val="24"/>
        </w:rPr>
        <w:t>四</w:t>
      </w:r>
      <w:bookmarkEnd w:id="338"/>
      <w:r>
        <w:rPr>
          <w:color w:val="000000"/>
          <w:spacing w:val="0"/>
          <w:w w:val="100"/>
          <w:position w:val="0"/>
          <w:sz w:val="24"/>
          <w:szCs w:val="24"/>
        </w:rPr>
        <w:t>、报告期内召开的年度股东大会和临时股东大会的有关情况</w:t>
      </w:r>
      <w:bookmarkEnd w:id="336"/>
      <w:bookmarkEnd w:id="337"/>
      <w:bookmarkEnd w:id="339"/>
    </w:p>
    <w:p>
      <w:pPr>
        <w:pStyle w:val="Style32"/>
        <w:keepNext/>
        <w:keepLines/>
        <w:widowControl w:val="0"/>
        <w:shd w:val="clear" w:color="auto" w:fill="auto"/>
        <w:bidi w:val="0"/>
        <w:spacing w:before="0" w:after="36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1</w:t>
      </w:r>
      <w:bookmarkEnd w:id="342"/>
      <w:r>
        <w:rPr>
          <w:color w:val="000000"/>
          <w:spacing w:val="0"/>
          <w:w w:val="100"/>
          <w:position w:val="0"/>
        </w:rPr>
        <w:t>、本报告期股东大会情况</w:t>
      </w:r>
      <w:bookmarkEnd w:id="340"/>
      <w:bookmarkEnd w:id="341"/>
      <w:bookmarkEnd w:id="343"/>
    </w:p>
    <w:tbl>
      <w:tblPr>
        <w:tblOverlap w:val="never"/>
        <w:jc w:val="center"/>
        <w:tblLayout w:type="fixed"/>
      </w:tblPr>
      <w:tblGrid>
        <w:gridCol w:w="1853"/>
        <w:gridCol w:w="1430"/>
        <w:gridCol w:w="1526"/>
        <w:gridCol w:w="1584"/>
        <w:gridCol w:w="1603"/>
        <w:gridCol w:w="1608"/>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会议决议</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fldChar w:fldCharType="begin"/>
            </w:r>
            <w:r>
              <w:rPr/>
              <w:instrText> HYPERLINK "http://wwwcninfb.co" </w:instrText>
            </w:r>
            <w:r>
              <w:fldChar w:fldCharType="separate"/>
            </w:r>
            <w:r>
              <w:rPr>
                <w:color w:val="000000"/>
                <w:spacing w:val="0"/>
                <w:w w:val="100"/>
                <w:position w:val="0"/>
              </w:rPr>
              <w:t>http://wwwcninfb.co</w:t>
            </w:r>
            <w:r>
              <w:fldChar w:fldCharType="end"/>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m.cn/new/index</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年第一次临时股 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fldChar w:fldCharType="begin"/>
            </w:r>
            <w:r>
              <w:rPr/>
              <w:instrText> HYPERLINK "http://wwwcninfb.co" </w:instrText>
            </w:r>
            <w:r>
              <w:fldChar w:fldCharType="separate"/>
            </w:r>
            <w:r>
              <w:rPr>
                <w:color w:val="000000"/>
                <w:spacing w:val="0"/>
                <w:w w:val="100"/>
                <w:position w:val="0"/>
              </w:rPr>
              <w:t>http://wwwcninfb.co</w:t>
            </w:r>
            <w:r>
              <w:fldChar w:fldCharType="end"/>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m.cn/new/index</w:t>
            </w:r>
          </w:p>
        </w:tc>
      </w:tr>
      <w:tr>
        <w:trPr>
          <w:trHeight w:val="7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年第二次临时股 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fldChar w:fldCharType="begin"/>
            </w:r>
            <w:r>
              <w:rPr/>
              <w:instrText> HYPERLINK "http://wwwcninfb.co" </w:instrText>
            </w:r>
            <w:r>
              <w:fldChar w:fldCharType="separate"/>
            </w:r>
            <w:r>
              <w:rPr>
                <w:color w:val="000000"/>
                <w:spacing w:val="0"/>
                <w:w w:val="100"/>
                <w:position w:val="0"/>
              </w:rPr>
              <w:t>http://wwwcninfb.co</w:t>
            </w:r>
            <w:r>
              <w:fldChar w:fldCharType="end"/>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m.cn/new/index</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2</w:t>
      </w:r>
      <w:bookmarkEnd w:id="346"/>
      <w:r>
        <w:rPr>
          <w:color w:val="000000"/>
          <w:spacing w:val="0"/>
          <w:w w:val="100"/>
          <w:position w:val="0"/>
        </w:rPr>
        <w:t>、表决权恢复的优先股股东请求召开临时股东大会</w:t>
      </w:r>
      <w:bookmarkEnd w:id="344"/>
      <w:bookmarkEnd w:id="345"/>
      <w:bookmarkEnd w:id="347"/>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tabs>
          <w:tab w:pos="541" w:val="left"/>
        </w:tabs>
        <w:bidi w:val="0"/>
        <w:spacing w:before="0" w:after="36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sz w:val="24"/>
          <w:szCs w:val="24"/>
        </w:rPr>
        <w:t>五</w:t>
      </w:r>
      <w:bookmarkEnd w:id="350"/>
      <w:r>
        <w:rPr>
          <w:color w:val="000000"/>
          <w:spacing w:val="0"/>
          <w:w w:val="100"/>
          <w:position w:val="0"/>
          <w:sz w:val="24"/>
          <w:szCs w:val="24"/>
        </w:rPr>
        <w:t>、</w:t>
        <w:tab/>
        <w:t>公司具有表决权差异安排</w:t>
      </w:r>
      <w:bookmarkEnd w:id="348"/>
      <w:bookmarkEnd w:id="349"/>
      <w:bookmarkEnd w:id="351"/>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tabs>
          <w:tab w:pos="546" w:val="left"/>
        </w:tabs>
        <w:bidi w:val="0"/>
        <w:spacing w:before="0" w:after="36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sz w:val="24"/>
          <w:szCs w:val="24"/>
        </w:rPr>
        <w:t>六</w:t>
      </w:r>
      <w:bookmarkEnd w:id="354"/>
      <w:r>
        <w:rPr>
          <w:color w:val="000000"/>
          <w:spacing w:val="0"/>
          <w:w w:val="100"/>
          <w:position w:val="0"/>
          <w:sz w:val="24"/>
          <w:szCs w:val="24"/>
        </w:rPr>
        <w:t>、</w:t>
        <w:tab/>
        <w:t>红筹架构公司治理情况</w:t>
      </w:r>
      <w:bookmarkEnd w:id="352"/>
      <w:bookmarkEnd w:id="353"/>
      <w:bookmarkEnd w:id="355"/>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tabs>
          <w:tab w:pos="546" w:val="left"/>
        </w:tabs>
        <w:bidi w:val="0"/>
        <w:spacing w:before="0" w:after="36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sz w:val="24"/>
          <w:szCs w:val="24"/>
        </w:rPr>
        <w:t>七</w:t>
      </w:r>
      <w:bookmarkEnd w:id="358"/>
      <w:r>
        <w:rPr>
          <w:color w:val="000000"/>
          <w:spacing w:val="0"/>
          <w:w w:val="100"/>
          <w:position w:val="0"/>
          <w:sz w:val="24"/>
          <w:szCs w:val="24"/>
        </w:rPr>
        <w:t>、</w:t>
        <w:tab/>
        <w:t>董事、监事和高级管理人员情况</w:t>
      </w:r>
      <w:bookmarkEnd w:id="356"/>
      <w:bookmarkEnd w:id="357"/>
      <w:bookmarkEnd w:id="359"/>
    </w:p>
    <w:p>
      <w:pPr>
        <w:pStyle w:val="Style32"/>
        <w:keepNext/>
        <w:keepLines/>
        <w:widowControl w:val="0"/>
        <w:shd w:val="clear" w:color="auto" w:fill="auto"/>
        <w:bidi w:val="0"/>
        <w:spacing w:before="0" w:after="36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1</w:t>
      </w:r>
      <w:bookmarkEnd w:id="362"/>
      <w:r>
        <w:rPr>
          <w:color w:val="000000"/>
          <w:spacing w:val="0"/>
          <w:w w:val="100"/>
          <w:position w:val="0"/>
        </w:rPr>
        <w:t>、基本情况</w:t>
      </w:r>
      <w:bookmarkEnd w:id="360"/>
      <w:bookmarkEnd w:id="361"/>
      <w:bookmarkEnd w:id="363"/>
    </w:p>
    <w:p>
      <w:pPr>
        <w:pStyle w:val="Style24"/>
        <w:keepNext w:val="0"/>
        <w:keepLines w:val="0"/>
        <w:widowControl w:val="0"/>
        <w:shd w:val="clear" w:color="auto" w:fill="auto"/>
        <w:bidi w:val="0"/>
        <w:spacing w:before="0" w:after="360" w:line="240" w:lineRule="auto"/>
        <w:ind w:left="0" w:right="620" w:firstLine="0"/>
        <w:jc w:val="right"/>
        <w:sectPr>
          <w:footnotePr>
            <w:pos w:val="pageBottom"/>
            <w:numFmt w:val="upperRoman"/>
            <w:numStart w:val="1"/>
            <w:numRestart w:val="continuous"/>
            <w15:footnoteColumns w:val="1"/>
          </w:footnotePr>
          <w:pgSz w:w="11900" w:h="16840"/>
          <w:pgMar w:top="1400" w:right="471" w:bottom="1712" w:left="1095" w:header="0" w:footer="3" w:gutter="0"/>
          <w:cols w:space="720"/>
          <w:noEndnote/>
          <w:rtlGutter w:val="0"/>
          <w:docGrid w:linePitch="360"/>
        </w:sectPr>
      </w:pPr>
      <w:r>
        <w:rPr>
          <w:color w:val="000000"/>
          <w:spacing w:val="0"/>
          <w:w w:val="100"/>
          <w:position w:val="0"/>
        </w:rPr>
        <w:t>单位：股</w:t>
      </w:r>
    </w:p>
    <w:tbl>
      <w:tblPr>
        <w:tblOverlap w:val="never"/>
        <w:jc w:val="center"/>
        <w:tblLayout w:type="fixed"/>
      </w:tblPr>
      <w:tblGrid>
        <w:gridCol w:w="715"/>
        <w:gridCol w:w="1469"/>
        <w:gridCol w:w="518"/>
        <w:gridCol w:w="432"/>
        <w:gridCol w:w="418"/>
        <w:gridCol w:w="1560"/>
        <w:gridCol w:w="1570"/>
        <w:gridCol w:w="1123"/>
        <w:gridCol w:w="864"/>
        <w:gridCol w:w="850"/>
        <w:gridCol w:w="854"/>
        <w:gridCol w:w="950"/>
        <w:gridCol w:w="1181"/>
        <w:gridCol w:w="1478"/>
      </w:tblGrid>
      <w:tr>
        <w:trPr>
          <w:trHeight w:val="139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任职</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期初持股数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被授予的</w:t>
            </w:r>
          </w:p>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第二类限</w:t>
            </w:r>
          </w:p>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制性股票</w:t>
            </w:r>
          </w:p>
          <w:p>
            <w:pPr>
              <w:pStyle w:val="Style6"/>
              <w:keepNext w:val="0"/>
              <w:keepLines w:val="0"/>
              <w:widowControl w:val="0"/>
              <w:shd w:val="clear" w:color="auto" w:fill="auto"/>
              <w:bidi w:val="0"/>
              <w:spacing w:before="0" w:after="100" w:line="240" w:lineRule="auto"/>
              <w:ind w:left="0" w:right="220" w:firstLine="0"/>
              <w:jc w:val="right"/>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本期增持</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本期减持</w:t>
            </w:r>
          </w:p>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股份数量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公积金转增</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期末持股数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股份增减变动的 原因</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1,772,092,973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354,418,595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2,126,501,568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2020</w:t>
            </w:r>
            <w:r>
              <w:rPr>
                <w:rFonts w:ascii="SimSun" w:eastAsia="SimSun" w:hAnsi="SimSun" w:cs="SimSun"/>
                <w:color w:val="000000"/>
                <w:spacing w:val="0"/>
                <w:w w:val="100"/>
                <w:position w:val="0"/>
              </w:rPr>
              <w:t>年度权 益分派、误减持</w:t>
            </w:r>
          </w:p>
        </w:tc>
      </w:tr>
      <w:tr>
        <w:trPr>
          <w:trHeight w:val="72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郑立坤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副董事长、总经 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2021</w:t>
            </w:r>
            <w:r>
              <w:rPr>
                <w:rFonts w:ascii="SimSun" w:eastAsia="SimSun" w:hAnsi="SimSun" w:cs="SimSun"/>
                <w:color w:val="000000"/>
                <w:spacing w:val="0"/>
                <w:w w:val="100"/>
                <w:position w:val="0"/>
              </w:rPr>
              <w:t>年限制 性股票激励计划</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副董事长、副总 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2021</w:t>
            </w:r>
            <w:r>
              <w:rPr>
                <w:rFonts w:ascii="SimSun" w:eastAsia="SimSun" w:hAnsi="SimSun" w:cs="SimSun"/>
                <w:color w:val="000000"/>
                <w:spacing w:val="0"/>
                <w:w w:val="100"/>
                <w:position w:val="0"/>
              </w:rPr>
              <w:t>年限制 性股票激励计划</w:t>
            </w:r>
          </w:p>
        </w:tc>
      </w:tr>
      <w:tr>
        <w:trPr>
          <w:trHeight w:val="10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黄建海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董事、副总经 理、财务总监、 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2021</w:t>
            </w:r>
            <w:r>
              <w:rPr>
                <w:rFonts w:ascii="SimSun" w:eastAsia="SimSun" w:hAnsi="SimSun" w:cs="SimSun"/>
                <w:color w:val="000000"/>
                <w:spacing w:val="0"/>
                <w:w w:val="100"/>
                <w:position w:val="0"/>
              </w:rPr>
              <w:t>年限制 性股票激励计划</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程磊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12,451,623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2,490,325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14,941,948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2020</w:t>
            </w:r>
            <w:r>
              <w:rPr>
                <w:rFonts w:ascii="SimSun" w:eastAsia="SimSun" w:hAnsi="SimSun" w:cs="SimSun"/>
                <w:color w:val="000000"/>
                <w:spacing w:val="0"/>
                <w:w w:val="100"/>
                <w:position w:val="0"/>
              </w:rPr>
              <w:t xml:space="preserve">年度权 益分派、公司 </w:t>
            </w:r>
            <w:r>
              <w:rPr>
                <w:color w:val="000000"/>
                <w:spacing w:val="0"/>
                <w:w w:val="100"/>
                <w:position w:val="0"/>
              </w:rPr>
              <w:t>2021</w:t>
            </w:r>
            <w:r>
              <w:rPr>
                <w:rFonts w:ascii="SimSun" w:eastAsia="SimSun" w:hAnsi="SimSun" w:cs="SimSun"/>
                <w:color w:val="000000"/>
                <w:spacing w:val="0"/>
                <w:w w:val="100"/>
                <w:position w:val="0"/>
              </w:rPr>
              <w:t>年限制性股 票激励计划</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合规总监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w:t>
            </w:r>
            <w:r>
              <w:rPr>
                <w:color w:val="000000"/>
                <w:spacing w:val="0"/>
                <w:w w:val="100"/>
                <w:position w:val="0"/>
              </w:rPr>
              <w:t>2021</w:t>
            </w:r>
            <w:r>
              <w:rPr>
                <w:rFonts w:ascii="SimSun" w:eastAsia="SimSun" w:hAnsi="SimSun" w:cs="SimSun"/>
                <w:color w:val="000000"/>
                <w:spacing w:val="0"/>
                <w:w w:val="100"/>
                <w:position w:val="0"/>
              </w:rPr>
              <w:t>年限制</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性股票激励计</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划、减持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夏立军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鲍一青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90,414,193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17,682,839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106,097,032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2020</w:t>
            </w:r>
            <w:r>
              <w:rPr>
                <w:rFonts w:ascii="SimSun" w:eastAsia="SimSun" w:hAnsi="SimSun" w:cs="SimSun"/>
                <w:color w:val="000000"/>
                <w:spacing w:val="0"/>
                <w:w w:val="100"/>
                <w:position w:val="0"/>
              </w:rPr>
              <w:t>年度权 益分派、减持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黄丽鸣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蔡玮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职工代表监事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1469"/>
        <w:gridCol w:w="518"/>
        <w:gridCol w:w="432"/>
        <w:gridCol w:w="418"/>
        <w:gridCol w:w="1560"/>
        <w:gridCol w:w="1570"/>
        <w:gridCol w:w="1123"/>
        <w:gridCol w:w="864"/>
        <w:gridCol w:w="850"/>
        <w:gridCol w:w="854"/>
        <w:gridCol w:w="950"/>
        <w:gridCol w:w="1181"/>
        <w:gridCol w:w="1478"/>
      </w:tblGrid>
      <w:tr>
        <w:trPr>
          <w:trHeight w:val="13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78,968,724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15,793,745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94,762,469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2020</w:t>
            </w:r>
            <w:r>
              <w:rPr>
                <w:rFonts w:ascii="SimSun" w:eastAsia="SimSun" w:hAnsi="SimSun" w:cs="SimSun"/>
                <w:color w:val="000000"/>
                <w:spacing w:val="0"/>
                <w:w w:val="100"/>
                <w:position w:val="0"/>
              </w:rPr>
              <w:t xml:space="preserve">年度权 益分派、公司 </w:t>
            </w:r>
            <w:r>
              <w:rPr>
                <w:color w:val="000000"/>
                <w:spacing w:val="0"/>
                <w:w w:val="100"/>
                <w:position w:val="0"/>
              </w:rPr>
              <w:t>2021</w:t>
            </w:r>
            <w:r>
              <w:rPr>
                <w:rFonts w:ascii="SimSun" w:eastAsia="SimSun" w:hAnsi="SimSun" w:cs="SimSun"/>
                <w:color w:val="000000"/>
                <w:spacing w:val="0"/>
                <w:w w:val="100"/>
                <w:position w:val="0"/>
              </w:rPr>
              <w:t>年限制性股 票激励计划</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陆威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董事、副总经 理、财务总监、 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16,647,494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4,966,896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3,329,499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15,010,097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2020</w:t>
            </w:r>
            <w:r>
              <w:rPr>
                <w:rFonts w:ascii="SimSun" w:eastAsia="SimSun" w:hAnsi="SimSun" w:cs="SimSun"/>
                <w:color w:val="000000"/>
                <w:spacing w:val="0"/>
                <w:w w:val="100"/>
                <w:position w:val="0"/>
              </w:rPr>
              <w:t>年度权 益分派、减持</w:t>
            </w:r>
          </w:p>
        </w:tc>
      </w:tr>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1,970,597,507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6,999,396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393,715,003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2,357,313,114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footnotePr>
            <w:pos w:val="pageBottom"/>
            <w:numFmt w:val="upperRoman"/>
            <w:numStart w:val="1"/>
            <w:numRestart w:val="continuous"/>
            <w15:footnoteColumns w:val="1"/>
          </w:footnotePr>
          <w:pgSz w:w="16840" w:h="11900" w:orient="landscape"/>
          <w:pgMar w:top="1287" w:right="1429" w:bottom="1354" w:left="1429" w:header="0" w:footer="3" w:gutter="0"/>
          <w:cols w:space="720"/>
          <w:noEndnote/>
          <w:rtlGutter w:val="0"/>
          <w:docGrid w:linePitch="360"/>
        </w:sectPr>
      </w:pPr>
    </w:p>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吻东方财富</w:t>
      </w:r>
    </w:p>
    <w:p>
      <w:pPr>
        <w:pStyle w:val="Style37"/>
        <w:keepNext w:val="0"/>
        <w:keepLines w:val="0"/>
        <w:widowControl w:val="0"/>
        <w:shd w:val="clear" w:color="auto" w:fill="auto"/>
        <w:bidi w:val="0"/>
        <w:spacing w:before="0" w:after="160"/>
        <w:ind w:left="0" w:right="0" w:firstLine="440"/>
        <w:jc w:val="both"/>
      </w:pPr>
      <w:r>
        <w:rPr>
          <w:spacing w:val="0"/>
          <w:w w:val="100"/>
          <w:position w:val="0"/>
        </w:rPr>
        <w:t>eastmoney.com</w:t>
      </w:r>
    </w:p>
    <w:p>
      <w:pPr>
        <w:pStyle w:val="Style24"/>
        <w:keepNext w:val="0"/>
        <w:keepLines w:val="0"/>
        <w:widowControl w:val="0"/>
        <w:shd w:val="clear" w:color="auto" w:fill="auto"/>
        <w:bidi w:val="0"/>
        <w:spacing w:before="0" w:after="160" w:line="322" w:lineRule="exact"/>
        <w:ind w:left="0" w:right="0" w:firstLine="0"/>
        <w:jc w:val="left"/>
      </w:pPr>
      <w:r>
        <w:rPr>
          <w:color w:val="000000"/>
          <w:spacing w:val="0"/>
          <w:w w:val="100"/>
          <w:position w:val="0"/>
        </w:rPr>
        <w:t>报告期是否存在任期内董事、监事离任和高级管理人员解聘的情况</w:t>
      </w:r>
    </w:p>
    <w:p>
      <w:pPr>
        <w:pStyle w:val="Style24"/>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41"/>
        <w:keepNext w:val="0"/>
        <w:keepLines w:val="0"/>
        <w:widowControl w:val="0"/>
        <w:shd w:val="clear" w:color="auto" w:fill="auto"/>
        <w:tabs>
          <w:tab w:pos="579" w:val="left"/>
        </w:tabs>
        <w:bidi w:val="0"/>
        <w:spacing w:before="0" w:after="0" w:line="326" w:lineRule="exact"/>
        <w:ind w:left="0" w:right="0" w:firstLine="0"/>
        <w:jc w:val="left"/>
      </w:pPr>
      <w:bookmarkStart w:id="364" w:name="bookmark364"/>
      <w:r>
        <w:rPr>
          <w:color w:val="000000"/>
          <w:spacing w:val="0"/>
          <w:w w:val="100"/>
          <w:position w:val="0"/>
        </w:rPr>
        <w:t>（</w:t>
      </w:r>
      <w:bookmarkEnd w:id="364"/>
      <w:r>
        <w:rPr>
          <w:rFonts w:ascii="Times New Roman" w:eastAsia="Times New Roman" w:hAnsi="Times New Roman" w:cs="Times New Roman"/>
          <w:color w:val="000000"/>
          <w:spacing w:val="0"/>
          <w:w w:val="100"/>
          <w:position w:val="0"/>
        </w:rPr>
        <w:t>1</w:t>
      </w:r>
      <w:r>
        <w:rPr>
          <w:color w:val="000000"/>
          <w:spacing w:val="0"/>
          <w:w w:val="100"/>
          <w:position w:val="0"/>
        </w:rPr>
        <w:t>）</w:t>
        <w:tab/>
        <w:t>因工作调整，其实先生辞去公司总经理职务，原定任期届满日为</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日。其实先生辞去总经理职 务后，继续担任公司董事长及董事会战略委员会主任委员、提名委员会及薪酬与考核委员会委员职务。</w:t>
      </w:r>
    </w:p>
    <w:p>
      <w:pPr>
        <w:pStyle w:val="Style41"/>
        <w:keepNext w:val="0"/>
        <w:keepLines w:val="0"/>
        <w:widowControl w:val="0"/>
        <w:shd w:val="clear" w:color="auto" w:fill="auto"/>
        <w:tabs>
          <w:tab w:pos="469" w:val="left"/>
        </w:tabs>
        <w:bidi w:val="0"/>
        <w:spacing w:before="0" w:after="0" w:line="317" w:lineRule="exact"/>
        <w:ind w:left="0" w:right="0" w:firstLine="0"/>
        <w:jc w:val="left"/>
      </w:pPr>
      <w:bookmarkStart w:id="365" w:name="bookmark365"/>
      <w:r>
        <w:rPr>
          <w:color w:val="000000"/>
          <w:spacing w:val="0"/>
          <w:w w:val="100"/>
          <w:position w:val="0"/>
        </w:rPr>
        <w:t>（</w:t>
      </w:r>
      <w:bookmarkEnd w:id="365"/>
      <w:r>
        <w:rPr>
          <w:rFonts w:ascii="Times New Roman" w:eastAsia="Times New Roman" w:hAnsi="Times New Roman" w:cs="Times New Roman"/>
          <w:color w:val="000000"/>
          <w:spacing w:val="0"/>
          <w:w w:val="100"/>
          <w:position w:val="0"/>
        </w:rPr>
        <w:t>2</w:t>
      </w:r>
      <w:r>
        <w:rPr>
          <w:color w:val="000000"/>
          <w:spacing w:val="0"/>
          <w:w w:val="100"/>
          <w:position w:val="0"/>
        </w:rPr>
        <w:t>）</w:t>
        <w:tab/>
        <w:t>因工作调整，史佳先生辞去公司董事职务，原定任期届满日为</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p>
      <w:pPr>
        <w:pStyle w:val="Style41"/>
        <w:keepNext w:val="0"/>
        <w:keepLines w:val="0"/>
        <w:widowControl w:val="0"/>
        <w:shd w:val="clear" w:color="auto" w:fill="auto"/>
        <w:bidi w:val="0"/>
        <w:spacing w:before="0" w:after="240" w:line="317" w:lineRule="exact"/>
        <w:ind w:left="0" w:right="0" w:firstLine="0"/>
        <w:jc w:val="left"/>
      </w:pPr>
      <w:bookmarkStart w:id="366" w:name="bookmark366"/>
      <w:r>
        <w:rPr>
          <w:color w:val="000000"/>
          <w:spacing w:val="0"/>
          <w:w w:val="100"/>
          <w:position w:val="0"/>
        </w:rPr>
        <w:t>（</w:t>
      </w:r>
      <w:bookmarkEnd w:id="366"/>
      <w:r>
        <w:rPr>
          <w:rFonts w:ascii="Times New Roman" w:eastAsia="Times New Roman" w:hAnsi="Times New Roman" w:cs="Times New Roman"/>
          <w:color w:val="000000"/>
          <w:spacing w:val="0"/>
          <w:w w:val="100"/>
          <w:position w:val="0"/>
        </w:rPr>
        <w:t>3</w:t>
      </w:r>
      <w:r>
        <w:rPr>
          <w:color w:val="000000"/>
          <w:spacing w:val="0"/>
          <w:w w:val="100"/>
          <w:position w:val="0"/>
        </w:rPr>
        <w:t>） 因工作调整，陆威先生辞去公司董事、副总经理、财务总监、董事会秘书职务，上述职务原定任期届满 日为</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公司董事、监事、高级管理人员变动情况</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30"/>
        <w:gridCol w:w="1699"/>
        <w:gridCol w:w="710"/>
        <w:gridCol w:w="1843"/>
        <w:gridCol w:w="452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郑立坤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第五届董事会第十二次会议聘任为总经理</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黄建海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第五届董事会第十二次会议聘任为副总经理、财务总监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郑立坤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年年度股东大会选举为董事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黄建海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年年度股东大会选举为董事</w:t>
            </w:r>
          </w:p>
        </w:tc>
      </w:tr>
      <w:tr>
        <w:trPr>
          <w:trHeight w:val="3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郑立坤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第五届董事会第十三次会议选举为副董事长</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黄建海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第五届董事会第十六次会议聘任为董事会秘书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合规总监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第五届董事会第十六次会议聘任为合规总监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工作调整</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陆威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副总经理、财务总 监、董事会秘书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工作调整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陆威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工作调整</w:t>
            </w:r>
          </w:p>
        </w:tc>
      </w:tr>
      <w:tr>
        <w:trPr>
          <w:trHeight w:val="39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董事、副董事长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工作调整</w:t>
            </w:r>
          </w:p>
        </w:tc>
      </w:tr>
    </w:tbl>
    <w:p>
      <w:pPr>
        <w:widowControl w:val="0"/>
        <w:spacing w:after="239" w:line="1" w:lineRule="exact"/>
      </w:pPr>
    </w:p>
    <w:p>
      <w:pPr>
        <w:pStyle w:val="Style32"/>
        <w:keepNext/>
        <w:keepLines/>
        <w:widowControl w:val="0"/>
        <w:shd w:val="clear" w:color="auto" w:fill="auto"/>
        <w:bidi w:val="0"/>
        <w:spacing w:before="0" w:after="380" w:line="318" w:lineRule="exact"/>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2</w:t>
      </w:r>
      <w:bookmarkEnd w:id="369"/>
      <w:r>
        <w:rPr>
          <w:color w:val="000000"/>
          <w:spacing w:val="0"/>
          <w:w w:val="100"/>
          <w:position w:val="0"/>
        </w:rPr>
        <w:t>、任职情况</w:t>
      </w:r>
      <w:bookmarkEnd w:id="367"/>
      <w:bookmarkEnd w:id="368"/>
      <w:bookmarkEnd w:id="370"/>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2"/>
        <w:keepNext/>
        <w:keepLines/>
        <w:widowControl w:val="0"/>
        <w:shd w:val="clear" w:color="auto" w:fill="auto"/>
        <w:bidi w:val="0"/>
        <w:spacing w:before="0" w:after="240" w:line="318" w:lineRule="exact"/>
        <w:ind w:left="0" w:right="0" w:firstLine="440"/>
        <w:jc w:val="both"/>
      </w:pPr>
      <w:bookmarkStart w:id="371" w:name="bookmark371"/>
      <w:bookmarkStart w:id="372" w:name="bookmark372"/>
      <w:bookmarkStart w:id="373" w:name="bookmark373"/>
      <w:bookmarkStart w:id="374" w:name="bookmark374"/>
      <w:r>
        <w:rPr>
          <w:color w:val="000000"/>
          <w:spacing w:val="0"/>
          <w:w w:val="100"/>
          <w:position w:val="0"/>
        </w:rPr>
        <w:t>（</w:t>
      </w:r>
      <w:bookmarkEnd w:id="373"/>
      <w:r>
        <w:rPr>
          <w:rFonts w:ascii="Times New Roman" w:eastAsia="Times New Roman" w:hAnsi="Times New Roman" w:cs="Times New Roman"/>
          <w:color w:val="000000"/>
          <w:spacing w:val="0"/>
          <w:w w:val="100"/>
          <w:position w:val="0"/>
        </w:rPr>
        <w:t>1</w:t>
      </w:r>
      <w:r>
        <w:rPr>
          <w:color w:val="000000"/>
          <w:spacing w:val="0"/>
          <w:w w:val="100"/>
          <w:position w:val="0"/>
        </w:rPr>
        <w:t>）董事会成员</w:t>
      </w:r>
      <w:bookmarkEnd w:id="371"/>
      <w:bookmarkEnd w:id="372"/>
      <w:bookmarkEnd w:id="374"/>
    </w:p>
    <w:p>
      <w:pPr>
        <w:pStyle w:val="Style32"/>
        <w:keepNext/>
        <w:keepLines/>
        <w:widowControl w:val="0"/>
        <w:shd w:val="clear" w:color="auto" w:fill="auto"/>
        <w:bidi w:val="0"/>
        <w:spacing w:before="0" w:after="0" w:line="240" w:lineRule="auto"/>
        <w:ind w:left="0" w:right="0" w:firstLine="440"/>
        <w:jc w:val="both"/>
      </w:pPr>
      <w:bookmarkStart w:id="371" w:name="bookmark371"/>
      <w:bookmarkStart w:id="372" w:name="bookmark372"/>
      <w:bookmarkStart w:id="375" w:name="bookmark375"/>
      <w:r>
        <w:rPr>
          <w:color w:val="000000"/>
          <w:spacing w:val="0"/>
          <w:w w:val="100"/>
          <w:position w:val="0"/>
        </w:rPr>
        <w:t>其实先生，中国国籍</w:t>
      </w:r>
      <w:bookmarkEnd w:id="371"/>
      <w:bookmarkEnd w:id="372"/>
      <w:bookmarkEnd w:id="375"/>
    </w:p>
    <w:p>
      <w:pPr>
        <w:pStyle w:val="Style41"/>
        <w:keepNext w:val="0"/>
        <w:keepLines w:val="0"/>
        <w:widowControl w:val="0"/>
        <w:shd w:val="clear" w:color="auto" w:fill="auto"/>
        <w:bidi w:val="0"/>
        <w:spacing w:before="0" w:after="0" w:line="318" w:lineRule="exact"/>
        <w:ind w:left="0" w:right="0" w:firstLine="440"/>
        <w:jc w:val="both"/>
      </w:pP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月生，本科毕业于上海交通大学，复旦大学博士研究生学历、博士学位，现任本公司董事长。 其实先生目前担任全国政协委员、中国民主建国会中央委员、中国证券投资基金业协会副会长、上海市青 年五十人创新创业研究院理事长、上海市信息化青年人才协会会长等社会职务。</w:t>
      </w:r>
    </w:p>
    <w:p>
      <w:pPr>
        <w:pStyle w:val="Style32"/>
        <w:keepNext/>
        <w:keepLines/>
        <w:widowControl w:val="0"/>
        <w:shd w:val="clear" w:color="auto" w:fill="auto"/>
        <w:bidi w:val="0"/>
        <w:spacing w:before="0" w:after="0" w:line="318" w:lineRule="exact"/>
        <w:ind w:left="0" w:right="0" w:firstLine="440"/>
        <w:jc w:val="both"/>
      </w:pPr>
      <w:bookmarkStart w:id="376" w:name="bookmark376"/>
      <w:bookmarkStart w:id="377" w:name="bookmark377"/>
      <w:bookmarkStart w:id="378" w:name="bookmark378"/>
      <w:r>
        <w:rPr>
          <w:color w:val="000000"/>
          <w:spacing w:val="0"/>
          <w:w w:val="100"/>
          <w:position w:val="0"/>
        </w:rPr>
        <w:t>郑立坤先生，中国国籍</w:t>
      </w:r>
      <w:bookmarkEnd w:id="376"/>
      <w:bookmarkEnd w:id="377"/>
      <w:bookmarkEnd w:id="378"/>
    </w:p>
    <w:p>
      <w:pPr>
        <w:pStyle w:val="Style41"/>
        <w:keepNext w:val="0"/>
        <w:keepLines w:val="0"/>
        <w:widowControl w:val="0"/>
        <w:shd w:val="clear" w:color="auto" w:fill="auto"/>
        <w:bidi w:val="0"/>
        <w:spacing w:before="0" w:after="0" w:line="318" w:lineRule="exact"/>
        <w:ind w:left="0" w:right="0" w:firstLine="440"/>
        <w:jc w:val="both"/>
      </w:pP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月生，中国国籍，本科学历，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月加入本公司，曾任上海恒生聚源数据服务有限公司资 深软件工程师，海南港澳资讯产业股份有限公司项目经理，公司机构产品部负责人、产品技术负责人，东 方财富证券副董事长、副总经理、首席信息官、总经理。现任东方财富证券董事长，本公司副董事长、总 经理。</w:t>
      </w:r>
    </w:p>
    <w:p>
      <w:pPr>
        <w:pStyle w:val="Style32"/>
        <w:keepNext/>
        <w:keepLines/>
        <w:widowControl w:val="0"/>
        <w:shd w:val="clear" w:color="auto" w:fill="auto"/>
        <w:bidi w:val="0"/>
        <w:spacing w:before="0" w:after="0" w:line="318" w:lineRule="exact"/>
        <w:ind w:left="0" w:right="0" w:firstLine="440"/>
        <w:jc w:val="both"/>
      </w:pPr>
      <w:bookmarkStart w:id="379" w:name="bookmark379"/>
      <w:bookmarkStart w:id="380" w:name="bookmark380"/>
      <w:bookmarkStart w:id="381" w:name="bookmark381"/>
      <w:r>
        <w:rPr>
          <w:color w:val="000000"/>
          <w:spacing w:val="0"/>
          <w:w w:val="100"/>
          <w:position w:val="0"/>
        </w:rPr>
        <w:t>陈凯先生，中国国籍</w:t>
      </w:r>
      <w:bookmarkEnd w:id="379"/>
      <w:bookmarkEnd w:id="380"/>
      <w:bookmarkEnd w:id="381"/>
    </w:p>
    <w:p>
      <w:pPr>
        <w:pStyle w:val="Style41"/>
        <w:keepNext w:val="0"/>
        <w:keepLines w:val="0"/>
        <w:widowControl w:val="0"/>
        <w:shd w:val="clear" w:color="auto" w:fill="auto"/>
        <w:bidi w:val="0"/>
        <w:spacing w:before="0" w:after="160" w:line="318" w:lineRule="exact"/>
        <w:ind w:left="0" w:right="0" w:firstLine="440"/>
        <w:jc w:val="both"/>
        <w:sectPr>
          <w:footnotePr>
            <w:pos w:val="pageBottom"/>
            <w:numFmt w:val="upperRoman"/>
            <w:numStart w:val="1"/>
            <w:numRestart w:val="continuous"/>
            <w15:footnoteColumns w:val="1"/>
          </w:footnotePr>
          <w:pgSz w:w="11900" w:h="16840"/>
          <w:pgMar w:top="824" w:right="1075" w:bottom="1150" w:left="110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月生，工学博士，全国政协第十一届委员，全国青联第十一届常委。</w:t>
      </w:r>
      <w:r>
        <w:rPr>
          <w:rFonts w:ascii="Times New Roman" w:eastAsia="Times New Roman" w:hAnsi="Times New Roman" w:cs="Times New Roman"/>
          <w:color w:val="000000"/>
          <w:spacing w:val="0"/>
          <w:w w:val="100"/>
          <w:position w:val="0"/>
        </w:rPr>
        <w:t>1997</w:t>
      </w:r>
      <w:r>
        <w:rPr>
          <w:color w:val="000000"/>
          <w:spacing w:val="0"/>
          <w:w w:val="100"/>
          <w:position w:val="0"/>
        </w:rPr>
        <w:t>年进入长江计算机</w:t>
      </w:r>
    </w:p>
    <w:p>
      <w:pPr>
        <w:pStyle w:val="Style41"/>
        <w:keepNext w:val="0"/>
        <w:keepLines w:val="0"/>
        <w:widowControl w:val="0"/>
        <w:shd w:val="clear" w:color="auto" w:fill="auto"/>
        <w:bidi w:val="0"/>
        <w:spacing w:before="140" w:after="0" w:line="315" w:lineRule="exact"/>
        <w:ind w:left="0" w:right="0" w:firstLine="0"/>
        <w:jc w:val="both"/>
      </w:pPr>
      <w:r>
        <w:rPr>
          <w:color w:val="000000"/>
          <w:spacing w:val="0"/>
          <w:w w:val="100"/>
          <w:position w:val="0"/>
        </w:rPr>
        <w:t>集团公司工作，曾任集团二级企业部门经理、副总经理、长江计算机集团公司副总工程师兼下属上海长江 科技发展有限公司总经理，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月进入共青团上海市委员会工作，曾任团市委副书记、市青联主席、上 海青年干部管理学院院长等职务，</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月进入上海市人民政府外事办公室工作，曾任市外办副主任、 </w:t>
      </w:r>
      <w:r>
        <w:rPr>
          <w:rFonts w:ascii="Times New Roman" w:eastAsia="Times New Roman" w:hAnsi="Times New Roman" w:cs="Times New Roman"/>
          <w:color w:val="000000"/>
          <w:spacing w:val="0"/>
          <w:w w:val="100"/>
          <w:position w:val="0"/>
        </w:rPr>
        <w:t>IBLAC</w:t>
      </w:r>
      <w:r>
        <w:rPr>
          <w:color w:val="000000"/>
          <w:spacing w:val="0"/>
          <w:w w:val="100"/>
          <w:position w:val="0"/>
        </w:rPr>
        <w:t>秘书长等职务。现任本公司副董事长、副总经理及参股公司中证信用云科技（深圳）股份有限公司 副董事长，上海农村商业银行股份有限公司独立董事。</w:t>
      </w:r>
    </w:p>
    <w:p>
      <w:pPr>
        <w:pStyle w:val="Style41"/>
        <w:keepNext w:val="0"/>
        <w:keepLines w:val="0"/>
        <w:widowControl w:val="0"/>
        <w:shd w:val="clear" w:color="auto" w:fill="auto"/>
        <w:bidi w:val="0"/>
        <w:spacing w:before="0" w:after="0" w:line="315" w:lineRule="exact"/>
        <w:ind w:left="0" w:right="0" w:firstLine="440"/>
        <w:jc w:val="both"/>
      </w:pPr>
      <w:r>
        <w:rPr>
          <w:b/>
          <w:bCs/>
          <w:color w:val="000000"/>
          <w:spacing w:val="0"/>
          <w:w w:val="100"/>
          <w:position w:val="0"/>
        </w:rPr>
        <w:t>黄建海女士，中国国籍</w:t>
      </w:r>
    </w:p>
    <w:p>
      <w:pPr>
        <w:pStyle w:val="Style41"/>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月生，本科毕业于上海交通大学，哈佛商学院工商管理硕士学历</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拥有中国注册会计 师资格。曾任职于普华永道中天会计师事务所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Merrill Lynch （Asia Pacific） Limited</w:t>
      </w:r>
      <w:r>
        <w:rPr>
          <w:color w:val="000000"/>
          <w:spacing w:val="0"/>
          <w:w w:val="100"/>
          <w:position w:val="0"/>
        </w:rPr>
        <w:t xml:space="preserve">&gt; </w:t>
      </w:r>
      <w:r>
        <w:rPr>
          <w:rFonts w:ascii="Times New Roman" w:eastAsia="Times New Roman" w:hAnsi="Times New Roman" w:cs="Times New Roman"/>
          <w:color w:val="000000"/>
          <w:spacing w:val="0"/>
          <w:w w:val="100"/>
          <w:position w:val="0"/>
        </w:rPr>
        <w:t>Lehman Brothers Asia Limited</w:t>
      </w:r>
      <w:r>
        <w:rPr>
          <w:color w:val="000000"/>
          <w:spacing w:val="0"/>
          <w:w w:val="100"/>
          <w:position w:val="0"/>
        </w:rPr>
        <w:t>、</w:t>
      </w:r>
      <w:r>
        <w:rPr>
          <w:color w:val="000000"/>
          <w:spacing w:val="0"/>
          <w:w w:val="100"/>
          <w:position w:val="0"/>
        </w:rPr>
        <w:t>绿城资产管理集团有限公司、绿城建筑科技集团有限公司等公司。现任本公司董事、 副总经理、财务总监、董事会秘书。</w:t>
      </w:r>
    </w:p>
    <w:p>
      <w:pPr>
        <w:pStyle w:val="Style41"/>
        <w:keepNext w:val="0"/>
        <w:keepLines w:val="0"/>
        <w:widowControl w:val="0"/>
        <w:shd w:val="clear" w:color="auto" w:fill="auto"/>
        <w:bidi w:val="0"/>
        <w:spacing w:before="0" w:after="0" w:line="315" w:lineRule="exact"/>
        <w:ind w:left="0" w:right="0" w:firstLine="440"/>
        <w:jc w:val="both"/>
      </w:pPr>
      <w:r>
        <w:rPr>
          <w:b/>
          <w:bCs/>
          <w:color w:val="000000"/>
          <w:spacing w:val="0"/>
          <w:w w:val="100"/>
          <w:position w:val="0"/>
        </w:rPr>
        <w:t>陈贵先生，中国国籍</w:t>
      </w:r>
    </w:p>
    <w:p>
      <w:pPr>
        <w:pStyle w:val="Style41"/>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月生，博士学历，现任北京安杰（上海）律师事务所律师</w:t>
      </w:r>
      <w:r>
        <w:rPr>
          <w:rFonts w:ascii="Times New Roman" w:eastAsia="Times New Roman" w:hAnsi="Times New Roman" w:cs="Times New Roman"/>
          <w:color w:val="000000"/>
          <w:spacing w:val="0"/>
          <w:w w:val="100"/>
          <w:position w:val="0"/>
        </w:rPr>
        <w:t>/</w:t>
      </w:r>
      <w:r>
        <w:rPr>
          <w:color w:val="000000"/>
          <w:spacing w:val="0"/>
          <w:w w:val="100"/>
          <w:position w:val="0"/>
        </w:rPr>
        <w:t>合伙人，曾先后在华欧国际证券有 限责任公司（后更名为财富里昂证券有限责任公司）、摩根士丹利华鑫证券有限责任公司、北京大成（上 海）律师事务所、上海市瑛明律师事务所等单位工作。</w:t>
      </w:r>
    </w:p>
    <w:p>
      <w:pPr>
        <w:pStyle w:val="Style41"/>
        <w:keepNext w:val="0"/>
        <w:keepLines w:val="0"/>
        <w:widowControl w:val="0"/>
        <w:shd w:val="clear" w:color="auto" w:fill="auto"/>
        <w:bidi w:val="0"/>
        <w:spacing w:before="0" w:after="0" w:line="316" w:lineRule="exact"/>
        <w:ind w:left="0" w:right="0" w:firstLine="440"/>
        <w:jc w:val="left"/>
      </w:pPr>
      <w:r>
        <w:rPr>
          <w:b/>
          <w:bCs/>
          <w:color w:val="000000"/>
          <w:spacing w:val="0"/>
          <w:w w:val="100"/>
          <w:position w:val="0"/>
        </w:rPr>
        <w:t>夏立军先生，中国国籍</w:t>
      </w:r>
    </w:p>
    <w:p>
      <w:pPr>
        <w:pStyle w:val="Style41"/>
        <w:keepNext w:val="0"/>
        <w:keepLines w:val="0"/>
        <w:widowControl w:val="0"/>
        <w:shd w:val="clear" w:color="auto" w:fill="auto"/>
        <w:bidi w:val="0"/>
        <w:spacing w:before="0" w:after="140" w:line="316" w:lineRule="exact"/>
        <w:ind w:left="0" w:right="0" w:firstLine="440"/>
        <w:jc w:val="both"/>
      </w:pP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月生，现任上海交通大学安泰经济与管理学院教授、博士生导师、会计系主任。获上海财经大 学管理学（会计学）博士学位，并拥有中国注册会计师资格。曾任上海财经大学会计学院讲师、硕士生导 师、教授、博士生导师、教授委员会委员等职务。兼任中国会计学会会计教育分会常务理事、中国审计学 会理事、上海市会计学会常务理事、浙江盛泰服装集团股份有限公司独立董事、上海三友医疗器械股份有 限公司独立董事、华泰保兴基金管理有限公司独立董事、深圳惠泰医疗器械股份有限公司独立董事、上海 同济科技实业股份有限公司独立董事、东方证券股份有限公司独立监事等职务。</w:t>
      </w:r>
    </w:p>
    <w:p>
      <w:pPr>
        <w:pStyle w:val="Style32"/>
        <w:keepNext/>
        <w:keepLines/>
        <w:widowControl w:val="0"/>
        <w:shd w:val="clear" w:color="auto" w:fill="auto"/>
        <w:tabs>
          <w:tab w:pos="962" w:val="left"/>
        </w:tabs>
        <w:bidi w:val="0"/>
        <w:spacing w:before="0" w:after="140" w:line="315" w:lineRule="exact"/>
        <w:ind w:left="0" w:right="0" w:firstLine="440"/>
        <w:jc w:val="both"/>
      </w:pPr>
      <w:bookmarkStart w:id="382" w:name="bookmark382"/>
      <w:bookmarkStart w:id="383" w:name="bookmark383"/>
      <w:bookmarkStart w:id="384" w:name="bookmark384"/>
      <w:bookmarkStart w:id="385" w:name="bookmark385"/>
      <w:r>
        <w:rPr>
          <w:color w:val="000000"/>
          <w:spacing w:val="0"/>
          <w:w w:val="100"/>
          <w:position w:val="0"/>
        </w:rPr>
        <w:t>（</w:t>
      </w:r>
      <w:bookmarkEnd w:id="384"/>
      <w:r>
        <w:rPr>
          <w:rFonts w:ascii="Times New Roman" w:eastAsia="Times New Roman" w:hAnsi="Times New Roman" w:cs="Times New Roman"/>
          <w:color w:val="000000"/>
          <w:spacing w:val="0"/>
          <w:w w:val="100"/>
          <w:position w:val="0"/>
        </w:rPr>
        <w:t>2</w:t>
      </w:r>
      <w:r>
        <w:rPr>
          <w:color w:val="000000"/>
          <w:spacing w:val="0"/>
          <w:w w:val="100"/>
          <w:position w:val="0"/>
        </w:rPr>
        <w:t>）</w:t>
        <w:tab/>
        <w:t>监事会成员</w:t>
      </w:r>
      <w:bookmarkEnd w:id="382"/>
      <w:bookmarkEnd w:id="383"/>
      <w:bookmarkEnd w:id="385"/>
    </w:p>
    <w:p>
      <w:pPr>
        <w:pStyle w:val="Style32"/>
        <w:keepNext/>
        <w:keepLines/>
        <w:widowControl w:val="0"/>
        <w:shd w:val="clear" w:color="auto" w:fill="auto"/>
        <w:bidi w:val="0"/>
        <w:spacing w:before="0" w:after="60" w:line="315" w:lineRule="exact"/>
        <w:ind w:left="0" w:right="0" w:firstLine="440"/>
        <w:jc w:val="both"/>
      </w:pPr>
      <w:bookmarkStart w:id="382" w:name="bookmark382"/>
      <w:bookmarkStart w:id="383" w:name="bookmark383"/>
      <w:bookmarkStart w:id="386" w:name="bookmark386"/>
      <w:r>
        <w:rPr>
          <w:color w:val="000000"/>
          <w:spacing w:val="0"/>
          <w:w w:val="100"/>
          <w:position w:val="0"/>
        </w:rPr>
        <w:t>鲍一青先生，中国国籍</w:t>
      </w:r>
      <w:bookmarkEnd w:id="382"/>
      <w:bookmarkEnd w:id="383"/>
      <w:bookmarkEnd w:id="386"/>
    </w:p>
    <w:p>
      <w:pPr>
        <w:pStyle w:val="Style41"/>
        <w:keepNext w:val="0"/>
        <w:keepLines w:val="0"/>
        <w:widowControl w:val="0"/>
        <w:shd w:val="clear" w:color="auto" w:fill="auto"/>
        <w:bidi w:val="0"/>
        <w:spacing w:before="0" w:after="0" w:line="329" w:lineRule="auto"/>
        <w:ind w:left="0" w:right="0" w:firstLine="440"/>
        <w:jc w:val="left"/>
      </w:pP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月生，大专学历。曾任上海益邦投资咨询有限公司副总经理。现任本公司监事会主席。</w:t>
      </w:r>
    </w:p>
    <w:p>
      <w:pPr>
        <w:pStyle w:val="Style41"/>
        <w:keepNext w:val="0"/>
        <w:keepLines w:val="0"/>
        <w:widowControl w:val="0"/>
        <w:shd w:val="clear" w:color="auto" w:fill="auto"/>
        <w:bidi w:val="0"/>
        <w:spacing w:before="0" w:after="0" w:line="315" w:lineRule="exact"/>
        <w:ind w:left="0" w:right="0" w:firstLine="440"/>
        <w:jc w:val="both"/>
      </w:pPr>
      <w:r>
        <w:rPr>
          <w:b/>
          <w:bCs/>
          <w:color w:val="000000"/>
          <w:spacing w:val="0"/>
          <w:w w:val="100"/>
          <w:position w:val="0"/>
        </w:rPr>
        <w:t>黄丽鸣女士，中国国籍</w:t>
      </w:r>
    </w:p>
    <w:p>
      <w:pPr>
        <w:pStyle w:val="Style41"/>
        <w:keepNext w:val="0"/>
        <w:keepLines w:val="0"/>
        <w:widowControl w:val="0"/>
        <w:shd w:val="clear" w:color="auto" w:fill="auto"/>
        <w:bidi w:val="0"/>
        <w:spacing w:before="0" w:after="0" w:line="331" w:lineRule="exact"/>
        <w:ind w:left="0" w:right="0" w:firstLine="440"/>
        <w:jc w:val="both"/>
      </w:pP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月生，复旦大学保险专业学士，英国杜伦大学金融与投资专业硕士研究生。</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月加入本 公司，现任本公司监事。</w:t>
      </w:r>
    </w:p>
    <w:p>
      <w:pPr>
        <w:pStyle w:val="Style41"/>
        <w:keepNext w:val="0"/>
        <w:keepLines w:val="0"/>
        <w:widowControl w:val="0"/>
        <w:shd w:val="clear" w:color="auto" w:fill="auto"/>
        <w:bidi w:val="0"/>
        <w:spacing w:before="0" w:after="60" w:line="315" w:lineRule="exact"/>
        <w:ind w:left="0" w:right="0" w:firstLine="440"/>
        <w:jc w:val="both"/>
      </w:pPr>
      <w:r>
        <w:rPr>
          <w:b/>
          <w:bCs/>
          <w:color w:val="000000"/>
          <w:spacing w:val="0"/>
          <w:w w:val="100"/>
          <w:position w:val="0"/>
        </w:rPr>
        <w:t>蔡玮女士，中国国籍</w:t>
      </w:r>
    </w:p>
    <w:p>
      <w:pPr>
        <w:pStyle w:val="Style41"/>
        <w:keepNext w:val="0"/>
        <w:keepLines w:val="0"/>
        <w:widowControl w:val="0"/>
        <w:shd w:val="clear" w:color="auto" w:fill="auto"/>
        <w:bidi w:val="0"/>
        <w:spacing w:before="0" w:after="60" w:line="329" w:lineRule="auto"/>
        <w:ind w:left="0" w:right="0" w:firstLine="440"/>
        <w:jc w:val="left"/>
      </w:pP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月生，大学本科。</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月加入本公司，现任本公司职工代表监事。</w:t>
      </w:r>
    </w:p>
    <w:p>
      <w:pPr>
        <w:pStyle w:val="Style41"/>
        <w:keepNext w:val="0"/>
        <w:keepLines w:val="0"/>
        <w:widowControl w:val="0"/>
        <w:shd w:val="clear" w:color="auto" w:fill="auto"/>
        <w:tabs>
          <w:tab w:pos="962" w:val="left"/>
        </w:tabs>
        <w:bidi w:val="0"/>
        <w:spacing w:before="0" w:after="140" w:line="315" w:lineRule="exact"/>
        <w:ind w:left="0" w:right="0" w:firstLine="440"/>
        <w:jc w:val="left"/>
      </w:pPr>
      <w:bookmarkStart w:id="387" w:name="bookmark387"/>
      <w:r>
        <w:rPr>
          <w:b/>
          <w:bCs/>
          <w:color w:val="000000"/>
          <w:spacing w:val="0"/>
          <w:w w:val="100"/>
          <w:position w:val="0"/>
        </w:rPr>
        <w:t>（</w:t>
      </w:r>
      <w:bookmarkEnd w:id="387"/>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高级管理人员</w:t>
      </w:r>
    </w:p>
    <w:p>
      <w:pPr>
        <w:pStyle w:val="Style41"/>
        <w:keepNext w:val="0"/>
        <w:keepLines w:val="0"/>
        <w:widowControl w:val="0"/>
        <w:shd w:val="clear" w:color="auto" w:fill="auto"/>
        <w:bidi w:val="0"/>
        <w:spacing w:before="0" w:after="0" w:line="315" w:lineRule="exact"/>
        <w:ind w:left="0" w:right="0" w:firstLine="440"/>
        <w:jc w:val="left"/>
      </w:pPr>
      <w:r>
        <w:rPr>
          <w:b/>
          <w:bCs/>
          <w:color w:val="000000"/>
          <w:spacing w:val="0"/>
          <w:w w:val="100"/>
          <w:position w:val="0"/>
        </w:rPr>
        <w:t>郑立坤先生：总经理，</w:t>
      </w:r>
      <w:r>
        <w:rPr>
          <w:color w:val="000000"/>
          <w:spacing w:val="0"/>
          <w:w w:val="100"/>
          <w:position w:val="0"/>
        </w:rPr>
        <w:t>简历详见前文。</w:t>
      </w:r>
    </w:p>
    <w:p>
      <w:pPr>
        <w:pStyle w:val="Style41"/>
        <w:keepNext w:val="0"/>
        <w:keepLines w:val="0"/>
        <w:widowControl w:val="0"/>
        <w:shd w:val="clear" w:color="auto" w:fill="auto"/>
        <w:bidi w:val="0"/>
        <w:spacing w:before="0" w:after="0" w:line="315" w:lineRule="exact"/>
        <w:ind w:left="0" w:right="0" w:firstLine="440"/>
        <w:jc w:val="left"/>
      </w:pPr>
      <w:r>
        <w:rPr>
          <w:b/>
          <w:bCs/>
          <w:color w:val="000000"/>
          <w:spacing w:val="0"/>
          <w:w w:val="100"/>
          <w:position w:val="0"/>
        </w:rPr>
        <w:t>陈凯先生：副总经理，</w:t>
      </w:r>
      <w:r>
        <w:rPr>
          <w:color w:val="000000"/>
          <w:spacing w:val="0"/>
          <w:w w:val="100"/>
          <w:position w:val="0"/>
        </w:rPr>
        <w:t>简历详见前文。</w:t>
      </w:r>
    </w:p>
    <w:p>
      <w:pPr>
        <w:pStyle w:val="Style41"/>
        <w:keepNext w:val="0"/>
        <w:keepLines w:val="0"/>
        <w:widowControl w:val="0"/>
        <w:shd w:val="clear" w:color="auto" w:fill="auto"/>
        <w:bidi w:val="0"/>
        <w:spacing w:before="0" w:after="0" w:line="315" w:lineRule="exact"/>
        <w:ind w:left="0" w:right="0" w:firstLine="440"/>
        <w:jc w:val="left"/>
      </w:pPr>
      <w:r>
        <w:rPr>
          <w:b/>
          <w:bCs/>
          <w:color w:val="000000"/>
          <w:spacing w:val="0"/>
          <w:w w:val="100"/>
          <w:position w:val="0"/>
        </w:rPr>
        <w:t>黄建海女士：副总经理、财务总监、董事会秘书，</w:t>
      </w:r>
      <w:r>
        <w:rPr>
          <w:color w:val="000000"/>
          <w:spacing w:val="0"/>
          <w:w w:val="100"/>
          <w:position w:val="0"/>
        </w:rPr>
        <w:t>简历详见前文。</w:t>
      </w:r>
    </w:p>
    <w:p>
      <w:pPr>
        <w:pStyle w:val="Style41"/>
        <w:keepNext w:val="0"/>
        <w:keepLines w:val="0"/>
        <w:widowControl w:val="0"/>
        <w:shd w:val="clear" w:color="auto" w:fill="auto"/>
        <w:bidi w:val="0"/>
        <w:spacing w:before="0" w:after="0" w:line="315" w:lineRule="exact"/>
        <w:ind w:left="0" w:right="0" w:firstLine="440"/>
        <w:jc w:val="both"/>
      </w:pPr>
      <w:r>
        <w:rPr>
          <w:b/>
          <w:bCs/>
          <w:color w:val="000000"/>
          <w:spacing w:val="0"/>
          <w:w w:val="100"/>
          <w:position w:val="0"/>
        </w:rPr>
        <w:t>程磊先生：副总经理，中国国籍</w:t>
      </w:r>
    </w:p>
    <w:p>
      <w:pPr>
        <w:pStyle w:val="Style41"/>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月生，复旦大学计算机软件专业本科学历，复旦大学软件工程硕士，现任本公司副总经理、研 发中心总监，曾任本公司董事，上海美宁计算机网络有限公司技术部开发组成员、项目经理，环球外汇网 副总经理兼技术总监。</w:t>
      </w:r>
    </w:p>
    <w:p>
      <w:pPr>
        <w:pStyle w:val="Style41"/>
        <w:keepNext w:val="0"/>
        <w:keepLines w:val="0"/>
        <w:widowControl w:val="0"/>
        <w:shd w:val="clear" w:color="auto" w:fill="auto"/>
        <w:bidi w:val="0"/>
        <w:spacing w:before="0" w:after="0" w:line="315" w:lineRule="exact"/>
        <w:ind w:left="0" w:right="0" w:firstLine="440"/>
        <w:jc w:val="both"/>
      </w:pPr>
      <w:r>
        <w:rPr>
          <w:b/>
          <w:bCs/>
          <w:color w:val="000000"/>
          <w:spacing w:val="0"/>
          <w:w w:val="100"/>
          <w:position w:val="0"/>
        </w:rPr>
        <w:t>杨浩先生：合规总监，中国国籍</w:t>
      </w:r>
    </w:p>
    <w:p>
      <w:pPr>
        <w:pStyle w:val="Style41"/>
        <w:keepNext w:val="0"/>
        <w:keepLines w:val="0"/>
        <w:widowControl w:val="0"/>
        <w:shd w:val="clear" w:color="auto" w:fill="auto"/>
        <w:bidi w:val="0"/>
        <w:spacing w:before="0" w:after="480" w:line="315" w:lineRule="exact"/>
        <w:ind w:left="0" w:right="0" w:firstLine="440"/>
        <w:jc w:val="both"/>
      </w:pP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月生，本科学历，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月加入本公司，现任本公司合规总监、证券事务代表、总经理办公 室主任及参股公司中证信用云科技</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股份有限公司监事。</w:t>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在股东单位任职情况</w:t>
      </w:r>
      <w:r>
        <w:br w:type="page"/>
      </w:r>
    </w:p>
    <w:p>
      <w:pPr>
        <w:pStyle w:val="Style24"/>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 在其他单位任职情况</w:t>
      </w:r>
    </w:p>
    <w:p>
      <w:pPr>
        <w:pStyle w:val="Style24"/>
        <w:keepNext w:val="0"/>
        <w:keepLines w:val="0"/>
        <w:widowControl w:val="0"/>
        <w:shd w:val="clear" w:color="auto" w:fill="auto"/>
        <w:bidi w:val="0"/>
        <w:spacing w:before="0" w:after="80" w:line="355"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30"/>
        <w:gridCol w:w="3979"/>
        <w:gridCol w:w="1123"/>
        <w:gridCol w:w="1142"/>
        <w:gridCol w:w="1138"/>
        <w:gridCol w:w="1392"/>
      </w:tblGrid>
      <w:tr>
        <w:trPr>
          <w:trHeight w:val="77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任职人员 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在其他单位</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任期起始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46" w:lineRule="exact"/>
              <w:ind w:left="0" w:right="0" w:firstLine="0"/>
              <w:jc w:val="center"/>
            </w:pPr>
            <w:r>
              <w:rPr>
                <w:rFonts w:ascii="SimSun" w:eastAsia="SimSun" w:hAnsi="SimSun" w:cs="SimSun"/>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上海天天基金销售有限公司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东方财富（香港）有限公司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上海日月光华教育投资有限公司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上海日月光华教育科技有限公司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上海优优教育科技有限公司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上海东方财富投资有限公司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上海境庐科技有限公司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上海光华进修学院有限公司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上海东方国际影视文化传播有限公司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郑立坤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东方财富证券股份有限公司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郑立坤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上海东方财富期货有限公司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郑立坤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上海东方财富金融数据服务有限公司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上海东方财富置业有限公司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东方财富征信有限公司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南京东方财富信息技术有限公司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上海微兆信息科技有限公司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中证信用云科技（深圳）股份有限公司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上海农村商业银行股份有限公司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上海优优商务咨询有限公司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上海东方财富网络科技有限公司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成都京合企业管理有限责任公司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成都东方财富信息技术有限公司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程磊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浪客网络科技有限公司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程磊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东方财富证券股份有限公司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中证信用云科技</w:t>
            </w:r>
            <w:r>
              <w:rPr>
                <w:color w:val="000000"/>
                <w:spacing w:val="0"/>
                <w:w w:val="100"/>
                <w:position w:val="0"/>
              </w:rPr>
              <w:t>（</w:t>
            </w:r>
            <w:r>
              <w:rPr>
                <w:rFonts w:ascii="SimSun" w:eastAsia="SimSun" w:hAnsi="SimSun" w:cs="SimSun"/>
                <w:color w:val="000000"/>
                <w:spacing w:val="0"/>
                <w:w w:val="100"/>
                <w:position w:val="0"/>
              </w:rPr>
              <w:t>深圳</w:t>
            </w:r>
            <w:r>
              <w:rPr>
                <w:color w:val="000000"/>
                <w:spacing w:val="0"/>
                <w:w w:val="100"/>
                <w:position w:val="0"/>
              </w:rPr>
              <w:t>）</w:t>
            </w:r>
            <w:r>
              <w:rPr>
                <w:rFonts w:ascii="SimSun" w:eastAsia="SimSun" w:hAnsi="SimSun" w:cs="SimSun"/>
                <w:color w:val="000000"/>
                <w:spacing w:val="0"/>
                <w:w w:val="100"/>
                <w:position w:val="0"/>
              </w:rPr>
              <w:t>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北京安杰（上海）律师事务所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律师</w:t>
            </w:r>
            <w:r>
              <w:rPr>
                <w:color w:val="000000"/>
                <w:spacing w:val="0"/>
                <w:w w:val="100"/>
                <w:position w:val="0"/>
              </w:rPr>
              <w:t>/</w:t>
            </w:r>
            <w:r>
              <w:rPr>
                <w:rFonts w:ascii="SimSun" w:eastAsia="SimSun" w:hAnsi="SimSun" w:cs="SimSun"/>
                <w:color w:val="000000"/>
                <w:spacing w:val="0"/>
                <w:w w:val="100"/>
                <w:position w:val="0"/>
              </w:rPr>
              <w:t>合伙人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夏立军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上海交通大学安泰经管学院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教授、博士 生导师、会 计系主任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夏立军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上海巴财信息科技有限公司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30"/>
        <w:gridCol w:w="3979"/>
        <w:gridCol w:w="1123"/>
        <w:gridCol w:w="1142"/>
        <w:gridCol w:w="1138"/>
        <w:gridCol w:w="1392"/>
      </w:tblGrid>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夏立军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华泰保兴基金管理有限公司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夏立军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上海三友医疗器械股份有限公司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夏立军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浙江盛泰服装集团股份有限公司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夏立军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深圳惠泰医疗器械股份有限公司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夏立军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上海同济科技实业股份有限公司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夏立军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东方证券股份有限公司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鲍一青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上海优优商务咨询有限公司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鲍一青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北京京东财信息科技有限公司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鲍一青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广州东财信息科技有限公司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鲍一青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上海天天基金销售有限公司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蔡玮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上海东方财富金融数据服务有限公司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黄丽鸣</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上海东方财富证券投资咨询有限公司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pStyle w:val="Style2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2"/>
        <w:keepNext/>
        <w:keepLines/>
        <w:widowControl w:val="0"/>
        <w:shd w:val="clear" w:color="auto" w:fill="auto"/>
        <w:bidi w:val="0"/>
        <w:spacing w:before="0" w:after="24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3</w:t>
      </w:r>
      <w:bookmarkEnd w:id="390"/>
      <w:r>
        <w:rPr>
          <w:color w:val="000000"/>
          <w:spacing w:val="0"/>
          <w:w w:val="100"/>
          <w:position w:val="0"/>
        </w:rPr>
        <w:t>、董事、监事、高级管理人员报酬情况</w:t>
      </w:r>
      <w:bookmarkEnd w:id="388"/>
      <w:bookmarkEnd w:id="389"/>
      <w:bookmarkEnd w:id="391"/>
    </w:p>
    <w:p>
      <w:pPr>
        <w:pStyle w:val="Style24"/>
        <w:keepNext w:val="0"/>
        <w:keepLines w:val="0"/>
        <w:widowControl w:val="0"/>
        <w:shd w:val="clear" w:color="auto" w:fill="auto"/>
        <w:bidi w:val="0"/>
        <w:spacing w:before="0" w:after="100" w:line="341" w:lineRule="exact"/>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3931"/>
        <w:gridCol w:w="5702"/>
      </w:tblGrid>
      <w:tr>
        <w:trPr>
          <w:trHeight w:val="75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根据报告期经营情况，按照有关业绩考核规定，经董事会薪酬与考核委员 会审核，公司董事、监事、高级管理人员从公司获得的报酬。</w:t>
            </w:r>
          </w:p>
        </w:tc>
      </w:tr>
      <w:tr>
        <w:trPr>
          <w:trHeight w:val="10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董事、监事和高级管理人员的报酬按照公司董事会专门委员会《薪酬与考 核委员会议事规则》等规定，结合其经营绩效、工作能力、岗位职级等考 核确定并发放。</w:t>
            </w:r>
          </w:p>
        </w:tc>
      </w:tr>
      <w:tr>
        <w:trPr>
          <w:trHeight w:val="4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董事、监事和高级管理人员的报酬按照规定进行了发放。</w:t>
            </w:r>
          </w:p>
        </w:tc>
      </w:tr>
    </w:tbl>
    <w:p>
      <w:pPr>
        <w:widowControl w:val="0"/>
        <w:spacing w:after="37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公司报告期内董事、监事和高级管理人员报酬情况</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30"/>
        <w:gridCol w:w="1843"/>
        <w:gridCol w:w="566"/>
        <w:gridCol w:w="576"/>
        <w:gridCol w:w="850"/>
        <w:gridCol w:w="2698"/>
        <w:gridCol w:w="224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从公司获得的税前报酬总额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是否在公司关联方获取报酬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郑立坤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黄建海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董事、副总经理、财 务总监、董事会秘书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夏立军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鲍一青</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830"/>
        <w:gridCol w:w="1843"/>
        <w:gridCol w:w="566"/>
        <w:gridCol w:w="576"/>
        <w:gridCol w:w="850"/>
        <w:gridCol w:w="2698"/>
        <w:gridCol w:w="2242"/>
      </w:tblGrid>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黄丽鸣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39.43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蔡玮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职工代表监事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left"/>
            </w:pPr>
            <w:r>
              <w:rPr>
                <w:color w:val="000000"/>
                <w:spacing w:val="0"/>
                <w:w w:val="100"/>
                <w:position w:val="0"/>
              </w:rPr>
              <w:t>75.33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程磊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合规总监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陆威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董事、副总经理、财 务总监、董事会秘书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219.00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2,871.76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sz w:val="24"/>
          <w:szCs w:val="24"/>
        </w:rPr>
        <w:t>八</w:t>
      </w:r>
      <w:bookmarkEnd w:id="394"/>
      <w:r>
        <w:rPr>
          <w:color w:val="000000"/>
          <w:spacing w:val="0"/>
          <w:w w:val="100"/>
          <w:position w:val="0"/>
          <w:sz w:val="24"/>
          <w:szCs w:val="24"/>
        </w:rPr>
        <w:t>、报告期内董事履行职责的情况</w:t>
      </w:r>
      <w:bookmarkEnd w:id="392"/>
      <w:bookmarkEnd w:id="393"/>
      <w:bookmarkEnd w:id="395"/>
    </w:p>
    <w:p>
      <w:pPr>
        <w:pStyle w:val="Style32"/>
        <w:keepNext/>
        <w:keepLines/>
        <w:widowControl w:val="0"/>
        <w:shd w:val="clear" w:color="auto" w:fill="auto"/>
        <w:bidi w:val="0"/>
        <w:spacing w:before="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1</w:t>
      </w:r>
      <w:bookmarkEnd w:id="398"/>
      <w:r>
        <w:rPr>
          <w:color w:val="000000"/>
          <w:spacing w:val="0"/>
          <w:w w:val="100"/>
          <w:position w:val="0"/>
        </w:rPr>
        <w:t>、本报告期董事会情况</w:t>
      </w:r>
      <w:bookmarkEnd w:id="396"/>
      <w:bookmarkEnd w:id="397"/>
      <w:bookmarkEnd w:id="399"/>
    </w:p>
    <w:tbl>
      <w:tblPr>
        <w:tblOverlap w:val="never"/>
        <w:jc w:val="center"/>
        <w:tblLayout w:type="fixed"/>
      </w:tblPr>
      <w:tblGrid>
        <w:gridCol w:w="2400"/>
        <w:gridCol w:w="1920"/>
        <w:gridCol w:w="1901"/>
        <w:gridCol w:w="3384"/>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会议决议</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第五届董事会第十一次会议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fldChar w:fldCharType="begin"/>
            </w:r>
            <w:r>
              <w:rPr/>
              <w:instrText> HYPERLINK "http://wwwcninfb.com.cn/new/index" </w:instrText>
            </w:r>
            <w:r>
              <w:fldChar w:fldCharType="separate"/>
            </w:r>
            <w:r>
              <w:rPr>
                <w:color w:val="000000"/>
                <w:spacing w:val="0"/>
                <w:w w:val="100"/>
                <w:position w:val="0"/>
              </w:rPr>
              <w:t>http://wwwcninfb.com.cn/new/index</w:t>
            </w:r>
            <w:r>
              <w:fldChar w:fldCharType="end"/>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第五届董事会第十二次会议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fldChar w:fldCharType="begin"/>
            </w:r>
            <w:r>
              <w:rPr/>
              <w:instrText> HYPERLINK "http://wwwcninfb.com.cn/new/index" </w:instrText>
            </w:r>
            <w:r>
              <w:fldChar w:fldCharType="separate"/>
            </w:r>
            <w:r>
              <w:rPr>
                <w:color w:val="000000"/>
                <w:spacing w:val="0"/>
                <w:w w:val="100"/>
                <w:position w:val="0"/>
              </w:rPr>
              <w:t>http://wwwcninfb.com.cn/new/index</w:t>
            </w:r>
            <w:r>
              <w:fldChar w:fldCharType="end"/>
            </w:r>
          </w:p>
        </w:tc>
      </w:tr>
      <w:tr>
        <w:trPr>
          <w:trHeight w:val="3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第五届董事会第十三次会议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fldChar w:fldCharType="begin"/>
            </w:r>
            <w:r>
              <w:rPr/>
              <w:instrText> HYPERLINK "http://wwwcninfb.com.cn/new/index" </w:instrText>
            </w:r>
            <w:r>
              <w:fldChar w:fldCharType="separate"/>
            </w:r>
            <w:r>
              <w:rPr>
                <w:color w:val="000000"/>
                <w:spacing w:val="0"/>
                <w:w w:val="100"/>
                <w:position w:val="0"/>
              </w:rPr>
              <w:t>http://wwwcninfb.com.cn/new/index</w:t>
            </w:r>
            <w:r>
              <w:fldChar w:fldCharType="end"/>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第五届董事会第十四次会议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fldChar w:fldCharType="begin"/>
            </w:r>
            <w:r>
              <w:rPr/>
              <w:instrText> HYPERLINK "http://wwwcninfb.com.cn/new/index" </w:instrText>
            </w:r>
            <w:r>
              <w:fldChar w:fldCharType="separate"/>
            </w:r>
            <w:r>
              <w:rPr>
                <w:color w:val="000000"/>
                <w:spacing w:val="0"/>
                <w:w w:val="100"/>
                <w:position w:val="0"/>
              </w:rPr>
              <w:t>http://wwwcninfb.com.cn/new/index</w:t>
            </w:r>
            <w:r>
              <w:fldChar w:fldCharType="end"/>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第五届董事会第十五次会议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fldChar w:fldCharType="begin"/>
            </w:r>
            <w:r>
              <w:rPr/>
              <w:instrText> HYPERLINK "http://wwwcninfb.com.cn/new/index" </w:instrText>
            </w:r>
            <w:r>
              <w:fldChar w:fldCharType="separate"/>
            </w:r>
            <w:r>
              <w:rPr>
                <w:color w:val="000000"/>
                <w:spacing w:val="0"/>
                <w:w w:val="100"/>
                <w:position w:val="0"/>
              </w:rPr>
              <w:t>http://wwwcninfb.com.cn/new/index</w:t>
            </w:r>
            <w:r>
              <w:fldChar w:fldCharType="end"/>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第五届董事会第十六次会议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fldChar w:fldCharType="begin"/>
            </w:r>
            <w:r>
              <w:rPr/>
              <w:instrText> HYPERLINK "http://wwwcninfo.com.cn/new/index" </w:instrText>
            </w:r>
            <w:r>
              <w:fldChar w:fldCharType="separate"/>
            </w:r>
            <w:r>
              <w:rPr>
                <w:color w:val="000000"/>
                <w:spacing w:val="0"/>
                <w:w w:val="100"/>
                <w:position w:val="0"/>
              </w:rPr>
              <w:t>http://wwwcninfo.com.cn/new/index</w:t>
            </w:r>
            <w:r>
              <w:fldChar w:fldCharType="end"/>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第五届董事会第十七次会议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审议通过《公司</w:t>
            </w:r>
            <w:r>
              <w:rPr>
                <w:color w:val="000000"/>
                <w:spacing w:val="0"/>
                <w:w w:val="100"/>
                <w:position w:val="0"/>
              </w:rPr>
              <w:t>2021</w:t>
            </w:r>
            <w:r>
              <w:rPr>
                <w:rFonts w:ascii="SimSun" w:eastAsia="SimSun" w:hAnsi="SimSun" w:cs="SimSun"/>
                <w:color w:val="000000"/>
                <w:spacing w:val="0"/>
                <w:w w:val="100"/>
                <w:position w:val="0"/>
              </w:rPr>
              <w:t>年第三季度报告》</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第五届董事会第十八次会议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fldChar w:fldCharType="begin"/>
            </w:r>
            <w:r>
              <w:rPr/>
              <w:instrText> HYPERLINK "http://wwwcninfb.com.cn/new/index" </w:instrText>
            </w:r>
            <w:r>
              <w:fldChar w:fldCharType="separate"/>
            </w:r>
            <w:r>
              <w:rPr>
                <w:color w:val="000000"/>
                <w:spacing w:val="0"/>
                <w:w w:val="100"/>
                <w:position w:val="0"/>
              </w:rPr>
              <w:t>http://wwwcninfb.com.cn/new/index</w:t>
            </w:r>
            <w:r>
              <w:fldChar w:fldCharType="end"/>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2</w:t>
      </w:r>
      <w:bookmarkEnd w:id="402"/>
      <w:r>
        <w:rPr>
          <w:color w:val="000000"/>
          <w:spacing w:val="0"/>
          <w:w w:val="100"/>
          <w:position w:val="0"/>
        </w:rPr>
        <w:t>、董事出席董事会及股东大会的情况</w:t>
      </w:r>
      <w:bookmarkEnd w:id="400"/>
      <w:bookmarkEnd w:id="401"/>
      <w:bookmarkEnd w:id="403"/>
    </w:p>
    <w:tbl>
      <w:tblPr>
        <w:tblOverlap w:val="never"/>
        <w:jc w:val="center"/>
        <w:tblLayout w:type="fixed"/>
      </w:tblPr>
      <w:tblGrid>
        <w:gridCol w:w="1435"/>
        <w:gridCol w:w="1166"/>
        <w:gridCol w:w="1171"/>
        <w:gridCol w:w="1166"/>
        <w:gridCol w:w="1166"/>
        <w:gridCol w:w="1157"/>
        <w:gridCol w:w="1166"/>
        <w:gridCol w:w="1176"/>
      </w:tblGrid>
      <w:tr>
        <w:trPr>
          <w:trHeight w:val="413"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本报告期应参</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现场出席董事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以通讯方式参</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委托出席</w:t>
            </w:r>
          </w:p>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缺席董事会</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是否连续两次</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未亲自参加董</w:t>
            </w:r>
          </w:p>
          <w:p>
            <w:pPr>
              <w:pStyle w:val="Style6"/>
              <w:keepNext w:val="0"/>
              <w:keepLines w:val="0"/>
              <w:widowControl w:val="0"/>
              <w:shd w:val="clear" w:color="auto" w:fill="auto"/>
              <w:bidi w:val="0"/>
              <w:spacing w:before="0" w:after="100" w:line="240" w:lineRule="auto"/>
              <w:ind w:left="0" w:right="0" w:firstLine="200"/>
              <w:jc w:val="left"/>
            </w:pPr>
            <w:r>
              <w:rPr>
                <w:rFonts w:ascii="SimSun" w:eastAsia="SimSun" w:hAnsi="SimSun" w:cs="SimSun"/>
                <w:color w:val="000000"/>
                <w:spacing w:val="0"/>
                <w:w w:val="100"/>
                <w:position w:val="0"/>
              </w:rPr>
              <w:t>事会会议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220" w:firstLine="0"/>
              <w:jc w:val="right"/>
            </w:pPr>
            <w:r>
              <w:rPr>
                <w:rFonts w:ascii="SimSun" w:eastAsia="SimSun" w:hAnsi="SimSun" w:cs="SimSun"/>
                <w:color w:val="000000"/>
                <w:spacing w:val="0"/>
                <w:w w:val="100"/>
                <w:position w:val="0"/>
              </w:rPr>
              <w:t>出席股东</w:t>
            </w:r>
          </w:p>
          <w:p>
            <w:pPr>
              <w:pStyle w:val="Style6"/>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大会次数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郑立坤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黄建海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夏立军</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吻东方财富</w:t>
      </w:r>
    </w:p>
    <w:p>
      <w:pPr>
        <w:pStyle w:val="Style37"/>
        <w:keepNext w:val="0"/>
        <w:keepLines w:val="0"/>
        <w:widowControl w:val="0"/>
        <w:shd w:val="clear" w:color="auto" w:fill="auto"/>
        <w:bidi w:val="0"/>
        <w:spacing w:before="0" w:after="280"/>
        <w:ind w:left="0" w:right="0"/>
        <w:jc w:val="both"/>
      </w:pPr>
      <w:r>
        <w:rPr>
          <w:spacing w:val="0"/>
          <w:w w:val="100"/>
          <w:position w:val="0"/>
        </w:rPr>
        <w:t>eastmoney.com</w:t>
      </w:r>
    </w:p>
    <w:p>
      <w:pPr>
        <w:pStyle w:val="Style32"/>
        <w:keepNext/>
        <w:keepLines/>
        <w:widowControl w:val="0"/>
        <w:shd w:val="clear" w:color="auto" w:fill="auto"/>
        <w:tabs>
          <w:tab w:pos="392" w:val="left"/>
        </w:tabs>
        <w:bidi w:val="0"/>
        <w:spacing w:before="0" w:after="280" w:line="240" w:lineRule="auto"/>
        <w:ind w:left="0" w:right="0" w:firstLine="0"/>
        <w:jc w:val="both"/>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3</w:t>
      </w:r>
      <w:bookmarkEnd w:id="406"/>
      <w:r>
        <w:rPr>
          <w:color w:val="000000"/>
          <w:spacing w:val="0"/>
          <w:w w:val="100"/>
          <w:position w:val="0"/>
        </w:rPr>
        <w:t>、</w:t>
        <w:tab/>
        <w:t>董事对公司有关事项提出异议的情况</w:t>
      </w:r>
      <w:bookmarkEnd w:id="404"/>
      <w:bookmarkEnd w:id="405"/>
      <w:bookmarkEnd w:id="407"/>
    </w:p>
    <w:p>
      <w:pPr>
        <w:pStyle w:val="Style24"/>
        <w:keepNext w:val="0"/>
        <w:keepLines w:val="0"/>
        <w:widowControl w:val="0"/>
        <w:shd w:val="clear" w:color="auto" w:fill="auto"/>
        <w:bidi w:val="0"/>
        <w:spacing w:before="0" w:line="310" w:lineRule="exact"/>
        <w:ind w:left="0" w:right="0" w:firstLine="0"/>
        <w:jc w:val="both"/>
      </w:pPr>
      <w:r>
        <w:rPr>
          <w:color w:val="000000"/>
          <w:spacing w:val="0"/>
          <w:w w:val="100"/>
          <w:position w:val="0"/>
        </w:rPr>
        <w:t>董事对公司有关事项是否提出异议</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24"/>
        <w:keepNext w:val="0"/>
        <w:keepLines w:val="0"/>
        <w:widowControl w:val="0"/>
        <w:shd w:val="clear" w:color="auto" w:fill="auto"/>
        <w:bidi w:val="0"/>
        <w:spacing w:before="0" w:after="400" w:line="310" w:lineRule="exact"/>
        <w:ind w:left="0" w:right="0" w:firstLine="0"/>
        <w:jc w:val="both"/>
      </w:pPr>
      <w:r>
        <w:rPr>
          <w:color w:val="000000"/>
          <w:spacing w:val="0"/>
          <w:w w:val="100"/>
          <w:position w:val="0"/>
        </w:rPr>
        <w:t>报告期内董事对公司有关事项未提出异议。</w:t>
      </w:r>
    </w:p>
    <w:p>
      <w:pPr>
        <w:pStyle w:val="Style32"/>
        <w:keepNext/>
        <w:keepLines/>
        <w:widowControl w:val="0"/>
        <w:shd w:val="clear" w:color="auto" w:fill="auto"/>
        <w:tabs>
          <w:tab w:pos="392" w:val="left"/>
        </w:tabs>
        <w:bidi w:val="0"/>
        <w:spacing w:before="0" w:after="280" w:line="240" w:lineRule="auto"/>
        <w:ind w:left="0" w:right="0" w:firstLine="0"/>
        <w:jc w:val="both"/>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4</w:t>
      </w:r>
      <w:bookmarkEnd w:id="410"/>
      <w:r>
        <w:rPr>
          <w:color w:val="000000"/>
          <w:spacing w:val="0"/>
          <w:w w:val="100"/>
          <w:position w:val="0"/>
        </w:rPr>
        <w:t>、</w:t>
        <w:tab/>
        <w:t>董事履行职责的其他说明</w:t>
      </w:r>
      <w:bookmarkEnd w:id="408"/>
      <w:bookmarkEnd w:id="409"/>
      <w:bookmarkEnd w:id="411"/>
    </w:p>
    <w:p>
      <w:pPr>
        <w:pStyle w:val="Style24"/>
        <w:keepNext w:val="0"/>
        <w:keepLines w:val="0"/>
        <w:widowControl w:val="0"/>
        <w:shd w:val="clear" w:color="auto" w:fill="auto"/>
        <w:bidi w:val="0"/>
        <w:spacing w:before="0" w:line="310" w:lineRule="exact"/>
        <w:ind w:left="0" w:right="0" w:firstLine="0"/>
        <w:jc w:val="both"/>
      </w:pPr>
      <w:r>
        <w:rPr>
          <w:color w:val="000000"/>
          <w:spacing w:val="0"/>
          <w:w w:val="100"/>
          <w:position w:val="0"/>
        </w:rPr>
        <w:t>董事对公司有关建议是否被采纳</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4"/>
        <w:keepNext w:val="0"/>
        <w:keepLines w:val="0"/>
        <w:widowControl w:val="0"/>
        <w:shd w:val="clear" w:color="auto" w:fill="auto"/>
        <w:bidi w:val="0"/>
        <w:spacing w:before="0" w:after="40" w:line="310" w:lineRule="exact"/>
        <w:ind w:left="0" w:right="0" w:firstLine="0"/>
        <w:jc w:val="both"/>
      </w:pPr>
      <w:r>
        <w:rPr>
          <w:color w:val="000000"/>
          <w:spacing w:val="0"/>
          <w:w w:val="100"/>
          <w:position w:val="0"/>
        </w:rPr>
        <w:t>董事对公司有关建议被采纳或未被采纳的说明</w:t>
      </w:r>
    </w:p>
    <w:p>
      <w:pPr>
        <w:pStyle w:val="Style24"/>
        <w:keepNext w:val="0"/>
        <w:keepLines w:val="0"/>
        <w:widowControl w:val="0"/>
        <w:shd w:val="clear" w:color="auto" w:fill="auto"/>
        <w:bidi w:val="0"/>
        <w:spacing w:before="0" w:after="400" w:line="310" w:lineRule="exact"/>
        <w:ind w:left="0" w:right="0" w:firstLine="0"/>
        <w:jc w:val="both"/>
      </w:pPr>
      <w:r>
        <w:rPr>
          <w:color w:val="000000"/>
          <w:spacing w:val="0"/>
          <w:w w:val="100"/>
          <w:position w:val="0"/>
        </w:rPr>
        <w:t>报告期内，公司全体董事勤勉尽责，高度重视公司规范运作，密切关注公司经营情况，严格按照中国证监会、深圳证券交 易所的相关规定以及《公司章程》《董事会议事规则》等制度开展工作，根据公司的实际情况，对公司的治理、经营、战 略等方面决策提出了相关的意见。公司董事会及各专门委员会经过充分沟通讨论，对审议的重大事项均形成一致意见。公 司全体董事积极了解、密切监督董事会决议的执行状况，推动公司经营各项工作的持续、稳定、健康发展。</w:t>
      </w:r>
    </w:p>
    <w:p>
      <w:pPr>
        <w:pStyle w:val="Style22"/>
        <w:keepNext/>
        <w:keepLines/>
        <w:widowControl w:val="0"/>
        <w:shd w:val="clear" w:color="auto" w:fill="auto"/>
        <w:bidi w:val="0"/>
        <w:spacing w:before="0" w:after="280" w:line="240" w:lineRule="auto"/>
        <w:ind w:left="0" w:right="0" w:firstLine="0"/>
        <w:jc w:val="both"/>
      </w:pPr>
      <w:bookmarkStart w:id="412" w:name="bookmark412"/>
      <w:bookmarkStart w:id="413" w:name="bookmark413"/>
      <w:bookmarkStart w:id="414" w:name="bookmark414"/>
      <w:bookmarkStart w:id="415" w:name="bookmark415"/>
      <w:r>
        <w:rPr>
          <w:color w:val="000000"/>
          <w:spacing w:val="0"/>
          <w:w w:val="100"/>
          <w:position w:val="0"/>
          <w:sz w:val="24"/>
          <w:szCs w:val="24"/>
        </w:rPr>
        <w:t>九</w:t>
      </w:r>
      <w:bookmarkEnd w:id="414"/>
      <w:r>
        <w:rPr>
          <w:color w:val="000000"/>
          <w:spacing w:val="0"/>
          <w:w w:val="100"/>
          <w:position w:val="0"/>
          <w:sz w:val="24"/>
          <w:szCs w:val="24"/>
        </w:rPr>
        <w:t>、董事会下设专门委员会在报告期内的情况</w:t>
      </w:r>
      <w:bookmarkEnd w:id="412"/>
      <w:bookmarkEnd w:id="413"/>
      <w:bookmarkEnd w:id="415"/>
    </w:p>
    <w:tbl>
      <w:tblPr>
        <w:tblOverlap w:val="never"/>
        <w:jc w:val="center"/>
        <w:tblLayout w:type="fixed"/>
      </w:tblPr>
      <w:tblGrid>
        <w:gridCol w:w="974"/>
        <w:gridCol w:w="850"/>
        <w:gridCol w:w="706"/>
        <w:gridCol w:w="898"/>
        <w:gridCol w:w="2117"/>
        <w:gridCol w:w="994"/>
        <w:gridCol w:w="2093"/>
        <w:gridCol w:w="974"/>
      </w:tblGrid>
      <w:tr>
        <w:trPr>
          <w:trHeight w:val="73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委员会名称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成员情况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召开会</w:t>
            </w:r>
          </w:p>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议次数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提出的重要</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意见和建议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其他履行职责的情况</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异议事项</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具体情况</w:t>
            </w:r>
          </w:p>
        </w:tc>
      </w:tr>
      <w:tr>
        <w:trPr>
          <w:trHeight w:val="2578"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审计委员会</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夏立军、</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陈凯、陈</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贵</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审议通过了公司</w:t>
            </w:r>
            <w:r>
              <w:rPr>
                <w:color w:val="000000"/>
                <w:spacing w:val="0"/>
                <w:w w:val="100"/>
                <w:position w:val="0"/>
              </w:rPr>
              <w:t>2020</w:t>
            </w:r>
            <w:r>
              <w:rPr>
                <w:rFonts w:ascii="SimSun" w:eastAsia="SimSun" w:hAnsi="SimSun" w:cs="SimSun"/>
                <w:color w:val="000000"/>
                <w:spacing w:val="0"/>
                <w:w w:val="100"/>
                <w:position w:val="0"/>
              </w:rPr>
              <w:t>年度 财务决算报告、</w:t>
            </w:r>
            <w:r>
              <w:rPr>
                <w:color w:val="000000"/>
                <w:spacing w:val="0"/>
                <w:w w:val="100"/>
                <w:position w:val="0"/>
              </w:rPr>
              <w:t>2020</w:t>
            </w:r>
            <w:r>
              <w:rPr>
                <w:rFonts w:ascii="SimSun" w:eastAsia="SimSun" w:hAnsi="SimSun" w:cs="SimSun"/>
                <w:color w:val="000000"/>
                <w:spacing w:val="0"/>
                <w:w w:val="100"/>
                <w:position w:val="0"/>
              </w:rPr>
              <w:t>年年 度报告及摘要、</w:t>
            </w:r>
            <w:r>
              <w:rPr>
                <w:color w:val="000000"/>
                <w:spacing w:val="0"/>
                <w:w w:val="100"/>
                <w:position w:val="0"/>
              </w:rPr>
              <w:t>2020</w:t>
            </w:r>
            <w:r>
              <w:rPr>
                <w:rFonts w:ascii="SimSun" w:eastAsia="SimSun" w:hAnsi="SimSun" w:cs="SimSun"/>
                <w:color w:val="000000"/>
                <w:spacing w:val="0"/>
                <w:w w:val="100"/>
                <w:position w:val="0"/>
              </w:rPr>
              <w:t xml:space="preserve">年度 内部控制自我评价报告、 </w:t>
            </w:r>
            <w:r>
              <w:rPr>
                <w:color w:val="000000"/>
                <w:spacing w:val="0"/>
                <w:w w:val="100"/>
                <w:position w:val="0"/>
              </w:rPr>
              <w:t>2020</w:t>
            </w:r>
            <w:r>
              <w:rPr>
                <w:rFonts w:ascii="SimSun" w:eastAsia="SimSun" w:hAnsi="SimSun" w:cs="SimSun"/>
                <w:color w:val="000000"/>
                <w:spacing w:val="0"/>
                <w:w w:val="100"/>
                <w:position w:val="0"/>
              </w:rPr>
              <w:t xml:space="preserve">年度资本公积金转增 股本及利润分配预案、 </w:t>
            </w:r>
            <w:r>
              <w:rPr>
                <w:color w:val="000000"/>
                <w:spacing w:val="0"/>
                <w:w w:val="100"/>
                <w:position w:val="0"/>
              </w:rPr>
              <w:t>2021</w:t>
            </w:r>
            <w:r>
              <w:rPr>
                <w:rFonts w:ascii="SimSun" w:eastAsia="SimSun" w:hAnsi="SimSun" w:cs="SimSun"/>
                <w:color w:val="000000"/>
                <w:spacing w:val="0"/>
                <w:w w:val="100"/>
                <w:position w:val="0"/>
              </w:rPr>
              <w:t>年第一季度报告等相 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听取了公司</w:t>
            </w:r>
            <w:r>
              <w:rPr>
                <w:color w:val="000000"/>
                <w:spacing w:val="0"/>
                <w:w w:val="100"/>
                <w:position w:val="0"/>
              </w:rPr>
              <w:t>2020</w:t>
            </w:r>
            <w:r>
              <w:rPr>
                <w:rFonts w:ascii="SimSun" w:eastAsia="SimSun" w:hAnsi="SimSun" w:cs="SimSun"/>
                <w:color w:val="000000"/>
                <w:spacing w:val="0"/>
                <w:w w:val="100"/>
                <w:position w:val="0"/>
              </w:rPr>
              <w:t>年度审 计部工作报告、</w:t>
            </w:r>
            <w:r>
              <w:rPr>
                <w:color w:val="000000"/>
                <w:spacing w:val="0"/>
                <w:w w:val="100"/>
                <w:position w:val="0"/>
              </w:rPr>
              <w:t>2020</w:t>
            </w:r>
            <w:r>
              <w:rPr>
                <w:rFonts w:ascii="SimSun" w:eastAsia="SimSun" w:hAnsi="SimSun" w:cs="SimSun"/>
                <w:color w:val="000000"/>
                <w:spacing w:val="0"/>
                <w:w w:val="100"/>
                <w:position w:val="0"/>
              </w:rPr>
              <w:t>年度 募集资金存放和使用情 况、</w:t>
            </w:r>
            <w:r>
              <w:rPr>
                <w:color w:val="000000"/>
                <w:spacing w:val="0"/>
                <w:w w:val="100"/>
                <w:position w:val="0"/>
              </w:rPr>
              <w:t>2020</w:t>
            </w:r>
            <w:r>
              <w:rPr>
                <w:rFonts w:ascii="SimSun" w:eastAsia="SimSun" w:hAnsi="SimSun" w:cs="SimSun"/>
                <w:color w:val="000000"/>
                <w:spacing w:val="0"/>
                <w:w w:val="100"/>
                <w:position w:val="0"/>
              </w:rPr>
              <w:t>年度内部审计报 告、</w:t>
            </w:r>
            <w:r>
              <w:rPr>
                <w:color w:val="000000"/>
                <w:spacing w:val="0"/>
                <w:w w:val="100"/>
                <w:position w:val="0"/>
              </w:rPr>
              <w:t>2021</w:t>
            </w:r>
            <w:r>
              <w:rPr>
                <w:rFonts w:ascii="SimSun" w:eastAsia="SimSun" w:hAnsi="SimSun" w:cs="SimSun"/>
                <w:color w:val="000000"/>
                <w:spacing w:val="0"/>
                <w:w w:val="100"/>
                <w:position w:val="0"/>
              </w:rPr>
              <w:t>年第一季度审计 部工作报告、</w:t>
            </w:r>
            <w:r>
              <w:rPr>
                <w:color w:val="000000"/>
                <w:spacing w:val="0"/>
                <w:w w:val="100"/>
                <w:position w:val="0"/>
              </w:rPr>
              <w:t>2021</w:t>
            </w:r>
            <w:r>
              <w:rPr>
                <w:rFonts w:ascii="SimSun" w:eastAsia="SimSun" w:hAnsi="SimSun" w:cs="SimSun"/>
                <w:color w:val="000000"/>
                <w:spacing w:val="0"/>
                <w:w w:val="100"/>
                <w:position w:val="0"/>
              </w:rPr>
              <w:t>年第一 季度募集资金存放和使用 情况等汇报事项。</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审议了聘请公司</w:t>
            </w:r>
            <w:r>
              <w:rPr>
                <w:color w:val="000000"/>
                <w:spacing w:val="0"/>
                <w:w w:val="100"/>
                <w:position w:val="0"/>
              </w:rPr>
              <w:t>2021</w:t>
            </w:r>
            <w:r>
              <w:rPr>
                <w:rFonts w:ascii="SimSun" w:eastAsia="SimSun" w:hAnsi="SimSun" w:cs="SimSun"/>
                <w:color w:val="000000"/>
                <w:spacing w:val="0"/>
                <w:w w:val="100"/>
                <w:position w:val="0"/>
              </w:rPr>
              <w:t>年度 审计机构等相关议案。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协调公司前后任审计机构 沟通事项。</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审议了公司</w:t>
            </w:r>
            <w:r>
              <w:rPr>
                <w:color w:val="000000"/>
                <w:spacing w:val="0"/>
                <w:w w:val="100"/>
                <w:position w:val="0"/>
              </w:rPr>
              <w:t>2021</w:t>
            </w:r>
            <w:r>
              <w:rPr>
                <w:rFonts w:ascii="SimSun" w:eastAsia="SimSun" w:hAnsi="SimSun" w:cs="SimSun"/>
                <w:color w:val="000000"/>
                <w:spacing w:val="0"/>
                <w:w w:val="100"/>
                <w:position w:val="0"/>
              </w:rPr>
              <w:t>年半年度 报告及摘要等相关议案。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听取了公司</w:t>
            </w:r>
            <w:r>
              <w:rPr>
                <w:color w:val="000000"/>
                <w:spacing w:val="0"/>
                <w:w w:val="100"/>
                <w:position w:val="0"/>
              </w:rPr>
              <w:t>2021</w:t>
            </w:r>
            <w:r>
              <w:rPr>
                <w:rFonts w:ascii="SimSun" w:eastAsia="SimSun" w:hAnsi="SimSun" w:cs="SimSun"/>
                <w:color w:val="000000"/>
                <w:spacing w:val="0"/>
                <w:w w:val="100"/>
                <w:position w:val="0"/>
              </w:rPr>
              <w:t xml:space="preserve">年第二 季度审计部工作报告、 </w:t>
            </w:r>
            <w:r>
              <w:rPr>
                <w:color w:val="000000"/>
                <w:spacing w:val="0"/>
                <w:w w:val="100"/>
                <w:position w:val="0"/>
              </w:rPr>
              <w:t>2021</w:t>
            </w:r>
            <w:r>
              <w:rPr>
                <w:rFonts w:ascii="SimSun" w:eastAsia="SimSun" w:hAnsi="SimSun" w:cs="SimSun"/>
                <w:color w:val="000000"/>
                <w:spacing w:val="0"/>
                <w:w w:val="100"/>
                <w:position w:val="0"/>
              </w:rPr>
              <w:t>年半年度募集资金存 放和使用情况等汇报事 项。</w:t>
            </w: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审议了公司</w:t>
            </w:r>
            <w:r>
              <w:rPr>
                <w:color w:val="000000"/>
                <w:spacing w:val="0"/>
                <w:w w:val="100"/>
                <w:position w:val="0"/>
              </w:rPr>
              <w:t>2021</w:t>
            </w:r>
            <w:r>
              <w:rPr>
                <w:rFonts w:ascii="SimSun" w:eastAsia="SimSun" w:hAnsi="SimSun" w:cs="SimSun"/>
                <w:color w:val="000000"/>
                <w:spacing w:val="0"/>
                <w:w w:val="100"/>
                <w:position w:val="0"/>
              </w:rPr>
              <w:t>年第三季 度报告等相关议案。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听取了公司</w:t>
            </w:r>
            <w:r>
              <w:rPr>
                <w:color w:val="000000"/>
                <w:spacing w:val="0"/>
                <w:w w:val="100"/>
                <w:position w:val="0"/>
              </w:rPr>
              <w:t>2021</w:t>
            </w:r>
            <w:r>
              <w:rPr>
                <w:rFonts w:ascii="SimSun" w:eastAsia="SimSun" w:hAnsi="SimSun" w:cs="SimSun"/>
                <w:color w:val="000000"/>
                <w:spacing w:val="0"/>
                <w:w w:val="100"/>
                <w:position w:val="0"/>
              </w:rPr>
              <w:t xml:space="preserve">年第三 季度审计部工作报告、 </w:t>
            </w:r>
            <w:r>
              <w:rPr>
                <w:color w:val="000000"/>
                <w:spacing w:val="0"/>
                <w:w w:val="100"/>
                <w:position w:val="0"/>
              </w:rPr>
              <w:t>2021</w:t>
            </w:r>
            <w:r>
              <w:rPr>
                <w:rFonts w:ascii="SimSun" w:eastAsia="SimSun" w:hAnsi="SimSun" w:cs="SimSun"/>
                <w:color w:val="000000"/>
                <w:spacing w:val="0"/>
                <w:w w:val="100"/>
                <w:position w:val="0"/>
              </w:rPr>
              <w:t>年第三季度募集资金 存放和使用情况等汇报事 项。</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听取审计机构</w:t>
            </w:r>
            <w:r>
              <w:rPr>
                <w:color w:val="000000"/>
                <w:spacing w:val="0"/>
                <w:w w:val="100"/>
                <w:position w:val="0"/>
              </w:rPr>
              <w:t>2021</w:t>
            </w:r>
            <w:r>
              <w:rPr>
                <w:rFonts w:ascii="SimSun" w:eastAsia="SimSun" w:hAnsi="SimSun" w:cs="SimSun"/>
                <w:color w:val="000000"/>
                <w:spacing w:val="0"/>
                <w:w w:val="100"/>
                <w:position w:val="0"/>
              </w:rPr>
              <w:t>年度 审计计划</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74"/>
        <w:gridCol w:w="850"/>
        <w:gridCol w:w="706"/>
        <w:gridCol w:w="898"/>
        <w:gridCol w:w="2117"/>
        <w:gridCol w:w="994"/>
        <w:gridCol w:w="2093"/>
        <w:gridCol w:w="974"/>
      </w:tblGrid>
      <w:tr>
        <w:trPr>
          <w:trHeight w:val="134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战略委员会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其实、陈 凯、夏立 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 xml:space="preserve">审议了 </w:t>
            </w:r>
            <w:r>
              <w:rPr>
                <w:color w:val="000000"/>
                <w:spacing w:val="0"/>
                <w:w w:val="100"/>
                <w:position w:val="0"/>
              </w:rPr>
              <w:t>2020</w:t>
            </w:r>
            <w:r>
              <w:rPr>
                <w:rFonts w:ascii="SimSun" w:eastAsia="SimSun" w:hAnsi="SimSun" w:cs="SimSun"/>
                <w:color w:val="000000"/>
                <w:spacing w:val="0"/>
                <w:w w:val="100"/>
                <w:position w:val="0"/>
              </w:rPr>
              <w:t>年度公司发展 战略取得的成果及</w:t>
            </w:r>
            <w:r>
              <w:rPr>
                <w:color w:val="000000"/>
                <w:spacing w:val="0"/>
                <w:w w:val="100"/>
                <w:position w:val="0"/>
              </w:rPr>
              <w:t>2021</w:t>
            </w:r>
            <w:r>
              <w:rPr>
                <w:rFonts w:ascii="SimSun" w:eastAsia="SimSun" w:hAnsi="SimSun" w:cs="SimSun"/>
                <w:color w:val="000000"/>
                <w:spacing w:val="0"/>
                <w:w w:val="100"/>
                <w:position w:val="0"/>
              </w:rPr>
              <w:t>年 将实施的战略规划相关事 项等相关议案。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根据市场及行业情况，对 公司长期发展战略和重大 决策进行研究。</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提名委员会</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陈贵、其</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实、夏立</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军</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审议了提名公司总经理， 提名公司副总经理、财务 总监等相关议案。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审议了提名公司合规总监 等相关议案。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薪酬与考核 委员会</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陈贵、其</w:t>
            </w:r>
          </w:p>
          <w:p>
            <w:pPr>
              <w:pStyle w:val="Style6"/>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实、夏立</w:t>
            </w:r>
          </w:p>
          <w:p>
            <w:pPr>
              <w:pStyle w:val="Style6"/>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军</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pPr>
            <w:r>
              <w:rPr>
                <w:rFonts w:ascii="SimSun" w:eastAsia="SimSun" w:hAnsi="SimSun" w:cs="SimSun"/>
                <w:color w:val="000000"/>
                <w:spacing w:val="0"/>
                <w:w w:val="100"/>
                <w:position w:val="0"/>
              </w:rPr>
              <w:t>审议了公司</w:t>
            </w:r>
            <w:r>
              <w:rPr>
                <w:color w:val="000000"/>
                <w:spacing w:val="0"/>
                <w:w w:val="100"/>
                <w:position w:val="0"/>
              </w:rPr>
              <w:t>2020</w:t>
            </w:r>
            <w:r>
              <w:rPr>
                <w:rFonts w:ascii="SimSun" w:eastAsia="SimSun" w:hAnsi="SimSun" w:cs="SimSun"/>
                <w:color w:val="000000"/>
                <w:spacing w:val="0"/>
                <w:w w:val="100"/>
                <w:position w:val="0"/>
              </w:rPr>
              <w:t>年度董监 高薪酬的相关议案。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4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审议了《东方财富信息股 份有限公司</w:t>
            </w:r>
            <w:r>
              <w:rPr>
                <w:color w:val="000000"/>
                <w:spacing w:val="0"/>
                <w:w w:val="100"/>
                <w:position w:val="0"/>
              </w:rPr>
              <w:t>2021</w:t>
            </w:r>
            <w:r>
              <w:rPr>
                <w:rFonts w:ascii="SimSun" w:eastAsia="SimSun" w:hAnsi="SimSun" w:cs="SimSun"/>
                <w:color w:val="000000"/>
                <w:spacing w:val="0"/>
                <w:w w:val="100"/>
                <w:position w:val="0"/>
              </w:rPr>
              <w:t>年限制性 股票激励计划（草案）》及 其摘要、公司</w:t>
            </w:r>
            <w:r>
              <w:rPr>
                <w:color w:val="000000"/>
                <w:spacing w:val="0"/>
                <w:w w:val="100"/>
                <w:position w:val="0"/>
              </w:rPr>
              <w:t>2021</w:t>
            </w:r>
            <w:r>
              <w:rPr>
                <w:rFonts w:ascii="SimSun" w:eastAsia="SimSun" w:hAnsi="SimSun" w:cs="SimSun"/>
                <w:color w:val="000000"/>
                <w:spacing w:val="0"/>
                <w:w w:val="100"/>
                <w:position w:val="0"/>
              </w:rPr>
              <w:t>年限制 性股票激励计划实施考核 管理办法、提请股东大会 授权董事会办理公司</w:t>
            </w:r>
            <w:r>
              <w:rPr>
                <w:color w:val="000000"/>
                <w:spacing w:val="0"/>
                <w:w w:val="100"/>
                <w:position w:val="0"/>
              </w:rPr>
              <w:t xml:space="preserve">2021 </w:t>
            </w:r>
            <w:r>
              <w:rPr>
                <w:rFonts w:ascii="SimSun" w:eastAsia="SimSun" w:hAnsi="SimSun" w:cs="SimSun"/>
                <w:color w:val="000000"/>
                <w:spacing w:val="0"/>
                <w:w w:val="100"/>
                <w:position w:val="0"/>
              </w:rPr>
              <w:t>年限制性股票激励计划相 关事宜、公司</w:t>
            </w:r>
            <w:r>
              <w:rPr>
                <w:color w:val="000000"/>
                <w:spacing w:val="0"/>
                <w:w w:val="100"/>
                <w:position w:val="0"/>
              </w:rPr>
              <w:t>2021</w:t>
            </w:r>
            <w:r>
              <w:rPr>
                <w:rFonts w:ascii="SimSun" w:eastAsia="SimSun" w:hAnsi="SimSun" w:cs="SimSun"/>
                <w:color w:val="000000"/>
                <w:spacing w:val="0"/>
                <w:w w:val="100"/>
                <w:position w:val="0"/>
              </w:rPr>
              <w:t>年半年 度董监高薪酬等相关议 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2"/>
        <w:keepNext/>
        <w:keepLines/>
        <w:widowControl w:val="0"/>
        <w:shd w:val="clear" w:color="auto" w:fill="auto"/>
        <w:bidi w:val="0"/>
        <w:spacing w:before="0" w:line="240" w:lineRule="auto"/>
        <w:ind w:left="0" w:right="0" w:firstLine="0"/>
        <w:jc w:val="left"/>
      </w:pPr>
      <w:bookmarkStart w:id="416" w:name="bookmark416"/>
      <w:bookmarkStart w:id="417" w:name="bookmark417"/>
      <w:bookmarkStart w:id="418" w:name="bookmark418"/>
      <w:r>
        <w:rPr>
          <w:color w:val="000000"/>
          <w:spacing w:val="0"/>
          <w:w w:val="100"/>
          <w:position w:val="0"/>
          <w:sz w:val="24"/>
          <w:szCs w:val="24"/>
        </w:rPr>
        <w:t>十、监事会工作情况</w:t>
      </w:r>
      <w:bookmarkEnd w:id="416"/>
      <w:bookmarkEnd w:id="417"/>
      <w:bookmarkEnd w:id="418"/>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监事会对报告期内的监督事项无异议。</w:t>
      </w:r>
    </w:p>
    <w:p>
      <w:pPr>
        <w:pStyle w:val="Style22"/>
        <w:keepNext/>
        <w:keepLines/>
        <w:widowControl w:val="0"/>
        <w:shd w:val="clear" w:color="auto" w:fill="auto"/>
        <w:bidi w:val="0"/>
        <w:spacing w:before="0" w:line="240" w:lineRule="auto"/>
        <w:ind w:left="0" w:right="0" w:firstLine="0"/>
        <w:jc w:val="left"/>
      </w:pPr>
      <w:bookmarkStart w:id="419" w:name="bookmark419"/>
      <w:bookmarkStart w:id="420" w:name="bookmark420"/>
      <w:bookmarkStart w:id="421" w:name="bookmark421"/>
      <w:r>
        <w:rPr>
          <w:color w:val="000000"/>
          <w:spacing w:val="0"/>
          <w:w w:val="100"/>
          <w:position w:val="0"/>
          <w:sz w:val="24"/>
          <w:szCs w:val="24"/>
        </w:rPr>
        <w:t>十一、公司员工情况</w:t>
      </w:r>
      <w:bookmarkEnd w:id="419"/>
      <w:bookmarkEnd w:id="420"/>
      <w:bookmarkEnd w:id="421"/>
    </w:p>
    <w:p>
      <w:pPr>
        <w:pStyle w:val="Style32"/>
        <w:keepNext/>
        <w:keepLines/>
        <w:widowControl w:val="0"/>
        <w:shd w:val="clear" w:color="auto" w:fill="auto"/>
        <w:bidi w:val="0"/>
        <w:spacing w:before="0" w:after="34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1</w:t>
      </w:r>
      <w:bookmarkEnd w:id="424"/>
      <w:r>
        <w:rPr>
          <w:color w:val="000000"/>
          <w:spacing w:val="0"/>
          <w:w w:val="100"/>
          <w:position w:val="0"/>
        </w:rPr>
        <w:t>、员工数量、专业构成及教育程度</w:t>
      </w:r>
      <w:bookmarkEnd w:id="422"/>
      <w:bookmarkEnd w:id="423"/>
      <w:bookmarkEnd w:id="425"/>
    </w:p>
    <w:tbl>
      <w:tblPr>
        <w:tblOverlap w:val="never"/>
        <w:jc w:val="center"/>
        <w:tblLayout w:type="fixed"/>
      </w:tblPr>
      <w:tblGrid>
        <w:gridCol w:w="4810"/>
        <w:gridCol w:w="4795"/>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60" w:right="0" w:firstLine="0"/>
              <w:jc w:val="left"/>
            </w:pPr>
            <w:r>
              <w:rPr>
                <w:color w:val="000000"/>
                <w:spacing w:val="0"/>
                <w:w w:val="100"/>
                <w:position w:val="0"/>
              </w:rPr>
              <w:t>1,684</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60" w:right="0" w:firstLine="0"/>
              <w:jc w:val="left"/>
            </w:pPr>
            <w:r>
              <w:rPr>
                <w:color w:val="000000"/>
                <w:spacing w:val="0"/>
                <w:w w:val="100"/>
                <w:position w:val="0"/>
              </w:rPr>
              <w:t>4,012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60" w:right="0" w:firstLine="0"/>
              <w:jc w:val="left"/>
            </w:pPr>
            <w:r>
              <w:rPr>
                <w:color w:val="000000"/>
                <w:spacing w:val="0"/>
                <w:w w:val="100"/>
                <w:position w:val="0"/>
              </w:rPr>
              <w:t>5,696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60" w:right="0" w:firstLine="0"/>
              <w:jc w:val="left"/>
            </w:pPr>
            <w:r>
              <w:rPr>
                <w:color w:val="000000"/>
                <w:spacing w:val="0"/>
                <w:w w:val="100"/>
                <w:position w:val="0"/>
              </w:rPr>
              <w:t>5,696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bl>
    <w:p>
      <w:pPr>
        <w:spacing w:lineRule="exact" w:line="1"/>
        <w:rPr>
          <w:sz w:val="2"/>
          <w:szCs w:val="2"/>
        </w:rPr>
      </w:pPr>
      <w:r>
        <w:br w:type="page"/>
      </w:r>
    </w:p>
    <w:tbl>
      <w:tblPr>
        <w:tblOverlap w:val="never"/>
        <w:jc w:val="center"/>
        <w:tblLayout w:type="fixed"/>
      </w:tblPr>
      <w:tblGrid>
        <w:gridCol w:w="4810"/>
        <w:gridCol w:w="4795"/>
      </w:tblGrid>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产品与技术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60" w:right="0" w:firstLine="0"/>
              <w:jc w:val="left"/>
            </w:pPr>
            <w:r>
              <w:rPr>
                <w:color w:val="000000"/>
                <w:spacing w:val="0"/>
                <w:w w:val="100"/>
                <w:position w:val="0"/>
              </w:rPr>
              <w:t>2,727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财富管理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60" w:right="0" w:firstLine="0"/>
              <w:jc w:val="left"/>
            </w:pPr>
            <w:r>
              <w:rPr>
                <w:color w:val="000000"/>
                <w:spacing w:val="0"/>
                <w:w w:val="100"/>
                <w:position w:val="0"/>
              </w:rPr>
              <w:t>1,610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市场与客户支持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pPr>
            <w:r>
              <w:rPr>
                <w:color w:val="000000"/>
                <w:spacing w:val="0"/>
                <w:w w:val="100"/>
                <w:position w:val="0"/>
              </w:rPr>
              <w:t>757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行政职能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pPr>
            <w:r>
              <w:rPr>
                <w:color w:val="000000"/>
                <w:spacing w:val="0"/>
                <w:w w:val="100"/>
                <w:position w:val="0"/>
              </w:rPr>
              <w:t>602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60" w:right="0" w:firstLine="0"/>
              <w:jc w:val="left"/>
            </w:pPr>
            <w:r>
              <w:rPr>
                <w:color w:val="000000"/>
                <w:spacing w:val="0"/>
                <w:w w:val="100"/>
                <w:position w:val="0"/>
              </w:rPr>
              <w:t>5,696</w:t>
            </w:r>
          </w:p>
        </w:tc>
      </w:tr>
      <w:tr>
        <w:trPr>
          <w:trHeight w:val="389"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pPr>
            <w:r>
              <w:rPr>
                <w:color w:val="000000"/>
                <w:spacing w:val="0"/>
                <w:w w:val="100"/>
                <w:position w:val="0"/>
              </w:rPr>
              <w:t>862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60" w:right="0" w:firstLine="0"/>
              <w:jc w:val="left"/>
            </w:pPr>
            <w:r>
              <w:rPr>
                <w:color w:val="000000"/>
                <w:spacing w:val="0"/>
                <w:w w:val="100"/>
                <w:position w:val="0"/>
              </w:rPr>
              <w:t>3,695</w:t>
            </w:r>
          </w:p>
        </w:tc>
      </w:tr>
      <w:tr>
        <w:trPr>
          <w:trHeight w:val="40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60" w:right="0" w:firstLine="0"/>
              <w:jc w:val="left"/>
            </w:pPr>
            <w:r>
              <w:rPr>
                <w:color w:val="000000"/>
                <w:spacing w:val="0"/>
                <w:w w:val="100"/>
                <w:position w:val="0"/>
              </w:rPr>
              <w:t>1,004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专科以下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left"/>
            </w:pPr>
            <w:r>
              <w:rPr>
                <w:color w:val="000000"/>
                <w:spacing w:val="0"/>
                <w:w w:val="100"/>
                <w:position w:val="0"/>
              </w:rPr>
              <w:t>126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360" w:right="0" w:firstLine="0"/>
              <w:jc w:val="left"/>
            </w:pPr>
            <w:r>
              <w:rPr>
                <w:color w:val="000000"/>
                <w:spacing w:val="0"/>
                <w:w w:val="100"/>
                <w:position w:val="0"/>
              </w:rPr>
              <w:t>5,696</w:t>
            </w:r>
          </w:p>
        </w:tc>
      </w:tr>
    </w:tbl>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、薪酬政策</w:t>
      </w:r>
    </w:p>
    <w:p>
      <w:pPr>
        <w:widowControl w:val="0"/>
        <w:spacing w:after="259" w:line="1" w:lineRule="exact"/>
      </w:pPr>
    </w:p>
    <w:p>
      <w:pPr>
        <w:pStyle w:val="Style41"/>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公司结合实际情况搭建了市场化的员工薪酬体系，通过内外部薪酬调研，明确薪酬调整标准，不断 完善职级薪酬的宽带体系，使薪酬水平兼具外部竞争性与内部公平性。</w:t>
      </w:r>
    </w:p>
    <w:p>
      <w:pPr>
        <w:pStyle w:val="Style41"/>
        <w:keepNext w:val="0"/>
        <w:keepLines w:val="0"/>
        <w:widowControl w:val="0"/>
        <w:shd w:val="clear" w:color="auto" w:fill="auto"/>
        <w:bidi w:val="0"/>
        <w:spacing w:before="0" w:after="380" w:line="310" w:lineRule="exact"/>
        <w:ind w:left="0" w:right="0" w:firstLine="440"/>
        <w:jc w:val="left"/>
      </w:pPr>
      <w:r>
        <w:rPr>
          <w:color w:val="000000"/>
          <w:spacing w:val="0"/>
          <w:w w:val="100"/>
          <w:position w:val="0"/>
        </w:rPr>
        <w:t>公司打造了绩效驱动型薪酬政策，在薪酬分配上，向高业绩产出、高绩效人员倾斜，向关键部门、 关键岗位、公司发展所需的优才倾斜，实现对人才的吸引、激励与保留。</w:t>
      </w:r>
    </w:p>
    <w:p>
      <w:pPr>
        <w:pStyle w:val="Style32"/>
        <w:keepNext/>
        <w:keepLines/>
        <w:widowControl w:val="0"/>
        <w:shd w:val="clear" w:color="auto" w:fill="auto"/>
        <w:tabs>
          <w:tab w:pos="392" w:val="left"/>
        </w:tabs>
        <w:bidi w:val="0"/>
        <w:spacing w:before="0" w:after="180" w:line="329"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3</w:t>
      </w:r>
      <w:bookmarkEnd w:id="428"/>
      <w:r>
        <w:rPr>
          <w:color w:val="000000"/>
          <w:spacing w:val="0"/>
          <w:w w:val="100"/>
          <w:position w:val="0"/>
        </w:rPr>
        <w:t>、</w:t>
        <w:tab/>
        <w:t>培训计划</w:t>
      </w:r>
      <w:bookmarkEnd w:id="426"/>
      <w:bookmarkEnd w:id="427"/>
      <w:bookmarkEnd w:id="429"/>
    </w:p>
    <w:p>
      <w:pPr>
        <w:pStyle w:val="Style4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公司自成立以来，就十分关注员工的成长，设有专门部门负责员工的培养发展，逐步搭建学习型的 组织。公司目前的培训涵盖新人培养、专业培训、通用能力培训与领导力培养等各种形式的学习活动， 包括：</w:t>
      </w:r>
    </w:p>
    <w:p>
      <w:pPr>
        <w:pStyle w:val="Style41"/>
        <w:keepNext w:val="0"/>
        <w:keepLines w:val="0"/>
        <w:widowControl w:val="0"/>
        <w:shd w:val="clear" w:color="auto" w:fill="auto"/>
        <w:tabs>
          <w:tab w:pos="928" w:val="left"/>
        </w:tabs>
        <w:bidi w:val="0"/>
        <w:spacing w:before="0" w:after="0" w:line="314" w:lineRule="exact"/>
        <w:ind w:left="0" w:right="0" w:firstLine="440"/>
        <w:jc w:val="left"/>
      </w:pPr>
      <w:bookmarkStart w:id="430" w:name="bookmark430"/>
      <w:r>
        <w:rPr>
          <w:color w:val="000000"/>
          <w:spacing w:val="0"/>
          <w:w w:val="100"/>
          <w:position w:val="0"/>
        </w:rPr>
        <w:t>（</w:t>
      </w:r>
      <w:bookmarkEnd w:id="430"/>
      <w:r>
        <w:rPr>
          <w:rFonts w:ascii="Times New Roman" w:eastAsia="Times New Roman" w:hAnsi="Times New Roman" w:cs="Times New Roman"/>
          <w:color w:val="000000"/>
          <w:spacing w:val="0"/>
          <w:w w:val="100"/>
          <w:position w:val="0"/>
        </w:rPr>
        <w:t>1</w:t>
      </w:r>
      <w:r>
        <w:rPr>
          <w:color w:val="000000"/>
          <w:spacing w:val="0"/>
          <w:w w:val="100"/>
          <w:position w:val="0"/>
        </w:rPr>
        <w:t>）</w:t>
        <w:tab/>
        <w:t>社会招聘和校园招聘的员工入职培训；</w:t>
      </w:r>
    </w:p>
    <w:p>
      <w:pPr>
        <w:pStyle w:val="Style41"/>
        <w:keepNext w:val="0"/>
        <w:keepLines w:val="0"/>
        <w:widowControl w:val="0"/>
        <w:shd w:val="clear" w:color="auto" w:fill="auto"/>
        <w:tabs>
          <w:tab w:pos="928" w:val="left"/>
        </w:tabs>
        <w:bidi w:val="0"/>
        <w:spacing w:before="0" w:after="0" w:line="314" w:lineRule="exact"/>
        <w:ind w:left="0" w:right="0" w:firstLine="440"/>
        <w:jc w:val="left"/>
      </w:pPr>
      <w:bookmarkStart w:id="431" w:name="bookmark431"/>
      <w:r>
        <w:rPr>
          <w:color w:val="000000"/>
          <w:spacing w:val="0"/>
          <w:w w:val="100"/>
          <w:position w:val="0"/>
        </w:rPr>
        <w:t>（</w:t>
      </w:r>
      <w:bookmarkEnd w:id="431"/>
      <w:r>
        <w:rPr>
          <w:rFonts w:ascii="Times New Roman" w:eastAsia="Times New Roman" w:hAnsi="Times New Roman" w:cs="Times New Roman"/>
          <w:color w:val="000000"/>
          <w:spacing w:val="0"/>
          <w:w w:val="100"/>
          <w:position w:val="0"/>
        </w:rPr>
        <w:t>2</w:t>
      </w:r>
      <w:r>
        <w:rPr>
          <w:color w:val="000000"/>
          <w:spacing w:val="0"/>
          <w:w w:val="100"/>
          <w:position w:val="0"/>
        </w:rPr>
        <w:t>）</w:t>
        <w:tab/>
        <w:t>管理培训生的训练营；</w:t>
      </w:r>
    </w:p>
    <w:p>
      <w:pPr>
        <w:pStyle w:val="Style41"/>
        <w:keepNext w:val="0"/>
        <w:keepLines w:val="0"/>
        <w:widowControl w:val="0"/>
        <w:shd w:val="clear" w:color="auto" w:fill="auto"/>
        <w:tabs>
          <w:tab w:pos="928" w:val="left"/>
        </w:tabs>
        <w:bidi w:val="0"/>
        <w:spacing w:before="0" w:after="0" w:line="314" w:lineRule="exact"/>
        <w:ind w:left="0" w:right="0" w:firstLine="440"/>
        <w:jc w:val="left"/>
      </w:pPr>
      <w:bookmarkStart w:id="432" w:name="bookmark432"/>
      <w:r>
        <w:rPr>
          <w:color w:val="000000"/>
          <w:spacing w:val="0"/>
          <w:w w:val="100"/>
          <w:position w:val="0"/>
        </w:rPr>
        <w:t>（</w:t>
      </w:r>
      <w:bookmarkEnd w:id="432"/>
      <w:r>
        <w:rPr>
          <w:rFonts w:ascii="Times New Roman" w:eastAsia="Times New Roman" w:hAnsi="Times New Roman" w:cs="Times New Roman"/>
          <w:color w:val="000000"/>
          <w:spacing w:val="0"/>
          <w:w w:val="100"/>
          <w:position w:val="0"/>
        </w:rPr>
        <w:t>3</w:t>
      </w:r>
      <w:r>
        <w:rPr>
          <w:color w:val="000000"/>
          <w:spacing w:val="0"/>
          <w:w w:val="100"/>
          <w:position w:val="0"/>
        </w:rPr>
        <w:t>）</w:t>
        <w:tab/>
        <w:t>专业序列的专业培训及分享会；</w:t>
      </w:r>
    </w:p>
    <w:p>
      <w:pPr>
        <w:pStyle w:val="Style41"/>
        <w:keepNext w:val="0"/>
        <w:keepLines w:val="0"/>
        <w:widowControl w:val="0"/>
        <w:shd w:val="clear" w:color="auto" w:fill="auto"/>
        <w:tabs>
          <w:tab w:pos="928" w:val="left"/>
        </w:tabs>
        <w:bidi w:val="0"/>
        <w:spacing w:before="0" w:after="0" w:line="314" w:lineRule="exact"/>
        <w:ind w:left="0" w:right="0" w:firstLine="440"/>
        <w:jc w:val="left"/>
      </w:pPr>
      <w:bookmarkStart w:id="433" w:name="bookmark433"/>
      <w:r>
        <w:rPr>
          <w:color w:val="000000"/>
          <w:spacing w:val="0"/>
          <w:w w:val="100"/>
          <w:position w:val="0"/>
        </w:rPr>
        <w:t>（</w:t>
      </w:r>
      <w:bookmarkEnd w:id="433"/>
      <w:r>
        <w:rPr>
          <w:rFonts w:ascii="Times New Roman" w:eastAsia="Times New Roman" w:hAnsi="Times New Roman" w:cs="Times New Roman"/>
          <w:color w:val="000000"/>
          <w:spacing w:val="0"/>
          <w:w w:val="100"/>
          <w:position w:val="0"/>
        </w:rPr>
        <w:t>4</w:t>
      </w:r>
      <w:r>
        <w:rPr>
          <w:color w:val="000000"/>
          <w:spacing w:val="0"/>
          <w:w w:val="100"/>
          <w:position w:val="0"/>
        </w:rPr>
        <w:t>）</w:t>
        <w:tab/>
        <w:t>专项培训。</w:t>
      </w:r>
    </w:p>
    <w:p>
      <w:pPr>
        <w:pStyle w:val="Style41"/>
        <w:keepNext w:val="0"/>
        <w:keepLines w:val="0"/>
        <w:widowControl w:val="0"/>
        <w:shd w:val="clear" w:color="auto" w:fill="auto"/>
        <w:bidi w:val="0"/>
        <w:spacing w:before="0" w:after="380" w:line="314"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年度，公司及各子公司共组织</w:t>
      </w:r>
      <w:r>
        <w:rPr>
          <w:rFonts w:ascii="Times New Roman" w:eastAsia="Times New Roman" w:hAnsi="Times New Roman" w:cs="Times New Roman"/>
          <w:color w:val="000000"/>
          <w:spacing w:val="0"/>
          <w:w w:val="100"/>
          <w:position w:val="0"/>
        </w:rPr>
        <w:t>479</w:t>
      </w:r>
      <w:r>
        <w:rPr>
          <w:color w:val="000000"/>
          <w:spacing w:val="0"/>
          <w:w w:val="100"/>
          <w:position w:val="0"/>
        </w:rPr>
        <w:t>个培训班，</w:t>
      </w:r>
      <w:r>
        <w:rPr>
          <w:rFonts w:ascii="Times New Roman" w:eastAsia="Times New Roman" w:hAnsi="Times New Roman" w:cs="Times New Roman"/>
          <w:color w:val="000000"/>
          <w:spacing w:val="0"/>
          <w:w w:val="100"/>
          <w:position w:val="0"/>
        </w:rPr>
        <w:t>969</w:t>
      </w:r>
      <w:r>
        <w:rPr>
          <w:color w:val="000000"/>
          <w:spacing w:val="0"/>
          <w:w w:val="100"/>
          <w:position w:val="0"/>
        </w:rPr>
        <w:t>门次课程，培训员工超过</w:t>
      </w:r>
      <w:r>
        <w:rPr>
          <w:rFonts w:ascii="Times New Roman" w:eastAsia="Times New Roman" w:hAnsi="Times New Roman" w:cs="Times New Roman"/>
          <w:color w:val="000000"/>
          <w:spacing w:val="0"/>
          <w:w w:val="100"/>
          <w:position w:val="0"/>
        </w:rPr>
        <w:t>4.6</w:t>
      </w:r>
      <w:r>
        <w:rPr>
          <w:color w:val="000000"/>
          <w:spacing w:val="0"/>
          <w:w w:val="100"/>
          <w:position w:val="0"/>
        </w:rPr>
        <w:t>万人次。公司发动 内部业务专家成为主要师资力量，将他们的优秀岗位经验传授给员工，做经验的萃取与传承。</w:t>
      </w:r>
      <w:r>
        <w:rPr>
          <w:rFonts w:ascii="Times New Roman" w:eastAsia="Times New Roman" w:hAnsi="Times New Roman" w:cs="Times New Roman"/>
          <w:color w:val="000000"/>
          <w:spacing w:val="0"/>
          <w:w w:val="100"/>
          <w:position w:val="0"/>
        </w:rPr>
        <w:t>2022</w:t>
      </w:r>
      <w:r>
        <w:rPr>
          <w:color w:val="000000"/>
          <w:spacing w:val="0"/>
          <w:w w:val="100"/>
          <w:position w:val="0"/>
        </w:rPr>
        <w:t>年公 司将继续重点加强各层管理人才的培养，努力为公司培养更多的优秀人才。</w:t>
      </w:r>
    </w:p>
    <w:p>
      <w:pPr>
        <w:pStyle w:val="Style32"/>
        <w:keepNext/>
        <w:keepLines/>
        <w:widowControl w:val="0"/>
        <w:shd w:val="clear" w:color="auto" w:fill="auto"/>
        <w:tabs>
          <w:tab w:pos="392" w:val="left"/>
        </w:tabs>
        <w:bidi w:val="0"/>
        <w:spacing w:before="0" w:after="260" w:line="329"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4</w:t>
      </w:r>
      <w:bookmarkEnd w:id="436"/>
      <w:r>
        <w:rPr>
          <w:color w:val="000000"/>
          <w:spacing w:val="0"/>
          <w:w w:val="100"/>
          <w:position w:val="0"/>
        </w:rPr>
        <w:t>、</w:t>
        <w:tab/>
        <w:t>劳务外包情况</w:t>
      </w:r>
      <w:bookmarkEnd w:id="434"/>
      <w:bookmarkEnd w:id="435"/>
      <w:bookmarkEnd w:id="437"/>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810"/>
        <w:gridCol w:w="4795"/>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37,497</w:t>
            </w:r>
          </w:p>
        </w:tc>
      </w:tr>
      <w:tr>
        <w:trPr>
          <w:trHeight w:val="3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1,269,627.51</w:t>
            </w:r>
          </w:p>
        </w:tc>
      </w:tr>
    </w:tbl>
    <w:p>
      <w:pPr>
        <w:spacing w:lineRule="exact" w:line="1"/>
        <w:rPr>
          <w:sz w:val="2"/>
          <w:szCs w:val="2"/>
        </w:rPr>
      </w:pPr>
      <w:r>
        <w:br w:type="page"/>
      </w:r>
    </w:p>
    <w:p>
      <w:pPr>
        <w:pStyle w:val="Style22"/>
        <w:keepNext/>
        <w:keepLines/>
        <w:widowControl w:val="0"/>
        <w:shd w:val="clear" w:color="auto" w:fill="auto"/>
        <w:bidi w:val="0"/>
        <w:spacing w:before="0" w:after="260" w:line="240" w:lineRule="auto"/>
        <w:ind w:left="0" w:right="0" w:firstLine="0"/>
        <w:jc w:val="left"/>
      </w:pPr>
      <w:bookmarkStart w:id="438" w:name="bookmark438"/>
      <w:bookmarkStart w:id="439" w:name="bookmark439"/>
      <w:bookmarkStart w:id="440" w:name="bookmark440"/>
      <w:r>
        <w:rPr>
          <w:color w:val="000000"/>
          <w:spacing w:val="0"/>
          <w:w w:val="100"/>
          <w:position w:val="0"/>
          <w:sz w:val="24"/>
          <w:szCs w:val="24"/>
        </w:rPr>
        <w:t>十二、公司利润分配及资本公积金转增股本情况</w:t>
      </w:r>
      <w:bookmarkEnd w:id="438"/>
      <w:bookmarkEnd w:id="439"/>
      <w:bookmarkEnd w:id="440"/>
    </w:p>
    <w:p>
      <w:pPr>
        <w:pStyle w:val="Style2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报告期内利润分配政策，特别是现金分红政策的制定、执行或调整情况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80" w:line="317"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日，公司完成了 </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年度权益分派，以总股本</w:t>
      </w:r>
      <w:r>
        <w:rPr>
          <w:rFonts w:ascii="Times New Roman" w:eastAsia="Times New Roman" w:hAnsi="Times New Roman" w:cs="Times New Roman"/>
          <w:color w:val="000000"/>
          <w:spacing w:val="0"/>
          <w:w w:val="100"/>
          <w:position w:val="0"/>
        </w:rPr>
        <w:t>8,613,136,491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.60</w:t>
      </w:r>
      <w:r>
        <w:rPr>
          <w:color w:val="000000"/>
          <w:spacing w:val="0"/>
          <w:w w:val="100"/>
          <w:position w:val="0"/>
        </w:rPr>
        <w:t>元人民币，合 计派发现金</w:t>
      </w:r>
      <w:r>
        <w:rPr>
          <w:rFonts w:ascii="Times New Roman" w:eastAsia="Times New Roman" w:hAnsi="Times New Roman" w:cs="Times New Roman"/>
          <w:color w:val="000000"/>
          <w:spacing w:val="0"/>
          <w:w w:val="100"/>
          <w:position w:val="0"/>
        </w:rPr>
        <w:t>516,788,189.46</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股，共转增</w:t>
      </w:r>
      <w:r>
        <w:rPr>
          <w:rFonts w:ascii="Times New Roman" w:eastAsia="Times New Roman" w:hAnsi="Times New Roman" w:cs="Times New Roman"/>
          <w:color w:val="000000"/>
          <w:spacing w:val="0"/>
          <w:w w:val="100"/>
          <w:position w:val="0"/>
        </w:rPr>
        <w:t>1,722,627,298</w:t>
      </w:r>
      <w:r>
        <w:rPr>
          <w:color w:val="000000"/>
          <w:spacing w:val="0"/>
          <w:w w:val="100"/>
          <w:position w:val="0"/>
        </w:rPr>
        <w:t xml:space="preserve">股，转增后公司总股本 变更为 </w:t>
      </w:r>
      <w:r>
        <w:rPr>
          <w:rFonts w:ascii="Times New Roman" w:eastAsia="Times New Roman" w:hAnsi="Times New Roman" w:cs="Times New Roman"/>
          <w:color w:val="000000"/>
          <w:spacing w:val="0"/>
          <w:w w:val="100"/>
          <w:position w:val="0"/>
        </w:rPr>
        <w:t>10,335,763,789</w:t>
      </w:r>
      <w:r>
        <w:rPr>
          <w:color w:val="000000"/>
          <w:spacing w:val="0"/>
          <w:w w:val="100"/>
          <w:position w:val="0"/>
        </w:rPr>
        <w:t>股。</w:t>
      </w:r>
    </w:p>
    <w:tbl>
      <w:tblPr>
        <w:tblOverlap w:val="never"/>
        <w:jc w:val="center"/>
        <w:tblLayout w:type="fixed"/>
      </w:tblPr>
      <w:tblGrid>
        <w:gridCol w:w="6931"/>
        <w:gridCol w:w="2674"/>
      </w:tblGrid>
      <w:tr>
        <w:trPr>
          <w:trHeight w:val="41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4550"/>
        <w:gridCol w:w="5054"/>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40" w:right="0" w:firstLine="0"/>
              <w:jc w:val="left"/>
            </w:pPr>
            <w:r>
              <w:rPr>
                <w:color w:val="000000"/>
                <w:spacing w:val="0"/>
                <w:w w:val="100"/>
                <w:position w:val="0"/>
              </w:rPr>
              <w:t>11,011,802,120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40" w:right="0" w:firstLine="0"/>
              <w:jc w:val="left"/>
            </w:pPr>
            <w:r>
              <w:rPr>
                <w:color w:val="000000"/>
                <w:spacing w:val="0"/>
                <w:w w:val="100"/>
                <w:position w:val="0"/>
              </w:rPr>
              <w:t>880,944,169.60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940" w:right="0" w:firstLine="0"/>
              <w:jc w:val="left"/>
            </w:pPr>
            <w:r>
              <w:rPr>
                <w:color w:val="000000"/>
                <w:spacing w:val="0"/>
                <w:w w:val="100"/>
                <w:position w:val="0"/>
              </w:rPr>
              <w:t>880,944,169.60</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6,445,854,628.98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r>
        <w:trPr>
          <w:trHeight w:val="720"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公司发展阶段不易区分但有重大资金支出安排的，进行利润分配时，现金分红在本次利润分配中所占比例最低应达到</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1334"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根据公司于</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日召开的第五届董事会第二十次会议决议，本公司拟实施以下资本公积转增股本及利润分配 方案：以总股本</w:t>
            </w:r>
            <w:r>
              <w:rPr>
                <w:color w:val="000000"/>
                <w:spacing w:val="0"/>
                <w:w w:val="100"/>
                <w:position w:val="0"/>
              </w:rPr>
              <w:t>11,011,802,120</w:t>
            </w:r>
            <w:r>
              <w:rPr>
                <w:rFonts w:ascii="SimSun" w:eastAsia="SimSun" w:hAnsi="SimSun" w:cs="SimSun"/>
                <w:color w:val="000000"/>
                <w:spacing w:val="0"/>
                <w:w w:val="100"/>
                <w:position w:val="0"/>
              </w:rPr>
              <w:t>股为基数，用资本公积金向全体股东每</w:t>
            </w:r>
            <w:r>
              <w:rPr>
                <w:color w:val="000000"/>
                <w:spacing w:val="0"/>
                <w:w w:val="100"/>
                <w:position w:val="0"/>
              </w:rPr>
              <w:t>10</w:t>
            </w:r>
            <w:r>
              <w:rPr>
                <w:rFonts w:ascii="SimSun" w:eastAsia="SimSun" w:hAnsi="SimSun" w:cs="SimSun"/>
                <w:color w:val="000000"/>
                <w:spacing w:val="0"/>
                <w:w w:val="100"/>
                <w:position w:val="0"/>
              </w:rPr>
              <w:t>股转增</w:t>
            </w:r>
            <w:r>
              <w:rPr>
                <w:color w:val="000000"/>
                <w:spacing w:val="0"/>
                <w:w w:val="100"/>
                <w:position w:val="0"/>
              </w:rPr>
              <w:t>2</w:t>
            </w:r>
            <w:r>
              <w:rPr>
                <w:rFonts w:ascii="SimSun" w:eastAsia="SimSun" w:hAnsi="SimSun" w:cs="SimSun"/>
                <w:color w:val="000000"/>
                <w:spacing w:val="0"/>
                <w:w w:val="100"/>
                <w:position w:val="0"/>
              </w:rPr>
              <w:t>股，共转增</w:t>
            </w:r>
            <w:r>
              <w:rPr>
                <w:color w:val="000000"/>
                <w:spacing w:val="0"/>
                <w:w w:val="100"/>
                <w:position w:val="0"/>
              </w:rPr>
              <w:t>2,202,360,424</w:t>
            </w:r>
            <w:r>
              <w:rPr>
                <w:rFonts w:ascii="SimSun" w:eastAsia="SimSun" w:hAnsi="SimSun" w:cs="SimSun"/>
                <w:color w:val="000000"/>
                <w:spacing w:val="0"/>
                <w:w w:val="100"/>
                <w:position w:val="0"/>
              </w:rPr>
              <w:t>股，转增后 公司总股本为</w:t>
            </w:r>
            <w:r>
              <w:rPr>
                <w:color w:val="000000"/>
                <w:spacing w:val="0"/>
                <w:w w:val="100"/>
                <w:position w:val="0"/>
              </w:rPr>
              <w:t>13,214,162,544</w:t>
            </w:r>
            <w:r>
              <w:rPr>
                <w:rFonts w:ascii="SimSun" w:eastAsia="SimSun" w:hAnsi="SimSun" w:cs="SimSun"/>
                <w:color w:val="000000"/>
                <w:spacing w:val="0"/>
                <w:w w:val="100"/>
                <w:position w:val="0"/>
              </w:rPr>
              <w:t>股。以总股本</w:t>
            </w:r>
            <w:r>
              <w:rPr>
                <w:color w:val="000000"/>
                <w:spacing w:val="0"/>
                <w:w w:val="100"/>
                <w:position w:val="0"/>
              </w:rPr>
              <w:t>11,011,802,120</w:t>
            </w:r>
            <w:r>
              <w:rPr>
                <w:rFonts w:ascii="SimSun" w:eastAsia="SimSun" w:hAnsi="SimSun" w:cs="SimSun"/>
                <w:color w:val="000000"/>
                <w:spacing w:val="0"/>
                <w:w w:val="100"/>
                <w:position w:val="0"/>
              </w:rPr>
              <w:t>股为基数，向全体股东每</w:t>
            </w:r>
            <w:r>
              <w:rPr>
                <w:color w:val="000000"/>
                <w:spacing w:val="0"/>
                <w:w w:val="100"/>
                <w:position w:val="0"/>
              </w:rPr>
              <w:t>10</w:t>
            </w:r>
            <w:r>
              <w:rPr>
                <w:rFonts w:ascii="SimSun" w:eastAsia="SimSun" w:hAnsi="SimSun" w:cs="SimSun"/>
                <w:color w:val="000000"/>
                <w:spacing w:val="0"/>
                <w:w w:val="100"/>
                <w:position w:val="0"/>
              </w:rPr>
              <w:t>股派发现金股利</w:t>
            </w:r>
            <w:r>
              <w:rPr>
                <w:color w:val="000000"/>
                <w:spacing w:val="0"/>
                <w:w w:val="100"/>
                <w:position w:val="0"/>
              </w:rPr>
              <w:t>0.80</w:t>
            </w:r>
            <w:r>
              <w:rPr>
                <w:rFonts w:ascii="SimSun" w:eastAsia="SimSun" w:hAnsi="SimSun" w:cs="SimSun"/>
                <w:color w:val="000000"/>
                <w:spacing w:val="0"/>
                <w:w w:val="100"/>
                <w:position w:val="0"/>
              </w:rPr>
              <w:t>元（含税）， 合计派发现金</w:t>
            </w:r>
            <w:r>
              <w:rPr>
                <w:color w:val="000000"/>
                <w:spacing w:val="0"/>
                <w:w w:val="100"/>
                <w:position w:val="0"/>
              </w:rPr>
              <w:t>880,944,169.60</w:t>
            </w:r>
            <w:r>
              <w:rPr>
                <w:rFonts w:ascii="SimSun" w:eastAsia="SimSun" w:hAnsi="SimSun" w:cs="SimSun"/>
                <w:color w:val="000000"/>
                <w:spacing w:val="0"/>
                <w:w w:val="100"/>
                <w:position w:val="0"/>
              </w:rPr>
              <w:t>元。剩余未分配利润结转至下年度。</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2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both"/>
      </w:pPr>
      <w:bookmarkStart w:id="441" w:name="bookmark441"/>
      <w:bookmarkStart w:id="442" w:name="bookmark442"/>
      <w:bookmarkStart w:id="443" w:name="bookmark443"/>
      <w:r>
        <w:rPr>
          <w:color w:val="000000"/>
          <w:spacing w:val="0"/>
          <w:w w:val="100"/>
          <w:position w:val="0"/>
          <w:sz w:val="24"/>
          <w:szCs w:val="24"/>
        </w:rPr>
        <w:t>十三、公司股权激励计划、员工持股计划或其他员工激励措施的实施情况</w:t>
      </w:r>
      <w:bookmarkEnd w:id="441"/>
      <w:bookmarkEnd w:id="442"/>
      <w:bookmarkEnd w:id="443"/>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keepLines/>
        <w:widowControl w:val="0"/>
        <w:shd w:val="clear" w:color="auto" w:fill="auto"/>
        <w:bidi w:val="0"/>
        <w:spacing w:before="0" w:after="200" w:line="326" w:lineRule="auto"/>
        <w:ind w:left="0" w:right="0" w:firstLine="0"/>
        <w:jc w:val="both"/>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1</w:t>
      </w:r>
      <w:bookmarkEnd w:id="446"/>
      <w:r>
        <w:rPr>
          <w:color w:val="000000"/>
          <w:spacing w:val="0"/>
          <w:w w:val="100"/>
          <w:position w:val="0"/>
        </w:rPr>
        <w:t>、股权激励</w:t>
      </w:r>
      <w:bookmarkEnd w:id="444"/>
      <w:bookmarkEnd w:id="445"/>
      <w:bookmarkEnd w:id="447"/>
    </w:p>
    <w:p>
      <w:pPr>
        <w:pStyle w:val="Style41"/>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年第二次临时股东大会，审议并通过了《关于</w:t>
      </w:r>
      <w:r>
        <w:rPr>
          <w:color w:val="000000"/>
          <w:spacing w:val="0"/>
          <w:w w:val="100"/>
          <w:position w:val="0"/>
          <w:sz w:val="16"/>
          <w:szCs w:val="16"/>
        </w:rPr>
        <w:t>〈</w:t>
      </w:r>
      <w:r>
        <w:rPr>
          <w:color w:val="000000"/>
          <w:spacing w:val="0"/>
          <w:w w:val="100"/>
          <w:position w:val="0"/>
        </w:rPr>
        <w:t>东方财富信息股份有限 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rFonts w:ascii="Times New Roman" w:eastAsia="Times New Roman" w:hAnsi="Times New Roman" w:cs="Times New Roman"/>
          <w:color w:val="000000"/>
          <w:spacing w:val="0"/>
          <w:w w:val="100"/>
          <w:position w:val="0"/>
        </w:rPr>
        <w:t>＜</w:t>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 制性股票激励计划实施考核管理办法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的议案》和《关于提请股东大会授权董事会办理公司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 股票激励计划相关事宜的议案》。同日公司在深圳证券交易所网站和符合中国证监会规定条件的信息披露 媒体上披露了《关于公司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年限制性股票激励计划内幕信息知情人买卖公司股票情况的自查报告》。</w:t>
      </w:r>
    </w:p>
    <w:p>
      <w:pPr>
        <w:pStyle w:val="Style41"/>
        <w:keepNext w:val="0"/>
        <w:keepLines w:val="0"/>
        <w:widowControl w:val="0"/>
        <w:shd w:val="clear" w:color="auto" w:fill="auto"/>
        <w:bidi w:val="0"/>
        <w:spacing w:before="0" w:after="260" w:line="313" w:lineRule="exact"/>
        <w:ind w:left="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日，公司召开第五届董事会第十五次会议与第五届监事会第十三次会议，审议通过了《关 于向激励对象首次授予限制性股票的议案》。公司独立董事对该议案发表了独立意见，认为授予条件已成 就，激励对象主体资格合法、有效，确定的首次授予日符合相关规定。公司监事会对首次授予日的激励对 象名单进行核实并发表核查意见，同意公司本次激励计划首次授予的激励对象名单。</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董事、高级管理人员获得的股权激励情况</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30"/>
        <w:gridCol w:w="1728"/>
        <w:gridCol w:w="1142"/>
        <w:gridCol w:w="1411"/>
        <w:gridCol w:w="1570"/>
        <w:gridCol w:w="1704"/>
        <w:gridCol w:w="1277"/>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报告期末市 价（元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期初持有第二类</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报告期新授予第二</w:t>
            </w:r>
          </w:p>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类限制性股票数量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right"/>
            </w:pPr>
            <w:r>
              <w:rPr>
                <w:rFonts w:ascii="SimSun" w:eastAsia="SimSun" w:hAnsi="SimSun" w:cs="SimSun"/>
                <w:color w:val="000000"/>
                <w:spacing w:val="0"/>
                <w:w w:val="100"/>
                <w:position w:val="0"/>
              </w:rPr>
              <w:t>第二类限制性股票的 授予价格（元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期末持有第二</w:t>
            </w:r>
          </w:p>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类限制性股票</w:t>
            </w:r>
          </w:p>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郑立坤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1,300,000</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黄建海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董事、副总经理、财 务总监、董事会秘书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1,300,000</w:t>
            </w:r>
          </w:p>
        </w:tc>
      </w:tr>
      <w:tr>
        <w:trPr>
          <w:trHeight w:val="38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程磊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合规总监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7,800,000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7,800,000</w:t>
            </w:r>
          </w:p>
        </w:tc>
      </w:tr>
    </w:tbl>
    <w:p>
      <w:pPr>
        <w:widowControl w:val="0"/>
        <w:spacing w:after="359" w:line="1" w:lineRule="exact"/>
      </w:pPr>
    </w:p>
    <w:p>
      <w:pPr>
        <w:pStyle w:val="Style32"/>
        <w:keepNext/>
        <w:keepLines/>
        <w:widowControl w:val="0"/>
        <w:shd w:val="clear" w:color="auto" w:fill="auto"/>
        <w:tabs>
          <w:tab w:pos="392" w:val="left"/>
        </w:tabs>
        <w:bidi w:val="0"/>
        <w:spacing w:before="0" w:after="360" w:line="240" w:lineRule="auto"/>
        <w:ind w:left="0" w:right="0" w:firstLine="0"/>
        <w:jc w:val="both"/>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2</w:t>
      </w:r>
      <w:bookmarkEnd w:id="450"/>
      <w:r>
        <w:rPr>
          <w:color w:val="000000"/>
          <w:spacing w:val="0"/>
          <w:w w:val="100"/>
          <w:position w:val="0"/>
        </w:rPr>
        <w:t>、</w:t>
        <w:tab/>
        <w:t>员工持股计划的实施情况</w:t>
      </w:r>
      <w:bookmarkEnd w:id="448"/>
      <w:bookmarkEnd w:id="449"/>
      <w:bookmarkEnd w:id="451"/>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2"/>
        <w:keepNext/>
        <w:keepLines/>
        <w:widowControl w:val="0"/>
        <w:shd w:val="clear" w:color="auto" w:fill="auto"/>
        <w:tabs>
          <w:tab w:pos="392" w:val="left"/>
        </w:tabs>
        <w:bidi w:val="0"/>
        <w:spacing w:before="0" w:after="360" w:line="240" w:lineRule="auto"/>
        <w:ind w:left="0" w:right="0" w:firstLine="0"/>
        <w:jc w:val="both"/>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3</w:t>
      </w:r>
      <w:bookmarkEnd w:id="454"/>
      <w:r>
        <w:rPr>
          <w:color w:val="000000"/>
          <w:spacing w:val="0"/>
          <w:w w:val="100"/>
          <w:position w:val="0"/>
        </w:rPr>
        <w:t>、</w:t>
        <w:tab/>
        <w:t>其他员工激励措施</w:t>
      </w:r>
      <w:bookmarkEnd w:id="452"/>
      <w:bookmarkEnd w:id="453"/>
      <w:bookmarkEnd w:id="455"/>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7 </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both"/>
      </w:pPr>
      <w:bookmarkStart w:id="456" w:name="bookmark456"/>
      <w:bookmarkStart w:id="457" w:name="bookmark457"/>
      <w:bookmarkStart w:id="458" w:name="bookmark458"/>
      <w:r>
        <w:rPr>
          <w:color w:val="000000"/>
          <w:spacing w:val="0"/>
          <w:w w:val="100"/>
          <w:position w:val="0"/>
          <w:sz w:val="24"/>
          <w:szCs w:val="24"/>
        </w:rPr>
        <w:t>十四、报告期内的内部控制制度建设及实施情况</w:t>
      </w:r>
      <w:bookmarkEnd w:id="456"/>
      <w:bookmarkEnd w:id="457"/>
      <w:bookmarkEnd w:id="458"/>
    </w:p>
    <w:p>
      <w:pPr>
        <w:pStyle w:val="Style32"/>
        <w:keepNext/>
        <w:keepLines/>
        <w:widowControl w:val="0"/>
        <w:shd w:val="clear" w:color="auto" w:fill="auto"/>
        <w:bidi w:val="0"/>
        <w:spacing w:before="0" w:after="360" w:line="240" w:lineRule="auto"/>
        <w:ind w:left="0" w:right="0" w:firstLine="0"/>
        <w:jc w:val="both"/>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1</w:t>
      </w:r>
      <w:bookmarkEnd w:id="461"/>
      <w:r>
        <w:rPr>
          <w:color w:val="000000"/>
          <w:spacing w:val="0"/>
          <w:w w:val="100"/>
          <w:position w:val="0"/>
        </w:rPr>
        <w:t>、内部控制建设及实施情况</w:t>
      </w:r>
      <w:bookmarkEnd w:id="459"/>
      <w:bookmarkEnd w:id="460"/>
      <w:bookmarkEnd w:id="462"/>
    </w:p>
    <w:p>
      <w:pPr>
        <w:pStyle w:val="Style41"/>
        <w:keepNext w:val="0"/>
        <w:keepLines w:val="0"/>
        <w:widowControl w:val="0"/>
        <w:shd w:val="clear" w:color="auto" w:fill="auto"/>
        <w:bidi w:val="0"/>
        <w:spacing w:before="0" w:after="360" w:line="240" w:lineRule="auto"/>
        <w:ind w:left="0" w:right="0" w:firstLine="460"/>
        <w:jc w:val="both"/>
        <w:sectPr>
          <w:footnotePr>
            <w:pos w:val="pageBottom"/>
            <w:numFmt w:val="upperRoman"/>
            <w:numStart w:val="1"/>
            <w:numRestart w:val="continuous"/>
            <w15:footnoteColumns w:val="1"/>
          </w:footnotePr>
          <w:pgSz w:w="11900" w:h="16840"/>
          <w:pgMar w:top="1193" w:right="1071" w:bottom="1218" w:left="1067" w:header="0" w:footer="3" w:gutter="0"/>
          <w:cols w:space="720"/>
          <w:noEndnote/>
          <w:rtlGutter w:val="0"/>
          <w:docGrid w:linePitch="360"/>
        </w:sectPr>
      </w:pPr>
      <w:r>
        <w:rPr>
          <w:color w:val="000000"/>
          <w:spacing w:val="0"/>
          <w:w w:val="100"/>
          <w:position w:val="0"/>
        </w:rPr>
        <w:t>本报告期，公司继续完善内部控制制度建设，强化内部审计监督。公司建立内控合规部并相应修改公司章</w:t>
      </w:r>
    </w:p>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吻东方财富</w:t>
      </w:r>
    </w:p>
    <w:p>
      <w:pPr>
        <w:pStyle w:val="Style37"/>
        <w:keepNext w:val="0"/>
        <w:keepLines w:val="0"/>
        <w:widowControl w:val="0"/>
        <w:shd w:val="clear" w:color="auto" w:fill="auto"/>
        <w:bidi w:val="0"/>
        <w:spacing w:before="0" w:after="240"/>
        <w:ind w:left="0" w:right="0"/>
        <w:jc w:val="left"/>
      </w:pPr>
      <w:r>
        <w:rPr>
          <w:color w:val="717171"/>
          <w:spacing w:val="0"/>
          <w:w w:val="100"/>
          <w:position w:val="0"/>
        </w:rPr>
        <w:t>east</w:t>
      </w:r>
      <w:r>
        <w:rPr>
          <w:spacing w:val="0"/>
          <w:w w:val="100"/>
          <w:position w:val="0"/>
        </w:rPr>
        <w:t>money.com</w:t>
      </w:r>
    </w:p>
    <w:p>
      <w:pPr>
        <w:pStyle w:val="Style41"/>
        <w:keepNext w:val="0"/>
        <w:keepLines w:val="0"/>
        <w:widowControl w:val="0"/>
        <w:shd w:val="clear" w:color="auto" w:fill="auto"/>
        <w:bidi w:val="0"/>
        <w:spacing w:before="0" w:after="0" w:line="311" w:lineRule="exact"/>
        <w:ind w:left="0" w:right="0" w:firstLine="0"/>
        <w:jc w:val="both"/>
      </w:pPr>
      <w:r>
        <w:rPr>
          <w:color w:val="000000"/>
          <w:spacing w:val="0"/>
          <w:w w:val="100"/>
          <w:position w:val="0"/>
        </w:rPr>
        <w:t>程、制定《公司合规管理制度》，不断提升公司治理和内部控制水平。公司持续强化董事会及关键岗位的内控 意识和责任，充分认识完备的内部控制制度在改善公司治理、增强风险防控、促进公司持续健康发展中的重要 性，强化合规经营意识，确保内部控制制度得到有效执行，切实提升公司规范运作水平。</w:t>
      </w:r>
    </w:p>
    <w:p>
      <w:pPr>
        <w:pStyle w:val="Style41"/>
        <w:keepNext w:val="0"/>
        <w:keepLines w:val="0"/>
        <w:widowControl w:val="0"/>
        <w:shd w:val="clear" w:color="auto" w:fill="auto"/>
        <w:bidi w:val="0"/>
        <w:spacing w:before="0" w:after="0" w:line="311" w:lineRule="exact"/>
        <w:ind w:left="0" w:right="0" w:firstLine="420"/>
        <w:jc w:val="both"/>
      </w:pPr>
      <w:r>
        <w:rPr>
          <w:color w:val="000000"/>
          <w:spacing w:val="0"/>
          <w:w w:val="100"/>
          <w:position w:val="0"/>
        </w:rPr>
        <w:t>根据公司财务报告内部控制重大缺陷的认定情况，于内部控制评价报告基准日，不存在财务报告内部控制 重大缺陷。公司已按照企业内部控制规范体系和相关规定的要求在所有重大方面保持了有效的财务报告内部控 制。</w:t>
      </w:r>
    </w:p>
    <w:p>
      <w:pPr>
        <w:pStyle w:val="Style41"/>
        <w:keepNext w:val="0"/>
        <w:keepLines w:val="0"/>
        <w:widowControl w:val="0"/>
        <w:shd w:val="clear" w:color="auto" w:fill="auto"/>
        <w:bidi w:val="0"/>
        <w:spacing w:before="0" w:after="300" w:line="311" w:lineRule="exact"/>
        <w:ind w:left="0" w:right="0" w:firstLine="420"/>
        <w:jc w:val="both"/>
      </w:pPr>
      <w:r>
        <w:rPr>
          <w:color w:val="000000"/>
          <w:spacing w:val="0"/>
          <w:w w:val="100"/>
          <w:position w:val="0"/>
        </w:rPr>
        <w:t>根据公司非财务报告内部控制重大缺陷认定情况，于内部控制评价报告基准日，公司未发现非财务报告内 部控制重大缺陷。</w:t>
      </w:r>
    </w:p>
    <w:p>
      <w:pPr>
        <w:pStyle w:val="Style32"/>
        <w:keepNext/>
        <w:keepLines/>
        <w:widowControl w:val="0"/>
        <w:shd w:val="clear" w:color="auto" w:fill="auto"/>
        <w:bidi w:val="0"/>
        <w:spacing w:before="0" w:after="360" w:line="311" w:lineRule="exact"/>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2</w:t>
      </w:r>
      <w:bookmarkEnd w:id="465"/>
      <w:r>
        <w:rPr>
          <w:color w:val="000000"/>
          <w:spacing w:val="0"/>
          <w:w w:val="100"/>
          <w:position w:val="0"/>
        </w:rPr>
        <w:t>、报告期内发现的内部控制重大缺陷的具体情况</w:t>
      </w:r>
      <w:bookmarkEnd w:id="463"/>
      <w:bookmarkEnd w:id="464"/>
      <w:bookmarkEnd w:id="466"/>
    </w:p>
    <w:p>
      <w:pPr>
        <w:pStyle w:val="Style24"/>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22"/>
        <w:keepNext/>
        <w:keepLines/>
        <w:widowControl w:val="0"/>
        <w:shd w:val="clear" w:color="auto" w:fill="auto"/>
        <w:bidi w:val="0"/>
        <w:spacing w:before="0" w:after="240" w:line="240" w:lineRule="auto"/>
        <w:ind w:left="0" w:right="0" w:firstLine="0"/>
        <w:jc w:val="left"/>
      </w:pPr>
      <w:bookmarkStart w:id="467" w:name="bookmark467"/>
      <w:bookmarkStart w:id="468" w:name="bookmark468"/>
      <w:bookmarkStart w:id="469" w:name="bookmark469"/>
      <w:r>
        <w:rPr>
          <w:color w:val="000000"/>
          <w:spacing w:val="0"/>
          <w:w w:val="100"/>
          <w:position w:val="0"/>
          <w:sz w:val="24"/>
          <w:szCs w:val="24"/>
        </w:rPr>
        <w:t>十五、公司报告期内对子公司的管理控制情况</w:t>
      </w:r>
      <w:bookmarkEnd w:id="467"/>
      <w:bookmarkEnd w:id="468"/>
      <w:bookmarkEnd w:id="469"/>
    </w:p>
    <w:p>
      <w:pPr>
        <w:pStyle w:val="Style24"/>
        <w:keepNext w:val="0"/>
        <w:keepLines w:val="0"/>
        <w:widowControl w:val="0"/>
        <w:shd w:val="clear" w:color="auto" w:fill="auto"/>
        <w:bidi w:val="0"/>
        <w:spacing w:before="0" w:after="360" w:line="311" w:lineRule="exact"/>
        <w:ind w:left="0" w:right="0" w:firstLine="0"/>
        <w:jc w:val="left"/>
      </w:pP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470" w:name="bookmark470"/>
      <w:bookmarkStart w:id="471" w:name="bookmark471"/>
      <w:bookmarkStart w:id="472" w:name="bookmark472"/>
      <w:r>
        <w:rPr>
          <w:color w:val="000000"/>
          <w:spacing w:val="0"/>
          <w:w w:val="100"/>
          <w:position w:val="0"/>
          <w:sz w:val="24"/>
          <w:szCs w:val="24"/>
        </w:rPr>
        <w:t>十六、内部控制自我评价报告或内部控制审计报告</w:t>
      </w:r>
      <w:bookmarkEnd w:id="470"/>
      <w:bookmarkEnd w:id="471"/>
      <w:bookmarkEnd w:id="472"/>
    </w:p>
    <w:p>
      <w:pPr>
        <w:pStyle w:val="Style32"/>
        <w:keepNext/>
        <w:keepLines/>
        <w:widowControl w:val="0"/>
        <w:shd w:val="clear" w:color="auto" w:fill="auto"/>
        <w:bidi w:val="0"/>
        <w:spacing w:before="0" w:after="30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1</w:t>
      </w:r>
      <w:bookmarkEnd w:id="475"/>
      <w:r>
        <w:rPr>
          <w:color w:val="000000"/>
          <w:spacing w:val="0"/>
          <w:w w:val="100"/>
          <w:position w:val="0"/>
        </w:rPr>
        <w:t>、内控自我评价报告</w:t>
      </w:r>
      <w:bookmarkEnd w:id="473"/>
      <w:bookmarkEnd w:id="474"/>
      <w:bookmarkEnd w:id="476"/>
    </w:p>
    <w:tbl>
      <w:tblPr>
        <w:tblOverlap w:val="never"/>
        <w:jc w:val="center"/>
        <w:tblLayout w:type="fixed"/>
      </w:tblPr>
      <w:tblGrid>
        <w:gridCol w:w="3211"/>
        <w:gridCol w:w="3326"/>
        <w:gridCol w:w="3067"/>
      </w:tblGrid>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"http://wwwcninfb.com.cn" </w:instrText>
            </w:r>
            <w:r>
              <w:fldChar w:fldCharType="separate"/>
            </w:r>
            <w:r>
              <w:rPr>
                <w:color w:val="000000"/>
                <w:spacing w:val="0"/>
                <w:w w:val="100"/>
                <w:position w:val="0"/>
              </w:rPr>
              <w:t>http://wwwcninfb.com.cn</w:t>
            </w:r>
            <w:r>
              <w:fldChar w:fldCharType="end"/>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纳入评价范围单位营业收入占公司合并 财务报表营业总收入的比例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r>
      <w:tr>
        <w:trPr>
          <w:trHeight w:val="389"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443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重大缺陷认定标准：①董事、监事、高 级管理人员舞弊；②对已经公告的财务报 告出现重大差错而进行的差错更正；③当 期财务报告存在重大差错，而内部控制运 行过程中未发现该差错；④公司审计委员 会和审计部门对财务报告内部控制监督无 效。重要缺陷认定标准：①未建立反舞弊 程序和控制措施；②对于非常规或特殊交 易的账务处理没有建立相应控制机制；③ 对于财务报告编制过程中存在一项或多项 缺陷不能保证编制的财务报表达到真实、 准确的目标。一般缺陷认定标准：①当期 财务报告存在小额差错，而内部控制运行 过程中未发现该差错；②公司审计委员会</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重大缺陷认定标准：①公司经营活动 违反国家法律、法规；②媒体负面新 闻频频曝光，对公司声誉造成重大影 响；③高级管理人员和核心技术人员 严重流失；④内部控制重大缺陷未得 到整改。重要缺陷认定标准：①公司 违反国家法律、法规活动受到轻微处 罚；②媒体出现负面新闻，对公司声 誉造成影响；③关键岗位人员严重流 失；④内部控制重要缺陷未得到整 改。一般缺陷认定标准：①媒体出现 负面新闻，但影响不大；②一般岗位 人员流失严重；③内部控制一般缺陷</w:t>
            </w:r>
          </w:p>
        </w:tc>
      </w:tr>
    </w:tbl>
    <w:p>
      <w:pPr>
        <w:sectPr>
          <w:footnotePr>
            <w:pos w:val="pageBottom"/>
            <w:numFmt w:val="upperRoman"/>
            <w:numStart w:val="1"/>
            <w:numRestart w:val="continuous"/>
            <w15:footnoteColumns w:val="1"/>
          </w:footnotePr>
          <w:pgSz w:w="11900" w:h="16840"/>
          <w:pgMar w:top="824" w:right="1075" w:bottom="1150" w:left="1109" w:header="0" w:footer="3" w:gutter="0"/>
          <w:cols w:space="720"/>
          <w:noEndnote/>
          <w:rtlGutter w:val="0"/>
          <w:docGrid w:linePitch="360"/>
        </w:sectPr>
      </w:pPr>
    </w:p>
    <w:tbl>
      <w:tblPr>
        <w:tblOverlap w:val="never"/>
        <w:jc w:val="center"/>
        <w:tblLayout w:type="fixed"/>
      </w:tblPr>
      <w:tblGrid>
        <w:gridCol w:w="3211"/>
        <w:gridCol w:w="3326"/>
        <w:gridCol w:w="3067"/>
      </w:tblGrid>
      <w:tr>
        <w:trPr>
          <w:trHeight w:val="68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和审计部门对内部控制的监督存在一般缺 陷。</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未得到整改。</w:t>
            </w:r>
          </w:p>
        </w:tc>
      </w:tr>
      <w:tr>
        <w:trPr>
          <w:trHeight w:val="164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tabs>
                <w:tab w:pos="413" w:val="left"/>
              </w:tabs>
              <w:bidi w:val="0"/>
              <w:spacing w:before="0" w:after="0" w:line="312" w:lineRule="exact"/>
              <w:ind w:left="0" w:right="0" w:firstLine="0"/>
              <w:jc w:val="left"/>
            </w:pPr>
            <w:r>
              <w:rPr>
                <w:rFonts w:ascii="SimSun" w:eastAsia="SimSun" w:hAnsi="SimSun" w:cs="SimSun"/>
                <w:color w:val="000000"/>
                <w:spacing w:val="0"/>
                <w:w w:val="100"/>
                <w:position w:val="0"/>
              </w:rPr>
              <w:t>重大缺陷：错报</w:t>
            </w:r>
            <w:r>
              <w:rPr>
                <w:color w:val="000000"/>
                <w:spacing w:val="0"/>
                <w:w w:val="100"/>
                <w:position w:val="0"/>
              </w:rPr>
              <w:t>^</w:t>
            </w:r>
            <w:r>
              <w:rPr>
                <w:rFonts w:ascii="SimSun" w:eastAsia="SimSun" w:hAnsi="SimSun" w:cs="SimSun"/>
                <w:color w:val="000000"/>
                <w:spacing w:val="0"/>
                <w:w w:val="100"/>
                <w:position w:val="0"/>
              </w:rPr>
              <w:t>税前利润</w:t>
            </w:r>
            <w:r>
              <w:rPr>
                <w:color w:val="000000"/>
                <w:spacing w:val="0"/>
                <w:w w:val="100"/>
                <w:position w:val="0"/>
              </w:rPr>
              <w:t>3%</w:t>
            </w:r>
            <w:r>
              <w:rPr>
                <w:rFonts w:ascii="SimSun" w:eastAsia="SimSun" w:hAnsi="SimSun" w:cs="SimSun"/>
                <w:color w:val="000000"/>
                <w:spacing w:val="0"/>
                <w:w w:val="100"/>
                <w:position w:val="0"/>
              </w:rPr>
              <w:t>；重要缺 陷：税前利润的</w:t>
            </w:r>
            <w:r>
              <w:rPr>
                <w:color w:val="000000"/>
                <w:spacing w:val="0"/>
                <w:w w:val="100"/>
                <w:position w:val="0"/>
              </w:rPr>
              <w:t>1%U</w:t>
            </w:r>
            <w:r>
              <w:rPr>
                <w:rFonts w:ascii="SimSun" w:eastAsia="SimSun" w:hAnsi="SimSun" w:cs="SimSun"/>
                <w:color w:val="000000"/>
                <w:spacing w:val="0"/>
                <w:w w:val="100"/>
                <w:position w:val="0"/>
              </w:rPr>
              <w:t xml:space="preserve">错报〈税前利润 </w:t>
            </w:r>
            <w:r>
              <w:rPr>
                <w:color w:val="000000"/>
                <w:spacing w:val="0"/>
                <w:w w:val="100"/>
                <w:position w:val="0"/>
              </w:rPr>
              <w:t>3%</w:t>
            </w:r>
            <w:r>
              <w:rPr>
                <w:rFonts w:ascii="SimSun" w:eastAsia="SimSun" w:hAnsi="SimSun" w:cs="SimSun"/>
                <w:color w:val="000000"/>
                <w:spacing w:val="0"/>
                <w:w w:val="100"/>
                <w:position w:val="0"/>
              </w:rPr>
              <w:t>；</w:t>
              <w:tab/>
              <w:t>一般缺陷：错报</w:t>
            </w:r>
            <w:r>
              <w:rPr>
                <w:color w:val="000000"/>
                <w:spacing w:val="0"/>
                <w:w w:val="100"/>
                <w:position w:val="0"/>
              </w:rPr>
              <w:t>＜</w:t>
            </w:r>
            <w:r>
              <w:rPr>
                <w:rFonts w:ascii="SimSun" w:eastAsia="SimSun" w:hAnsi="SimSun" w:cs="SimSun"/>
                <w:color w:val="000000"/>
                <w:spacing w:val="0"/>
                <w:w w:val="100"/>
                <w:position w:val="0"/>
              </w:rPr>
              <w:t>税前利润</w:t>
            </w:r>
            <w:r>
              <w:rPr>
                <w:color w:val="000000"/>
                <w:spacing w:val="0"/>
                <w:w w:val="100"/>
                <w:position w:val="0"/>
              </w:rPr>
              <w:t>1%</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重大缺陷：直接损失金额</w:t>
            </w:r>
            <w:r>
              <w:rPr>
                <w:color w:val="000000"/>
                <w:spacing w:val="0"/>
                <w:w w:val="100"/>
                <w:position w:val="0"/>
              </w:rPr>
              <w:t>^</w:t>
            </w:r>
            <w:r>
              <w:rPr>
                <w:rFonts w:ascii="SimSun" w:eastAsia="SimSun" w:hAnsi="SimSun" w:cs="SimSun"/>
                <w:color w:val="000000"/>
                <w:spacing w:val="0"/>
                <w:w w:val="100"/>
                <w:position w:val="0"/>
              </w:rPr>
              <w:t xml:space="preserve">资产总额的 </w:t>
            </w:r>
            <w:r>
              <w:rPr>
                <w:color w:val="000000"/>
                <w:spacing w:val="0"/>
                <w:w w:val="100"/>
                <w:position w:val="0"/>
              </w:rPr>
              <w:t xml:space="preserve">0.5% </w:t>
            </w:r>
            <w:r>
              <w:rPr>
                <w:rFonts w:ascii="SimSun" w:eastAsia="SimSun" w:hAnsi="SimSun" w:cs="SimSun"/>
                <w:color w:val="000000"/>
                <w:spacing w:val="0"/>
                <w:w w:val="100"/>
                <w:position w:val="0"/>
              </w:rPr>
              <w:t>；重要缺陷：资产总额的</w:t>
            </w:r>
            <w:r>
              <w:rPr>
                <w:color w:val="000000"/>
                <w:spacing w:val="0"/>
                <w:w w:val="100"/>
                <w:position w:val="0"/>
              </w:rPr>
              <w:t xml:space="preserve">0.05% </w:t>
            </w:r>
            <w:r>
              <w:rPr>
                <w:rFonts w:ascii="SimSun" w:eastAsia="SimSun" w:hAnsi="SimSun" w:cs="SimSun"/>
                <w:color w:val="000000"/>
                <w:spacing w:val="0"/>
                <w:w w:val="100"/>
                <w:position w:val="0"/>
              </w:rPr>
              <w:t>〈直接损失金额〈资产总额的</w:t>
            </w:r>
            <w:r>
              <w:rPr>
                <w:color w:val="000000"/>
                <w:spacing w:val="0"/>
                <w:w w:val="100"/>
                <w:position w:val="0"/>
              </w:rPr>
              <w:t>0.5%</w:t>
            </w:r>
            <w:r>
              <w:rPr>
                <w:rFonts w:ascii="SimSun" w:eastAsia="SimSun" w:hAnsi="SimSun" w:cs="SimSun"/>
                <w:color w:val="000000"/>
                <w:spacing w:val="0"/>
                <w:w w:val="100"/>
                <w:position w:val="0"/>
              </w:rPr>
              <w:t>； 一般缺陷：直接损失金额</w:t>
            </w:r>
            <w:r>
              <w:rPr>
                <w:color w:val="000000"/>
                <w:spacing w:val="0"/>
                <w:w w:val="100"/>
                <w:position w:val="0"/>
              </w:rPr>
              <w:t>5</w:t>
            </w:r>
            <w:r>
              <w:rPr>
                <w:rFonts w:ascii="SimSun" w:eastAsia="SimSun" w:hAnsi="SimSun" w:cs="SimSun"/>
                <w:color w:val="000000"/>
                <w:spacing w:val="0"/>
                <w:w w:val="100"/>
                <w:position w:val="0"/>
              </w:rPr>
              <w:t xml:space="preserve">资产总额的 </w:t>
            </w:r>
            <w:r>
              <w:rPr>
                <w:color w:val="000000"/>
                <w:spacing w:val="0"/>
                <w:w w:val="100"/>
                <w:position w:val="0"/>
              </w:rPr>
              <w:t>0.05%</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6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6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60" w:right="0" w:firstLine="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6260" w:right="0" w:firstLine="0"/>
              <w:jc w:val="left"/>
            </w:pPr>
            <w:r>
              <w:rPr>
                <w:color w:val="000000"/>
                <w:spacing w:val="0"/>
                <w:w w:val="100"/>
                <w:position w:val="0"/>
              </w:rPr>
              <w:t>0</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2</w:t>
      </w:r>
      <w:bookmarkEnd w:id="479"/>
      <w:r>
        <w:rPr>
          <w:color w:val="000000"/>
          <w:spacing w:val="0"/>
          <w:w w:val="100"/>
          <w:position w:val="0"/>
        </w:rPr>
        <w:t>、内部控制审计报告或鉴证报告</w:t>
      </w:r>
      <w:bookmarkEnd w:id="477"/>
      <w:bookmarkEnd w:id="478"/>
      <w:bookmarkEnd w:id="480"/>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w:t>
      </w:r>
    </w:p>
    <w:tbl>
      <w:tblPr>
        <w:tblOverlap w:val="never"/>
        <w:jc w:val="center"/>
        <w:tblLayout w:type="fixed"/>
      </w:tblPr>
      <w:tblGrid>
        <w:gridCol w:w="3240"/>
        <w:gridCol w:w="6365"/>
      </w:tblGrid>
      <w:tr>
        <w:trPr>
          <w:trHeight w:val="41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内部控制鉴证报告中的审议意见段</w:t>
            </w:r>
          </w:p>
        </w:tc>
      </w:tr>
      <w:tr>
        <w:trPr>
          <w:trHeight w:val="1022"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安永华明会计师事务所（特殊普通合伙）认为，于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日，公司在内部控制自我评价报告中所述与财务报表 相关的内部控制在所有重大方面有效地保持了按照《企业内部控制基本规范》（财会</w:t>
            </w:r>
            <w:r>
              <w:rPr>
                <w:color w:val="000000"/>
                <w:spacing w:val="0"/>
                <w:w w:val="100"/>
                <w:position w:val="0"/>
              </w:rPr>
              <w:t>[2</w:t>
            </w:r>
            <w:r>
              <w:rPr>
                <w:color w:val="000000"/>
                <w:spacing w:val="0"/>
                <w:w w:val="100"/>
                <w:position w:val="0"/>
              </w:rPr>
              <w:t>008]7</w:t>
            </w:r>
            <w:r>
              <w:rPr>
                <w:rFonts w:ascii="SimSun" w:eastAsia="SimSun" w:hAnsi="SimSun" w:cs="SimSun"/>
                <w:color w:val="000000"/>
                <w:spacing w:val="0"/>
                <w:w w:val="100"/>
                <w:position w:val="0"/>
              </w:rPr>
              <w:t>号）建立的与财务报表相关 的内部控制。</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"http://wwwcninfb.com.cn" </w:instrText>
            </w:r>
            <w:r>
              <w:fldChar w:fldCharType="separate"/>
            </w:r>
            <w:r>
              <w:rPr>
                <w:color w:val="000000"/>
                <w:spacing w:val="0"/>
                <w:w w:val="100"/>
                <w:position w:val="0"/>
              </w:rPr>
              <w:t>http://wwwcninfb.com.cn</w:t>
            </w:r>
            <w:r>
              <w:fldChar w:fldCharType="end"/>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11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会计师事务所是否出具非标准意见的内部控制鉴证报告</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2"/>
        <w:keepNext/>
        <w:keepLines/>
        <w:widowControl w:val="0"/>
        <w:shd w:val="clear" w:color="auto" w:fill="auto"/>
        <w:bidi w:val="0"/>
        <w:spacing w:before="0" w:line="240" w:lineRule="auto"/>
        <w:ind w:left="0" w:right="0" w:firstLine="0"/>
        <w:jc w:val="left"/>
      </w:pPr>
      <w:bookmarkStart w:id="481" w:name="bookmark481"/>
      <w:bookmarkStart w:id="482" w:name="bookmark482"/>
      <w:bookmarkStart w:id="483" w:name="bookmark483"/>
      <w:r>
        <w:rPr>
          <w:color w:val="000000"/>
          <w:spacing w:val="0"/>
          <w:w w:val="100"/>
          <w:position w:val="0"/>
          <w:sz w:val="24"/>
          <w:szCs w:val="24"/>
        </w:rPr>
        <w:t>十七、上市公司治理专项行动自查问题整改情况</w:t>
      </w:r>
      <w:bookmarkEnd w:id="481"/>
      <w:bookmarkEnd w:id="482"/>
      <w:bookmarkEnd w:id="483"/>
    </w:p>
    <w:p>
      <w:pPr>
        <w:pStyle w:val="Style24"/>
        <w:keepNext w:val="0"/>
        <w:keepLines w:val="0"/>
        <w:widowControl w:val="0"/>
        <w:shd w:val="clear" w:color="auto" w:fill="auto"/>
        <w:bidi w:val="0"/>
        <w:spacing w:before="0" w:after="240" w:line="240" w:lineRule="auto"/>
        <w:ind w:left="0" w:right="0" w:firstLine="0"/>
        <w:jc w:val="left"/>
        <w:sectPr>
          <w:footnotePr>
            <w:pos w:val="pageBottom"/>
            <w:numFmt w:val="upperRoman"/>
            <w:numStart w:val="1"/>
            <w:numRestart w:val="continuous"/>
            <w15:footnoteColumns w:val="1"/>
          </w:footnotePr>
          <w:pgSz w:w="11900" w:h="16840"/>
          <w:pgMar w:top="1443" w:right="1148" w:bottom="1443" w:left="1114" w:header="0" w:footer="3" w:gutter="0"/>
          <w:cols w:space="720"/>
          <w:noEndnote/>
          <w:rtlGutter w:val="0"/>
          <w:docGrid w:linePitch="360"/>
        </w:sectPr>
      </w:pPr>
      <w:r>
        <w:rPr>
          <w:color w:val="000000"/>
          <w:spacing w:val="0"/>
          <w:w w:val="100"/>
          <w:position w:val="0"/>
        </w:rPr>
        <w:t>不适用</w:t>
      </w:r>
    </w:p>
    <w:p>
      <w:pPr>
        <w:pStyle w:val="Style12"/>
        <w:keepNext/>
        <w:keepLines/>
        <w:widowControl w:val="0"/>
        <w:shd w:val="clear" w:color="auto" w:fill="auto"/>
        <w:bidi w:val="0"/>
        <w:spacing w:before="0" w:after="540" w:line="240" w:lineRule="auto"/>
        <w:ind w:left="0" w:right="0" w:firstLine="0"/>
        <w:jc w:val="center"/>
      </w:pPr>
      <w:bookmarkStart w:id="484" w:name="bookmark484"/>
      <w:bookmarkStart w:id="485" w:name="bookmark485"/>
      <w:bookmarkStart w:id="486" w:name="bookmark486"/>
      <w:r>
        <w:rPr>
          <w:color w:val="000000"/>
          <w:spacing w:val="0"/>
          <w:w w:val="100"/>
          <w:position w:val="0"/>
        </w:rPr>
        <w:t>第五节环境和社会责任</w:t>
      </w:r>
      <w:bookmarkEnd w:id="484"/>
      <w:bookmarkEnd w:id="485"/>
      <w:bookmarkEnd w:id="486"/>
    </w:p>
    <w:p>
      <w:pPr>
        <w:pStyle w:val="Style22"/>
        <w:keepNext/>
        <w:keepLines/>
        <w:widowControl w:val="0"/>
        <w:shd w:val="clear" w:color="auto" w:fill="auto"/>
        <w:tabs>
          <w:tab w:pos="541" w:val="left"/>
        </w:tabs>
        <w:bidi w:val="0"/>
        <w:spacing w:before="0" w:after="26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sz w:val="24"/>
          <w:szCs w:val="24"/>
        </w:rPr>
        <w:t>一</w:t>
      </w:r>
      <w:bookmarkEnd w:id="489"/>
      <w:r>
        <w:rPr>
          <w:color w:val="000000"/>
          <w:spacing w:val="0"/>
          <w:w w:val="100"/>
          <w:position w:val="0"/>
          <w:sz w:val="24"/>
          <w:szCs w:val="24"/>
        </w:rPr>
        <w:t>、</w:t>
        <w:tab/>
        <w:t>重大环保问题</w:t>
      </w:r>
      <w:bookmarkEnd w:id="487"/>
      <w:bookmarkEnd w:id="488"/>
      <w:bookmarkEnd w:id="490"/>
    </w:p>
    <w:p>
      <w:pPr>
        <w:pStyle w:val="Style2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报告期内因环境问题受到行政处罚的情况</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不适用</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参照重点排污单位披露的其他环境信息</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不适用</w:t>
      </w:r>
    </w:p>
    <w:p>
      <w:pPr>
        <w:pStyle w:val="Style24"/>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在报告期内为减少其碳排放所采取的措施及效果</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未披露其他环境信息的原因</w:t>
      </w:r>
    </w:p>
    <w:p>
      <w:pPr>
        <w:pStyle w:val="Style24"/>
        <w:keepNext w:val="0"/>
        <w:keepLines w:val="0"/>
        <w:widowControl w:val="0"/>
        <w:shd w:val="clear" w:color="auto" w:fill="auto"/>
        <w:bidi w:val="0"/>
        <w:spacing w:before="0" w:after="400" w:line="314" w:lineRule="exact"/>
        <w:ind w:left="0" w:right="0" w:firstLine="0"/>
        <w:jc w:val="left"/>
      </w:pPr>
      <w:r>
        <w:rPr>
          <w:color w:val="000000"/>
          <w:spacing w:val="0"/>
          <w:w w:val="100"/>
          <w:position w:val="0"/>
        </w:rPr>
        <w:t>不适用</w:t>
      </w:r>
    </w:p>
    <w:p>
      <w:pPr>
        <w:pStyle w:val="Style22"/>
        <w:keepNext/>
        <w:keepLines/>
        <w:widowControl w:val="0"/>
        <w:shd w:val="clear" w:color="auto" w:fill="auto"/>
        <w:tabs>
          <w:tab w:pos="541" w:val="left"/>
        </w:tabs>
        <w:bidi w:val="0"/>
        <w:spacing w:before="0" w:after="26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sz w:val="24"/>
          <w:szCs w:val="24"/>
        </w:rPr>
        <w:t>二</w:t>
      </w:r>
      <w:bookmarkEnd w:id="493"/>
      <w:r>
        <w:rPr>
          <w:color w:val="000000"/>
          <w:spacing w:val="0"/>
          <w:w w:val="100"/>
          <w:position w:val="0"/>
          <w:sz w:val="24"/>
          <w:szCs w:val="24"/>
        </w:rPr>
        <w:t>、</w:t>
        <w:tab/>
        <w:t>社会责任情况</w:t>
      </w:r>
      <w:bookmarkEnd w:id="491"/>
      <w:bookmarkEnd w:id="492"/>
      <w:bookmarkEnd w:id="494"/>
    </w:p>
    <w:p>
      <w:pPr>
        <w:pStyle w:val="Style41"/>
        <w:keepNext w:val="0"/>
        <w:keepLines w:val="0"/>
        <w:widowControl w:val="0"/>
        <w:shd w:val="clear" w:color="auto" w:fill="auto"/>
        <w:bidi w:val="0"/>
        <w:spacing w:before="0" w:after="360" w:line="322" w:lineRule="exact"/>
        <w:ind w:left="0" w:right="0" w:firstLine="42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日在深圳证券交易所网站和符合中国证监会规定条件的信息披露媒体发布了《公司 </w:t>
      </w:r>
      <w:r>
        <w:rPr>
          <w:rFonts w:ascii="Times New Roman" w:eastAsia="Times New Roman" w:hAnsi="Times New Roman" w:cs="Times New Roman"/>
          <w:color w:val="000000"/>
          <w:spacing w:val="0"/>
          <w:w w:val="100"/>
          <w:position w:val="0"/>
        </w:rPr>
        <w:t>2021</w:t>
      </w:r>
      <w:r>
        <w:rPr>
          <w:color w:val="000000"/>
          <w:spacing w:val="0"/>
          <w:w w:val="100"/>
          <w:position w:val="0"/>
        </w:rPr>
        <w:t>年度社会责任报告》。</w:t>
      </w:r>
    </w:p>
    <w:p>
      <w:pPr>
        <w:pStyle w:val="Style22"/>
        <w:keepNext/>
        <w:keepLines/>
        <w:widowControl w:val="0"/>
        <w:shd w:val="clear" w:color="auto" w:fill="auto"/>
        <w:tabs>
          <w:tab w:pos="546" w:val="left"/>
        </w:tabs>
        <w:bidi w:val="0"/>
        <w:spacing w:before="0" w:after="26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sz w:val="24"/>
          <w:szCs w:val="24"/>
        </w:rPr>
        <w:t>三</w:t>
      </w:r>
      <w:bookmarkEnd w:id="497"/>
      <w:r>
        <w:rPr>
          <w:color w:val="000000"/>
          <w:spacing w:val="0"/>
          <w:w w:val="100"/>
          <w:position w:val="0"/>
          <w:sz w:val="24"/>
          <w:szCs w:val="24"/>
        </w:rPr>
        <w:t>、</w:t>
        <w:tab/>
        <w:t>巩固拓展脱贫攻坚成果、乡村振兴的情况</w:t>
      </w:r>
      <w:bookmarkEnd w:id="495"/>
      <w:bookmarkEnd w:id="496"/>
      <w:bookmarkEnd w:id="498"/>
    </w:p>
    <w:p>
      <w:pPr>
        <w:pStyle w:val="Style41"/>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本报告期，公司及子公司积极贯彻落实党中央、国务院、中国证监会关于巩固拓展脱贫攻坚成果和乡村振 兴的指示要求，在消费帮扶、智力帮扶、教育帮扶、公益捐赠、金融帮扶等领域，积极履行社会责任，推动帮 扶工作精准有效开展，助力乡村振兴。</w:t>
      </w:r>
    </w:p>
    <w:p>
      <w:pPr>
        <w:pStyle w:val="Style41"/>
        <w:keepNext w:val="0"/>
        <w:keepLines w:val="0"/>
        <w:widowControl w:val="0"/>
        <w:shd w:val="clear" w:color="auto" w:fill="auto"/>
        <w:bidi w:val="0"/>
        <w:spacing w:before="0" w:after="200" w:line="314" w:lineRule="exact"/>
        <w:ind w:left="0" w:right="0" w:firstLine="420"/>
        <w:jc w:val="both"/>
        <w:sectPr>
          <w:footnotePr>
            <w:pos w:val="pageBottom"/>
            <w:numFmt w:val="upperRoman"/>
            <w:numStart w:val="1"/>
            <w:numRestart w:val="continuous"/>
            <w15:footnoteColumns w:val="1"/>
          </w:footnotePr>
          <w:pgSz w:w="11900" w:h="16840"/>
          <w:pgMar w:top="1971" w:right="1075" w:bottom="1971" w:left="1109" w:header="0" w:footer="3" w:gutter="0"/>
          <w:cols w:space="720"/>
          <w:noEndnote/>
          <w:rtlGutter w:val="0"/>
          <w:docGrid w:linePitch="360"/>
        </w:sectPr>
      </w:pPr>
      <w:r>
        <w:rPr>
          <w:color w:val="000000"/>
          <w:spacing w:val="0"/>
          <w:w w:val="100"/>
          <w:position w:val="0"/>
        </w:rPr>
        <w:t>公司巩固拓展脱贫攻坚成果、乡村振兴等工作具体情况已在《公司</w:t>
      </w:r>
      <w:r>
        <w:rPr>
          <w:rFonts w:ascii="Times New Roman" w:eastAsia="Times New Roman" w:hAnsi="Times New Roman" w:cs="Times New Roman"/>
          <w:color w:val="000000"/>
          <w:spacing w:val="0"/>
          <w:w w:val="100"/>
          <w:position w:val="0"/>
        </w:rPr>
        <w:t>2021</w:t>
      </w:r>
      <w:r>
        <w:rPr>
          <w:color w:val="000000"/>
          <w:spacing w:val="0"/>
          <w:w w:val="100"/>
          <w:position w:val="0"/>
        </w:rPr>
        <w:t>年度社会责任报告》中详细披露。</w:t>
      </w:r>
    </w:p>
    <w:p>
      <w:pPr>
        <w:pStyle w:val="Style12"/>
        <w:keepNext/>
        <w:keepLines/>
        <w:widowControl w:val="0"/>
        <w:shd w:val="clear" w:color="auto" w:fill="auto"/>
        <w:bidi w:val="0"/>
        <w:spacing w:before="360" w:after="960" w:line="240" w:lineRule="auto"/>
        <w:ind w:left="0" w:right="0" w:firstLine="0"/>
        <w:jc w:val="center"/>
      </w:pPr>
      <w:bookmarkStart w:id="499" w:name="bookmark499"/>
      <w:bookmarkStart w:id="500" w:name="bookmark500"/>
      <w:bookmarkStart w:id="501" w:name="bookmark501"/>
      <w:r>
        <w:rPr>
          <w:color w:val="000000"/>
          <w:spacing w:val="0"/>
          <w:w w:val="100"/>
          <w:position w:val="0"/>
        </w:rPr>
        <w:t>第六节重要事项</w:t>
      </w:r>
      <w:bookmarkEnd w:id="499"/>
      <w:bookmarkEnd w:id="500"/>
      <w:bookmarkEnd w:id="501"/>
    </w:p>
    <w:p>
      <w:pPr>
        <w:pStyle w:val="Style22"/>
        <w:keepNext/>
        <w:keepLines/>
        <w:widowControl w:val="0"/>
        <w:shd w:val="clear" w:color="auto" w:fill="auto"/>
        <w:bidi w:val="0"/>
        <w:spacing w:before="0" w:line="240" w:lineRule="auto"/>
        <w:ind w:left="0" w:right="0" w:firstLine="0"/>
        <w:jc w:val="left"/>
      </w:pPr>
      <w:bookmarkStart w:id="502" w:name="bookmark502"/>
      <w:bookmarkStart w:id="503" w:name="bookmark503"/>
      <w:bookmarkStart w:id="504" w:name="bookmark504"/>
      <w:bookmarkStart w:id="505" w:name="bookmark505"/>
      <w:bookmarkStart w:id="506" w:name="bookmark506"/>
      <w:r>
        <w:rPr>
          <w:color w:val="000000"/>
          <w:spacing w:val="0"/>
          <w:w w:val="100"/>
          <w:position w:val="0"/>
          <w:sz w:val="24"/>
          <w:szCs w:val="24"/>
        </w:rPr>
        <w:t>一</w:t>
      </w:r>
      <w:bookmarkEnd w:id="505"/>
      <w:r>
        <w:rPr>
          <w:color w:val="000000"/>
          <w:spacing w:val="0"/>
          <w:w w:val="100"/>
          <w:position w:val="0"/>
          <w:sz w:val="24"/>
          <w:szCs w:val="24"/>
        </w:rPr>
        <w:t>、承诺事项履行情况</w:t>
      </w:r>
      <w:bookmarkEnd w:id="503"/>
      <w:bookmarkEnd w:id="504"/>
      <w:bookmarkEnd w:id="506"/>
      <w:bookmarkEnd w:id="502"/>
    </w:p>
    <w:p>
      <w:pPr>
        <w:pStyle w:val="Style32"/>
        <w:keepNext/>
        <w:keepLines/>
        <w:widowControl w:val="0"/>
        <w:shd w:val="clear" w:color="auto" w:fill="auto"/>
        <w:bidi w:val="0"/>
        <w:spacing w:before="0" w:after="24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1</w:t>
      </w:r>
      <w:bookmarkEnd w:id="509"/>
      <w:r>
        <w:rPr>
          <w:color w:val="000000"/>
          <w:spacing w:val="0"/>
          <w:w w:val="100"/>
          <w:position w:val="0"/>
        </w:rPr>
        <w:t>、公司实际控制人、股东、关联方、收购人以及公司等承诺相关方在报告期内履行完毕及截至报告期末尚未履行完毕的承诺事项</w:t>
      </w:r>
      <w:bookmarkEnd w:id="507"/>
      <w:bookmarkEnd w:id="508"/>
      <w:bookmarkEnd w:id="510"/>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21"/>
        <w:gridCol w:w="994"/>
        <w:gridCol w:w="1008"/>
        <w:gridCol w:w="6950"/>
        <w:gridCol w:w="1555"/>
        <w:gridCol w:w="994"/>
        <w:gridCol w:w="1061"/>
      </w:tblGrid>
      <w:tr>
        <w:trPr>
          <w:trHeight w:val="61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320"/>
              <w:jc w:val="both"/>
            </w:pPr>
            <w:r>
              <w:rPr>
                <w:rFonts w:ascii="SimSun" w:eastAsia="SimSun" w:hAnsi="SimSun" w:cs="SimSun"/>
                <w:color w:val="000000"/>
                <w:spacing w:val="0"/>
                <w:w w:val="100"/>
                <w:position w:val="0"/>
              </w:rPr>
              <w:t>承诺</w:t>
            </w:r>
          </w:p>
          <w:p>
            <w:pPr>
              <w:pStyle w:val="Style6"/>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履行情况</w:t>
            </w:r>
          </w:p>
        </w:tc>
      </w:tr>
      <w:tr>
        <w:trPr>
          <w:trHeight w:val="2899"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资产重组时所作 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3" w:lineRule="exact"/>
              <w:ind w:left="0" w:right="0" w:firstLine="0"/>
              <w:jc w:val="both"/>
            </w:pPr>
            <w:r>
              <w:rPr>
                <w:rFonts w:ascii="SimSun" w:eastAsia="SimSun" w:hAnsi="SimSun" w:cs="SimSun"/>
                <w:color w:val="000000"/>
                <w:spacing w:val="0"/>
                <w:w w:val="100"/>
                <w:position w:val="0"/>
              </w:rPr>
              <w:t>关于同业竞 争、关联交 易、资金占 用方面的承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一、避免同业竞争事宜（一）截至本承诺函出具之日，本人及本人控制的其他企业不存 在直接或间接从事与西藏同信证券股份有限公司相同或相似并构成竞争关系的业务。</w:t>
            </w:r>
          </w:p>
          <w:p>
            <w:pPr>
              <w:pStyle w:val="Style6"/>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（二）本次重组完成后，在本人作为上市公司股东期间，本人及本人控制的其他企业不 会直接或间接从事与上市公司相同或相似并构成竞争关系的业务，亦不会直接或间接拥 有从事前述业务的企业、其他组织、经济实体的控制权。（三）如果本人违反上述声明 与承诺并造成上市公司经济损失的，本人将赔偿上市公司因此受到的全部损失。二、关 于保持上市公司独立性本人及本人控制的企业将充分尊重东方财富的独立法人地位， 严格遵守东方财富的公司章程，保证东方财富独立经营、自主决策，保证东方财富资产 完整，人员、财务、机构和业务独立。三、关于规范关联交易在本人持有东方财富</w:t>
            </w:r>
            <w:r>
              <w:rPr>
                <w:color w:val="000000"/>
                <w:spacing w:val="0"/>
                <w:w w:val="100"/>
                <w:position w:val="0"/>
              </w:rPr>
              <w:t xml:space="preserve">5% </w:t>
            </w:r>
            <w:r>
              <w:rPr>
                <w:rFonts w:ascii="SimSun" w:eastAsia="SimSun" w:hAnsi="SimSun" w:cs="SimSun"/>
                <w:color w:val="000000"/>
                <w:spacing w:val="0"/>
                <w:w w:val="100"/>
                <w:position w:val="0"/>
              </w:rPr>
              <w:t>以上股份期间，本人及本人直接、间接控制的公司、企业将尽力避免及规范与东方财富 及其子公司的关联交易；对于无法避免或必要的关联交易，将本着公平、公开、公正的 原则确定关联交易价格，保证关联交易的公允性。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正在履行</w:t>
            </w:r>
          </w:p>
        </w:tc>
      </w:tr>
      <w:tr>
        <w:trPr>
          <w:trHeight w:val="261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32" w:lineRule="exact"/>
              <w:ind w:left="0" w:right="0" w:firstLine="0"/>
              <w:jc w:val="both"/>
            </w:pPr>
            <w:r>
              <w:rPr>
                <w:rFonts w:ascii="SimSun" w:eastAsia="SimSun" w:hAnsi="SimSun" w:cs="SimSun"/>
                <w:color w:val="000000"/>
                <w:spacing w:val="0"/>
                <w:w w:val="100"/>
                <w:position w:val="0"/>
              </w:rPr>
              <w:t>西藏自治区 投资有限公 司、郑州宇 通集团有限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tabs>
                <w:tab w:pos="374" w:val="left"/>
              </w:tabs>
              <w:bidi w:val="0"/>
              <w:spacing w:before="0" w:after="0" w:line="237" w:lineRule="exact"/>
              <w:ind w:left="0" w:right="0" w:firstLine="0"/>
              <w:jc w:val="both"/>
            </w:pPr>
            <w:r>
              <w:rPr>
                <w:rFonts w:ascii="SimSun" w:eastAsia="SimSun" w:hAnsi="SimSun" w:cs="SimSun"/>
                <w:color w:val="000000"/>
                <w:spacing w:val="0"/>
                <w:w w:val="100"/>
                <w:position w:val="0"/>
              </w:rPr>
              <w:t>一、</w:t>
              <w:tab/>
              <w:t>本公司已向东方财富及为本次交易提供审计、评估、法律及财务顾问专业服务的中 介机构提供了本公司有关本次交易的相关信息和文件（包括但不限于原始书面材料、副 本材料或口头证言等</w:t>
            </w:r>
            <w:r>
              <w:rPr>
                <w:color w:val="000000"/>
                <w:spacing w:val="0"/>
                <w:w w:val="100"/>
                <w:position w:val="0"/>
              </w:rPr>
              <w:t>）</w:t>
            </w:r>
            <w:r>
              <w:rPr>
                <w:rFonts w:ascii="SimSun" w:eastAsia="SimSun" w:hAnsi="SimSun" w:cs="SimSun"/>
                <w:color w:val="000000"/>
                <w:spacing w:val="0"/>
                <w:w w:val="100"/>
                <w:position w:val="0"/>
              </w:rPr>
              <w:t>，本公司保证：所提供的文件资料的副本或复印件与正本或原件 一致，且该等文件资料的签字与印章都是真实的，该等文件的签署人业经合法授权并有 效签署该文件；保证所提供信息和文件真实、准确和完整，不存在虚假记载、误导性陈 述或者重大遗漏，并对所提供信息的真实性、准确性和完整性承担个别和连带责任。</w:t>
            </w:r>
          </w:p>
          <w:p>
            <w:pPr>
              <w:pStyle w:val="Style6"/>
              <w:keepNext w:val="0"/>
              <w:keepLines w:val="0"/>
              <w:widowControl w:val="0"/>
              <w:shd w:val="clear" w:color="auto" w:fill="auto"/>
              <w:tabs>
                <w:tab w:pos="370" w:val="left"/>
              </w:tabs>
              <w:bidi w:val="0"/>
              <w:spacing w:before="0" w:after="0" w:line="240" w:lineRule="exact"/>
              <w:ind w:left="0" w:right="0" w:firstLine="0"/>
              <w:jc w:val="both"/>
            </w:pPr>
            <w:r>
              <w:rPr>
                <w:rFonts w:ascii="SimSun" w:eastAsia="SimSun" w:hAnsi="SimSun" w:cs="SimSun"/>
                <w:color w:val="000000"/>
                <w:spacing w:val="0"/>
                <w:w w:val="100"/>
                <w:position w:val="0"/>
              </w:rPr>
              <w:t>二、</w:t>
              <w:tab/>
              <w:t>在参与本次交易期间，本公司将依照相关法律、法规、规章、中国证监会和证券交 易所的有关规定，及时向东方财富提供和披露有关本次交易的信息，并保证所提供的信 息真实、准确、完整，如因提供的信息存在虚假记载、误导性陈述或者重大遗漏，给东 方财富或者投资者造成损失的，本公司将依法承担赔偿责任。三、本公司保证已履行 了法定的披露和报告义务，不存在应当披露而未披露的合同、协议、安排或其他事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421"/>
        <w:gridCol w:w="994"/>
        <w:gridCol w:w="1008"/>
        <w:gridCol w:w="6950"/>
        <w:gridCol w:w="1555"/>
        <w:gridCol w:w="994"/>
        <w:gridCol w:w="1061"/>
      </w:tblGrid>
      <w:tr>
        <w:trPr>
          <w:trHeight w:val="10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29" w:lineRule="exact"/>
              <w:ind w:left="0" w:right="0" w:firstLine="0"/>
              <w:jc w:val="both"/>
            </w:pPr>
            <w:r>
              <w:rPr>
                <w:rFonts w:ascii="SimSun" w:eastAsia="SimSun" w:hAnsi="SimSun" w:cs="SimSun"/>
                <w:color w:val="000000"/>
                <w:spacing w:val="0"/>
                <w:w w:val="100"/>
                <w:position w:val="0"/>
              </w:rPr>
              <w:t>项。四、如本公司就本次交易所提供或披露的信息涉嫌虚假记载、误导性陈述或者重大 遗漏，被司法机关立案侦查或者被中国证监会立案调查的，在形成调查结论以前，本公 司不转让在东方财富拥有权益的股份。如违反上述声明和承诺，本公司愿意承担相应 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08"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4" w:lineRule="exact"/>
              <w:ind w:left="0" w:right="0" w:firstLine="0"/>
              <w:jc w:val="left"/>
            </w:pPr>
            <w:r>
              <w:rPr>
                <w:rFonts w:ascii="SimSun" w:eastAsia="SimSun" w:hAnsi="SimSun" w:cs="SimSun"/>
                <w:color w:val="000000"/>
                <w:spacing w:val="0"/>
                <w:w w:val="100"/>
                <w:position w:val="0"/>
              </w:rPr>
              <w:t>其实、陶 涛、陆威、 程磊、史 佳、曹薇、 江泊、颜学 海、李增 泉、鲍一 青、叶露、 蔡玮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一、保证本次重组的信息披露和申请文件不存在虚假记载、误导性陈述或者重大遗漏， 并对所披露信息和申请文件的真实性、准确性和完整性承担个别及连带责任。二、如本 次重组因涉嫌所提供或者披露的信息存在虚假记载、误导性陈述或者重大遗漏，被司法 机关立案侦查或者被中国证监会立案调查的，在案件调查结论明确之前，本人承诺暂停 转让本人在东方财富拥有权益的股份（如有）。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正在履行</w:t>
            </w:r>
          </w:p>
        </w:tc>
      </w:tr>
      <w:tr>
        <w:trPr>
          <w:trHeight w:val="265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郑州宇通集 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3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、东方财富收购同信证券完成后，如果同信证券（包括同信证券自身、分支机构、其 控股公司，下同）因本次交易完成前的不合规行为遭受损失的（包括但不限于任何罚 款、违约金、滞纳金、赔偿），宇通集团将在收到东方财富书面通知及能够证明已实际 遭受并承担损失的文件之日起</w:t>
            </w:r>
            <w:r>
              <w:rPr>
                <w:color w:val="000000"/>
                <w:spacing w:val="0"/>
                <w:w w:val="100"/>
                <w:position w:val="0"/>
              </w:rPr>
              <w:t>20</w:t>
            </w:r>
            <w:r>
              <w:rPr>
                <w:rFonts w:ascii="SimSun" w:eastAsia="SimSun" w:hAnsi="SimSun" w:cs="SimSun"/>
                <w:color w:val="000000"/>
                <w:spacing w:val="0"/>
                <w:w w:val="100"/>
                <w:position w:val="0"/>
              </w:rPr>
              <w:t>个工作日内以现金方式向东方财富进行足额补偿，包 括：（</w:t>
            </w:r>
            <w:r>
              <w:rPr>
                <w:color w:val="000000"/>
                <w:spacing w:val="0"/>
                <w:w w:val="100"/>
                <w:position w:val="0"/>
              </w:rPr>
              <w:t>1</w:t>
            </w:r>
            <w:r>
              <w:rPr>
                <w:rFonts w:ascii="SimSun" w:eastAsia="SimSun" w:hAnsi="SimSun" w:cs="SimSun"/>
                <w:color w:val="000000"/>
                <w:spacing w:val="0"/>
                <w:w w:val="100"/>
                <w:position w:val="0"/>
              </w:rPr>
              <w:t>）因同信证券在本次交易完成前签署的房产租赁协议存在的法律瑕疵，而导致同 信证券或重组完成后的上市公司遭受损失的；（</w:t>
            </w:r>
            <w:r>
              <w:rPr>
                <w:color w:val="000000"/>
                <w:spacing w:val="0"/>
                <w:w w:val="100"/>
                <w:position w:val="0"/>
              </w:rPr>
              <w:t>2</w:t>
            </w:r>
            <w:r>
              <w:rPr>
                <w:rFonts w:ascii="SimSun" w:eastAsia="SimSun" w:hAnsi="SimSun" w:cs="SimSun"/>
                <w:color w:val="000000"/>
                <w:spacing w:val="0"/>
                <w:w w:val="100"/>
                <w:position w:val="0"/>
              </w:rPr>
              <w:t>）因同信证券在本次交易完成前为员工 缴纳社会保险金、住房公积金方面存在瑕疵，导致同信证券或重组完成后的上市公司遭 受损失的。</w:t>
            </w:r>
            <w:r>
              <w:rPr>
                <w:color w:val="000000"/>
                <w:spacing w:val="0"/>
                <w:w w:val="100"/>
                <w:position w:val="0"/>
              </w:rPr>
              <w:t>2</w:t>
            </w:r>
            <w:r>
              <w:rPr>
                <w:rFonts w:ascii="SimSun" w:eastAsia="SimSun" w:hAnsi="SimSun" w:cs="SimSun"/>
                <w:color w:val="000000"/>
                <w:spacing w:val="0"/>
                <w:w w:val="100"/>
                <w:position w:val="0"/>
              </w:rPr>
              <w:t>、本承诺所述的补偿金的计算方式为：（</w:t>
            </w:r>
            <w:r>
              <w:rPr>
                <w:color w:val="000000"/>
                <w:spacing w:val="0"/>
                <w:w w:val="100"/>
                <w:position w:val="0"/>
              </w:rPr>
              <w:t>1</w:t>
            </w:r>
            <w:r>
              <w:rPr>
                <w:rFonts w:ascii="SimSun" w:eastAsia="SimSun" w:hAnsi="SimSun" w:cs="SimSun"/>
                <w:color w:val="000000"/>
                <w:spacing w:val="0"/>
                <w:w w:val="100"/>
                <w:position w:val="0"/>
              </w:rPr>
              <w:t>）若遭受损失的直接主体为同信 证券或重组完成后的上市公司，则补偿金额即为其实际所遭受损失金额；（</w:t>
            </w:r>
            <w:r>
              <w:rPr>
                <w:color w:val="000000"/>
                <w:spacing w:val="0"/>
                <w:w w:val="100"/>
                <w:position w:val="0"/>
              </w:rPr>
              <w:t>2</w:t>
            </w:r>
            <w:r>
              <w:rPr>
                <w:rFonts w:ascii="SimSun" w:eastAsia="SimSun" w:hAnsi="SimSun" w:cs="SimSun"/>
                <w:color w:val="000000"/>
                <w:spacing w:val="0"/>
                <w:w w:val="100"/>
                <w:position w:val="0"/>
              </w:rPr>
              <w:t>）若遭受损 失的直接主体为同信证券控股的公司，则补偿金的计算方式为：补偿金额=控股公司所 遭受损失</w:t>
            </w:r>
            <w:r>
              <w:rPr>
                <w:color w:val="000000"/>
                <w:spacing w:val="0"/>
                <w:w w:val="100"/>
                <w:position w:val="0"/>
              </w:rPr>
              <w:t>x</w:t>
            </w:r>
            <w:r>
              <w:rPr>
                <w:rFonts w:ascii="SimSun" w:eastAsia="SimSun" w:hAnsi="SimSun" w:cs="SimSun"/>
                <w:color w:val="000000"/>
                <w:spacing w:val="0"/>
                <w:w w:val="100"/>
                <w:position w:val="0"/>
              </w:rPr>
              <w:t>同信证券持有该公司的权益比例。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正在履行</w:t>
            </w:r>
          </w:p>
        </w:tc>
      </w:tr>
      <w:tr>
        <w:trPr>
          <w:trHeight w:val="1733"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郑州宇通集 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6" w:lineRule="exact"/>
              <w:ind w:left="0" w:right="0" w:firstLine="0"/>
              <w:jc w:val="both"/>
            </w:pPr>
            <w:r>
              <w:rPr>
                <w:rFonts w:ascii="SimSun" w:eastAsia="SimSun" w:hAnsi="SimSun" w:cs="SimSun"/>
                <w:color w:val="000000"/>
                <w:spacing w:val="0"/>
                <w:w w:val="100"/>
                <w:position w:val="0"/>
              </w:rPr>
              <w:t>关于同信证券</w:t>
            </w:r>
            <w:r>
              <w:rPr>
                <w:color w:val="000000"/>
                <w:spacing w:val="0"/>
                <w:w w:val="100"/>
                <w:position w:val="0"/>
              </w:rPr>
              <w:t>"13</w:t>
            </w:r>
            <w:r>
              <w:rPr>
                <w:rFonts w:ascii="SimSun" w:eastAsia="SimSun" w:hAnsi="SimSun" w:cs="SimSun"/>
                <w:color w:val="000000"/>
                <w:spacing w:val="0"/>
                <w:w w:val="100"/>
                <w:position w:val="0"/>
              </w:rPr>
              <w:t>天威</w:t>
            </w:r>
            <w:r>
              <w:rPr>
                <w:color w:val="000000"/>
                <w:spacing w:val="0"/>
                <w:w w:val="100"/>
                <w:position w:val="0"/>
              </w:rPr>
              <w:t>PPN001"</w:t>
            </w:r>
            <w:r>
              <w:rPr>
                <w:rFonts w:ascii="SimSun" w:eastAsia="SimSun" w:hAnsi="SimSun" w:cs="SimSun"/>
                <w:color w:val="000000"/>
                <w:spacing w:val="0"/>
                <w:w w:val="100"/>
                <w:position w:val="0"/>
              </w:rPr>
              <w:t>相关仲裁事项的承诺：对于同信证券以自有资金购买的 天威集团定向工具，该仲裁完成后，如果天威集团就该部分天威集团定向工具向同信证 券偿还的金额不足人民币</w:t>
            </w:r>
            <w:r>
              <w:rPr>
                <w:color w:val="000000"/>
                <w:spacing w:val="0"/>
                <w:w w:val="100"/>
                <w:position w:val="0"/>
              </w:rPr>
              <w:t>58,559,940.00</w:t>
            </w:r>
            <w:r>
              <w:rPr>
                <w:rFonts w:ascii="SimSun" w:eastAsia="SimSun" w:hAnsi="SimSun" w:cs="SimSun"/>
                <w:color w:val="000000"/>
                <w:spacing w:val="0"/>
                <w:w w:val="100"/>
                <w:position w:val="0"/>
              </w:rPr>
              <w:t>元（即截至</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日天威集团定向工 具账面价值及应收利息合计金额），宇通集团将在收到东方财富书面付款通知之日起</w:t>
            </w:r>
            <w:r>
              <w:rPr>
                <w:color w:val="000000"/>
                <w:spacing w:val="0"/>
                <w:w w:val="100"/>
                <w:position w:val="0"/>
              </w:rPr>
              <w:t xml:space="preserve">10 </w:t>
            </w:r>
            <w:r>
              <w:rPr>
                <w:rFonts w:ascii="SimSun" w:eastAsia="SimSun" w:hAnsi="SimSun" w:cs="SimSun"/>
                <w:color w:val="000000"/>
                <w:spacing w:val="0"/>
                <w:w w:val="100"/>
                <w:position w:val="0"/>
              </w:rPr>
              <w:t>个工作日内，以现金方式向同信证券足额补偿该等天威集团定向工具实际偿还金额与人 民币</w:t>
            </w:r>
            <w:r>
              <w:rPr>
                <w:color w:val="000000"/>
                <w:spacing w:val="0"/>
                <w:w w:val="100"/>
                <w:position w:val="0"/>
              </w:rPr>
              <w:t>58,559,940.00</w:t>
            </w:r>
            <w:r>
              <w:rPr>
                <w:rFonts w:ascii="SimSun" w:eastAsia="SimSun" w:hAnsi="SimSun" w:cs="SimSun"/>
                <w:color w:val="000000"/>
                <w:spacing w:val="0"/>
                <w:w w:val="100"/>
                <w:position w:val="0"/>
              </w:rPr>
              <w:t>元之间的差额，以及同信证券承担的与该仲裁事项相关的仲裁费 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正在履行</w:t>
            </w:r>
          </w:p>
        </w:tc>
      </w:tr>
      <w:tr>
        <w:trPr>
          <w:trHeight w:val="1694"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郑州宇通集 团有限公司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before="0" w:after="0" w:line="234" w:lineRule="exact"/>
              <w:ind w:left="0" w:right="0" w:firstLine="0"/>
              <w:jc w:val="both"/>
            </w:pPr>
            <w:r>
              <w:rPr>
                <w:rFonts w:ascii="SimSun" w:eastAsia="SimSun" w:hAnsi="SimSun" w:cs="SimSun"/>
                <w:color w:val="000000"/>
                <w:spacing w:val="0"/>
                <w:w w:val="100"/>
                <w:position w:val="0"/>
              </w:rPr>
              <w:t>关于西藏东方财富证券股份有限公司</w:t>
            </w:r>
            <w:r>
              <w:rPr>
                <w:color w:val="000000"/>
                <w:spacing w:val="0"/>
                <w:w w:val="100"/>
                <w:position w:val="0"/>
              </w:rPr>
              <w:t>"</w:t>
            </w:r>
            <w:r>
              <w:rPr>
                <w:rFonts w:ascii="SimSun" w:eastAsia="SimSun" w:hAnsi="SimSun" w:cs="SimSun"/>
                <w:color w:val="000000"/>
                <w:spacing w:val="0"/>
                <w:w w:val="100"/>
                <w:position w:val="0"/>
              </w:rPr>
              <w:t>天威集团定向工具''仲裁事项的补充承诺：</w:t>
            </w:r>
            <w:r>
              <w:rPr>
                <w:color w:val="000000"/>
                <w:spacing w:val="0"/>
                <w:w w:val="100"/>
                <w:position w:val="0"/>
              </w:rPr>
              <w:t>1</w:t>
            </w:r>
            <w:r>
              <w:rPr>
                <w:rFonts w:ascii="SimSun" w:eastAsia="SimSun" w:hAnsi="SimSun" w:cs="SimSun"/>
                <w:color w:val="000000"/>
                <w:spacing w:val="0"/>
                <w:w w:val="100"/>
                <w:position w:val="0"/>
              </w:rPr>
              <w:t>、同 意东方财富证券撤回仲裁申请，并确认东方财富证券向天威集团破产管理人申报债权事 项。</w:t>
            </w:r>
            <w:r>
              <w:rPr>
                <w:color w:val="000000"/>
                <w:spacing w:val="0"/>
                <w:w w:val="100"/>
                <w:position w:val="0"/>
              </w:rPr>
              <w:t>2</w:t>
            </w:r>
            <w:r>
              <w:rPr>
                <w:rFonts w:ascii="SimSun" w:eastAsia="SimSun" w:hAnsi="SimSun" w:cs="SimSun"/>
                <w:color w:val="000000"/>
                <w:spacing w:val="0"/>
                <w:w w:val="100"/>
                <w:position w:val="0"/>
              </w:rPr>
              <w:t>、对于东方财富证券以自有资金购买的天威集团定向工具，如果东方财富证券通 过天威集团本次破产程序最终获得清偿的金额不足</w:t>
            </w:r>
            <w:r>
              <w:rPr>
                <w:color w:val="000000"/>
                <w:spacing w:val="0"/>
                <w:w w:val="100"/>
                <w:position w:val="0"/>
              </w:rPr>
              <w:t>58,559,940.00</w:t>
            </w:r>
            <w:r>
              <w:rPr>
                <w:rFonts w:ascii="SimSun" w:eastAsia="SimSun" w:hAnsi="SimSun" w:cs="SimSun"/>
                <w:color w:val="000000"/>
                <w:spacing w:val="0"/>
                <w:w w:val="100"/>
                <w:position w:val="0"/>
              </w:rPr>
              <w:t>元（即截至</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日定向债务融资工具账面价值及应收利息合计金额），宇通集团将在收到东方财富 书面付款通知之日起</w:t>
            </w:r>
            <w:r>
              <w:rPr>
                <w:color w:val="000000"/>
                <w:spacing w:val="0"/>
                <w:w w:val="100"/>
                <w:position w:val="0"/>
              </w:rPr>
              <w:t>10</w:t>
            </w:r>
            <w:r>
              <w:rPr>
                <w:rFonts w:ascii="SimSun" w:eastAsia="SimSun" w:hAnsi="SimSun" w:cs="SimSun"/>
                <w:color w:val="000000"/>
                <w:spacing w:val="0"/>
                <w:w w:val="100"/>
                <w:position w:val="0"/>
              </w:rPr>
              <w:t>个工作日内，以现金方式向东方财富证券足额补偿该等天威集 团定向工具实际偿还金额与人民币</w:t>
            </w:r>
            <w:r>
              <w:rPr>
                <w:color w:val="000000"/>
                <w:spacing w:val="0"/>
                <w:w w:val="100"/>
                <w:position w:val="0"/>
              </w:rPr>
              <w:t>58,559,940.00</w:t>
            </w:r>
            <w:r>
              <w:rPr>
                <w:rFonts w:ascii="SimSun" w:eastAsia="SimSun" w:hAnsi="SimSun" w:cs="SimSun"/>
                <w:color w:val="000000"/>
                <w:spacing w:val="0"/>
                <w:w w:val="100"/>
                <w:position w:val="0"/>
              </w:rPr>
              <w:t>元之间的差额，以及东方财富证券承</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421"/>
        <w:gridCol w:w="994"/>
        <w:gridCol w:w="1008"/>
        <w:gridCol w:w="6950"/>
        <w:gridCol w:w="1555"/>
        <w:gridCol w:w="994"/>
        <w:gridCol w:w="1061"/>
      </w:tblGrid>
      <w:tr>
        <w:trPr>
          <w:trHeight w:val="31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担的与仲裁、破产事项相关的费用。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2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8" w:lineRule="exact"/>
              <w:ind w:left="0" w:right="0" w:firstLine="0"/>
              <w:jc w:val="left"/>
            </w:pPr>
            <w:r>
              <w:rPr>
                <w:rFonts w:ascii="SimSun" w:eastAsia="SimSun" w:hAnsi="SimSun" w:cs="SimSun"/>
                <w:color w:val="000000"/>
                <w:spacing w:val="0"/>
                <w:w w:val="100"/>
                <w:position w:val="0"/>
              </w:rPr>
              <w:t>首次公开发行或 再融资时所作承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29" w:lineRule="exact"/>
              <w:ind w:left="0" w:right="0" w:firstLine="0"/>
              <w:jc w:val="both"/>
            </w:pPr>
            <w:r>
              <w:rPr>
                <w:rFonts w:ascii="SimSun" w:eastAsia="SimSun" w:hAnsi="SimSun" w:cs="SimSun"/>
                <w:color w:val="000000"/>
                <w:spacing w:val="0"/>
                <w:w w:val="100"/>
                <w:position w:val="0"/>
              </w:rPr>
              <w:t>关于同业竞 争、关联交 易、资金占 用方面的承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34" w:lineRule="exact"/>
              <w:ind w:left="0" w:right="0" w:firstLine="0"/>
              <w:jc w:val="both"/>
            </w:pPr>
            <w:r>
              <w:rPr>
                <w:rFonts w:ascii="SimSun" w:eastAsia="SimSun" w:hAnsi="SimSun" w:cs="SimSun"/>
                <w:color w:val="000000"/>
                <w:spacing w:val="0"/>
                <w:w w:val="100"/>
                <w:position w:val="0"/>
              </w:rPr>
              <w:t>为避免同业竞争，保护公司及其他股东的利益，本公司控股股东、实际控制人其实先生 出具了避免同业竞争的承诺。</w:t>
            </w: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日，本公司控股股东、实际控制人其实先 生出具了《关于避免同业竞争承诺函》，承诺如下：（</w:t>
            </w:r>
            <w:r>
              <w:rPr>
                <w:color w:val="000000"/>
                <w:spacing w:val="0"/>
                <w:w w:val="100"/>
                <w:position w:val="0"/>
              </w:rPr>
              <w:t>1</w:t>
            </w:r>
            <w:r>
              <w:rPr>
                <w:rFonts w:ascii="SimSun" w:eastAsia="SimSun" w:hAnsi="SimSun" w:cs="SimSun"/>
                <w:color w:val="000000"/>
                <w:spacing w:val="0"/>
                <w:w w:val="100"/>
                <w:position w:val="0"/>
              </w:rPr>
              <w:t>）本人所控制的除东方财富以外 的公司、分公司、合营或联营公司及其他任何类型的企业现时不存在从事与东方财富有 相同或类似业务的情形，与东方财富之间不存在同业竞争。（</w:t>
            </w:r>
            <w:r>
              <w:rPr>
                <w:color w:val="000000"/>
                <w:spacing w:val="0"/>
                <w:w w:val="100"/>
                <w:position w:val="0"/>
              </w:rPr>
              <w:t>2</w:t>
            </w:r>
            <w:r>
              <w:rPr>
                <w:rFonts w:ascii="SimSun" w:eastAsia="SimSun" w:hAnsi="SimSun" w:cs="SimSun"/>
                <w:color w:val="000000"/>
                <w:spacing w:val="0"/>
                <w:w w:val="100"/>
                <w:position w:val="0"/>
              </w:rPr>
              <w:t>）在作为东方财富实际控 制人期间，将不设立从事与东方财富有相同或类似业务的公司。（</w:t>
            </w:r>
            <w:r>
              <w:rPr>
                <w:color w:val="000000"/>
                <w:spacing w:val="0"/>
                <w:w w:val="100"/>
                <w:position w:val="0"/>
              </w:rPr>
              <w:t>3</w:t>
            </w:r>
            <w:r>
              <w:rPr>
                <w:rFonts w:ascii="SimSun" w:eastAsia="SimSun" w:hAnsi="SimSun" w:cs="SimSun"/>
                <w:color w:val="000000"/>
                <w:spacing w:val="0"/>
                <w:w w:val="100"/>
                <w:position w:val="0"/>
              </w:rPr>
              <w:t>）承诺不利用东方财 富实际控制人地位，损害东方财富及东方财富其他股东的利益。如违反上述承诺，本人 愿意承担由此产生的全部责任，充分赔偿或补偿由此给东方财富造成的所有直接或间接 损失。</w:t>
            </w:r>
          </w:p>
          <w:p>
            <w:pPr>
              <w:pStyle w:val="Style6"/>
              <w:keepNext w:val="0"/>
              <w:keepLines w:val="0"/>
              <w:widowControl w:val="0"/>
              <w:shd w:val="clear" w:color="auto" w:fill="auto"/>
              <w:bidi w:val="0"/>
              <w:spacing w:before="0" w:after="0" w:line="228" w:lineRule="exact"/>
              <w:ind w:left="0" w:right="0" w:firstLine="0"/>
              <w:jc w:val="both"/>
            </w:pPr>
            <w:r>
              <w:rPr>
                <w:rFonts w:ascii="SimSun" w:eastAsia="SimSun" w:hAnsi="SimSun" w:cs="SimSun"/>
                <w:color w:val="000000"/>
                <w:spacing w:val="0"/>
                <w:w w:val="100"/>
                <w:position w:val="0"/>
              </w:rPr>
              <w:t>上述承诺一经签署立即生效，且上述承诺在本人对东方财富拥有由资本因素或非资本因 素形成的直接或间接的控制权或对东方财富存在重大影响期间持续有效，且不可变更或 撤销。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正在履行</w:t>
            </w:r>
          </w:p>
        </w:tc>
      </w:tr>
      <w:tr>
        <w:trPr>
          <w:trHeight w:val="103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16" w:lineRule="exact"/>
              <w:ind w:left="0" w:right="0" w:firstLine="0"/>
              <w:jc w:val="left"/>
            </w:pPr>
            <w:r>
              <w:rPr>
                <w:rFonts w:ascii="SimSun" w:eastAsia="SimSun" w:hAnsi="SimSun" w:cs="SimSun"/>
                <w:color w:val="000000"/>
                <w:spacing w:val="0"/>
                <w:w w:val="100"/>
                <w:position w:val="0"/>
              </w:rPr>
              <w:t>东方财富信</w:t>
            </w:r>
          </w:p>
          <w:p>
            <w:pPr>
              <w:pStyle w:val="Style6"/>
              <w:keepNext w:val="0"/>
              <w:keepLines w:val="0"/>
              <w:widowControl w:val="0"/>
              <w:shd w:val="clear" w:color="auto" w:fill="auto"/>
              <w:bidi w:val="0"/>
              <w:spacing w:before="0" w:after="0" w:line="216" w:lineRule="exact"/>
              <w:ind w:left="0" w:right="0" w:firstLine="0"/>
              <w:jc w:val="left"/>
            </w:pPr>
            <w:r>
              <w:rPr>
                <w:rFonts w:ascii="SimSun" w:eastAsia="SimSun" w:hAnsi="SimSun" w:cs="SimSun"/>
                <w:color w:val="000000"/>
                <w:spacing w:val="0"/>
                <w:w w:val="100"/>
                <w:position w:val="0"/>
              </w:rPr>
              <w:t>息股份有限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8"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、上海东方财富置业有限公司除</w:t>
            </w:r>
            <w:r>
              <w:rPr>
                <w:color w:val="000000"/>
                <w:spacing w:val="0"/>
                <w:w w:val="100"/>
                <w:position w:val="0"/>
              </w:rPr>
              <w:t>B16-1</w:t>
            </w:r>
            <w:r>
              <w:rPr>
                <w:rFonts w:ascii="SimSun" w:eastAsia="SimSun" w:hAnsi="SimSun" w:cs="SimSun"/>
                <w:color w:val="000000"/>
                <w:spacing w:val="0"/>
                <w:w w:val="100"/>
                <w:position w:val="0"/>
              </w:rPr>
              <w:t>地块外，没有其他土地储备，亦没有其他房地 产开发项目，未来也没有其他与房地产业务相关的发展规划。</w:t>
            </w:r>
            <w:r>
              <w:rPr>
                <w:color w:val="000000"/>
                <w:spacing w:val="0"/>
                <w:w w:val="100"/>
                <w:position w:val="0"/>
              </w:rPr>
              <w:t>2</w:t>
            </w:r>
            <w:r>
              <w:rPr>
                <w:rFonts w:ascii="SimSun" w:eastAsia="SimSun" w:hAnsi="SimSun" w:cs="SimSun"/>
                <w:color w:val="000000"/>
                <w:spacing w:val="0"/>
                <w:w w:val="100"/>
                <w:position w:val="0"/>
              </w:rPr>
              <w:t>、上海东方财富置业有 限公司将按照政府规划方案依法依规开发建设</w:t>
            </w:r>
            <w:r>
              <w:rPr>
                <w:color w:val="000000"/>
                <w:spacing w:val="0"/>
                <w:w w:val="100"/>
                <w:position w:val="0"/>
              </w:rPr>
              <w:t>B16-1</w:t>
            </w:r>
            <w:r>
              <w:rPr>
                <w:rFonts w:ascii="SimSun" w:eastAsia="SimSun" w:hAnsi="SimSun" w:cs="SimSun"/>
                <w:color w:val="000000"/>
                <w:spacing w:val="0"/>
                <w:w w:val="100"/>
                <w:position w:val="0"/>
              </w:rPr>
              <w:t>地块，建成后将用于满足东方财富 信息股份有限公司及其下属企业的自用需求。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正在履行</w:t>
            </w:r>
          </w:p>
        </w:tc>
      </w:tr>
      <w:tr>
        <w:trPr>
          <w:trHeight w:val="218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16" w:lineRule="exact"/>
              <w:ind w:left="0" w:right="0" w:firstLine="0"/>
              <w:jc w:val="left"/>
            </w:pPr>
            <w:r>
              <w:rPr>
                <w:rFonts w:ascii="SimSun" w:eastAsia="SimSun" w:hAnsi="SimSun" w:cs="SimSun"/>
                <w:color w:val="000000"/>
                <w:spacing w:val="0"/>
                <w:w w:val="100"/>
                <w:position w:val="0"/>
              </w:rPr>
              <w:t>东方财富信</w:t>
            </w:r>
          </w:p>
          <w:p>
            <w:pPr>
              <w:pStyle w:val="Style6"/>
              <w:keepNext w:val="0"/>
              <w:keepLines w:val="0"/>
              <w:widowControl w:val="0"/>
              <w:shd w:val="clear" w:color="auto" w:fill="auto"/>
              <w:bidi w:val="0"/>
              <w:spacing w:before="0" w:after="0" w:line="216" w:lineRule="exact"/>
              <w:ind w:left="0" w:right="0" w:firstLine="0"/>
              <w:jc w:val="left"/>
            </w:pPr>
            <w:r>
              <w:rPr>
                <w:rFonts w:ascii="SimSun" w:eastAsia="SimSun" w:hAnsi="SimSun" w:cs="SimSun"/>
                <w:color w:val="000000"/>
                <w:spacing w:val="0"/>
                <w:w w:val="100"/>
                <w:position w:val="0"/>
              </w:rPr>
              <w:t>息股份有限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35"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、公司全资子公司上海东方财富置业有限公司（以下简称''东方财富置业</w:t>
            </w:r>
            <w:r>
              <w:rPr>
                <w:color w:val="000000"/>
                <w:spacing w:val="0"/>
                <w:w w:val="100"/>
                <w:position w:val="0"/>
              </w:rPr>
              <w:t>"</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除嘉定项 目（</w:t>
            </w:r>
            <w:r>
              <w:rPr>
                <w:color w:val="000000"/>
                <w:spacing w:val="0"/>
                <w:w w:val="100"/>
                <w:position w:val="0"/>
              </w:rPr>
              <w:t>B16-1</w:t>
            </w:r>
            <w:r>
              <w:rPr>
                <w:rFonts w:ascii="SimSun" w:eastAsia="SimSun" w:hAnsi="SimSun" w:cs="SimSun"/>
                <w:color w:val="000000"/>
                <w:spacing w:val="0"/>
                <w:w w:val="100"/>
                <w:position w:val="0"/>
              </w:rPr>
              <w:t xml:space="preserve">地块）外，没有其他土地储备，亦没有其他房地产开发项目，未来也没有其 他与房地产业务相关的发展规划。东方财富置业将按照政府规划方案依法依规投资建设 </w:t>
            </w:r>
            <w:r>
              <w:rPr>
                <w:color w:val="000000"/>
                <w:spacing w:val="0"/>
                <w:w w:val="100"/>
                <w:position w:val="0"/>
              </w:rPr>
              <w:t>B16</w:t>
            </w:r>
            <w:r>
              <w:rPr>
                <w:color w:val="000000"/>
                <w:spacing w:val="0"/>
                <w:w w:val="100"/>
                <w:position w:val="0"/>
              </w:rPr>
              <w:t>-1</w:t>
            </w:r>
            <w:r>
              <w:rPr>
                <w:rFonts w:ascii="SimSun" w:eastAsia="SimSun" w:hAnsi="SimSun" w:cs="SimSun"/>
                <w:color w:val="000000"/>
                <w:spacing w:val="0"/>
                <w:w w:val="100"/>
                <w:position w:val="0"/>
              </w:rPr>
              <w:t>地块，建成后将用于满足东方财富及其下属企业的自用需求。</w:t>
            </w:r>
            <w:r>
              <w:rPr>
                <w:color w:val="000000"/>
                <w:spacing w:val="0"/>
                <w:w w:val="100"/>
                <w:position w:val="0"/>
              </w:rPr>
              <w:t>2</w:t>
            </w:r>
            <w:r>
              <w:rPr>
                <w:rFonts w:ascii="SimSun" w:eastAsia="SimSun" w:hAnsi="SimSun" w:cs="SimSun"/>
                <w:color w:val="000000"/>
                <w:spacing w:val="0"/>
                <w:w w:val="100"/>
                <w:position w:val="0"/>
              </w:rPr>
              <w:t>、东方财富置业 已于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日完成《营业执照》中经营范围的变更登记，变更后的经营范围 为</w:t>
            </w:r>
            <w:r>
              <w:rPr>
                <w:color w:val="000000"/>
                <w:spacing w:val="0"/>
                <w:w w:val="100"/>
                <w:position w:val="0"/>
              </w:rPr>
              <w:t>"</w:t>
            </w:r>
            <w:r>
              <w:rPr>
                <w:rFonts w:ascii="SimSun" w:eastAsia="SimSun" w:hAnsi="SimSun" w:cs="SimSun"/>
                <w:color w:val="000000"/>
                <w:spacing w:val="0"/>
                <w:w w:val="100"/>
                <w:position w:val="0"/>
              </w:rPr>
              <w:t>非居住房地产租赁、物业管理</w:t>
            </w:r>
            <w:r>
              <w:rPr>
                <w:color w:val="000000"/>
                <w:spacing w:val="0"/>
                <w:w w:val="100"/>
                <w:position w:val="0"/>
              </w:rPr>
              <w:t>"</w:t>
            </w:r>
            <w:r>
              <w:rPr>
                <w:rFonts w:ascii="SimSun" w:eastAsia="SimSun" w:hAnsi="SimSun" w:cs="SimSun"/>
                <w:color w:val="000000"/>
                <w:spacing w:val="0"/>
                <w:w w:val="100"/>
                <w:position w:val="0"/>
              </w:rPr>
              <w:t>。东方财富置业持有的《中华人民共和国房地产开发 企业暂定资质证书》于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日到期失效；本次发行募集资金到位后三年 内，东方财富置业不再申请房地产开发企业资质。</w:t>
            </w:r>
            <w:r>
              <w:rPr>
                <w:color w:val="000000"/>
                <w:spacing w:val="0"/>
                <w:w w:val="100"/>
                <w:position w:val="0"/>
              </w:rPr>
              <w:t>3</w:t>
            </w:r>
            <w:r>
              <w:rPr>
                <w:rFonts w:ascii="SimSun" w:eastAsia="SimSun" w:hAnsi="SimSun" w:cs="SimSun"/>
                <w:color w:val="000000"/>
                <w:spacing w:val="0"/>
                <w:w w:val="100"/>
                <w:position w:val="0"/>
              </w:rPr>
              <w:t>、本次发行的募集资金不会直接或 变相投资于房地产业务。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正在履行</w:t>
            </w:r>
          </w:p>
        </w:tc>
      </w:tr>
      <w:tr>
        <w:trPr>
          <w:trHeight w:val="242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16" w:lineRule="exact"/>
              <w:ind w:left="0" w:right="0" w:firstLine="0"/>
              <w:jc w:val="left"/>
            </w:pPr>
            <w:r>
              <w:rPr>
                <w:rFonts w:ascii="SimSun" w:eastAsia="SimSun" w:hAnsi="SimSun" w:cs="SimSun"/>
                <w:color w:val="000000"/>
                <w:spacing w:val="0"/>
                <w:w w:val="100"/>
                <w:position w:val="0"/>
              </w:rPr>
              <w:t>东方财富信</w:t>
            </w:r>
          </w:p>
          <w:p>
            <w:pPr>
              <w:pStyle w:val="Style6"/>
              <w:keepNext w:val="0"/>
              <w:keepLines w:val="0"/>
              <w:widowControl w:val="0"/>
              <w:shd w:val="clear" w:color="auto" w:fill="auto"/>
              <w:bidi w:val="0"/>
              <w:spacing w:before="0" w:after="0" w:line="216" w:lineRule="exact"/>
              <w:ind w:left="0" w:right="0" w:firstLine="0"/>
              <w:jc w:val="left"/>
            </w:pPr>
            <w:r>
              <w:rPr>
                <w:rFonts w:ascii="SimSun" w:eastAsia="SimSun" w:hAnsi="SimSun" w:cs="SimSun"/>
                <w:color w:val="000000"/>
                <w:spacing w:val="0"/>
                <w:w w:val="100"/>
                <w:position w:val="0"/>
              </w:rPr>
              <w:t>息股份有限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28"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、截至承诺函出具日，公司全资控股的子公司上海徐汇东方财富小额贷款有限公司 （以下简称</w:t>
            </w:r>
            <w:r>
              <w:rPr>
                <w:color w:val="000000"/>
                <w:spacing w:val="0"/>
                <w:w w:val="100"/>
                <w:position w:val="0"/>
              </w:rPr>
              <w:t>“</w:t>
            </w:r>
            <w:r>
              <w:rPr>
                <w:rFonts w:ascii="SimSun" w:eastAsia="SimSun" w:hAnsi="SimSun" w:cs="SimSun"/>
                <w:color w:val="000000"/>
                <w:spacing w:val="0"/>
                <w:w w:val="100"/>
                <w:position w:val="0"/>
              </w:rPr>
              <w:t>徐汇小贷</w:t>
            </w:r>
            <w:r>
              <w:rPr>
                <w:color w:val="000000"/>
                <w:spacing w:val="0"/>
                <w:w w:val="100"/>
                <w:position w:val="0"/>
              </w:rPr>
              <w:t>”</w:t>
            </w:r>
            <w:r>
              <w:rPr>
                <w:rFonts w:ascii="SimSun" w:eastAsia="SimSun" w:hAnsi="SimSun" w:cs="SimSun"/>
                <w:color w:val="000000"/>
                <w:spacing w:val="0"/>
                <w:w w:val="100"/>
                <w:position w:val="0"/>
              </w:rPr>
              <w:t>）已全面停止新增发放贷款。</w:t>
            </w:r>
            <w:r>
              <w:rPr>
                <w:color w:val="000000"/>
                <w:spacing w:val="0"/>
                <w:w w:val="100"/>
                <w:position w:val="0"/>
              </w:rPr>
              <w:t>2</w:t>
            </w:r>
            <w:r>
              <w:rPr>
                <w:rFonts w:ascii="SimSun" w:eastAsia="SimSun" w:hAnsi="SimSun" w:cs="SimSun"/>
                <w:color w:val="000000"/>
                <w:spacing w:val="0"/>
                <w:w w:val="100"/>
                <w:position w:val="0"/>
              </w:rPr>
              <w:t>、为保护上市公司及股东利益， 东方财富承诺优先向第三方转让徐汇小贷的股权，并于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月底前完成转让，如 预计无法在该期限内完成转让，则于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月底前完成徐汇小贷业务经营资质的注 销，于</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月底前完成徐汇小贷公司主体的注销。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3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36"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 xml:space="preserve">月 </w:t>
            </w:r>
            <w:r>
              <w:rPr>
                <w:color w:val="000000"/>
                <w:spacing w:val="0"/>
                <w:w w:val="100"/>
                <w:position w:val="0"/>
              </w:rPr>
              <w:t>25</w:t>
            </w:r>
            <w:r>
              <w:rPr>
                <w:rFonts w:ascii="SimSun" w:eastAsia="SimSun" w:hAnsi="SimSun" w:cs="SimSun"/>
                <w:color w:val="000000"/>
                <w:spacing w:val="0"/>
                <w:w w:val="100"/>
                <w:position w:val="0"/>
              </w:rPr>
              <w:t>日，徐汇 小贷业务经 营资质完成 注销。</w:t>
            </w: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 xml:space="preserve">7 </w:t>
            </w:r>
            <w:r>
              <w:rPr>
                <w:rFonts w:ascii="SimSun" w:eastAsia="SimSun" w:hAnsi="SimSun" w:cs="SimSun"/>
                <w:color w:val="000000"/>
                <w:spacing w:val="0"/>
                <w:w w:val="100"/>
                <w:position w:val="0"/>
              </w:rPr>
              <w:t>日，完成工 商注销登 记。承诺已 履行完毕。</w:t>
            </w:r>
          </w:p>
        </w:tc>
      </w:tr>
      <w:tr>
        <w:trPr>
          <w:trHeight w:val="55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其实、陆丽 丽、沈友根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54" w:lineRule="exact"/>
              <w:ind w:left="0" w:right="0" w:firstLine="0"/>
              <w:jc w:val="both"/>
            </w:pPr>
            <w:r>
              <w:rPr>
                <w:rFonts w:ascii="SimSun" w:eastAsia="SimSun" w:hAnsi="SimSun" w:cs="SimSun"/>
                <w:color w:val="000000"/>
                <w:spacing w:val="0"/>
                <w:w w:val="100"/>
                <w:position w:val="0"/>
              </w:rPr>
              <w:t>鉴于东方财富拟发行可转换公司债券</w:t>
            </w:r>
            <w:r>
              <w:rPr>
                <w:color w:val="000000"/>
                <w:spacing w:val="0"/>
                <w:w w:val="100"/>
                <w:position w:val="0"/>
              </w:rPr>
              <w:t>158.00</w:t>
            </w:r>
            <w:r>
              <w:rPr>
                <w:rFonts w:ascii="SimSun" w:eastAsia="SimSun" w:hAnsi="SimSun" w:cs="SimSun"/>
                <w:color w:val="000000"/>
                <w:spacing w:val="0"/>
                <w:w w:val="100"/>
                <w:position w:val="0"/>
              </w:rPr>
              <w:t>亿元（以下简称</w:t>
            </w:r>
            <w:r>
              <w:rPr>
                <w:color w:val="000000"/>
                <w:spacing w:val="0"/>
                <w:w w:val="100"/>
                <w:position w:val="0"/>
              </w:rPr>
              <w:t>“</w:t>
            </w:r>
            <w:r>
              <w:rPr>
                <w:rFonts w:ascii="SimSun" w:eastAsia="SimSun" w:hAnsi="SimSun" w:cs="SimSun"/>
                <w:color w:val="000000"/>
                <w:spacing w:val="0"/>
                <w:w w:val="100"/>
                <w:position w:val="0"/>
              </w:rPr>
              <w:t>本次发行</w:t>
            </w:r>
            <w:r>
              <w:rPr>
                <w:color w:val="000000"/>
                <w:spacing w:val="0"/>
                <w:w w:val="100"/>
                <w:position w:val="0"/>
              </w:rPr>
              <w:t>”</w:t>
            </w:r>
            <w:r>
              <w:rPr>
                <w:rFonts w:ascii="SimSun" w:eastAsia="SimSun" w:hAnsi="SimSun" w:cs="SimSun"/>
                <w:color w:val="000000"/>
                <w:spacing w:val="0"/>
                <w:w w:val="100"/>
                <w:position w:val="0"/>
              </w:rPr>
              <w:t>），发行完成后 可转换公司债券将于深圳证券交易所上市。在公司就本次发行事宜已履行了必要的监管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1421"/>
        <w:gridCol w:w="994"/>
        <w:gridCol w:w="1008"/>
        <w:gridCol w:w="6950"/>
        <w:gridCol w:w="1555"/>
        <w:gridCol w:w="994"/>
        <w:gridCol w:w="1061"/>
      </w:tblGrid>
      <w:tr>
        <w:trPr>
          <w:trHeight w:val="7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23" w:lineRule="exact"/>
              <w:ind w:left="0" w:right="0" w:firstLine="0"/>
              <w:jc w:val="both"/>
            </w:pPr>
            <w:r>
              <w:rPr>
                <w:rFonts w:ascii="SimSun" w:eastAsia="SimSun" w:hAnsi="SimSun" w:cs="SimSun"/>
                <w:color w:val="000000"/>
                <w:spacing w:val="0"/>
                <w:w w:val="100"/>
                <w:position w:val="0"/>
              </w:rPr>
              <w:t>机构审批程序，并获得批准或许可的前提下，其实及一致行动人沈友根、陆丽丽作为东 方财富现有股东，不可撤销地作出如下承诺：将在本次发行中充分行使优先配售权，即 出资不低于</w:t>
            </w:r>
            <w:r>
              <w:rPr>
                <w:color w:val="000000"/>
                <w:spacing w:val="0"/>
                <w:w w:val="100"/>
                <w:position w:val="0"/>
              </w:rPr>
              <w:t>38.40</w:t>
            </w:r>
            <w:r>
              <w:rPr>
                <w:rFonts w:ascii="SimSun" w:eastAsia="SimSun" w:hAnsi="SimSun" w:cs="SimSun"/>
                <w:color w:val="000000"/>
                <w:spacing w:val="0"/>
                <w:w w:val="100"/>
                <w:position w:val="0"/>
              </w:rPr>
              <w:t>亿元认购东方财富本次发行的可转换公司债券。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股权激励承诺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16" w:lineRule="exact"/>
              <w:ind w:left="0" w:right="0" w:firstLine="0"/>
              <w:jc w:val="left"/>
            </w:pPr>
            <w:r>
              <w:rPr>
                <w:rFonts w:ascii="SimSun" w:eastAsia="SimSun" w:hAnsi="SimSun" w:cs="SimSun"/>
                <w:color w:val="000000"/>
                <w:spacing w:val="0"/>
                <w:w w:val="100"/>
                <w:position w:val="0"/>
              </w:rPr>
              <w:t>东方财富信</w:t>
            </w:r>
          </w:p>
          <w:p>
            <w:pPr>
              <w:pStyle w:val="Style6"/>
              <w:keepNext w:val="0"/>
              <w:keepLines w:val="0"/>
              <w:widowControl w:val="0"/>
              <w:shd w:val="clear" w:color="auto" w:fill="auto"/>
              <w:bidi w:val="0"/>
              <w:spacing w:before="0" w:after="0" w:line="216" w:lineRule="exact"/>
              <w:ind w:left="0" w:right="0" w:firstLine="0"/>
              <w:jc w:val="left"/>
            </w:pPr>
            <w:r>
              <w:rPr>
                <w:rFonts w:ascii="SimSun" w:eastAsia="SimSun" w:hAnsi="SimSun" w:cs="SimSun"/>
                <w:color w:val="000000"/>
                <w:spacing w:val="0"/>
                <w:w w:val="100"/>
                <w:position w:val="0"/>
              </w:rPr>
              <w:t>息股份有限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公司承诺不为激励对象依限制性股票激励计划获取限制性股票提供贷款、贷款担保，以 及任何其它形式的财务资助。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5" w:lineRule="exact"/>
              <w:ind w:left="0" w:right="0" w:firstLine="0"/>
              <w:jc w:val="left"/>
            </w:pPr>
            <w:r>
              <w:rPr>
                <w:color w:val="000000"/>
                <w:spacing w:val="0"/>
                <w:w w:val="100"/>
                <w:position w:val="0"/>
              </w:rPr>
              <w:t xml:space="preserve">2026 </w:t>
            </w:r>
            <w:r>
              <w:rPr>
                <w:rFonts w:ascii="SimSun" w:eastAsia="SimSun" w:hAnsi="SimSun" w:cs="SimSun"/>
                <w:color w:val="000000"/>
                <w:spacing w:val="0"/>
                <w:w w:val="100"/>
                <w:position w:val="0"/>
              </w:rPr>
              <w:t xml:space="preserve">年 </w:t>
            </w:r>
            <w:r>
              <w:rPr>
                <w:color w:val="000000"/>
                <w:spacing w:val="0"/>
                <w:w w:val="100"/>
                <w:position w:val="0"/>
              </w:rPr>
              <w:t xml:space="preserve">8 </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正在履行</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承诺是否按时履 行</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4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32" w:lineRule="exact"/>
              <w:ind w:left="0" w:right="0" w:firstLine="0"/>
              <w:jc w:val="both"/>
            </w:pPr>
            <w:r>
              <w:rPr>
                <w:rFonts w:ascii="SimSun" w:eastAsia="SimSun" w:hAnsi="SimSun" w:cs="SimSun"/>
                <w:color w:val="000000"/>
                <w:spacing w:val="0"/>
                <w:w w:val="100"/>
                <w:position w:val="0"/>
              </w:rPr>
              <w:t>如承诺超期未履 行完毕的，应当 详细说明未完成 履行的具体原因 及下一步的工作 计划</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sectPr>
          <w:footnotePr>
            <w:pos w:val="pageBottom"/>
            <w:numFmt w:val="upperRoman"/>
            <w:numStart w:val="1"/>
            <w:numRestart w:val="continuous"/>
            <w15:footnoteColumns w:val="1"/>
          </w:footnotePr>
          <w:pgSz w:w="16840" w:h="11900" w:orient="landscape"/>
          <w:pgMar w:top="1261" w:right="1427" w:bottom="1192" w:left="1426" w:header="0" w:footer="3" w:gutter="0"/>
          <w:cols w:space="720"/>
          <w:noEndnote/>
          <w:rtlGutter w:val="0"/>
          <w:docGrid w:linePitch="360"/>
        </w:sectPr>
      </w:pPr>
    </w:p>
    <w:p>
      <w:pPr>
        <w:pStyle w:val="Style35"/>
        <w:keepNext w:val="0"/>
        <w:keepLines w:val="0"/>
        <w:widowControl w:val="0"/>
        <w:shd w:val="clear" w:color="auto" w:fill="auto"/>
        <w:bidi w:val="0"/>
        <w:spacing w:before="0" w:after="0" w:line="240" w:lineRule="auto"/>
        <w:ind w:left="0" w:right="0" w:firstLine="220"/>
        <w:jc w:val="left"/>
      </w:pPr>
      <w:r>
        <w:rPr>
          <w:spacing w:val="0"/>
          <w:w w:val="100"/>
          <w:position w:val="0"/>
        </w:rPr>
        <w:t>吻东方财富</w:t>
      </w:r>
    </w:p>
    <w:p>
      <w:pPr>
        <w:pStyle w:val="Style37"/>
        <w:keepNext w:val="0"/>
        <w:keepLines w:val="0"/>
        <w:widowControl w:val="0"/>
        <w:shd w:val="clear" w:color="auto" w:fill="auto"/>
        <w:bidi w:val="0"/>
        <w:spacing w:before="0" w:after="200"/>
        <w:ind w:left="0" w:right="0" w:firstLine="580"/>
        <w:jc w:val="left"/>
      </w:pPr>
      <w:r>
        <w:rPr>
          <w:color w:val="717171"/>
          <w:spacing w:val="0"/>
          <w:w w:val="100"/>
          <w:position w:val="0"/>
        </w:rPr>
        <w:t>east</w:t>
      </w:r>
      <w:r>
        <w:rPr>
          <w:spacing w:val="0"/>
          <w:w w:val="100"/>
          <w:position w:val="0"/>
        </w:rPr>
        <w:t>money.com</w:t>
      </w:r>
    </w:p>
    <w:p>
      <w:pPr>
        <w:pStyle w:val="Style32"/>
        <w:keepNext/>
        <w:keepLines/>
        <w:widowControl w:val="0"/>
        <w:shd w:val="clear" w:color="auto" w:fill="auto"/>
        <w:bidi w:val="0"/>
        <w:spacing w:before="0" w:after="260" w:line="331" w:lineRule="exact"/>
        <w:ind w:left="0" w:right="0" w:firstLine="0"/>
        <w:jc w:val="both"/>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2</w:t>
      </w:r>
      <w:bookmarkEnd w:id="513"/>
      <w:r>
        <w:rPr>
          <w:color w:val="000000"/>
          <w:spacing w:val="0"/>
          <w:w w:val="100"/>
          <w:position w:val="0"/>
        </w:rPr>
        <w:t>、公司资产或项目存在盈利预测，且报告期仍处在盈利预测期间，公司就资产或项目达到原盈利预测及 其原因做出说明</w:t>
      </w:r>
      <w:bookmarkEnd w:id="511"/>
      <w:bookmarkEnd w:id="512"/>
      <w:bookmarkEnd w:id="514"/>
    </w:p>
    <w:p>
      <w:pPr>
        <w:pStyle w:val="Style24"/>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tabs>
          <w:tab w:pos="541" w:val="left"/>
        </w:tabs>
        <w:bidi w:val="0"/>
        <w:spacing w:before="0" w:after="260" w:line="240" w:lineRule="auto"/>
        <w:ind w:left="0" w:right="0" w:firstLine="0"/>
        <w:jc w:val="both"/>
      </w:pPr>
      <w:bookmarkStart w:id="515" w:name="bookmark515"/>
      <w:bookmarkStart w:id="516" w:name="bookmark516"/>
      <w:bookmarkStart w:id="517" w:name="bookmark517"/>
      <w:bookmarkStart w:id="518" w:name="bookmark518"/>
      <w:r>
        <w:rPr>
          <w:color w:val="000000"/>
          <w:spacing w:val="0"/>
          <w:w w:val="100"/>
          <w:position w:val="0"/>
          <w:sz w:val="24"/>
          <w:szCs w:val="24"/>
        </w:rPr>
        <w:t>二</w:t>
      </w:r>
      <w:bookmarkEnd w:id="517"/>
      <w:r>
        <w:rPr>
          <w:color w:val="000000"/>
          <w:spacing w:val="0"/>
          <w:w w:val="100"/>
          <w:position w:val="0"/>
          <w:sz w:val="24"/>
          <w:szCs w:val="24"/>
        </w:rPr>
        <w:t>、</w:t>
        <w:tab/>
        <w:t>控股股东及其他关联方对上市公司的非经营性占用资金情况</w:t>
      </w:r>
      <w:bookmarkEnd w:id="515"/>
      <w:bookmarkEnd w:id="516"/>
      <w:bookmarkEnd w:id="518"/>
    </w:p>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公司报告期不存在控股股东及其他关联方对上市公司的非经营性占用资金。</w:t>
      </w:r>
    </w:p>
    <w:p>
      <w:pPr>
        <w:pStyle w:val="Style22"/>
        <w:keepNext/>
        <w:keepLines/>
        <w:widowControl w:val="0"/>
        <w:shd w:val="clear" w:color="auto" w:fill="auto"/>
        <w:tabs>
          <w:tab w:pos="546" w:val="left"/>
        </w:tabs>
        <w:bidi w:val="0"/>
        <w:spacing w:before="0" w:after="260" w:line="240" w:lineRule="auto"/>
        <w:ind w:left="0" w:right="0" w:firstLine="0"/>
        <w:jc w:val="both"/>
      </w:pPr>
      <w:bookmarkStart w:id="519" w:name="bookmark519"/>
      <w:bookmarkStart w:id="520" w:name="bookmark520"/>
      <w:bookmarkStart w:id="521" w:name="bookmark521"/>
      <w:bookmarkStart w:id="522" w:name="bookmark522"/>
      <w:r>
        <w:rPr>
          <w:color w:val="000000"/>
          <w:spacing w:val="0"/>
          <w:w w:val="100"/>
          <w:position w:val="0"/>
          <w:sz w:val="24"/>
          <w:szCs w:val="24"/>
        </w:rPr>
        <w:t>三</w:t>
      </w:r>
      <w:bookmarkEnd w:id="521"/>
      <w:r>
        <w:rPr>
          <w:color w:val="000000"/>
          <w:spacing w:val="0"/>
          <w:w w:val="100"/>
          <w:position w:val="0"/>
          <w:sz w:val="24"/>
          <w:szCs w:val="24"/>
        </w:rPr>
        <w:t>、</w:t>
        <w:tab/>
        <w:t>违规对外担保情况</w:t>
      </w:r>
      <w:bookmarkEnd w:id="519"/>
      <w:bookmarkEnd w:id="520"/>
      <w:bookmarkEnd w:id="522"/>
    </w:p>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公司报告期无违规对外担保情况。</w:t>
      </w:r>
    </w:p>
    <w:p>
      <w:pPr>
        <w:pStyle w:val="Style22"/>
        <w:keepNext/>
        <w:keepLines/>
        <w:widowControl w:val="0"/>
        <w:shd w:val="clear" w:color="auto" w:fill="auto"/>
        <w:tabs>
          <w:tab w:pos="546" w:val="left"/>
        </w:tabs>
        <w:bidi w:val="0"/>
        <w:spacing w:before="0" w:after="360" w:line="240" w:lineRule="auto"/>
        <w:ind w:left="0" w:right="0" w:firstLine="0"/>
        <w:jc w:val="both"/>
      </w:pPr>
      <w:bookmarkStart w:id="523" w:name="bookmark523"/>
      <w:bookmarkStart w:id="524" w:name="bookmark524"/>
      <w:bookmarkStart w:id="525" w:name="bookmark525"/>
      <w:bookmarkStart w:id="526" w:name="bookmark526"/>
      <w:r>
        <w:rPr>
          <w:color w:val="000000"/>
          <w:spacing w:val="0"/>
          <w:w w:val="100"/>
          <w:position w:val="0"/>
          <w:sz w:val="24"/>
          <w:szCs w:val="24"/>
        </w:rPr>
        <w:t>四</w:t>
      </w:r>
      <w:bookmarkEnd w:id="525"/>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523"/>
      <w:bookmarkEnd w:id="524"/>
      <w:bookmarkEnd w:id="526"/>
    </w:p>
    <w:p>
      <w:pPr>
        <w:pStyle w:val="Style24"/>
        <w:keepNext w:val="0"/>
        <w:keepLines w:val="0"/>
        <w:widowControl w:val="0"/>
        <w:numPr>
          <w:ilvl w:val="0"/>
          <w:numId w:val="5"/>
        </w:numPr>
        <w:shd w:val="clear" w:color="auto" w:fill="auto"/>
        <w:tabs>
          <w:tab w:pos="286" w:val="left"/>
        </w:tabs>
        <w:bidi w:val="0"/>
        <w:spacing w:before="0" w:after="260" w:line="360" w:lineRule="auto"/>
        <w:ind w:left="0" w:right="0" w:firstLine="0"/>
        <w:jc w:val="both"/>
      </w:pPr>
      <w:bookmarkStart w:id="527" w:name="bookmark527"/>
      <w:bookmarkEnd w:id="52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7 </w:t>
      </w:r>
      <w:r>
        <w:rPr>
          <w:color w:val="000000"/>
          <w:spacing w:val="0"/>
          <w:w w:val="100"/>
          <w:position w:val="0"/>
        </w:rPr>
        <w:t>不适用</w:t>
      </w:r>
    </w:p>
    <w:p>
      <w:pPr>
        <w:pStyle w:val="Style22"/>
        <w:keepNext/>
        <w:keepLines/>
        <w:widowControl w:val="0"/>
        <w:shd w:val="clear" w:color="auto" w:fill="auto"/>
        <w:tabs>
          <w:tab w:pos="546" w:val="left"/>
        </w:tabs>
        <w:bidi w:val="0"/>
        <w:spacing w:before="0" w:after="360" w:line="240" w:lineRule="auto"/>
        <w:ind w:left="0" w:right="0" w:firstLine="0"/>
        <w:jc w:val="both"/>
      </w:pPr>
      <w:bookmarkStart w:id="528" w:name="bookmark528"/>
      <w:bookmarkStart w:id="529" w:name="bookmark529"/>
      <w:bookmarkStart w:id="530" w:name="bookmark530"/>
      <w:bookmarkStart w:id="531" w:name="bookmark531"/>
      <w:r>
        <w:rPr>
          <w:color w:val="000000"/>
          <w:spacing w:val="0"/>
          <w:w w:val="100"/>
          <w:position w:val="0"/>
          <w:sz w:val="24"/>
          <w:szCs w:val="24"/>
        </w:rPr>
        <w:t>五</w:t>
      </w:r>
      <w:bookmarkEnd w:id="53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528"/>
      <w:bookmarkEnd w:id="529"/>
      <w:bookmarkEnd w:id="531"/>
    </w:p>
    <w:p>
      <w:pPr>
        <w:pStyle w:val="Style24"/>
        <w:keepNext w:val="0"/>
        <w:keepLines w:val="0"/>
        <w:widowControl w:val="0"/>
        <w:numPr>
          <w:ilvl w:val="0"/>
          <w:numId w:val="5"/>
        </w:numPr>
        <w:shd w:val="clear" w:color="auto" w:fill="auto"/>
        <w:tabs>
          <w:tab w:pos="286" w:val="left"/>
        </w:tabs>
        <w:bidi w:val="0"/>
        <w:spacing w:before="0" w:after="260" w:line="360" w:lineRule="auto"/>
        <w:ind w:left="0" w:right="0" w:firstLine="0"/>
        <w:jc w:val="both"/>
      </w:pPr>
      <w:bookmarkStart w:id="532" w:name="bookmark532"/>
      <w:bookmarkEnd w:id="53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7 </w:t>
      </w:r>
      <w:r>
        <w:rPr>
          <w:color w:val="000000"/>
          <w:spacing w:val="0"/>
          <w:w w:val="100"/>
          <w:position w:val="0"/>
        </w:rPr>
        <w:t>不适用</w:t>
      </w:r>
    </w:p>
    <w:p>
      <w:pPr>
        <w:pStyle w:val="Style22"/>
        <w:keepNext/>
        <w:keepLines/>
        <w:widowControl w:val="0"/>
        <w:shd w:val="clear" w:color="auto" w:fill="auto"/>
        <w:tabs>
          <w:tab w:pos="546" w:val="left"/>
        </w:tabs>
        <w:bidi w:val="0"/>
        <w:spacing w:before="0" w:after="360" w:line="240" w:lineRule="auto"/>
        <w:ind w:left="0" w:right="0" w:firstLine="0"/>
        <w:jc w:val="both"/>
      </w:pPr>
      <w:bookmarkStart w:id="533" w:name="bookmark533"/>
      <w:bookmarkStart w:id="534" w:name="bookmark534"/>
      <w:bookmarkStart w:id="535" w:name="bookmark535"/>
      <w:bookmarkStart w:id="536" w:name="bookmark536"/>
      <w:r>
        <w:rPr>
          <w:color w:val="000000"/>
          <w:spacing w:val="0"/>
          <w:w w:val="100"/>
          <w:position w:val="0"/>
          <w:sz w:val="24"/>
          <w:szCs w:val="24"/>
        </w:rPr>
        <w:t>六</w:t>
      </w:r>
      <w:bookmarkEnd w:id="535"/>
      <w:r>
        <w:rPr>
          <w:color w:val="000000"/>
          <w:spacing w:val="0"/>
          <w:w w:val="100"/>
          <w:position w:val="0"/>
          <w:sz w:val="24"/>
          <w:szCs w:val="24"/>
        </w:rPr>
        <w:t>、</w:t>
        <w:tab/>
        <w:t>董事会关于报告期会计政策、会计估计变更或重大会计差错更正的说明</w:t>
      </w:r>
      <w:bookmarkEnd w:id="533"/>
      <w:bookmarkEnd w:id="534"/>
      <w:bookmarkEnd w:id="536"/>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4"/>
        <w:keepNext w:val="0"/>
        <w:keepLines w:val="0"/>
        <w:widowControl w:val="0"/>
        <w:shd w:val="clear" w:color="auto" w:fill="auto"/>
        <w:bidi w:val="0"/>
        <w:spacing w:before="0" w:after="360" w:line="315" w:lineRule="exact"/>
        <w:ind w:left="0" w:right="0" w:firstLine="0"/>
        <w:jc w:val="both"/>
      </w:pPr>
      <w:r>
        <w:rPr>
          <w:color w:val="000000"/>
          <w:spacing w:val="0"/>
          <w:w w:val="100"/>
          <w:position w:val="0"/>
        </w:rPr>
        <w:t>根据中华人民共和国财政部于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月修订发布的《企业会计准则第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号一租赁》（以下统称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），要求 在境内外同时上市的企业以及在境外上市并采用国际财务报告准则或企业会计准则编制财务报表的企业，自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起施行；其他执行企业会计准则的企业自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日起施行。根据新租赁准则的要求，公司自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 赁准则，对原采用的相关会计政策进行相应变更。</w:t>
      </w:r>
    </w:p>
    <w:p>
      <w:pPr>
        <w:pStyle w:val="Style22"/>
        <w:keepNext/>
        <w:keepLines/>
        <w:widowControl w:val="0"/>
        <w:shd w:val="clear" w:color="auto" w:fill="auto"/>
        <w:tabs>
          <w:tab w:pos="546" w:val="left"/>
        </w:tabs>
        <w:bidi w:val="0"/>
        <w:spacing w:before="0" w:after="36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sz w:val="24"/>
          <w:szCs w:val="24"/>
        </w:rPr>
        <w:t>七</w:t>
      </w:r>
      <w:bookmarkEnd w:id="539"/>
      <w:r>
        <w:rPr>
          <w:color w:val="000000"/>
          <w:spacing w:val="0"/>
          <w:w w:val="100"/>
          <w:position w:val="0"/>
          <w:sz w:val="24"/>
          <w:szCs w:val="24"/>
        </w:rPr>
        <w:t>、</w:t>
        <w:tab/>
        <w:t>与上年度财务报告相比，合并报表范围发生变化的情况说明</w:t>
      </w:r>
      <w:bookmarkEnd w:id="537"/>
      <w:bookmarkEnd w:id="538"/>
      <w:bookmarkEnd w:id="540"/>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本年合并范围内新增</w:t>
      </w:r>
      <w:r>
        <w:rPr>
          <w:rFonts w:ascii="Times New Roman" w:eastAsia="Times New Roman" w:hAnsi="Times New Roman" w:cs="Times New Roman"/>
          <w:color w:val="000000"/>
          <w:spacing w:val="0"/>
          <w:w w:val="100"/>
          <w:position w:val="0"/>
        </w:rPr>
        <w:t>9</w:t>
      </w:r>
      <w:r>
        <w:rPr>
          <w:color w:val="000000"/>
          <w:spacing w:val="0"/>
          <w:w w:val="100"/>
          <w:position w:val="0"/>
        </w:rPr>
        <w:t xml:space="preserve">家全资子公司，为上海哈富网络科技有限公司、扬州东方财富数据服务有限公司、成都东方财富信息 技术有限公司、东方财富国际证券有限公司、东方财富国际期货有限公司、哈富网络科技有限公司、哈富有限公司、 </w:t>
      </w:r>
      <w:r>
        <w:rPr>
          <w:rFonts w:ascii="Times New Roman" w:eastAsia="Times New Roman" w:hAnsi="Times New Roman" w:cs="Times New Roman"/>
          <w:color w:val="000000"/>
          <w:spacing w:val="0"/>
          <w:w w:val="100"/>
          <w:position w:val="0"/>
        </w:rPr>
        <w:t>Eastmoney Sea Holdings PTE. LTD.</w:t>
      </w:r>
      <w:r>
        <w:rPr>
          <w:color w:val="000000"/>
          <w:spacing w:val="0"/>
          <w:w w:val="100"/>
          <w:position w:val="0"/>
        </w:rPr>
        <w:t xml:space="preserve">和 </w:t>
      </w:r>
      <w:r>
        <w:rPr>
          <w:rFonts w:ascii="Times New Roman" w:eastAsia="Times New Roman" w:hAnsi="Times New Roman" w:cs="Times New Roman"/>
          <w:color w:val="000000"/>
          <w:spacing w:val="0"/>
          <w:w w:val="100"/>
          <w:position w:val="0"/>
        </w:rPr>
        <w:t>Hafbo Securities （Singapore） PTE. LTD.</w:t>
      </w:r>
      <w:r>
        <w:rPr>
          <w:color w:val="000000"/>
          <w:spacing w:val="0"/>
          <w:w w:val="100"/>
          <w:position w:val="0"/>
        </w:rPr>
        <w:t xml:space="preserve">。本年合并范围内新增 </w:t>
      </w:r>
      <w:r>
        <w:rPr>
          <w:rFonts w:ascii="Times New Roman" w:eastAsia="Times New Roman" w:hAnsi="Times New Roman" w:cs="Times New Roman"/>
          <w:color w:val="000000"/>
          <w:spacing w:val="0"/>
          <w:w w:val="100"/>
          <w:position w:val="0"/>
        </w:rPr>
        <w:t xml:space="preserve">24 </w:t>
      </w:r>
      <w:r>
        <w:rPr>
          <w:color w:val="000000"/>
          <w:spacing w:val="0"/>
          <w:w w:val="100"/>
          <w:position w:val="0"/>
        </w:rPr>
        <w:t>家结构化主体，减少</w:t>
      </w:r>
      <w:r>
        <w:rPr>
          <w:rFonts w:ascii="Times New Roman" w:eastAsia="Times New Roman" w:hAnsi="Times New Roman" w:cs="Times New Roman"/>
          <w:color w:val="000000"/>
          <w:spacing w:val="0"/>
          <w:w w:val="100"/>
          <w:position w:val="0"/>
        </w:rPr>
        <w:t xml:space="preserve">2 </w:t>
      </w:r>
      <w:r>
        <w:rPr>
          <w:color w:val="000000"/>
          <w:spacing w:val="0"/>
          <w:w w:val="100"/>
          <w:position w:val="0"/>
        </w:rPr>
        <w:t>家结构化主体。</w:t>
      </w:r>
    </w:p>
    <w:p>
      <w:pPr>
        <w:pStyle w:val="Style22"/>
        <w:keepNext/>
        <w:keepLines/>
        <w:widowControl w:val="0"/>
        <w:shd w:val="clear" w:color="auto" w:fill="auto"/>
        <w:tabs>
          <w:tab w:pos="546" w:val="left"/>
        </w:tabs>
        <w:bidi w:val="0"/>
        <w:spacing w:before="0" w:after="360" w:line="240" w:lineRule="auto"/>
        <w:ind w:left="0" w:right="0" w:firstLine="0"/>
        <w:jc w:val="left"/>
      </w:pPr>
      <w:bookmarkStart w:id="541" w:name="bookmark541"/>
      <w:bookmarkStart w:id="542" w:name="bookmark542"/>
      <w:bookmarkStart w:id="543" w:name="bookmark543"/>
      <w:bookmarkStart w:id="544" w:name="bookmark544"/>
      <w:r>
        <w:rPr>
          <w:color w:val="000000"/>
          <w:spacing w:val="0"/>
          <w:w w:val="100"/>
          <w:position w:val="0"/>
          <w:sz w:val="24"/>
          <w:szCs w:val="24"/>
        </w:rPr>
        <w:t>八</w:t>
      </w:r>
      <w:bookmarkEnd w:id="543"/>
      <w:r>
        <w:rPr>
          <w:color w:val="000000"/>
          <w:spacing w:val="0"/>
          <w:w w:val="100"/>
          <w:position w:val="0"/>
          <w:sz w:val="24"/>
          <w:szCs w:val="24"/>
        </w:rPr>
        <w:t>、</w:t>
        <w:tab/>
        <w:t>聘任、解聘会计师事务所情况</w:t>
      </w:r>
      <w:bookmarkEnd w:id="541"/>
      <w:bookmarkEnd w:id="542"/>
      <w:bookmarkEnd w:id="544"/>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10"/>
        <w:gridCol w:w="4795"/>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安永华明会计师事务所（特殊普通合伙）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422.00</w:t>
            </w:r>
          </w:p>
        </w:tc>
      </w:tr>
    </w:tbl>
    <w:p>
      <w:pPr>
        <w:sectPr>
          <w:footnotePr>
            <w:pos w:val="pageBottom"/>
            <w:numFmt w:val="upperRoman"/>
            <w:numStart w:val="1"/>
            <w:numRestart w:val="continuous"/>
            <w15:footnoteColumns w:val="1"/>
          </w:footnotePr>
          <w:pgSz w:w="11900" w:h="16840"/>
          <w:pgMar w:top="824" w:right="1061" w:bottom="1150" w:left="1104" w:header="0" w:footer="3" w:gutter="0"/>
          <w:cols w:space="720"/>
          <w:noEndnote/>
          <w:rtlGutter w:val="0"/>
          <w:docGrid w:linePitch="360"/>
        </w:sectPr>
      </w:pPr>
    </w:p>
    <w:tbl>
      <w:tblPr>
        <w:tblOverlap w:val="never"/>
        <w:jc w:val="center"/>
        <w:tblLayout w:type="fixed"/>
      </w:tblPr>
      <w:tblGrid>
        <w:gridCol w:w="4810"/>
        <w:gridCol w:w="4795"/>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朱宝钦、严盛炜</w:t>
            </w:r>
          </w:p>
        </w:tc>
      </w:tr>
      <w:tr>
        <w:trPr>
          <w:trHeight w:val="3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bl>
    <w:p>
      <w:pPr>
        <w:pStyle w:val="Style2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是否改聘会计师事务所</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是否在审计期间改聘会计师事务所</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2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更换会计师事务所是否履行审批程序</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聘任、解聘会计师事务所情况说明</w:t>
      </w:r>
    </w:p>
    <w:p>
      <w:pPr>
        <w:pStyle w:val="Style2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鉴于立信会计师事务所（特殊普通合伙）的审计工作团队已经连续</w:t>
      </w:r>
      <w:r>
        <w:rPr>
          <w:rFonts w:ascii="Times New Roman" w:eastAsia="Times New Roman" w:hAnsi="Times New Roman" w:cs="Times New Roman"/>
          <w:color w:val="000000"/>
          <w:spacing w:val="0"/>
          <w:w w:val="100"/>
          <w:position w:val="0"/>
        </w:rPr>
        <w:t>14</w:t>
      </w:r>
      <w:r>
        <w:rPr>
          <w:color w:val="000000"/>
          <w:spacing w:val="0"/>
          <w:w w:val="100"/>
          <w:position w:val="0"/>
        </w:rPr>
        <w:t>年为公司提供审计服务，为了确保上市公司审计工作 的独立性和客观性，同时综合考虑公司经营发展及审计工作需要，公司聘任安永为公司</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年度审计机构。公司第五届董 事会第十三次会议和</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年第一次临时股东大会审议通过了《关于聘任公司</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年度审计机构的议案》，同意聘任安永为 公司</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w:t>
      </w:r>
    </w:p>
    <w:p>
      <w:pPr>
        <w:pStyle w:val="Style24"/>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both"/>
      </w:pPr>
      <w:bookmarkStart w:id="545" w:name="bookmark545"/>
      <w:bookmarkStart w:id="546" w:name="bookmark546"/>
      <w:bookmarkStart w:id="547" w:name="bookmark547"/>
      <w:bookmarkStart w:id="548" w:name="bookmark548"/>
      <w:r>
        <w:rPr>
          <w:color w:val="000000"/>
          <w:spacing w:val="0"/>
          <w:w w:val="100"/>
          <w:position w:val="0"/>
          <w:sz w:val="24"/>
          <w:szCs w:val="24"/>
        </w:rPr>
        <w:t>九</w:t>
      </w:r>
      <w:bookmarkEnd w:id="547"/>
      <w:r>
        <w:rPr>
          <w:color w:val="000000"/>
          <w:spacing w:val="0"/>
          <w:w w:val="100"/>
          <w:position w:val="0"/>
          <w:sz w:val="24"/>
          <w:szCs w:val="24"/>
        </w:rPr>
        <w:t>、年度报告披露后面临退市情况</w:t>
      </w:r>
      <w:bookmarkEnd w:id="545"/>
      <w:bookmarkEnd w:id="546"/>
      <w:bookmarkEnd w:id="548"/>
    </w:p>
    <w:p>
      <w:pPr>
        <w:pStyle w:val="Style24"/>
        <w:keepNext w:val="0"/>
        <w:keepLines w:val="0"/>
        <w:widowControl w:val="0"/>
        <w:numPr>
          <w:ilvl w:val="0"/>
          <w:numId w:val="5"/>
        </w:numPr>
        <w:shd w:val="clear" w:color="auto" w:fill="auto"/>
        <w:tabs>
          <w:tab w:pos="286" w:val="left"/>
        </w:tabs>
        <w:bidi w:val="0"/>
        <w:spacing w:before="0" w:after="260" w:line="360" w:lineRule="auto"/>
        <w:ind w:left="0" w:right="0" w:firstLine="0"/>
        <w:jc w:val="both"/>
      </w:pPr>
      <w:bookmarkStart w:id="549" w:name="bookmark549"/>
      <w:bookmarkEnd w:id="54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7 </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550" w:name="bookmark550"/>
      <w:bookmarkStart w:id="551" w:name="bookmark551"/>
      <w:bookmarkStart w:id="552" w:name="bookmark552"/>
      <w:r>
        <w:rPr>
          <w:color w:val="000000"/>
          <w:spacing w:val="0"/>
          <w:w w:val="100"/>
          <w:position w:val="0"/>
          <w:sz w:val="24"/>
          <w:szCs w:val="24"/>
        </w:rPr>
        <w:t>十、破产重整相关事项</w:t>
      </w:r>
      <w:bookmarkEnd w:id="550"/>
      <w:bookmarkEnd w:id="551"/>
      <w:bookmarkEnd w:id="552"/>
    </w:p>
    <w:p>
      <w:pPr>
        <w:pStyle w:val="Style24"/>
        <w:keepNext w:val="0"/>
        <w:keepLines w:val="0"/>
        <w:widowControl w:val="0"/>
        <w:numPr>
          <w:ilvl w:val="0"/>
          <w:numId w:val="5"/>
        </w:numPr>
        <w:shd w:val="clear" w:color="auto" w:fill="auto"/>
        <w:tabs>
          <w:tab w:pos="286" w:val="left"/>
        </w:tabs>
        <w:bidi w:val="0"/>
        <w:spacing w:before="0" w:after="0" w:line="360" w:lineRule="auto"/>
        <w:ind w:left="0" w:right="0" w:firstLine="0"/>
        <w:jc w:val="left"/>
      </w:pPr>
      <w:bookmarkStart w:id="553" w:name="bookmark553"/>
      <w:bookmarkEnd w:id="55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7 </w:t>
      </w:r>
      <w:r>
        <w:rPr>
          <w:color w:val="000000"/>
          <w:spacing w:val="0"/>
          <w:w w:val="100"/>
          <w:position w:val="0"/>
        </w:rPr>
        <w:t>不适用</w:t>
      </w:r>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after="360" w:line="240" w:lineRule="auto"/>
        <w:ind w:left="0" w:right="0" w:firstLine="0"/>
        <w:jc w:val="left"/>
      </w:pPr>
      <w:bookmarkStart w:id="554" w:name="bookmark554"/>
      <w:bookmarkStart w:id="555" w:name="bookmark555"/>
      <w:bookmarkStart w:id="556" w:name="bookmark556"/>
      <w:r>
        <w:rPr>
          <w:color w:val="000000"/>
          <w:spacing w:val="0"/>
          <w:w w:val="100"/>
          <w:position w:val="0"/>
          <w:sz w:val="24"/>
          <w:szCs w:val="24"/>
        </w:rPr>
        <w:t>十一、重大诉讼、仲裁事项</w:t>
      </w:r>
      <w:bookmarkEnd w:id="554"/>
      <w:bookmarkEnd w:id="555"/>
      <w:bookmarkEnd w:id="556"/>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报告期内新增未达到重大诉讼披露标准的其他诉讼的涉案总金额为</w:t>
      </w:r>
      <w:r>
        <w:rPr>
          <w:rFonts w:ascii="Times New Roman" w:eastAsia="Times New Roman" w:hAnsi="Times New Roman" w:cs="Times New Roman"/>
          <w:color w:val="000000"/>
          <w:spacing w:val="0"/>
          <w:w w:val="100"/>
          <w:position w:val="0"/>
        </w:rPr>
        <w:t>1,521.12</w:t>
      </w:r>
      <w:r>
        <w:rPr>
          <w:color w:val="000000"/>
          <w:spacing w:val="0"/>
          <w:w w:val="100"/>
          <w:position w:val="0"/>
        </w:rPr>
        <w:t>万元。截至报告期末，未达到重大诉讼披露标 准的未决诉讼涉案金额为</w:t>
      </w:r>
      <w:r>
        <w:rPr>
          <w:rFonts w:ascii="Times New Roman" w:eastAsia="Times New Roman" w:hAnsi="Times New Roman" w:cs="Times New Roman"/>
          <w:color w:val="000000"/>
          <w:spacing w:val="0"/>
          <w:w w:val="100"/>
          <w:position w:val="0"/>
        </w:rPr>
        <w:t>2,044.88</w:t>
      </w:r>
      <w:r>
        <w:rPr>
          <w:color w:val="000000"/>
          <w:spacing w:val="0"/>
          <w:w w:val="100"/>
          <w:position w:val="0"/>
        </w:rPr>
        <w:t>万元。截至报告期末，预计负债总额为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2"/>
        <w:keepNext/>
        <w:keepLines/>
        <w:widowControl w:val="0"/>
        <w:shd w:val="clear" w:color="auto" w:fill="auto"/>
        <w:bidi w:val="0"/>
        <w:spacing w:before="0" w:after="360" w:line="240" w:lineRule="auto"/>
        <w:ind w:left="0" w:right="0" w:firstLine="0"/>
        <w:jc w:val="left"/>
      </w:pPr>
      <w:bookmarkStart w:id="557" w:name="bookmark557"/>
      <w:bookmarkStart w:id="558" w:name="bookmark558"/>
      <w:bookmarkStart w:id="559" w:name="bookmark559"/>
      <w:r>
        <w:rPr>
          <w:color w:val="000000"/>
          <w:spacing w:val="0"/>
          <w:w w:val="100"/>
          <w:position w:val="0"/>
          <w:sz w:val="24"/>
          <w:szCs w:val="24"/>
        </w:rPr>
        <w:t>十二、处罚及整改情况</w:t>
      </w:r>
      <w:bookmarkEnd w:id="557"/>
      <w:bookmarkEnd w:id="558"/>
      <w:bookmarkEnd w:id="559"/>
    </w:p>
    <w:p>
      <w:pPr>
        <w:pStyle w:val="Style24"/>
        <w:keepNext w:val="0"/>
        <w:keepLines w:val="0"/>
        <w:widowControl w:val="0"/>
        <w:numPr>
          <w:ilvl w:val="0"/>
          <w:numId w:val="5"/>
        </w:numPr>
        <w:shd w:val="clear" w:color="auto" w:fill="auto"/>
        <w:tabs>
          <w:tab w:pos="286" w:val="left"/>
        </w:tabs>
        <w:bidi w:val="0"/>
        <w:spacing w:before="0" w:after="0" w:line="360" w:lineRule="auto"/>
        <w:ind w:left="0" w:right="0" w:firstLine="0"/>
        <w:jc w:val="left"/>
      </w:pPr>
      <w:bookmarkStart w:id="560" w:name="bookmark560"/>
      <w:bookmarkEnd w:id="56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7 </w:t>
      </w:r>
      <w:r>
        <w:rPr>
          <w:color w:val="000000"/>
          <w:spacing w:val="0"/>
          <w:w w:val="100"/>
          <w:position w:val="0"/>
        </w:rPr>
        <w:t>不适用</w:t>
      </w:r>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公司报告期不存在处罚及整改情况。</w:t>
      </w:r>
    </w:p>
    <w:p>
      <w:pPr>
        <w:pStyle w:val="Style22"/>
        <w:keepNext/>
        <w:keepLines/>
        <w:widowControl w:val="0"/>
        <w:shd w:val="clear" w:color="auto" w:fill="auto"/>
        <w:bidi w:val="0"/>
        <w:spacing w:before="0" w:after="360" w:line="240" w:lineRule="auto"/>
        <w:ind w:left="0" w:right="0" w:firstLine="0"/>
        <w:jc w:val="left"/>
      </w:pPr>
      <w:bookmarkStart w:id="561" w:name="bookmark561"/>
      <w:bookmarkStart w:id="562" w:name="bookmark562"/>
      <w:bookmarkStart w:id="563" w:name="bookmark563"/>
      <w:r>
        <w:rPr>
          <w:color w:val="000000"/>
          <w:spacing w:val="0"/>
          <w:w w:val="100"/>
          <w:position w:val="0"/>
          <w:sz w:val="24"/>
          <w:szCs w:val="24"/>
        </w:rPr>
        <w:t>十三、公司及其控股股东、实际控制人的诚信状况</w:t>
      </w:r>
      <w:bookmarkEnd w:id="561"/>
      <w:bookmarkEnd w:id="562"/>
      <w:bookmarkEnd w:id="563"/>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4"/>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公司及其控股股东、实际控制人不存在诚信问题。</w:t>
      </w:r>
    </w:p>
    <w:p>
      <w:pPr>
        <w:pStyle w:val="Style22"/>
        <w:keepNext/>
        <w:keepLines/>
        <w:widowControl w:val="0"/>
        <w:shd w:val="clear" w:color="auto" w:fill="auto"/>
        <w:bidi w:val="0"/>
        <w:spacing w:before="0" w:after="300" w:line="240" w:lineRule="auto"/>
        <w:ind w:left="0" w:right="0" w:firstLine="0"/>
        <w:jc w:val="left"/>
      </w:pPr>
      <w:bookmarkStart w:id="564" w:name="bookmark564"/>
      <w:bookmarkStart w:id="565" w:name="bookmark565"/>
      <w:bookmarkStart w:id="566" w:name="bookmark566"/>
      <w:r>
        <w:rPr>
          <w:color w:val="000000"/>
          <w:spacing w:val="0"/>
          <w:w w:val="100"/>
          <w:position w:val="0"/>
          <w:sz w:val="24"/>
          <w:szCs w:val="24"/>
        </w:rPr>
        <w:t>十四、重大关联交易</w:t>
      </w:r>
      <w:bookmarkEnd w:id="564"/>
      <w:bookmarkEnd w:id="565"/>
      <w:bookmarkEnd w:id="566"/>
    </w:p>
    <w:p>
      <w:pPr>
        <w:pStyle w:val="Style32"/>
        <w:keepNext/>
        <w:keepLines/>
        <w:widowControl w:val="0"/>
        <w:shd w:val="clear" w:color="auto" w:fill="auto"/>
        <w:tabs>
          <w:tab w:pos="382" w:val="left"/>
        </w:tabs>
        <w:bidi w:val="0"/>
        <w:spacing w:before="0" w:after="30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1</w:t>
      </w:r>
      <w:bookmarkEnd w:id="569"/>
      <w:r>
        <w:rPr>
          <w:color w:val="000000"/>
          <w:spacing w:val="0"/>
          <w:w w:val="100"/>
          <w:position w:val="0"/>
        </w:rPr>
        <w:t>、</w:t>
        <w:tab/>
        <w:t>与日常经营相关的关联交易</w:t>
      </w:r>
      <w:bookmarkEnd w:id="567"/>
      <w:bookmarkEnd w:id="568"/>
      <w:bookmarkEnd w:id="570"/>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92" w:val="left"/>
        </w:tabs>
        <w:bidi w:val="0"/>
        <w:spacing w:before="0" w:after="30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2</w:t>
      </w:r>
      <w:bookmarkEnd w:id="573"/>
      <w:r>
        <w:rPr>
          <w:color w:val="000000"/>
          <w:spacing w:val="0"/>
          <w:w w:val="100"/>
          <w:position w:val="0"/>
        </w:rPr>
        <w:t>、</w:t>
        <w:tab/>
        <w:t>资产或股权收购、出售发生的关联交易</w:t>
      </w:r>
      <w:bookmarkEnd w:id="571"/>
      <w:bookmarkEnd w:id="572"/>
      <w:bookmarkEnd w:id="574"/>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92" w:val="left"/>
        </w:tabs>
        <w:bidi w:val="0"/>
        <w:spacing w:before="0" w:after="30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3</w:t>
      </w:r>
      <w:bookmarkEnd w:id="577"/>
      <w:r>
        <w:rPr>
          <w:color w:val="000000"/>
          <w:spacing w:val="0"/>
          <w:w w:val="100"/>
          <w:position w:val="0"/>
        </w:rPr>
        <w:t>、</w:t>
        <w:tab/>
        <w:t>共同对外投资的关联交易</w:t>
      </w:r>
      <w:bookmarkEnd w:id="575"/>
      <w:bookmarkEnd w:id="576"/>
      <w:bookmarkEnd w:id="578"/>
    </w:p>
    <w:p>
      <w:pPr>
        <w:pStyle w:val="Style2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92" w:val="left"/>
        </w:tabs>
        <w:bidi w:val="0"/>
        <w:spacing w:before="0" w:after="30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4</w:t>
      </w:r>
      <w:bookmarkEnd w:id="581"/>
      <w:r>
        <w:rPr>
          <w:color w:val="000000"/>
          <w:spacing w:val="0"/>
          <w:w w:val="100"/>
          <w:position w:val="0"/>
        </w:rPr>
        <w:t>、</w:t>
        <w:tab/>
        <w:t>关联债权债务往来</w:t>
      </w:r>
      <w:bookmarkEnd w:id="579"/>
      <w:bookmarkEnd w:id="580"/>
      <w:bookmarkEnd w:id="582"/>
    </w:p>
    <w:p>
      <w:pPr>
        <w:pStyle w:val="Style24"/>
        <w:keepNext w:val="0"/>
        <w:keepLines w:val="0"/>
        <w:widowControl w:val="0"/>
        <w:numPr>
          <w:ilvl w:val="0"/>
          <w:numId w:val="5"/>
        </w:numPr>
        <w:shd w:val="clear" w:color="auto" w:fill="auto"/>
        <w:tabs>
          <w:tab w:pos="286" w:val="left"/>
        </w:tabs>
        <w:bidi w:val="0"/>
        <w:spacing w:before="0" w:after="140" w:line="240" w:lineRule="auto"/>
        <w:ind w:left="0" w:right="0" w:firstLine="0"/>
        <w:jc w:val="left"/>
      </w:pPr>
      <w:bookmarkStart w:id="583" w:name="bookmark583"/>
      <w:bookmarkEnd w:id="58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7 </w:t>
      </w:r>
      <w:r>
        <w:rPr>
          <w:color w:val="000000"/>
          <w:spacing w:val="0"/>
          <w:w w:val="100"/>
          <w:position w:val="0"/>
        </w:rPr>
        <w:t>不适用</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92" w:val="left"/>
        </w:tabs>
        <w:bidi w:val="0"/>
        <w:spacing w:before="0" w:after="30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5</w:t>
      </w:r>
      <w:bookmarkEnd w:id="586"/>
      <w:r>
        <w:rPr>
          <w:color w:val="000000"/>
          <w:spacing w:val="0"/>
          <w:w w:val="100"/>
          <w:position w:val="0"/>
        </w:rPr>
        <w:t>、</w:t>
        <w:tab/>
        <w:t>与存在关联关系的财务公司的往来情况</w:t>
      </w:r>
      <w:bookmarkEnd w:id="584"/>
      <w:bookmarkEnd w:id="585"/>
      <w:bookmarkEnd w:id="587"/>
    </w:p>
    <w:p>
      <w:pPr>
        <w:pStyle w:val="Style24"/>
        <w:keepNext w:val="0"/>
        <w:keepLines w:val="0"/>
        <w:widowControl w:val="0"/>
        <w:numPr>
          <w:ilvl w:val="0"/>
          <w:numId w:val="5"/>
        </w:numPr>
        <w:shd w:val="clear" w:color="auto" w:fill="auto"/>
        <w:tabs>
          <w:tab w:pos="286" w:val="left"/>
        </w:tabs>
        <w:bidi w:val="0"/>
        <w:spacing w:before="0" w:after="140" w:line="240" w:lineRule="auto"/>
        <w:ind w:left="0" w:right="0" w:firstLine="0"/>
        <w:jc w:val="left"/>
      </w:pPr>
      <w:bookmarkStart w:id="588" w:name="bookmark588"/>
      <w:bookmarkEnd w:id="58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7 </w:t>
      </w:r>
      <w:r>
        <w:rPr>
          <w:color w:val="000000"/>
          <w:spacing w:val="0"/>
          <w:w w:val="100"/>
          <w:position w:val="0"/>
        </w:rPr>
        <w:t>不适用</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公司无存在关联关系的财务公司。</w:t>
      </w:r>
    </w:p>
    <w:p>
      <w:pPr>
        <w:pStyle w:val="Style32"/>
        <w:keepNext/>
        <w:keepLines/>
        <w:widowControl w:val="0"/>
        <w:shd w:val="clear" w:color="auto" w:fill="auto"/>
        <w:tabs>
          <w:tab w:pos="392" w:val="left"/>
        </w:tabs>
        <w:bidi w:val="0"/>
        <w:spacing w:before="0" w:after="30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6</w:t>
      </w:r>
      <w:bookmarkEnd w:id="591"/>
      <w:r>
        <w:rPr>
          <w:color w:val="000000"/>
          <w:spacing w:val="0"/>
          <w:w w:val="100"/>
          <w:position w:val="0"/>
        </w:rPr>
        <w:t>、</w:t>
        <w:tab/>
        <w:t>公司控股的财务公司与关联方的往来情况</w:t>
      </w:r>
      <w:bookmarkEnd w:id="589"/>
      <w:bookmarkEnd w:id="590"/>
      <w:bookmarkEnd w:id="592"/>
    </w:p>
    <w:p>
      <w:pPr>
        <w:pStyle w:val="Style24"/>
        <w:keepNext w:val="0"/>
        <w:keepLines w:val="0"/>
        <w:widowControl w:val="0"/>
        <w:numPr>
          <w:ilvl w:val="0"/>
          <w:numId w:val="5"/>
        </w:numPr>
        <w:shd w:val="clear" w:color="auto" w:fill="auto"/>
        <w:tabs>
          <w:tab w:pos="286" w:val="left"/>
        </w:tabs>
        <w:bidi w:val="0"/>
        <w:spacing w:before="0" w:after="140" w:line="240" w:lineRule="auto"/>
        <w:ind w:left="0" w:right="0" w:firstLine="0"/>
        <w:jc w:val="left"/>
      </w:pPr>
      <w:bookmarkStart w:id="593" w:name="bookmark593"/>
      <w:bookmarkEnd w:id="59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7 </w:t>
      </w:r>
      <w:r>
        <w:rPr>
          <w:color w:val="000000"/>
          <w:spacing w:val="0"/>
          <w:w w:val="100"/>
          <w:position w:val="0"/>
        </w:rPr>
        <w:t>不适用</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公司无控股的财务公司。</w:t>
      </w:r>
    </w:p>
    <w:p>
      <w:pPr>
        <w:pStyle w:val="Style32"/>
        <w:keepNext/>
        <w:keepLines/>
        <w:widowControl w:val="0"/>
        <w:shd w:val="clear" w:color="auto" w:fill="auto"/>
        <w:tabs>
          <w:tab w:pos="387" w:val="left"/>
        </w:tabs>
        <w:bidi w:val="0"/>
        <w:spacing w:before="0" w:after="30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7</w:t>
      </w:r>
      <w:bookmarkEnd w:id="596"/>
      <w:r>
        <w:rPr>
          <w:color w:val="000000"/>
          <w:spacing w:val="0"/>
          <w:w w:val="100"/>
          <w:position w:val="0"/>
        </w:rPr>
        <w:t>、</w:t>
        <w:tab/>
        <w:t>其他重大关联交易</w:t>
      </w:r>
      <w:bookmarkEnd w:id="594"/>
      <w:bookmarkEnd w:id="595"/>
      <w:bookmarkEnd w:id="597"/>
    </w:p>
    <w:p>
      <w:pPr>
        <w:pStyle w:val="Style24"/>
        <w:keepNext w:val="0"/>
        <w:keepLines w:val="0"/>
        <w:widowControl w:val="0"/>
        <w:numPr>
          <w:ilvl w:val="0"/>
          <w:numId w:val="5"/>
        </w:numPr>
        <w:shd w:val="clear" w:color="auto" w:fill="auto"/>
        <w:tabs>
          <w:tab w:pos="286" w:val="left"/>
        </w:tabs>
        <w:bidi w:val="0"/>
        <w:spacing w:before="0" w:after="140" w:line="240" w:lineRule="auto"/>
        <w:ind w:left="0" w:right="0" w:firstLine="0"/>
        <w:jc w:val="left"/>
      </w:pPr>
      <w:bookmarkStart w:id="598" w:name="bookmark598"/>
      <w:bookmarkEnd w:id="59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7 </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2"/>
        <w:keepNext/>
        <w:keepLines/>
        <w:widowControl w:val="0"/>
        <w:shd w:val="clear" w:color="auto" w:fill="auto"/>
        <w:bidi w:val="0"/>
        <w:spacing w:before="0" w:after="300" w:line="240" w:lineRule="auto"/>
        <w:ind w:left="0" w:right="0" w:firstLine="0"/>
        <w:jc w:val="left"/>
      </w:pPr>
      <w:bookmarkStart w:id="599" w:name="bookmark599"/>
      <w:bookmarkStart w:id="600" w:name="bookmark600"/>
      <w:bookmarkStart w:id="601" w:name="bookmark601"/>
      <w:r>
        <w:rPr>
          <w:color w:val="000000"/>
          <w:spacing w:val="0"/>
          <w:w w:val="100"/>
          <w:position w:val="0"/>
          <w:sz w:val="24"/>
          <w:szCs w:val="24"/>
        </w:rPr>
        <w:t>十五、重大合同及其履行情况</w:t>
      </w:r>
      <w:bookmarkEnd w:id="599"/>
      <w:bookmarkEnd w:id="600"/>
      <w:bookmarkEnd w:id="601"/>
    </w:p>
    <w:p>
      <w:pPr>
        <w:pStyle w:val="Style32"/>
        <w:keepNext/>
        <w:keepLines/>
        <w:widowControl w:val="0"/>
        <w:shd w:val="clear" w:color="auto" w:fill="auto"/>
        <w:bidi w:val="0"/>
        <w:spacing w:before="0" w:after="30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1</w:t>
      </w:r>
      <w:bookmarkEnd w:id="604"/>
      <w:r>
        <w:rPr>
          <w:color w:val="000000"/>
          <w:spacing w:val="0"/>
          <w:w w:val="100"/>
          <w:position w:val="0"/>
        </w:rPr>
        <w:t>、托管、承包、租赁事项情况</w:t>
      </w:r>
      <w:bookmarkEnd w:id="602"/>
      <w:bookmarkEnd w:id="603"/>
      <w:bookmarkEnd w:id="605"/>
    </w:p>
    <w:p>
      <w:pPr>
        <w:pStyle w:val="Style32"/>
        <w:keepNext/>
        <w:keepLines/>
        <w:widowControl w:val="0"/>
        <w:shd w:val="clear" w:color="auto" w:fill="auto"/>
        <w:bidi w:val="0"/>
        <w:spacing w:before="0" w:after="300" w:line="240" w:lineRule="auto"/>
        <w:ind w:left="0" w:right="0" w:firstLine="0"/>
        <w:jc w:val="left"/>
      </w:pPr>
      <w:bookmarkStart w:id="602" w:name="bookmark602"/>
      <w:bookmarkStart w:id="603" w:name="bookmark603"/>
      <w:bookmarkStart w:id="606" w:name="bookmark606"/>
      <w:bookmarkStart w:id="607" w:name="bookmark607"/>
      <w:r>
        <w:rPr>
          <w:color w:val="000000"/>
          <w:spacing w:val="0"/>
          <w:w w:val="100"/>
          <w:position w:val="0"/>
        </w:rPr>
        <w:t>（</w:t>
      </w:r>
      <w:bookmarkEnd w:id="606"/>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602"/>
      <w:bookmarkEnd w:id="603"/>
      <w:bookmarkEnd w:id="607"/>
    </w:p>
    <w:p>
      <w:pPr>
        <w:pStyle w:val="Style24"/>
        <w:keepNext w:val="0"/>
        <w:keepLines w:val="0"/>
        <w:widowControl w:val="0"/>
        <w:numPr>
          <w:ilvl w:val="0"/>
          <w:numId w:val="5"/>
        </w:numPr>
        <w:shd w:val="clear" w:color="auto" w:fill="auto"/>
        <w:tabs>
          <w:tab w:pos="286" w:val="left"/>
        </w:tabs>
        <w:bidi w:val="0"/>
        <w:spacing w:before="0" w:after="140" w:line="240" w:lineRule="auto"/>
        <w:ind w:left="0" w:right="0" w:firstLine="0"/>
        <w:jc w:val="left"/>
      </w:pPr>
      <w:bookmarkStart w:id="608" w:name="bookmark608"/>
      <w:bookmarkEnd w:id="60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7 </w:t>
      </w:r>
      <w:r>
        <w:rPr>
          <w:color w:val="000000"/>
          <w:spacing w:val="0"/>
          <w:w w:val="100"/>
          <w:position w:val="0"/>
        </w:rPr>
        <w:t>不适用</w:t>
      </w:r>
    </w:p>
    <w:p>
      <w:pPr>
        <w:pStyle w:val="Style24"/>
        <w:keepNext w:val="0"/>
        <w:keepLines w:val="0"/>
        <w:widowControl w:val="0"/>
        <w:shd w:val="clear" w:color="auto" w:fill="auto"/>
        <w:bidi w:val="0"/>
        <w:spacing w:before="0" w:after="300" w:line="240" w:lineRule="auto"/>
        <w:ind w:left="0" w:right="0" w:firstLine="0"/>
        <w:jc w:val="left"/>
        <w:sectPr>
          <w:footnotePr>
            <w:pos w:val="pageBottom"/>
            <w:numFmt w:val="upperRoman"/>
            <w:numStart w:val="1"/>
            <w:numRestart w:val="continuous"/>
            <w15:footnoteColumns w:val="1"/>
          </w:footnotePr>
          <w:pgSz w:w="11900" w:h="16840"/>
          <w:pgMar w:top="1443" w:right="1150" w:bottom="1798" w:left="1112" w:header="0" w:footer="3" w:gutter="0"/>
          <w:cols w:space="720"/>
          <w:noEndnote/>
          <w:rtlGutter w:val="0"/>
          <w:docGrid w:linePitch="360"/>
        </w:sectPr>
      </w:pPr>
      <w:r>
        <w:rPr>
          <w:color w:val="000000"/>
          <w:spacing w:val="0"/>
          <w:w w:val="100"/>
          <w:position w:val="0"/>
        </w:rPr>
        <w:t>公司报告期不存在托管情况。</w:t>
      </w:r>
    </w:p>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吻东方财富</w:t>
      </w:r>
    </w:p>
    <w:p>
      <w:pPr>
        <w:pStyle w:val="Style37"/>
        <w:keepNext w:val="0"/>
        <w:keepLines w:val="0"/>
        <w:widowControl w:val="0"/>
        <w:shd w:val="clear" w:color="auto" w:fill="auto"/>
        <w:bidi w:val="0"/>
        <w:spacing w:before="0" w:after="300"/>
        <w:ind w:left="0" w:right="0"/>
        <w:jc w:val="left"/>
      </w:pPr>
      <w:r>
        <w:rPr>
          <w:spacing w:val="0"/>
          <w:w w:val="100"/>
          <w:position w:val="0"/>
        </w:rPr>
        <w:t>eastmoney.com</w:t>
      </w:r>
    </w:p>
    <w:p>
      <w:pPr>
        <w:pStyle w:val="Style32"/>
        <w:keepNext/>
        <w:keepLines/>
        <w:widowControl w:val="0"/>
        <w:shd w:val="clear" w:color="auto" w:fill="auto"/>
        <w:tabs>
          <w:tab w:pos="522" w:val="left"/>
        </w:tabs>
        <w:bidi w:val="0"/>
        <w:spacing w:before="0" w:after="400" w:line="240" w:lineRule="auto"/>
        <w:ind w:left="0" w:right="0" w:firstLine="0"/>
        <w:jc w:val="both"/>
      </w:pPr>
      <w:bookmarkStart w:id="609" w:name="bookmark609"/>
      <w:bookmarkStart w:id="610" w:name="bookmark610"/>
      <w:bookmarkStart w:id="611" w:name="bookmark611"/>
      <w:bookmarkStart w:id="612" w:name="bookmark612"/>
      <w:r>
        <w:rPr>
          <w:color w:val="000000"/>
          <w:spacing w:val="0"/>
          <w:w w:val="100"/>
          <w:position w:val="0"/>
        </w:rPr>
        <w:t>（</w:t>
      </w:r>
      <w:bookmarkEnd w:id="61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609"/>
      <w:bookmarkEnd w:id="610"/>
      <w:bookmarkEnd w:id="612"/>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公司报告期不存在承包情况。</w:t>
      </w:r>
    </w:p>
    <w:p>
      <w:pPr>
        <w:pStyle w:val="Style32"/>
        <w:keepNext/>
        <w:keepLines/>
        <w:widowControl w:val="0"/>
        <w:shd w:val="clear" w:color="auto" w:fill="auto"/>
        <w:tabs>
          <w:tab w:pos="522" w:val="left"/>
        </w:tabs>
        <w:bidi w:val="0"/>
        <w:spacing w:before="0" w:after="300" w:line="240" w:lineRule="auto"/>
        <w:ind w:left="0" w:right="0" w:firstLine="0"/>
        <w:jc w:val="both"/>
      </w:pPr>
      <w:bookmarkStart w:id="613" w:name="bookmark613"/>
      <w:bookmarkStart w:id="614" w:name="bookmark614"/>
      <w:bookmarkStart w:id="615" w:name="bookmark615"/>
      <w:bookmarkStart w:id="616" w:name="bookmark616"/>
      <w:r>
        <w:rPr>
          <w:color w:val="000000"/>
          <w:spacing w:val="0"/>
          <w:w w:val="100"/>
          <w:position w:val="0"/>
        </w:rPr>
        <w:t>（</w:t>
      </w:r>
      <w:bookmarkEnd w:id="61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613"/>
      <w:bookmarkEnd w:id="614"/>
      <w:bookmarkEnd w:id="616"/>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租赁情况说明</w:t>
      </w:r>
    </w:p>
    <w:p>
      <w:pPr>
        <w:pStyle w:val="Style24"/>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公司不存在重大租赁情况。</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2"/>
        <w:keepNext/>
        <w:keepLines/>
        <w:widowControl w:val="0"/>
        <w:shd w:val="clear" w:color="auto" w:fill="auto"/>
        <w:bidi w:val="0"/>
        <w:spacing w:before="0" w:after="300" w:line="240" w:lineRule="auto"/>
        <w:ind w:left="0" w:right="0" w:firstLine="0"/>
        <w:jc w:val="both"/>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2</w:t>
      </w:r>
      <w:bookmarkEnd w:id="619"/>
      <w:r>
        <w:rPr>
          <w:color w:val="000000"/>
          <w:spacing w:val="0"/>
          <w:w w:val="100"/>
          <w:position w:val="0"/>
        </w:rPr>
        <w:t>、重大担保</w:t>
      </w:r>
      <w:bookmarkEnd w:id="617"/>
      <w:bookmarkEnd w:id="618"/>
      <w:bookmarkEnd w:id="620"/>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6"/>
        <w:gridCol w:w="941"/>
        <w:gridCol w:w="922"/>
        <w:gridCol w:w="936"/>
        <w:gridCol w:w="922"/>
        <w:gridCol w:w="936"/>
        <w:gridCol w:w="667"/>
        <w:gridCol w:w="792"/>
        <w:gridCol w:w="806"/>
        <w:gridCol w:w="859"/>
      </w:tblGrid>
      <w:tr>
        <w:trPr>
          <w:trHeight w:val="398"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公司及其子公司对外担保情况（不包括对子公司的担保）</w:t>
            </w:r>
          </w:p>
        </w:tc>
      </w:tr>
      <w:tr>
        <w:trPr>
          <w:trHeight w:val="103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担保对象 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担保额度</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相关公告</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实际发生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实际担保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担保物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140" w:right="0" w:hanging="140"/>
              <w:jc w:val="left"/>
            </w:pPr>
            <w:r>
              <w:rPr>
                <w:rFonts w:ascii="SimSun" w:eastAsia="SimSun" w:hAnsi="SimSun" w:cs="SimSun"/>
                <w:color w:val="000000"/>
                <w:spacing w:val="0"/>
                <w:w w:val="100"/>
                <w:position w:val="0"/>
              </w:rPr>
              <w:t>反担保 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220" w:right="0" w:hanging="220"/>
              <w:jc w:val="left"/>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联方担保</w:t>
            </w:r>
          </w:p>
        </w:tc>
      </w:tr>
      <w:tr>
        <w:trPr>
          <w:trHeight w:val="706"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报告期内审批的对外担 保额度合计</w:t>
            </w:r>
            <w:r>
              <w:rPr>
                <w:rFonts w:ascii="SimSun" w:eastAsia="SimSun" w:hAnsi="SimSun" w:cs="SimSun"/>
                <w:color w:val="000000"/>
                <w:spacing w:val="0"/>
                <w:w w:val="100"/>
                <w:position w:val="0"/>
              </w:rPr>
              <w:t>（</w:t>
            </w:r>
            <w:r>
              <w:rPr>
                <w:color w:val="000000"/>
                <w:spacing w:val="0"/>
                <w:w w:val="100"/>
                <w:position w:val="0"/>
              </w:rPr>
              <w:t>A1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报告期内对外担保实际 发生额合计</w:t>
            </w:r>
            <w:r>
              <w:rPr>
                <w:rFonts w:ascii="SimSun" w:eastAsia="SimSun" w:hAnsi="SimSun" w:cs="SimSun"/>
                <w:color w:val="000000"/>
                <w:spacing w:val="0"/>
                <w:w w:val="100"/>
                <w:position w:val="0"/>
              </w:rPr>
              <w:t>（</w:t>
            </w:r>
            <w:r>
              <w:rPr>
                <w:color w:val="000000"/>
                <w:spacing w:val="0"/>
                <w:w w:val="100"/>
                <w:position w:val="0"/>
              </w:rPr>
              <w:t>A2</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报告期末已审批的对外</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担保额度合计（</w:t>
            </w:r>
            <w:r>
              <w:rPr>
                <w:color w:val="000000"/>
                <w:spacing w:val="0"/>
                <w:w w:val="100"/>
                <w:position w:val="0"/>
              </w:rPr>
              <w:t>A3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报告期末实际对外担保 余额合计（</w:t>
            </w:r>
            <w:r>
              <w:rPr>
                <w:color w:val="000000"/>
                <w:spacing w:val="0"/>
                <w:w w:val="100"/>
                <w:position w:val="0"/>
              </w:rPr>
              <w:t>A4</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担保对象 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担保额度</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相关公告</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实际发生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担保物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140" w:right="0" w:hanging="140"/>
              <w:jc w:val="left"/>
            </w:pPr>
            <w:r>
              <w:rPr>
                <w:rFonts w:ascii="SimSun" w:eastAsia="SimSun" w:hAnsi="SimSun" w:cs="SimSun"/>
                <w:color w:val="000000"/>
                <w:spacing w:val="0"/>
                <w:w w:val="100"/>
                <w:position w:val="0"/>
              </w:rPr>
              <w:t>反担保 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220" w:right="0" w:hanging="220"/>
              <w:jc w:val="left"/>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联方担保</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天天基金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天天基金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连带责任</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天天基金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天天基金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连带责任</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天天基金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天天基金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连带责任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ectPr>
          <w:footnotePr>
            <w:pos w:val="pageBottom"/>
            <w:numFmt w:val="upperRoman"/>
            <w:numStart w:val="1"/>
            <w:numRestart w:val="continuous"/>
            <w15:footnoteColumns w:val="1"/>
          </w:footnotePr>
          <w:pgSz w:w="11900" w:h="16840"/>
          <w:pgMar w:top="824" w:right="1090" w:bottom="1150" w:left="1109" w:header="0" w:footer="3" w:gutter="0"/>
          <w:cols w:space="720"/>
          <w:noEndnote/>
          <w:rtlGutter w:val="0"/>
          <w:docGrid w:linePitch="360"/>
        </w:sectPr>
      </w:pPr>
    </w:p>
    <w:tbl>
      <w:tblPr>
        <w:tblOverlap w:val="never"/>
        <w:jc w:val="center"/>
        <w:tblLayout w:type="fixed"/>
      </w:tblPr>
      <w:tblGrid>
        <w:gridCol w:w="946"/>
        <w:gridCol w:w="922"/>
        <w:gridCol w:w="955"/>
        <w:gridCol w:w="922"/>
        <w:gridCol w:w="936"/>
        <w:gridCol w:w="922"/>
        <w:gridCol w:w="936"/>
        <w:gridCol w:w="667"/>
        <w:gridCol w:w="792"/>
        <w:gridCol w:w="806"/>
        <w:gridCol w:w="859"/>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天天基金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东财置业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连带责任</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哈富有限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202,866.80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202,866.80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连带责任 保证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22"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报告期内审批对子公司 担保额度合计</w:t>
            </w:r>
            <w:r>
              <w:rPr>
                <w:rFonts w:ascii="SimSun" w:eastAsia="SimSun" w:hAnsi="SimSun" w:cs="SimSun"/>
                <w:color w:val="000000"/>
                <w:spacing w:val="0"/>
                <w:w w:val="100"/>
                <w:position w:val="0"/>
              </w:rPr>
              <w:t>（</w:t>
            </w:r>
            <w:r>
              <w:rPr>
                <w:color w:val="000000"/>
                <w:spacing w:val="0"/>
                <w:w w:val="100"/>
                <w:position w:val="0"/>
              </w:rPr>
              <w:t>B1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1,812,866.80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报告期内对子公司担保</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实际发生额合计</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B2</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21,067,966.80</w:t>
            </w:r>
          </w:p>
        </w:tc>
      </w:tr>
      <w:tr>
        <w:trPr>
          <w:trHeight w:val="1027"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报告期末已审批的对子</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公司担保额度合计</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B3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1,812,866.80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3" w:lineRule="exact"/>
              <w:ind w:left="0" w:right="0" w:firstLine="0"/>
              <w:jc w:val="both"/>
            </w:pPr>
            <w:r>
              <w:rPr>
                <w:rFonts w:ascii="SimSun" w:eastAsia="SimSun" w:hAnsi="SimSun" w:cs="SimSun"/>
                <w:color w:val="000000"/>
                <w:spacing w:val="0"/>
                <w:w w:val="100"/>
                <w:position w:val="0"/>
              </w:rPr>
              <w:t>报告期末对子公司实际 担保余额合计（</w:t>
            </w:r>
            <w:r>
              <w:rPr>
                <w:color w:val="000000"/>
                <w:spacing w:val="0"/>
                <w:w w:val="100"/>
                <w:position w:val="0"/>
              </w:rPr>
              <w:t>B4</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217,866.80</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子公司对子公司的担保情况</w:t>
            </w:r>
          </w:p>
        </w:tc>
      </w:tr>
      <w:tr>
        <w:trPr>
          <w:trHeight w:val="103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担保对象 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担保额度</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相关公告</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实际发生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实际担保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担保物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反担保 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220" w:right="0" w:hanging="220"/>
              <w:jc w:val="left"/>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联方担保</w:t>
            </w:r>
          </w:p>
        </w:tc>
      </w:tr>
      <w:tr>
        <w:trPr>
          <w:trHeight w:val="1022"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报告期内审批对子公司 担保额度合计</w:t>
            </w:r>
            <w:r>
              <w:rPr>
                <w:rFonts w:ascii="SimSun" w:eastAsia="SimSun" w:hAnsi="SimSun" w:cs="SimSun"/>
                <w:color w:val="000000"/>
                <w:spacing w:val="0"/>
                <w:w w:val="100"/>
                <w:position w:val="0"/>
              </w:rPr>
              <w:t>（</w:t>
            </w:r>
            <w:r>
              <w:rPr>
                <w:color w:val="000000"/>
                <w:spacing w:val="0"/>
                <w:w w:val="100"/>
                <w:position w:val="0"/>
              </w:rPr>
              <w:t>C1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报告期内对子公司担保</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实际发生额合计</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w:t>
            </w:r>
            <w:r>
              <w:rPr>
                <w:color w:val="000000"/>
                <w:spacing w:val="0"/>
                <w:w w:val="100"/>
                <w:position w:val="0"/>
              </w:rPr>
              <w:t>C2</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报告期末已审批的对子</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公司担保额度合计</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C3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报告期末对子公司实际 担保余额合计（</w:t>
            </w:r>
            <w:r>
              <w:rPr>
                <w:color w:val="000000"/>
                <w:spacing w:val="0"/>
                <w:w w:val="100"/>
                <w:position w:val="0"/>
              </w:rPr>
              <w:t>C4</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公司担保总额（即前三大项的合计）</w:t>
            </w:r>
          </w:p>
        </w:tc>
      </w:tr>
      <w:tr>
        <w:trPr>
          <w:trHeight w:val="72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报告期内审批担保额 度合计（</w:t>
            </w:r>
            <w:r>
              <w:rPr>
                <w:color w:val="000000"/>
                <w:spacing w:val="0"/>
                <w:w w:val="100"/>
                <w:position w:val="0"/>
              </w:rPr>
              <w:t>A1+B1+C1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1,812,866.80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报告期内担保实际发生 额合计（</w:t>
            </w:r>
            <w:r>
              <w:rPr>
                <w:color w:val="000000"/>
                <w:spacing w:val="0"/>
                <w:w w:val="100"/>
                <w:position w:val="0"/>
              </w:rPr>
              <w:t>A2+B2+C2</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21,067,966.80</w:t>
            </w:r>
          </w:p>
        </w:tc>
      </w:tr>
      <w:tr>
        <w:trPr>
          <w:trHeight w:val="1027"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报告期末已审批的担</w:t>
            </w:r>
          </w:p>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保额度合计</w:t>
            </w:r>
          </w:p>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A3+B3+C3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pPr>
            <w:r>
              <w:rPr>
                <w:color w:val="000000"/>
                <w:spacing w:val="0"/>
                <w:w w:val="100"/>
                <w:position w:val="0"/>
              </w:rPr>
              <w:t>1,812,866.80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报告期末实际担保余额 合计（</w:t>
            </w:r>
            <w:r>
              <w:rPr>
                <w:color w:val="000000"/>
                <w:spacing w:val="0"/>
                <w:w w:val="100"/>
                <w:position w:val="0"/>
              </w:rPr>
              <w:t>A4+B4+C4</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217,866.80</w:t>
            </w:r>
          </w:p>
        </w:tc>
      </w:tr>
      <w:tr>
        <w:trPr>
          <w:trHeight w:val="706"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A4+B4+C4</w:t>
            </w:r>
            <w:r>
              <w:rPr>
                <w:rFonts w:ascii="SimSun" w:eastAsia="SimSun" w:hAnsi="SimSun" w:cs="SimSun"/>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400" w:right="0" w:firstLine="0"/>
              <w:jc w:val="left"/>
            </w:pPr>
            <w:r>
              <w:rPr>
                <w:color w:val="000000"/>
                <w:spacing w:val="0"/>
                <w:w w:val="100"/>
                <w:position w:val="0"/>
              </w:rPr>
              <w:t>4.95%</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720"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为股东、实际控制人及其关联方提供担保的余</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 象提供的债务担保余额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400" w:right="0" w:firstLine="0"/>
              <w:jc w:val="left"/>
            </w:pPr>
            <w:r>
              <w:rPr>
                <w:color w:val="000000"/>
                <w:spacing w:val="0"/>
                <w:w w:val="100"/>
                <w:position w:val="0"/>
              </w:rPr>
              <w:t>15,000</w:t>
            </w: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F</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color w:val="000000"/>
                <w:spacing w:val="0"/>
                <w:w w:val="100"/>
                <w:position w:val="0"/>
              </w:rPr>
              <w:t>D+E+F</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5400" w:right="0" w:firstLine="0"/>
              <w:jc w:val="left"/>
            </w:pPr>
            <w:r>
              <w:rPr>
                <w:color w:val="000000"/>
                <w:spacing w:val="0"/>
                <w:w w:val="100"/>
                <w:position w:val="0"/>
              </w:rPr>
              <w:t>15,000</w:t>
            </w:r>
          </w:p>
        </w:tc>
      </w:tr>
      <w:tr>
        <w:trPr>
          <w:trHeight w:val="413"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对未到期担保合同，报告期内已发生担保责任</w:t>
            </w:r>
          </w:p>
        </w:tc>
        <w:tc>
          <w:tcPr>
            <w:gridSpan w:val="7"/>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无</w:t>
            </w:r>
          </w:p>
        </w:tc>
      </w:tr>
    </w:tbl>
    <w:tbl>
      <w:tblPr>
        <w:tblOverlap w:val="never"/>
        <w:jc w:val="center"/>
        <w:tblLayout w:type="fixed"/>
      </w:tblPr>
      <w:tblGrid>
        <w:gridCol w:w="3744"/>
        <w:gridCol w:w="5918"/>
      </w:tblGrid>
      <w:tr>
        <w:trPr>
          <w:trHeight w:val="68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或有证据表明有可能承担连带清偿责任的情况 说明</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违反规定程序对外提供担保的说明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无</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both"/>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3</w:t>
      </w:r>
      <w:bookmarkEnd w:id="623"/>
      <w:r>
        <w:rPr>
          <w:color w:val="000000"/>
          <w:spacing w:val="0"/>
          <w:w w:val="100"/>
          <w:position w:val="0"/>
        </w:rPr>
        <w:t>、委托他人进行现金资产管理情况</w:t>
      </w:r>
      <w:bookmarkEnd w:id="621"/>
      <w:bookmarkEnd w:id="622"/>
      <w:bookmarkEnd w:id="624"/>
    </w:p>
    <w:p>
      <w:pPr>
        <w:pStyle w:val="Style32"/>
        <w:keepNext/>
        <w:keepLines/>
        <w:widowControl w:val="0"/>
        <w:numPr>
          <w:ilvl w:val="0"/>
          <w:numId w:val="7"/>
        </w:numPr>
        <w:shd w:val="clear" w:color="auto" w:fill="auto"/>
        <w:bidi w:val="0"/>
        <w:spacing w:before="0" w:after="380" w:line="240" w:lineRule="auto"/>
        <w:ind w:left="0" w:right="0" w:firstLine="0"/>
        <w:jc w:val="both"/>
      </w:pPr>
      <w:bookmarkStart w:id="621" w:name="bookmark621"/>
      <w:bookmarkStart w:id="622" w:name="bookmark622"/>
      <w:bookmarkStart w:id="625" w:name="bookmark625"/>
      <w:bookmarkStart w:id="626" w:name="bookmark626"/>
      <w:bookmarkEnd w:id="625"/>
      <w:r>
        <w:rPr>
          <w:color w:val="000000"/>
          <w:spacing w:val="0"/>
          <w:w w:val="100"/>
          <w:position w:val="0"/>
        </w:rPr>
        <w:t>委托理财情况</w:t>
      </w:r>
      <w:bookmarkEnd w:id="621"/>
      <w:bookmarkEnd w:id="622"/>
      <w:bookmarkEnd w:id="626"/>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报告期内委托理财概况</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9"/>
        <w:gridCol w:w="1848"/>
        <w:gridCol w:w="1469"/>
        <w:gridCol w:w="1598"/>
        <w:gridCol w:w="1546"/>
        <w:gridCol w:w="1565"/>
      </w:tblGrid>
      <w:tr>
        <w:trPr>
          <w:trHeight w:val="76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具体类型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委托理财的资金来源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委托理财发生额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未到期余额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60" w:lineRule="exact"/>
              <w:ind w:left="0" w:right="0" w:firstLine="0"/>
              <w:jc w:val="center"/>
            </w:pPr>
            <w:r>
              <w:rPr>
                <w:rFonts w:ascii="SimSun" w:eastAsia="SimSun" w:hAnsi="SimSun" w:cs="SimSun"/>
                <w:color w:val="000000"/>
                <w:spacing w:val="0"/>
                <w:w w:val="100"/>
                <w:position w:val="0"/>
              </w:rPr>
              <w:t>逾期未收回理财 已计提减值金额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284,194.78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56,751.49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券商理财产品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22,652.20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318,976.98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83,939.87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4"/>
        <w:keepNext w:val="0"/>
        <w:keepLines w:val="0"/>
        <w:widowControl w:val="0"/>
        <w:shd w:val="clear" w:color="auto" w:fill="auto"/>
        <w:bidi w:val="0"/>
        <w:spacing w:before="0" w:line="283" w:lineRule="exact"/>
        <w:ind w:left="0" w:right="0" w:firstLine="0"/>
        <w:jc w:val="both"/>
      </w:pPr>
      <w:r>
        <w:rPr>
          <w:color w:val="000000"/>
          <w:spacing w:val="0"/>
          <w:w w:val="100"/>
          <w:position w:val="0"/>
        </w:rPr>
        <w:t>单项金额重大或安全性较低、流动性较差的高风险委托理财具体情况</w:t>
      </w:r>
    </w:p>
    <w:p>
      <w:pPr>
        <w:pStyle w:val="Style24"/>
        <w:keepNext w:val="0"/>
        <w:keepLines w:val="0"/>
        <w:widowControl w:val="0"/>
        <w:shd w:val="clear" w:color="auto" w:fill="auto"/>
        <w:bidi w:val="0"/>
        <w:spacing w:before="0" w:after="0" w:line="329"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line="283" w:lineRule="exact"/>
        <w:ind w:left="0" w:right="0" w:firstLine="0"/>
        <w:jc w:val="both"/>
      </w:pPr>
      <w:r>
        <w:rPr>
          <w:color w:val="000000"/>
          <w:spacing w:val="0"/>
          <w:w w:val="100"/>
          <w:position w:val="0"/>
        </w:rPr>
        <w:t>委托理财出现预期无法收回本金或存在其他可能导致减值的情形</w:t>
      </w:r>
    </w:p>
    <w:p>
      <w:pPr>
        <w:pStyle w:val="Style24"/>
        <w:keepNext w:val="0"/>
        <w:keepLines w:val="0"/>
        <w:widowControl w:val="0"/>
        <w:shd w:val="clear" w:color="auto" w:fill="auto"/>
        <w:bidi w:val="0"/>
        <w:spacing w:before="0" w:line="329"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2"/>
        <w:keepNext/>
        <w:keepLines/>
        <w:widowControl w:val="0"/>
        <w:numPr>
          <w:ilvl w:val="0"/>
          <w:numId w:val="7"/>
        </w:numPr>
        <w:shd w:val="clear" w:color="auto" w:fill="auto"/>
        <w:bidi w:val="0"/>
        <w:spacing w:before="0" w:after="200" w:line="240" w:lineRule="auto"/>
        <w:ind w:left="0" w:right="0" w:firstLine="0"/>
        <w:jc w:val="both"/>
      </w:pPr>
      <w:bookmarkStart w:id="627" w:name="bookmark627"/>
      <w:bookmarkStart w:id="628" w:name="bookmark628"/>
      <w:bookmarkStart w:id="629" w:name="bookmark629"/>
      <w:bookmarkStart w:id="630" w:name="bookmark630"/>
      <w:bookmarkEnd w:id="629"/>
      <w:r>
        <w:rPr>
          <w:color w:val="000000"/>
          <w:spacing w:val="0"/>
          <w:w w:val="100"/>
          <w:position w:val="0"/>
        </w:rPr>
        <w:t>委托贷款情况</w:t>
      </w:r>
      <w:bookmarkEnd w:id="627"/>
      <w:bookmarkEnd w:id="628"/>
      <w:bookmarkEnd w:id="630"/>
    </w:p>
    <w:p>
      <w:pPr>
        <w:pStyle w:val="Style24"/>
        <w:keepNext w:val="0"/>
        <w:keepLines w:val="0"/>
        <w:widowControl w:val="0"/>
        <w:numPr>
          <w:ilvl w:val="0"/>
          <w:numId w:val="5"/>
        </w:numPr>
        <w:shd w:val="clear" w:color="auto" w:fill="auto"/>
        <w:tabs>
          <w:tab w:pos="286" w:val="left"/>
        </w:tabs>
        <w:bidi w:val="0"/>
        <w:spacing w:before="0" w:after="0" w:line="329" w:lineRule="auto"/>
        <w:ind w:left="0" w:right="0" w:firstLine="0"/>
        <w:jc w:val="both"/>
      </w:pPr>
      <w:bookmarkStart w:id="631" w:name="bookmark631"/>
      <w:bookmarkEnd w:id="63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7 </w:t>
      </w:r>
      <w:r>
        <w:rPr>
          <w:color w:val="000000"/>
          <w:spacing w:val="0"/>
          <w:w w:val="100"/>
          <w:position w:val="0"/>
        </w:rPr>
        <w:t>不适用</w:t>
      </w:r>
    </w:p>
    <w:p>
      <w:pPr>
        <w:pStyle w:val="Style24"/>
        <w:keepNext w:val="0"/>
        <w:keepLines w:val="0"/>
        <w:widowControl w:val="0"/>
        <w:shd w:val="clear" w:color="auto" w:fill="auto"/>
        <w:bidi w:val="0"/>
        <w:spacing w:before="0" w:after="380" w:line="283" w:lineRule="exact"/>
        <w:ind w:left="0" w:right="0" w:firstLine="0"/>
        <w:jc w:val="both"/>
      </w:pPr>
      <w:r>
        <w:rPr>
          <w:color w:val="000000"/>
          <w:spacing w:val="0"/>
          <w:w w:val="100"/>
          <w:position w:val="0"/>
        </w:rPr>
        <w:t>公司报告期不存在委托贷款。</w:t>
      </w:r>
    </w:p>
    <w:p>
      <w:pPr>
        <w:pStyle w:val="Style32"/>
        <w:keepNext/>
        <w:keepLines/>
        <w:widowControl w:val="0"/>
        <w:shd w:val="clear" w:color="auto" w:fill="auto"/>
        <w:bidi w:val="0"/>
        <w:spacing w:before="0" w:after="380" w:line="240" w:lineRule="auto"/>
        <w:ind w:left="0" w:right="0" w:firstLine="0"/>
        <w:jc w:val="both"/>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4</w:t>
      </w:r>
      <w:bookmarkEnd w:id="634"/>
      <w:r>
        <w:rPr>
          <w:color w:val="000000"/>
          <w:spacing w:val="0"/>
          <w:w w:val="100"/>
          <w:position w:val="0"/>
        </w:rPr>
        <w:t>、其他重大合同</w:t>
      </w:r>
      <w:bookmarkEnd w:id="632"/>
      <w:bookmarkEnd w:id="633"/>
      <w:bookmarkEnd w:id="635"/>
    </w:p>
    <w:p>
      <w:pPr>
        <w:pStyle w:val="Style24"/>
        <w:keepNext w:val="0"/>
        <w:keepLines w:val="0"/>
        <w:widowControl w:val="0"/>
        <w:numPr>
          <w:ilvl w:val="0"/>
          <w:numId w:val="5"/>
        </w:numPr>
        <w:shd w:val="clear" w:color="auto" w:fill="auto"/>
        <w:tabs>
          <w:tab w:pos="286" w:val="left"/>
        </w:tabs>
        <w:bidi w:val="0"/>
        <w:spacing w:before="0" w:after="0" w:line="329" w:lineRule="auto"/>
        <w:ind w:left="0" w:right="0" w:firstLine="0"/>
        <w:jc w:val="both"/>
      </w:pPr>
      <w:bookmarkStart w:id="636" w:name="bookmark636"/>
      <w:bookmarkEnd w:id="63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7 </w:t>
      </w:r>
      <w:r>
        <w:rPr>
          <w:color w:val="000000"/>
          <w:spacing w:val="0"/>
          <w:w w:val="100"/>
          <w:position w:val="0"/>
        </w:rPr>
        <w:t>不适用</w:t>
      </w:r>
    </w:p>
    <w:p>
      <w:pPr>
        <w:pStyle w:val="Style24"/>
        <w:keepNext w:val="0"/>
        <w:keepLines w:val="0"/>
        <w:widowControl w:val="0"/>
        <w:shd w:val="clear" w:color="auto" w:fill="auto"/>
        <w:bidi w:val="0"/>
        <w:spacing w:before="0" w:after="300" w:line="283" w:lineRule="exact"/>
        <w:ind w:left="0" w:right="0" w:firstLine="0"/>
        <w:jc w:val="both"/>
      </w:pPr>
      <w:r>
        <w:rPr>
          <w:color w:val="000000"/>
          <w:spacing w:val="0"/>
          <w:w w:val="100"/>
          <w:position w:val="0"/>
        </w:rPr>
        <w:t>公司报告期不存在其他重大合同。</w:t>
      </w:r>
    </w:p>
    <w:p>
      <w:pPr>
        <w:pStyle w:val="Style22"/>
        <w:keepNext/>
        <w:keepLines/>
        <w:widowControl w:val="0"/>
        <w:shd w:val="clear" w:color="auto" w:fill="auto"/>
        <w:bidi w:val="0"/>
        <w:spacing w:before="0" w:after="300" w:line="240" w:lineRule="auto"/>
        <w:ind w:left="0" w:right="0" w:firstLine="0"/>
        <w:jc w:val="both"/>
      </w:pPr>
      <w:bookmarkStart w:id="637" w:name="bookmark637"/>
      <w:bookmarkStart w:id="638" w:name="bookmark638"/>
      <w:bookmarkStart w:id="639" w:name="bookmark639"/>
      <w:r>
        <w:rPr>
          <w:color w:val="000000"/>
          <w:spacing w:val="0"/>
          <w:w w:val="100"/>
          <w:position w:val="0"/>
          <w:sz w:val="24"/>
          <w:szCs w:val="24"/>
        </w:rPr>
        <w:t>十六、其他重大事项的说明</w:t>
      </w:r>
      <w:bookmarkEnd w:id="637"/>
      <w:bookmarkEnd w:id="638"/>
      <w:bookmarkEnd w:id="639"/>
    </w:p>
    <w:p>
      <w:pPr>
        <w:pStyle w:val="Style24"/>
        <w:keepNext w:val="0"/>
        <w:keepLines w:val="0"/>
        <w:widowControl w:val="0"/>
        <w:shd w:val="clear" w:color="auto" w:fill="auto"/>
        <w:bidi w:val="0"/>
        <w:spacing w:before="0" w:after="0" w:line="329" w:lineRule="auto"/>
        <w:ind w:left="0" w:right="0" w:firstLine="0"/>
        <w:jc w:val="both"/>
      </w:pP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41"/>
        <w:keepNext w:val="0"/>
        <w:keepLines w:val="0"/>
        <w:widowControl w:val="0"/>
        <w:shd w:val="clear" w:color="auto" w:fill="auto"/>
        <w:bidi w:val="0"/>
        <w:spacing w:before="0" w:after="300" w:line="264" w:lineRule="exact"/>
        <w:ind w:left="0" w:right="0" w:firstLine="420"/>
        <w:jc w:val="both"/>
      </w:pPr>
      <w:r>
        <w:rPr>
          <w:color w:val="000000"/>
          <w:spacing w:val="0"/>
          <w:w w:val="100"/>
          <w:position w:val="0"/>
        </w:rPr>
        <w:t>报告期内，公司发生的《证券法》《上市公司信息披露管理办法》所规定的重大事项均已作为临时报告在 深圳证券交易所网站和符合中国证监会规定条件的信息披露媒体上披露。</w:t>
      </w:r>
    </w:p>
    <w:p>
      <w:pPr>
        <w:pStyle w:val="Style22"/>
        <w:keepNext/>
        <w:keepLines/>
        <w:widowControl w:val="0"/>
        <w:shd w:val="clear" w:color="auto" w:fill="auto"/>
        <w:bidi w:val="0"/>
        <w:spacing w:before="0" w:after="300" w:line="240" w:lineRule="auto"/>
        <w:ind w:left="0" w:right="0" w:firstLine="0"/>
        <w:jc w:val="both"/>
      </w:pPr>
      <w:bookmarkStart w:id="640" w:name="bookmark640"/>
      <w:bookmarkStart w:id="641" w:name="bookmark641"/>
      <w:bookmarkStart w:id="642" w:name="bookmark642"/>
      <w:r>
        <w:rPr>
          <w:color w:val="000000"/>
          <w:spacing w:val="0"/>
          <w:w w:val="100"/>
          <w:position w:val="0"/>
          <w:sz w:val="24"/>
          <w:szCs w:val="24"/>
        </w:rPr>
        <w:t>十七、公司子公司重大事项</w:t>
      </w:r>
      <w:bookmarkEnd w:id="640"/>
      <w:bookmarkEnd w:id="641"/>
      <w:bookmarkEnd w:id="642"/>
    </w:p>
    <w:p>
      <w:pPr>
        <w:pStyle w:val="Style24"/>
        <w:keepNext w:val="0"/>
        <w:keepLines w:val="0"/>
        <w:widowControl w:val="0"/>
        <w:shd w:val="clear" w:color="auto" w:fill="auto"/>
        <w:bidi w:val="0"/>
        <w:spacing w:before="0" w:line="329" w:lineRule="auto"/>
        <w:ind w:left="0" w:right="0" w:firstLine="0"/>
        <w:jc w:val="both"/>
      </w:pP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41"/>
        <w:keepNext w:val="0"/>
        <w:keepLines w:val="0"/>
        <w:widowControl w:val="0"/>
        <w:shd w:val="clear" w:color="auto" w:fill="auto"/>
        <w:bidi w:val="0"/>
        <w:spacing w:before="0" w:after="300" w:line="302" w:lineRule="exact"/>
        <w:ind w:left="0" w:right="0" w:firstLine="420"/>
        <w:jc w:val="both"/>
        <w:sectPr>
          <w:footnotePr>
            <w:pos w:val="pageBottom"/>
            <w:numFmt w:val="upperRoman"/>
            <w:numStart w:val="1"/>
            <w:numRestart w:val="continuous"/>
            <w15:footnoteColumns w:val="1"/>
          </w:footnotePr>
          <w:pgSz w:w="11900" w:h="16840"/>
          <w:pgMar w:top="1443" w:right="1077" w:bottom="1443" w:left="1118" w:header="0" w:footer="3" w:gutter="0"/>
          <w:cols w:space="720"/>
          <w:noEndnote/>
          <w:rtlGutter w:val="0"/>
          <w:docGrid w:linePitch="360"/>
        </w:sectPr>
      </w:pPr>
      <w:r>
        <w:rPr>
          <w:color w:val="000000"/>
          <w:spacing w:val="0"/>
          <w:w w:val="100"/>
          <w:position w:val="0"/>
        </w:rPr>
        <w:t>报告期内，东方财富证券完成了非公开发行公司债券、公开发行公司债券、短期融资券相关发行及兑付工 作。上述事项均已作为临时报告在深圳证券交易所网站和符合中国证监会规定条件的信息披露媒体上披露。</w:t>
      </w:r>
    </w:p>
    <w:p>
      <w:pPr>
        <w:pStyle w:val="Style35"/>
        <w:keepNext w:val="0"/>
        <w:keepLines w:val="0"/>
        <w:widowControl w:val="0"/>
        <w:shd w:val="clear" w:color="auto" w:fill="auto"/>
        <w:bidi w:val="0"/>
        <w:spacing w:before="0" w:after="0" w:line="240" w:lineRule="auto"/>
        <w:ind w:left="0" w:right="0" w:firstLine="0"/>
        <w:jc w:val="left"/>
      </w:pPr>
      <w:bookmarkStart w:id="643" w:name="bookmark643"/>
      <w:r>
        <w:rPr>
          <w:spacing w:val="0"/>
          <w:w w:val="100"/>
          <w:position w:val="0"/>
        </w:rPr>
        <w:t>吻东方财富</w:t>
      </w:r>
      <w:bookmarkEnd w:id="643"/>
    </w:p>
    <w:p>
      <w:pPr>
        <w:pStyle w:val="Style37"/>
        <w:keepNext w:val="0"/>
        <w:keepLines w:val="0"/>
        <w:widowControl w:val="0"/>
        <w:shd w:val="clear" w:color="auto" w:fill="auto"/>
        <w:bidi w:val="0"/>
        <w:spacing w:before="0" w:after="780"/>
        <w:ind w:left="0" w:right="0"/>
        <w:jc w:val="left"/>
      </w:pPr>
      <w:r>
        <w:rPr>
          <w:color w:val="717171"/>
          <w:spacing w:val="0"/>
          <w:w w:val="100"/>
          <w:position w:val="0"/>
        </w:rPr>
        <w:t>east</w:t>
      </w:r>
      <w:r>
        <w:rPr>
          <w:spacing w:val="0"/>
          <w:w w:val="100"/>
          <w:position w:val="0"/>
        </w:rPr>
        <w:t>money.com</w:t>
      </w:r>
    </w:p>
    <w:p>
      <w:pPr>
        <w:pStyle w:val="Style12"/>
        <w:keepNext/>
        <w:keepLines/>
        <w:widowControl w:val="0"/>
        <w:shd w:val="clear" w:color="auto" w:fill="auto"/>
        <w:bidi w:val="0"/>
        <w:spacing w:before="0" w:line="240" w:lineRule="auto"/>
        <w:ind w:left="0" w:right="0" w:firstLine="0"/>
        <w:jc w:val="center"/>
      </w:pPr>
      <w:bookmarkStart w:id="644" w:name="bookmark644"/>
      <w:bookmarkStart w:id="645" w:name="bookmark645"/>
      <w:bookmarkStart w:id="646" w:name="bookmark646"/>
      <w:r>
        <w:rPr>
          <w:color w:val="000000"/>
          <w:spacing w:val="0"/>
          <w:w w:val="100"/>
          <w:position w:val="0"/>
        </w:rPr>
        <w:t>第七节股份变动及股东情况</w:t>
      </w:r>
      <w:bookmarkEnd w:id="644"/>
      <w:bookmarkEnd w:id="645"/>
      <w:bookmarkEnd w:id="646"/>
    </w:p>
    <w:p>
      <w:pPr>
        <w:pStyle w:val="Style22"/>
        <w:keepNext/>
        <w:keepLines/>
        <w:widowControl w:val="0"/>
        <w:shd w:val="clear" w:color="auto" w:fill="auto"/>
        <w:bidi w:val="0"/>
        <w:spacing w:before="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sz w:val="24"/>
          <w:szCs w:val="24"/>
        </w:rPr>
        <w:t>一</w:t>
      </w:r>
      <w:bookmarkEnd w:id="649"/>
      <w:r>
        <w:rPr>
          <w:color w:val="000000"/>
          <w:spacing w:val="0"/>
          <w:w w:val="100"/>
          <w:position w:val="0"/>
          <w:sz w:val="24"/>
          <w:szCs w:val="24"/>
        </w:rPr>
        <w:t>、股份变动情况</w:t>
      </w:r>
      <w:bookmarkEnd w:id="647"/>
      <w:bookmarkEnd w:id="648"/>
      <w:bookmarkEnd w:id="650"/>
    </w:p>
    <w:p>
      <w:pPr>
        <w:pStyle w:val="Style32"/>
        <w:keepNext/>
        <w:keepLines/>
        <w:widowControl w:val="0"/>
        <w:shd w:val="clear" w:color="auto" w:fill="auto"/>
        <w:bidi w:val="0"/>
        <w:spacing w:before="0" w:after="34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1</w:t>
      </w:r>
      <w:bookmarkEnd w:id="653"/>
      <w:r>
        <w:rPr>
          <w:color w:val="000000"/>
          <w:spacing w:val="0"/>
          <w:w w:val="100"/>
          <w:position w:val="0"/>
        </w:rPr>
        <w:t>、股份变动情况</w:t>
      </w:r>
      <w:bookmarkEnd w:id="651"/>
      <w:bookmarkEnd w:id="652"/>
      <w:bookmarkEnd w:id="65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14"/>
        <w:gridCol w:w="1138"/>
        <w:gridCol w:w="706"/>
        <w:gridCol w:w="432"/>
        <w:gridCol w:w="288"/>
        <w:gridCol w:w="1123"/>
        <w:gridCol w:w="994"/>
        <w:gridCol w:w="1142"/>
        <w:gridCol w:w="1282"/>
        <w:gridCol w:w="787"/>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2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发行</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送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1,477,931,255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300,367,063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-4,780,810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295,586,253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1,773,517,508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1,477,931,255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300,367,063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-4,780,810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295,586,253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1,773,517,508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1,477,931,255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300,367,063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-4,780,810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295,586,253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1,773,517,508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7,135,205,236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1,422,260,235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35,344,876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1,457,605,111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8,592,810,347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7,135,205,236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1,422,260,235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35,344,876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1,457,605,111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8,592,810,347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8,613,136,491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1,722,627,298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30,564,066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1,753,191,364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10,366,327,855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股份变动的原因</w:t>
      </w:r>
    </w:p>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val="0"/>
        <w:keepLines w:val="0"/>
        <w:widowControl w:val="0"/>
        <w:shd w:val="clear" w:color="auto" w:fill="auto"/>
        <w:bidi w:val="0"/>
        <w:spacing w:before="0" w:after="100" w:line="312" w:lineRule="exact"/>
        <w:ind w:left="0" w:right="0" w:firstLine="4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日，公司完成了 </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年度权益分派，即以总股本</w:t>
      </w:r>
      <w:r>
        <w:rPr>
          <w:rFonts w:ascii="Times New Roman" w:eastAsia="Times New Roman" w:hAnsi="Times New Roman" w:cs="Times New Roman"/>
          <w:color w:val="000000"/>
          <w:spacing w:val="0"/>
          <w:w w:val="100"/>
          <w:position w:val="0"/>
        </w:rPr>
        <w:t>8,613,136,491</w:t>
      </w:r>
      <w:r>
        <w:rPr>
          <w:color w:val="000000"/>
          <w:spacing w:val="0"/>
          <w:w w:val="100"/>
          <w:position w:val="0"/>
        </w:rPr>
        <w:t>股为基数，用资本公积金向全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股，共转增</w:t>
      </w:r>
      <w:r>
        <w:rPr>
          <w:rFonts w:ascii="Times New Roman" w:eastAsia="Times New Roman" w:hAnsi="Times New Roman" w:cs="Times New Roman"/>
          <w:color w:val="000000"/>
          <w:spacing w:val="0"/>
          <w:w w:val="100"/>
          <w:position w:val="0"/>
        </w:rPr>
        <w:t>1,722,627,298</w:t>
      </w:r>
      <w:r>
        <w:rPr>
          <w:color w:val="000000"/>
          <w:spacing w:val="0"/>
          <w:w w:val="100"/>
          <w:position w:val="0"/>
        </w:rPr>
        <w:t>股，转增后公司总股本变更为</w:t>
      </w:r>
      <w:r>
        <w:rPr>
          <w:rFonts w:ascii="Times New Roman" w:eastAsia="Times New Roman" w:hAnsi="Times New Roman" w:cs="Times New Roman"/>
          <w:color w:val="000000"/>
          <w:spacing w:val="0"/>
          <w:w w:val="100"/>
          <w:position w:val="0"/>
        </w:rPr>
        <w:t>10,335,763,789</w:t>
      </w:r>
      <w:r>
        <w:rPr>
          <w:color w:val="000000"/>
          <w:spacing w:val="0"/>
          <w:w w:val="100"/>
          <w:position w:val="0"/>
        </w:rPr>
        <w:t>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 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日期间，公司发行可转债</w:t>
      </w: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3”</w:t>
      </w:r>
      <w:r>
        <w:rPr>
          <w:color w:val="000000"/>
          <w:spacing w:val="0"/>
          <w:w w:val="100"/>
          <w:position w:val="0"/>
        </w:rPr>
        <w:t>持续转为公司股份，</w:t>
      </w:r>
      <w:r>
        <w:rPr>
          <w:rFonts w:ascii="Times New Roman" w:eastAsia="Times New Roman" w:hAnsi="Times New Roman" w:cs="Times New Roman"/>
          <w:color w:val="000000"/>
          <w:spacing w:val="0"/>
          <w:w w:val="100"/>
          <w:position w:val="0"/>
        </w:rPr>
        <w:t>2021</w:t>
      </w:r>
      <w:r>
        <w:rPr>
          <w:color w:val="000000"/>
          <w:spacing w:val="0"/>
          <w:w w:val="100"/>
          <w:position w:val="0"/>
        </w:rPr>
        <w:t>年度共有</w:t>
      </w:r>
      <w:r>
        <w:rPr>
          <w:rFonts w:ascii="Times New Roman" w:eastAsia="Times New Roman" w:hAnsi="Times New Roman" w:cs="Times New Roman"/>
          <w:color w:val="000000"/>
          <w:spacing w:val="0"/>
          <w:w w:val="100"/>
          <w:position w:val="0"/>
        </w:rPr>
        <w:t>7,137,385</w:t>
      </w:r>
      <w:r>
        <w:rPr>
          <w:color w:val="000000"/>
          <w:spacing w:val="0"/>
          <w:w w:val="100"/>
          <w:position w:val="0"/>
        </w:rPr>
        <w:t>张</w:t>
      </w: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3”</w:t>
      </w:r>
      <w:r>
        <w:rPr>
          <w:color w:val="000000"/>
          <w:spacing w:val="0"/>
          <w:w w:val="100"/>
          <w:position w:val="0"/>
        </w:rPr>
        <w:t>合 计转为</w:t>
      </w:r>
      <w:r>
        <w:rPr>
          <w:rFonts w:ascii="Times New Roman" w:eastAsia="Times New Roman" w:hAnsi="Times New Roman" w:cs="Times New Roman"/>
          <w:color w:val="000000"/>
          <w:spacing w:val="0"/>
          <w:w w:val="100"/>
          <w:position w:val="0"/>
        </w:rPr>
        <w:t>30,564,066</w:t>
      </w:r>
      <w:r>
        <w:rPr>
          <w:color w:val="000000"/>
          <w:spacing w:val="0"/>
          <w:w w:val="100"/>
          <w:position w:val="0"/>
        </w:rPr>
        <w:t>股公司股票，公司总股本变更为</w:t>
      </w:r>
      <w:r>
        <w:rPr>
          <w:rFonts w:ascii="Times New Roman" w:eastAsia="Times New Roman" w:hAnsi="Times New Roman" w:cs="Times New Roman"/>
          <w:color w:val="000000"/>
          <w:spacing w:val="0"/>
          <w:w w:val="100"/>
          <w:position w:val="0"/>
        </w:rPr>
        <w:t>10,366,327,855</w:t>
      </w:r>
      <w:r>
        <w:rPr>
          <w:color w:val="000000"/>
          <w:spacing w:val="0"/>
          <w:w w:val="100"/>
          <w:position w:val="0"/>
        </w:rPr>
        <w:t>股。</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股份变动的批准情况</w:t>
      </w:r>
    </w:p>
    <w:p>
      <w:pPr>
        <w:pStyle w:val="Style24"/>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val="0"/>
        <w:keepLines w:val="0"/>
        <w:widowControl w:val="0"/>
        <w:shd w:val="clear" w:color="auto" w:fill="auto"/>
        <w:tabs>
          <w:tab w:pos="469" w:val="left"/>
        </w:tabs>
        <w:bidi w:val="0"/>
        <w:spacing w:before="0" w:after="0" w:line="312" w:lineRule="exact"/>
        <w:ind w:left="0" w:right="0" w:firstLine="0"/>
        <w:jc w:val="left"/>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年度权益分派方案。</w:t>
      </w:r>
    </w:p>
    <w:p>
      <w:pPr>
        <w:pStyle w:val="Style41"/>
        <w:keepNext w:val="0"/>
        <w:keepLines w:val="0"/>
        <w:widowControl w:val="0"/>
        <w:shd w:val="clear" w:color="auto" w:fill="auto"/>
        <w:tabs>
          <w:tab w:pos="579" w:val="left"/>
        </w:tabs>
        <w:bidi w:val="0"/>
        <w:spacing w:before="0" w:after="100" w:line="331" w:lineRule="exact"/>
        <w:ind w:left="0" w:right="0" w:firstLine="0"/>
        <w:jc w:val="left"/>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年第三次临时股东大会审议通过《关于公司向不特定对象发行可转换公司债券 方案的议案》等议案。</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股份变动的过户情况</w:t>
      </w:r>
    </w:p>
    <w:p>
      <w:pPr>
        <w:pStyle w:val="Style24"/>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val="0"/>
        <w:keepLines w:val="0"/>
        <w:widowControl w:val="0"/>
        <w:shd w:val="clear" w:color="auto" w:fill="auto"/>
        <w:tabs>
          <w:tab w:pos="469" w:val="left"/>
        </w:tabs>
        <w:bidi w:val="0"/>
        <w:spacing w:before="0" w:after="0" w:line="312" w:lineRule="exact"/>
        <w:ind w:left="0" w:right="0" w:firstLine="0"/>
        <w:jc w:val="left"/>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日，公司完成了</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w:t>
      </w:r>
    </w:p>
    <w:p>
      <w:pPr>
        <w:pStyle w:val="Style41"/>
        <w:keepNext w:val="0"/>
        <w:keepLines w:val="0"/>
        <w:widowControl w:val="0"/>
        <w:shd w:val="clear" w:color="auto" w:fill="auto"/>
        <w:tabs>
          <w:tab w:pos="469" w:val="left"/>
        </w:tabs>
        <w:bidi w:val="0"/>
        <w:spacing w:before="0" w:after="100" w:line="312" w:lineRule="exact"/>
        <w:ind w:left="0" w:right="0" w:firstLine="0"/>
        <w:jc w:val="left"/>
      </w:pPr>
      <w:bookmarkStart w:id="658" w:name="bookmark658"/>
      <w:r>
        <w:rPr>
          <w:color w:val="000000"/>
          <w:spacing w:val="0"/>
          <w:w w:val="100"/>
          <w:position w:val="0"/>
        </w:rPr>
        <w:t>（</w:t>
      </w:r>
      <w:bookmarkEnd w:id="658"/>
      <w:r>
        <w:rPr>
          <w:rFonts w:ascii="Times New Roman" w:eastAsia="Times New Roman" w:hAnsi="Times New Roman" w:cs="Times New Roman"/>
          <w:color w:val="000000"/>
          <w:spacing w:val="0"/>
          <w:w w:val="100"/>
          <w:position w:val="0"/>
        </w:rPr>
        <w:t>2</w:t>
      </w:r>
      <w:r>
        <w:rPr>
          <w:color w:val="000000"/>
          <w:spacing w:val="0"/>
          <w:w w:val="100"/>
          <w:position w:val="0"/>
        </w:rPr>
        <w:t>）</w:t>
        <w:tab/>
        <w:t>转股期内，公司可转债可转换为公司股份。</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4"/>
        <w:keepNext w:val="0"/>
        <w:keepLines w:val="0"/>
        <w:widowControl w:val="0"/>
        <w:shd w:val="clear" w:color="auto" w:fill="auto"/>
        <w:bidi w:val="0"/>
        <w:spacing w:before="0" w:after="100" w:line="312" w:lineRule="exact"/>
        <w:ind w:left="0" w:right="0" w:firstLine="0"/>
        <w:jc w:val="left"/>
        <w:sectPr>
          <w:footnotePr>
            <w:pos w:val="pageBottom"/>
            <w:numFmt w:val="upperRoman"/>
            <w:numStart w:val="1"/>
            <w:numRestart w:val="continuous"/>
            <w15:footnoteColumns w:val="1"/>
          </w:footnotePr>
          <w:pgSz w:w="11900" w:h="16840"/>
          <w:pgMar w:top="824" w:right="1080" w:bottom="1150" w:left="111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吻东方财富</w:t>
      </w:r>
    </w:p>
    <w:p>
      <w:pPr>
        <w:pStyle w:val="Style37"/>
        <w:keepNext w:val="0"/>
        <w:keepLines w:val="0"/>
        <w:widowControl w:val="0"/>
        <w:shd w:val="clear" w:color="auto" w:fill="auto"/>
        <w:bidi w:val="0"/>
        <w:spacing w:before="0" w:after="220"/>
        <w:ind w:left="0" w:right="0"/>
        <w:jc w:val="left"/>
      </w:pPr>
      <w:r>
        <w:rPr>
          <w:color w:val="717171"/>
          <w:spacing w:val="0"/>
          <w:w w:val="100"/>
          <w:position w:val="0"/>
        </w:rPr>
        <w:t>east</w:t>
      </w:r>
      <w:r>
        <w:rPr>
          <w:spacing w:val="0"/>
          <w:w w:val="100"/>
          <w:position w:val="0"/>
        </w:rPr>
        <w:t>money.com</w:t>
      </w:r>
    </w:p>
    <w:p>
      <w:pPr>
        <w:pStyle w:val="Style41"/>
        <w:keepNext w:val="0"/>
        <w:keepLines w:val="0"/>
        <w:widowControl w:val="0"/>
        <w:shd w:val="clear" w:color="auto" w:fill="auto"/>
        <w:tabs>
          <w:tab w:pos="574" w:val="left"/>
        </w:tabs>
        <w:bidi w:val="0"/>
        <w:spacing w:before="0" w:after="0" w:line="317" w:lineRule="exact"/>
        <w:ind w:left="0" w:right="0" w:firstLine="0"/>
        <w:jc w:val="left"/>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rPr>
        <w:t>1</w:t>
      </w:r>
      <w:r>
        <w:rPr>
          <w:color w:val="000000"/>
          <w:spacing w:val="0"/>
          <w:w w:val="100"/>
          <w:position w:val="0"/>
        </w:rPr>
        <w:t>）</w:t>
        <w:tab/>
        <w:t>公司使用资本公积金转增股本，会引起基本每股收益、稀释每股收益、归属于公司普通股股东的每股净 资产下降。</w:t>
      </w:r>
    </w:p>
    <w:p>
      <w:pPr>
        <w:pStyle w:val="Style41"/>
        <w:keepNext w:val="0"/>
        <w:keepLines w:val="0"/>
        <w:widowControl w:val="0"/>
        <w:shd w:val="clear" w:color="auto" w:fill="auto"/>
        <w:tabs>
          <w:tab w:pos="579" w:val="left"/>
        </w:tabs>
        <w:bidi w:val="0"/>
        <w:spacing w:before="0" w:after="60" w:line="331" w:lineRule="exact"/>
        <w:ind w:left="0" w:right="0" w:firstLine="0"/>
        <w:jc w:val="left"/>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rPr>
        <w:t>2</w:t>
      </w:r>
      <w:r>
        <w:rPr>
          <w:color w:val="000000"/>
          <w:spacing w:val="0"/>
          <w:w w:val="100"/>
          <w:position w:val="0"/>
        </w:rPr>
        <w:t>）</w:t>
        <w:tab/>
        <w:t>公司可转债转为股份，会引起基本每股收益和稀释每股收益下降，归属于公司普通股股东的每股净资产 增加。</w:t>
      </w:r>
    </w:p>
    <w:p>
      <w:pPr>
        <w:pStyle w:val="Style24"/>
        <w:keepNext w:val="0"/>
        <w:keepLines w:val="0"/>
        <w:widowControl w:val="0"/>
        <w:shd w:val="clear" w:color="auto" w:fill="auto"/>
        <w:bidi w:val="0"/>
        <w:spacing w:before="0" w:after="60" w:line="324" w:lineRule="exact"/>
        <w:ind w:left="0" w:right="0" w:firstLine="0"/>
        <w:jc w:val="left"/>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300" w:line="32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2"/>
        <w:keepNext/>
        <w:keepLines/>
        <w:widowControl w:val="0"/>
        <w:shd w:val="clear" w:color="auto" w:fill="auto"/>
        <w:bidi w:val="0"/>
        <w:spacing w:before="0" w:after="300" w:line="324" w:lineRule="exact"/>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2</w:t>
      </w:r>
      <w:bookmarkEnd w:id="663"/>
      <w:r>
        <w:rPr>
          <w:color w:val="000000"/>
          <w:spacing w:val="0"/>
          <w:w w:val="100"/>
          <w:position w:val="0"/>
        </w:rPr>
        <w:t>、限售股份变动情况</w:t>
      </w:r>
      <w:bookmarkEnd w:id="661"/>
      <w:bookmarkEnd w:id="662"/>
      <w:bookmarkEnd w:id="664"/>
    </w:p>
    <w:p>
      <w:pPr>
        <w:pStyle w:val="Style24"/>
        <w:keepNext w:val="0"/>
        <w:keepLines w:val="0"/>
        <w:widowControl w:val="0"/>
        <w:shd w:val="clear" w:color="auto" w:fill="auto"/>
        <w:bidi w:val="0"/>
        <w:spacing w:before="0" w:line="324"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003"/>
        <w:gridCol w:w="1282"/>
        <w:gridCol w:w="1560"/>
        <w:gridCol w:w="1555"/>
        <w:gridCol w:w="1430"/>
        <w:gridCol w:w="1411"/>
        <w:gridCol w:w="1363"/>
      </w:tblGrid>
      <w:tr>
        <w:trPr>
          <w:trHeight w:val="41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本期增加限售股数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本期解除限售股数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拟解除限售日期</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1,329,069,730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265,813,946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1,594,883,676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董监高股份限售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任职期内执行董 监高限售规定</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鲍一青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67,810,645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13,562,129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81,372,774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董监高股份限售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任职期内执行董 监高限售规定</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59,226,543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35,535,926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23,690,617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71,071,852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董监高股份限售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离任后，执行董</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监高限售规定</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陆威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12,485,620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7,491,373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4,994,248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14,982,745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董监高股份限售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离任后，执行董</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监高限售规定</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程磊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9,338,717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11,206,461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董监高股份限售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任职期内执行董</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监高限售规定</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1,477,931,255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324,271,118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28,684,865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1,773,517,508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sz w:val="24"/>
          <w:szCs w:val="24"/>
        </w:rPr>
        <w:t>二</w:t>
      </w:r>
      <w:bookmarkEnd w:id="667"/>
      <w:r>
        <w:rPr>
          <w:color w:val="000000"/>
          <w:spacing w:val="0"/>
          <w:w w:val="100"/>
          <w:position w:val="0"/>
          <w:sz w:val="24"/>
          <w:szCs w:val="24"/>
        </w:rPr>
        <w:t>、证券发行与上市情况</w:t>
      </w:r>
      <w:bookmarkEnd w:id="665"/>
      <w:bookmarkEnd w:id="666"/>
      <w:bookmarkEnd w:id="668"/>
    </w:p>
    <w:p>
      <w:pPr>
        <w:pStyle w:val="Style32"/>
        <w:keepNext/>
        <w:keepLines/>
        <w:widowControl w:val="0"/>
        <w:shd w:val="clear" w:color="auto" w:fill="auto"/>
        <w:bidi w:val="0"/>
        <w:spacing w:before="0" w:after="34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1</w:t>
      </w:r>
      <w:bookmarkEnd w:id="671"/>
      <w:r>
        <w:rPr>
          <w:color w:val="000000"/>
          <w:spacing w:val="0"/>
          <w:w w:val="100"/>
          <w:position w:val="0"/>
        </w:rPr>
        <w:t>、报告期内证券发行（不含优先股）情况</w:t>
      </w:r>
      <w:bookmarkEnd w:id="669"/>
      <w:bookmarkEnd w:id="670"/>
      <w:bookmarkEnd w:id="672"/>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75"/>
        <w:gridCol w:w="893"/>
        <w:gridCol w:w="1848"/>
        <w:gridCol w:w="994"/>
        <w:gridCol w:w="994"/>
        <w:gridCol w:w="998"/>
        <w:gridCol w:w="979"/>
        <w:gridCol w:w="850"/>
        <w:gridCol w:w="974"/>
      </w:tblGrid>
      <w:tr>
        <w:trPr>
          <w:trHeight w:val="64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股票及其衍</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生证券名称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发行价格（或利率）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上市日期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获准上市交</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易数量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交易终止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披露索引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可转换公司债券、分离交易的可转换公司债券、公司债类</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东财转</w:t>
            </w: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15,800</w:t>
            </w:r>
            <w:r>
              <w:rPr>
                <w:rFonts w:ascii="SimSun" w:eastAsia="SimSun" w:hAnsi="SimSun" w:cs="SimSun"/>
                <w:color w:val="000000"/>
                <w:spacing w:val="0"/>
                <w:w w:val="100"/>
                <w:position w:val="0"/>
              </w:rPr>
              <w:t>万张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15,800</w:t>
            </w:r>
            <w:r>
              <w:rPr>
                <w:rFonts w:ascii="SimSun" w:eastAsia="SimSun" w:hAnsi="SimSun" w:cs="SimSun"/>
                <w:color w:val="000000"/>
                <w:spacing w:val="0"/>
                <w:w w:val="100"/>
                <w:position w:val="0"/>
              </w:rPr>
              <w:t>万张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02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fldChar w:fldCharType="begin"/>
            </w:r>
            <w:r>
              <w:rPr/>
              <w:instrText> HYPERLINK "http://www.cninf" </w:instrText>
            </w:r>
            <w:r>
              <w:fldChar w:fldCharType="separate"/>
            </w:r>
            <w:r>
              <w:rPr>
                <w:color w:val="000000"/>
                <w:spacing w:val="0"/>
                <w:w w:val="100"/>
                <w:position w:val="0"/>
              </w:rPr>
              <w:t>www.cninf</w:t>
            </w:r>
            <w:r>
              <w:fldChar w:fldCharType="end"/>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o.com.cn</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HAFOO</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N2412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每张面额为</w:t>
            </w:r>
            <w:r>
              <w:rPr>
                <w:color w:val="000000"/>
                <w:spacing w:val="0"/>
                <w:w w:val="100"/>
                <w:position w:val="0"/>
              </w:rPr>
              <w:t xml:space="preserve">200,000 </w:t>
            </w:r>
            <w:r>
              <w:rPr>
                <w:rFonts w:ascii="SimSun" w:eastAsia="SimSun" w:hAnsi="SimSun" w:cs="SimSun"/>
                <w:color w:val="000000"/>
                <w:spacing w:val="0"/>
                <w:w w:val="100"/>
                <w:position w:val="0"/>
              </w:rPr>
              <w:t xml:space="preserve">美元，超出部分为 </w:t>
            </w:r>
            <w:r>
              <w:rPr>
                <w:color w:val="000000"/>
                <w:spacing w:val="0"/>
                <w:w w:val="100"/>
                <w:position w:val="0"/>
              </w:rPr>
              <w:t>1,000</w:t>
            </w:r>
            <w:r>
              <w:rPr>
                <w:rFonts w:ascii="SimSun" w:eastAsia="SimSun" w:hAnsi="SimSun" w:cs="SimSun"/>
                <w:color w:val="000000"/>
                <w:spacing w:val="0"/>
                <w:w w:val="100"/>
                <w:position w:val="0"/>
              </w:rPr>
              <w:t>美元的整数倍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r>
              <w:rPr>
                <w:rFonts w:ascii="SimSun" w:eastAsia="SimSun" w:hAnsi="SimSun" w:cs="SimSun"/>
                <w:color w:val="000000"/>
                <w:spacing w:val="0"/>
                <w:w w:val="100"/>
                <w:position w:val="0"/>
              </w:rPr>
              <w:t>亿美元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rFonts w:ascii="SimSun" w:eastAsia="SimSun" w:hAnsi="SimSun" w:cs="SimSun"/>
                <w:color w:val="000000"/>
                <w:spacing w:val="0"/>
                <w:w w:val="100"/>
                <w:position w:val="0"/>
              </w:rPr>
              <w:t>亿美元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2024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wwwhkex</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.com.hk</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r>
    </w:tbl>
    <w:p>
      <w:pPr>
        <w:widowControl w:val="0"/>
        <w:spacing w:after="5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报告期内证券发行（不含优先股）情况的说明</w:t>
      </w:r>
    </w:p>
    <w:p>
      <w:pPr>
        <w:pStyle w:val="Style4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日，公司公开发行了 </w:t>
      </w:r>
      <w:r>
        <w:rPr>
          <w:rFonts w:ascii="Times New Roman" w:eastAsia="Times New Roman" w:hAnsi="Times New Roman" w:cs="Times New Roman"/>
          <w:color w:val="000000"/>
          <w:spacing w:val="0"/>
          <w:w w:val="100"/>
          <w:position w:val="0"/>
        </w:rPr>
        <w:t>15,800.00</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rPr>
        <w:t>100.00</w:t>
      </w:r>
      <w:r>
        <w:rPr>
          <w:color w:val="000000"/>
          <w:spacing w:val="0"/>
          <w:w w:val="100"/>
          <w:position w:val="0"/>
        </w:rPr>
        <w:t>元，发行总额</w:t>
      </w:r>
      <w:r>
        <w:rPr>
          <w:rFonts w:ascii="Times New Roman" w:eastAsia="Times New Roman" w:hAnsi="Times New Roman" w:cs="Times New Roman"/>
          <w:color w:val="000000"/>
          <w:spacing w:val="0"/>
          <w:w w:val="100"/>
          <w:position w:val="0"/>
        </w:rPr>
        <w:t>158.00</w:t>
      </w:r>
      <w:r>
        <w:rPr>
          <w:color w:val="000000"/>
          <w:spacing w:val="0"/>
          <w:w w:val="100"/>
          <w:position w:val="0"/>
        </w:rPr>
        <w:t>亿元。</w:t>
      </w:r>
    </w:p>
    <w:p>
      <w:pPr>
        <w:pStyle w:val="Style41"/>
        <w:keepNext w:val="0"/>
        <w:keepLines w:val="0"/>
        <w:widowControl w:val="0"/>
        <w:shd w:val="clear" w:color="auto" w:fill="auto"/>
        <w:bidi w:val="0"/>
        <w:spacing w:before="0" w:after="160" w:line="240" w:lineRule="auto"/>
        <w:ind w:left="0" w:right="0" w:firstLine="0"/>
        <w:jc w:val="left"/>
        <w:sectPr>
          <w:footnotePr>
            <w:pos w:val="pageBottom"/>
            <w:numFmt w:val="upperRoman"/>
            <w:numStart w:val="1"/>
            <w:numRestart w:val="continuous"/>
            <w15:footnoteColumns w:val="1"/>
          </w:footnotePr>
          <w:pgSz w:w="11900" w:h="16840"/>
          <w:pgMar w:top="824" w:right="1099" w:bottom="1150" w:left="110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日，公司境外附属公司哈富有限公司完成</w:t>
      </w:r>
      <w:r>
        <w:rPr>
          <w:rFonts w:ascii="Times New Roman" w:eastAsia="Times New Roman" w:hAnsi="Times New Roman" w:cs="Times New Roman"/>
          <w:color w:val="000000"/>
          <w:spacing w:val="0"/>
          <w:w w:val="100"/>
          <w:position w:val="0"/>
        </w:rPr>
        <w:t>3</w:t>
      </w:r>
      <w:r>
        <w:rPr>
          <w:color w:val="000000"/>
          <w:spacing w:val="0"/>
          <w:w w:val="100"/>
          <w:position w:val="0"/>
        </w:rPr>
        <w:t>亿美元</w:t>
      </w:r>
      <w:r>
        <w:rPr>
          <w:rFonts w:ascii="Times New Roman" w:eastAsia="Times New Roman" w:hAnsi="Times New Roman" w:cs="Times New Roman"/>
          <w:color w:val="000000"/>
          <w:spacing w:val="0"/>
          <w:w w:val="100"/>
          <w:position w:val="0"/>
        </w:rPr>
        <w:t>3</w:t>
      </w:r>
      <w:r>
        <w:rPr>
          <w:color w:val="000000"/>
          <w:spacing w:val="0"/>
          <w:w w:val="100"/>
          <w:position w:val="0"/>
        </w:rPr>
        <w:t>年期境外高级无抵押美元债券的发行。</w:t>
      </w:r>
    </w:p>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吻东方财富</w:t>
      </w:r>
    </w:p>
    <w:p>
      <w:pPr>
        <w:pStyle w:val="Style37"/>
        <w:keepNext w:val="0"/>
        <w:keepLines w:val="0"/>
        <w:widowControl w:val="0"/>
        <w:shd w:val="clear" w:color="auto" w:fill="auto"/>
        <w:bidi w:val="0"/>
        <w:spacing w:before="0" w:after="220"/>
        <w:ind w:left="0" w:right="0"/>
        <w:jc w:val="left"/>
      </w:pPr>
      <w:r>
        <w:rPr>
          <w:color w:val="717171"/>
          <w:spacing w:val="0"/>
          <w:w w:val="100"/>
          <w:position w:val="0"/>
        </w:rPr>
        <w:t>east</w:t>
      </w:r>
      <w:r>
        <w:rPr>
          <w:spacing w:val="0"/>
          <w:w w:val="100"/>
          <w:position w:val="0"/>
        </w:rPr>
        <w:t>money.com</w:t>
      </w:r>
    </w:p>
    <w:p>
      <w:pPr>
        <w:pStyle w:val="Style32"/>
        <w:keepNext/>
        <w:keepLines/>
        <w:widowControl w:val="0"/>
        <w:shd w:val="clear" w:color="auto" w:fill="auto"/>
        <w:tabs>
          <w:tab w:pos="415" w:val="left"/>
        </w:tabs>
        <w:bidi w:val="0"/>
        <w:spacing w:before="0" w:after="360" w:line="313" w:lineRule="exact"/>
        <w:ind w:left="0" w:right="0" w:firstLine="0"/>
        <w:jc w:val="both"/>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2</w:t>
      </w:r>
      <w:bookmarkEnd w:id="675"/>
      <w:r>
        <w:rPr>
          <w:color w:val="000000"/>
          <w:spacing w:val="0"/>
          <w:w w:val="100"/>
          <w:position w:val="0"/>
        </w:rPr>
        <w:t>、</w:t>
        <w:tab/>
        <w:t>公司股份总数及股东结构的变动、公司资产和负债结构的变动情况说明</w:t>
      </w:r>
      <w:bookmarkEnd w:id="673"/>
      <w:bookmarkEnd w:id="674"/>
      <w:bookmarkEnd w:id="676"/>
    </w:p>
    <w:p>
      <w:pPr>
        <w:pStyle w:val="Style24"/>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val="0"/>
        <w:keepLines w:val="0"/>
        <w:widowControl w:val="0"/>
        <w:shd w:val="clear" w:color="auto" w:fill="auto"/>
        <w:tabs>
          <w:tab w:pos="565" w:val="left"/>
        </w:tabs>
        <w:bidi w:val="0"/>
        <w:spacing w:before="0" w:after="0" w:line="313" w:lineRule="exact"/>
        <w:ind w:left="0" w:right="0" w:firstLine="0"/>
        <w:jc w:val="both"/>
      </w:pPr>
      <w:bookmarkStart w:id="677" w:name="bookmark677"/>
      <w:r>
        <w:rPr>
          <w:color w:val="000000"/>
          <w:spacing w:val="0"/>
          <w:w w:val="100"/>
          <w:position w:val="0"/>
        </w:rPr>
        <w:t>（</w:t>
      </w:r>
      <w:bookmarkEnd w:id="677"/>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日，公司完成了</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年度权益分派，以总股本</w:t>
      </w:r>
      <w:r>
        <w:rPr>
          <w:rFonts w:ascii="Times New Roman" w:eastAsia="Times New Roman" w:hAnsi="Times New Roman" w:cs="Times New Roman"/>
          <w:color w:val="000000"/>
          <w:spacing w:val="0"/>
          <w:w w:val="100"/>
          <w:position w:val="0"/>
        </w:rPr>
        <w:t>8,613,136,491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股派人 民币</w:t>
      </w:r>
      <w:r>
        <w:rPr>
          <w:rFonts w:ascii="Times New Roman" w:eastAsia="Times New Roman" w:hAnsi="Times New Roman" w:cs="Times New Roman"/>
          <w:color w:val="000000"/>
          <w:spacing w:val="0"/>
          <w:w w:val="100"/>
          <w:position w:val="0"/>
        </w:rPr>
        <w:t>0.6</w:t>
      </w:r>
      <w:r>
        <w:rPr>
          <w:rFonts w:ascii="Times New Roman" w:eastAsia="Times New Roman" w:hAnsi="Times New Roman" w:cs="Times New Roman"/>
          <w:color w:val="000000"/>
          <w:spacing w:val="0"/>
          <w:w w:val="100"/>
          <w:position w:val="0"/>
        </w:rPr>
        <w:t>0</w:t>
      </w:r>
      <w:r>
        <w:rPr>
          <w:color w:val="000000"/>
          <w:spacing w:val="0"/>
          <w:w w:val="100"/>
          <w:position w:val="0"/>
        </w:rPr>
        <w:t>元（含税），合计派发现金</w:t>
      </w:r>
      <w:r>
        <w:rPr>
          <w:rFonts w:ascii="Times New Roman" w:eastAsia="Times New Roman" w:hAnsi="Times New Roman" w:cs="Times New Roman"/>
          <w:color w:val="000000"/>
          <w:spacing w:val="0"/>
          <w:w w:val="100"/>
          <w:position w:val="0"/>
        </w:rPr>
        <w:t>516,788,189.46</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 xml:space="preserve">股，共转增 </w:t>
      </w:r>
      <w:r>
        <w:rPr>
          <w:rFonts w:ascii="Times New Roman" w:eastAsia="Times New Roman" w:hAnsi="Times New Roman" w:cs="Times New Roman"/>
          <w:color w:val="000000"/>
          <w:spacing w:val="0"/>
          <w:w w:val="100"/>
          <w:position w:val="0"/>
        </w:rPr>
        <w:t>1,722,627,298</w:t>
      </w:r>
      <w:r>
        <w:rPr>
          <w:color w:val="000000"/>
          <w:spacing w:val="0"/>
          <w:w w:val="100"/>
          <w:position w:val="0"/>
        </w:rPr>
        <w:t>股，转增后公司总股本变更为</w:t>
      </w:r>
      <w:r>
        <w:rPr>
          <w:rFonts w:ascii="Times New Roman" w:eastAsia="Times New Roman" w:hAnsi="Times New Roman" w:cs="Times New Roman"/>
          <w:color w:val="000000"/>
          <w:spacing w:val="0"/>
          <w:w w:val="100"/>
          <w:position w:val="0"/>
        </w:rPr>
        <w:t>10,335,763,789</w:t>
      </w:r>
      <w:r>
        <w:rPr>
          <w:color w:val="000000"/>
          <w:spacing w:val="0"/>
          <w:w w:val="100"/>
          <w:position w:val="0"/>
        </w:rPr>
        <w:t>股。本次权益分派使得公司总资产减少。</w:t>
      </w:r>
    </w:p>
    <w:p>
      <w:pPr>
        <w:pStyle w:val="Style41"/>
        <w:keepNext w:val="0"/>
        <w:keepLines w:val="0"/>
        <w:widowControl w:val="0"/>
        <w:shd w:val="clear" w:color="auto" w:fill="auto"/>
        <w:bidi w:val="0"/>
        <w:spacing w:before="0" w:after="0" w:line="313" w:lineRule="exact"/>
        <w:ind w:left="0" w:right="0" w:firstLine="0"/>
        <w:jc w:val="both"/>
      </w:pPr>
      <w:bookmarkStart w:id="678" w:name="bookmark678"/>
      <w:r>
        <w:rPr>
          <w:color w:val="000000"/>
          <w:spacing w:val="0"/>
          <w:w w:val="100"/>
          <w:position w:val="0"/>
        </w:rPr>
        <w:t>（</w:t>
      </w:r>
      <w:bookmarkEnd w:id="678"/>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日，公司公开发行了 </w:t>
      </w:r>
      <w:r>
        <w:rPr>
          <w:rFonts w:ascii="Times New Roman" w:eastAsia="Times New Roman" w:hAnsi="Times New Roman" w:cs="Times New Roman"/>
          <w:color w:val="000000"/>
          <w:spacing w:val="0"/>
          <w:w w:val="100"/>
          <w:position w:val="0"/>
        </w:rPr>
        <w:t>15,800.00</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rPr>
        <w:t>100.00</w:t>
      </w:r>
      <w:r>
        <w:rPr>
          <w:color w:val="000000"/>
          <w:spacing w:val="0"/>
          <w:w w:val="100"/>
          <w:position w:val="0"/>
        </w:rPr>
        <w:t>元，发行总额</w:t>
      </w:r>
      <w:r>
        <w:rPr>
          <w:rFonts w:ascii="Times New Roman" w:eastAsia="Times New Roman" w:hAnsi="Times New Roman" w:cs="Times New Roman"/>
          <w:color w:val="000000"/>
          <w:spacing w:val="0"/>
          <w:w w:val="100"/>
          <w:position w:val="0"/>
        </w:rPr>
        <w:t>158.00</w:t>
      </w:r>
      <w:r>
        <w:rPr>
          <w:color w:val="000000"/>
          <w:spacing w:val="0"/>
          <w:w w:val="100"/>
          <w:position w:val="0"/>
        </w:rPr>
        <w:t>亿元， 本次发行使得公司总资产、负债增加。根据《募集说明书》的相关规定，公司可转债</w:t>
      </w: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3”</w:t>
      </w: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日起可转换为公司股份。报告期内，</w:t>
      </w: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3”</w:t>
      </w:r>
      <w:r>
        <w:rPr>
          <w:color w:val="000000"/>
          <w:spacing w:val="0"/>
          <w:w w:val="100"/>
          <w:position w:val="0"/>
        </w:rPr>
        <w:t>共转换为</w:t>
      </w:r>
      <w:r>
        <w:rPr>
          <w:rFonts w:ascii="Times New Roman" w:eastAsia="Times New Roman" w:hAnsi="Times New Roman" w:cs="Times New Roman"/>
          <w:color w:val="000000"/>
          <w:spacing w:val="0"/>
          <w:w w:val="100"/>
          <w:position w:val="0"/>
        </w:rPr>
        <w:t>30,564,066</w:t>
      </w:r>
      <w:r>
        <w:rPr>
          <w:color w:val="000000"/>
          <w:spacing w:val="0"/>
          <w:w w:val="100"/>
          <w:position w:val="0"/>
        </w:rPr>
        <w:t>股公司股票，公司总股本变更为</w:t>
      </w:r>
      <w:r>
        <w:rPr>
          <w:rFonts w:ascii="Times New Roman" w:eastAsia="Times New Roman" w:hAnsi="Times New Roman" w:cs="Times New Roman"/>
          <w:color w:val="000000"/>
          <w:spacing w:val="0"/>
          <w:w w:val="100"/>
          <w:position w:val="0"/>
        </w:rPr>
        <w:t xml:space="preserve">10,366,327,855 </w:t>
      </w:r>
      <w:r>
        <w:rPr>
          <w:color w:val="000000"/>
          <w:spacing w:val="0"/>
          <w:w w:val="100"/>
          <w:position w:val="0"/>
        </w:rPr>
        <w:t>股，使得公司负债减少、总资产不变。</w:t>
      </w:r>
    </w:p>
    <w:p>
      <w:pPr>
        <w:pStyle w:val="Style41"/>
        <w:keepNext w:val="0"/>
        <w:keepLines w:val="0"/>
        <w:widowControl w:val="0"/>
        <w:shd w:val="clear" w:color="auto" w:fill="auto"/>
        <w:tabs>
          <w:tab w:pos="579" w:val="left"/>
        </w:tabs>
        <w:bidi w:val="0"/>
        <w:spacing w:before="0" w:after="300" w:line="313" w:lineRule="exact"/>
        <w:ind w:left="0" w:right="0" w:firstLine="0"/>
        <w:jc w:val="both"/>
      </w:pPr>
      <w:bookmarkStart w:id="679" w:name="bookmark679"/>
      <w:r>
        <w:rPr>
          <w:color w:val="000000"/>
          <w:spacing w:val="0"/>
          <w:w w:val="100"/>
          <w:position w:val="0"/>
        </w:rPr>
        <w:t>（</w:t>
      </w:r>
      <w:bookmarkEnd w:id="67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日，公司境外附属公司哈富有限公司完成</w:t>
      </w:r>
      <w:r>
        <w:rPr>
          <w:rFonts w:ascii="Times New Roman" w:eastAsia="Times New Roman" w:hAnsi="Times New Roman" w:cs="Times New Roman"/>
          <w:color w:val="000000"/>
          <w:spacing w:val="0"/>
          <w:w w:val="100"/>
          <w:position w:val="0"/>
        </w:rPr>
        <w:t>3</w:t>
      </w:r>
      <w:r>
        <w:rPr>
          <w:color w:val="000000"/>
          <w:spacing w:val="0"/>
          <w:w w:val="100"/>
          <w:position w:val="0"/>
        </w:rPr>
        <w:t>亿美元</w:t>
      </w:r>
      <w:r>
        <w:rPr>
          <w:rFonts w:ascii="Times New Roman" w:eastAsia="Times New Roman" w:hAnsi="Times New Roman" w:cs="Times New Roman"/>
          <w:color w:val="000000"/>
          <w:spacing w:val="0"/>
          <w:w w:val="100"/>
          <w:position w:val="0"/>
        </w:rPr>
        <w:t>3</w:t>
      </w:r>
      <w:r>
        <w:rPr>
          <w:color w:val="000000"/>
          <w:spacing w:val="0"/>
          <w:w w:val="100"/>
          <w:position w:val="0"/>
        </w:rPr>
        <w:t>年期境外高级无抵押美元债券的发行，使 得公司总资产、负债增加。</w:t>
      </w:r>
    </w:p>
    <w:p>
      <w:pPr>
        <w:pStyle w:val="Style32"/>
        <w:keepNext/>
        <w:keepLines/>
        <w:widowControl w:val="0"/>
        <w:shd w:val="clear" w:color="auto" w:fill="auto"/>
        <w:tabs>
          <w:tab w:pos="415" w:val="left"/>
        </w:tabs>
        <w:bidi w:val="0"/>
        <w:spacing w:before="0" w:after="360" w:line="313" w:lineRule="exact"/>
        <w:ind w:left="0" w:right="0" w:firstLine="0"/>
        <w:jc w:val="both"/>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3</w:t>
      </w:r>
      <w:bookmarkEnd w:id="682"/>
      <w:r>
        <w:rPr>
          <w:color w:val="000000"/>
          <w:spacing w:val="0"/>
          <w:w w:val="100"/>
          <w:position w:val="0"/>
        </w:rPr>
        <w:t>、</w:t>
        <w:tab/>
        <w:t>现存的内部职工股情况</w:t>
      </w:r>
      <w:bookmarkEnd w:id="680"/>
      <w:bookmarkEnd w:id="681"/>
      <w:bookmarkEnd w:id="683"/>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bidi w:val="0"/>
        <w:spacing w:before="0" w:after="300" w:line="240" w:lineRule="auto"/>
        <w:ind w:left="0" w:right="0" w:firstLine="0"/>
        <w:jc w:val="both"/>
      </w:pPr>
      <w:bookmarkStart w:id="684" w:name="bookmark684"/>
      <w:bookmarkStart w:id="685" w:name="bookmark685"/>
      <w:bookmarkStart w:id="686" w:name="bookmark686"/>
      <w:bookmarkStart w:id="687" w:name="bookmark687"/>
      <w:r>
        <w:rPr>
          <w:color w:val="000000"/>
          <w:spacing w:val="0"/>
          <w:w w:val="100"/>
          <w:position w:val="0"/>
          <w:sz w:val="24"/>
          <w:szCs w:val="24"/>
        </w:rPr>
        <w:t>三</w:t>
      </w:r>
      <w:bookmarkEnd w:id="686"/>
      <w:r>
        <w:rPr>
          <w:color w:val="000000"/>
          <w:spacing w:val="0"/>
          <w:w w:val="100"/>
          <w:position w:val="0"/>
          <w:sz w:val="24"/>
          <w:szCs w:val="24"/>
        </w:rPr>
        <w:t>、股东和实际控制人情况</w:t>
      </w:r>
      <w:bookmarkEnd w:id="684"/>
      <w:bookmarkEnd w:id="685"/>
      <w:bookmarkEnd w:id="687"/>
    </w:p>
    <w:p>
      <w:pPr>
        <w:pStyle w:val="Style32"/>
        <w:keepNext/>
        <w:keepLines/>
        <w:widowControl w:val="0"/>
        <w:shd w:val="clear" w:color="auto" w:fill="auto"/>
        <w:bidi w:val="0"/>
        <w:spacing w:before="0" w:after="360" w:line="313" w:lineRule="exact"/>
        <w:ind w:left="0" w:right="0" w:firstLine="0"/>
        <w:jc w:val="both"/>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1</w:t>
      </w:r>
      <w:bookmarkEnd w:id="690"/>
      <w:r>
        <w:rPr>
          <w:color w:val="000000"/>
          <w:spacing w:val="0"/>
          <w:w w:val="100"/>
          <w:position w:val="0"/>
        </w:rPr>
        <w:t>、公司股东数量及持股情况</w:t>
      </w:r>
      <w:bookmarkEnd w:id="688"/>
      <w:bookmarkEnd w:id="689"/>
      <w:bookmarkEnd w:id="691"/>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30"/>
        <w:gridCol w:w="706"/>
        <w:gridCol w:w="1138"/>
        <w:gridCol w:w="710"/>
        <w:gridCol w:w="1138"/>
        <w:gridCol w:w="1267"/>
        <w:gridCol w:w="1142"/>
        <w:gridCol w:w="994"/>
        <w:gridCol w:w="994"/>
        <w:gridCol w:w="144"/>
        <w:gridCol w:w="542"/>
      </w:tblGrid>
      <w:tr>
        <w:trPr>
          <w:trHeight w:val="165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普通股股</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东总数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437,742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年度报告披 露日前上一 月末普通股 股东总数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618,103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持有特别表 决权股份的 股东总数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报告期末表决</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权恢复的优先</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股股东总数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年度报告披 露日前上一 月末表决权 恢复的优先 股股东总数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749"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160" w:firstLine="0"/>
              <w:jc w:val="right"/>
            </w:pPr>
            <w:r>
              <w:rPr>
                <w:rFonts w:ascii="SimSun" w:eastAsia="SimSun" w:hAnsi="SimSun" w:cs="SimSun"/>
                <w:color w:val="000000"/>
                <w:spacing w:val="0"/>
                <w:w w:val="100"/>
                <w:position w:val="0"/>
              </w:rPr>
              <w:t>持股 比例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报告期末</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报告期内增减</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持有有限售</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条件的股份</w:t>
            </w:r>
          </w:p>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持有无限售</w:t>
            </w:r>
          </w:p>
          <w:p>
            <w:pPr>
              <w:pStyle w:val="Style6"/>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条件的股份</w:t>
            </w:r>
          </w:p>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质押、标记</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或冻结情况</w:t>
            </w:r>
          </w:p>
        </w:tc>
      </w:tr>
      <w:tr>
        <w:trPr>
          <w:trHeight w:val="408"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2,126,501,568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354,408,595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1,594,883,676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531,617,892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香港中央结算有限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8.69%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900,656,292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536,802,594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900,656,292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陆丽丽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254,770,606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42,461,768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254,770,606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中国建设银行股份 有限公司一国泰中 证全指证券公司交 易型开放式指数证 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146,619,972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146,619,972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沈友根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131,671,204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1,591,685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131,671,204</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upperRoman"/>
            <w:numStart w:val="1"/>
            <w:numRestart w:val="continuous"/>
            <w15:footnoteColumns w:val="1"/>
          </w:footnotePr>
          <w:pgSz w:w="11900" w:h="16840"/>
          <w:pgMar w:top="824" w:right="1085" w:bottom="1150" w:left="1109" w:header="0" w:footer="3" w:gutter="0"/>
          <w:cols w:space="720"/>
          <w:noEndnote/>
          <w:rtlGutter w:val="0"/>
          <w:docGrid w:linePitch="360"/>
        </w:sectPr>
      </w:pPr>
    </w:p>
    <w:p>
      <w:pPr>
        <w:widowControl w:val="0"/>
        <w:spacing w:after="219" w:line="1" w:lineRule="exact"/>
      </w:pPr>
    </w:p>
    <w:tbl>
      <w:tblPr>
        <w:tblOverlap w:val="never"/>
        <w:jc w:val="center"/>
        <w:tblLayout w:type="fixed"/>
      </w:tblPr>
      <w:tblGrid>
        <w:gridCol w:w="1536"/>
        <w:gridCol w:w="1138"/>
        <w:gridCol w:w="710"/>
        <w:gridCol w:w="1138"/>
        <w:gridCol w:w="1282"/>
        <w:gridCol w:w="1128"/>
        <w:gridCol w:w="994"/>
        <w:gridCol w:w="994"/>
        <w:gridCol w:w="686"/>
      </w:tblGrid>
      <w:tr>
        <w:trPr>
          <w:trHeight w:val="4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鲍一青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106,097,032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15,682,839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81,372,774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24,724,258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中央汇金资产管理 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105,381,780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-11,325,404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105,381,780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0.91%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94,762,469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15,793,745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71,071,852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23,690,617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中国建设银行股份 有限公司一华宝中 证全指证券公司交 易型开放式指数证 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90,124,854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12,386,997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90,124,854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阿布达比投资局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52,895,598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52,895,598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战略投资者或一般法人因配售新 股成为前</w:t>
            </w:r>
            <w:r>
              <w:rPr>
                <w:color w:val="000000"/>
                <w:spacing w:val="0"/>
                <w:w w:val="100"/>
                <w:position w:val="0"/>
              </w:rPr>
              <w:t>10</w:t>
            </w:r>
            <w:r>
              <w:rPr>
                <w:rFonts w:ascii="SimSun" w:eastAsia="SimSun" w:hAnsi="SimSun" w:cs="SimSun"/>
                <w:color w:val="000000"/>
                <w:spacing w:val="0"/>
                <w:w w:val="100"/>
                <w:position w:val="0"/>
              </w:rPr>
              <w:t>名股东的情况</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037"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其实先生与沈友根先生系父子关系，与陆丽丽女士系夫妻关系，截至报告期末，三人合 计持有股份占公司总股本</w:t>
            </w:r>
            <w:r>
              <w:rPr>
                <w:color w:val="000000"/>
                <w:spacing w:val="0"/>
                <w:w w:val="100"/>
                <w:position w:val="0"/>
              </w:rPr>
              <w:t>24.24%</w:t>
            </w:r>
            <w:r>
              <w:rPr>
                <w:rFonts w:ascii="SimSun" w:eastAsia="SimSun" w:hAnsi="SimSun" w:cs="SimSun"/>
                <w:color w:val="000000"/>
                <w:spacing w:val="0"/>
                <w:w w:val="100"/>
                <w:position w:val="0"/>
              </w:rPr>
              <w:t>。除此之外，公司未知上述其他股东之间是否存在关 联关系，也未知是否属于一致行动人。</w:t>
            </w:r>
          </w:p>
        </w:tc>
      </w:tr>
      <w:tr>
        <w:trPr>
          <w:trHeight w:val="706"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上述股东涉及委托</w:t>
            </w:r>
            <w:r>
              <w:rPr>
                <w:color w:val="000000"/>
                <w:spacing w:val="0"/>
                <w:w w:val="100"/>
                <w:position w:val="0"/>
              </w:rPr>
              <w:t>/</w:t>
            </w:r>
            <w:r>
              <w:rPr>
                <w:rFonts w:ascii="SimSun" w:eastAsia="SimSun" w:hAnsi="SimSun" w:cs="SimSun"/>
                <w:color w:val="000000"/>
                <w:spacing w:val="0"/>
                <w:w w:val="100"/>
                <w:position w:val="0"/>
              </w:rPr>
              <w:t>受托表决权、 放弃表决权情况的说明</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72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名股东中存在回购专户的 特别说明</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3"/>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香港中央结算有限公司</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900,656,292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900,656,292</w:t>
            </w:r>
          </w:p>
        </w:tc>
      </w:tr>
      <w:tr>
        <w:trPr>
          <w:trHeight w:val="389"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其实</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531,617,892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531,617,892</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陆丽丽</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254,770,606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254,770,606</w:t>
            </w:r>
          </w:p>
        </w:tc>
      </w:tr>
      <w:tr>
        <w:trPr>
          <w:trHeight w:val="1042"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中国建设银行股份有限公司一国 泰中证全指证券公司交易型开放 式指数证券投资基金</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146,619,972</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146,619,972</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沈友根</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131,671,204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131,671,204</w:t>
            </w:r>
          </w:p>
        </w:tc>
      </w:tr>
      <w:tr>
        <w:trPr>
          <w:trHeight w:val="389"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中央汇金资产管理有限责任公司</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105,381,780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105,381,780</w:t>
            </w:r>
          </w:p>
        </w:tc>
      </w:tr>
      <w:tr>
        <w:trPr>
          <w:trHeight w:val="1037"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中国建设银行股份有限公司一华 宝中证全指证券公司交易型开放 式指数证券投资基金</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90,124,854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90,124,854</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阿布达比投资局</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52,895,598</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52,895,598</w:t>
            </w:r>
          </w:p>
        </w:tc>
      </w:tr>
      <w:tr>
        <w:trPr>
          <w:trHeight w:val="1022"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中国对外经济贸易信托有限公司 一外贸信托一高毅晓峰鸿远集合 资金信托计划</w:t>
            </w:r>
          </w:p>
        </w:tc>
        <w:tc>
          <w:tcPr>
            <w:gridSpan w:val="3"/>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51,371,154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51,371,154</w:t>
            </w:r>
          </w:p>
        </w:tc>
      </w:tr>
      <w:tr>
        <w:trPr>
          <w:trHeight w:val="413" w:hRule="exact"/>
        </w:trPr>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全国社保基金一零八组合</w:t>
            </w:r>
          </w:p>
        </w:tc>
        <w:tc>
          <w:tcPr>
            <w:gridSpan w:val="3"/>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46,903,384</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46,903,384</w:t>
            </w:r>
          </w:p>
        </w:tc>
      </w:tr>
    </w:tbl>
    <w:tbl>
      <w:tblPr>
        <w:tblOverlap w:val="never"/>
        <w:jc w:val="center"/>
        <w:tblLayout w:type="fixed"/>
      </w:tblPr>
      <w:tblGrid>
        <w:gridCol w:w="2674"/>
        <w:gridCol w:w="6931"/>
      </w:tblGrid>
      <w:tr>
        <w:trPr>
          <w:trHeight w:val="134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 间，以及前</w:t>
            </w:r>
            <w:r>
              <w:rPr>
                <w:color w:val="000000"/>
                <w:spacing w:val="0"/>
                <w:w w:val="100"/>
                <w:position w:val="0"/>
              </w:rPr>
              <w:t>10</w:t>
            </w:r>
            <w:r>
              <w:rPr>
                <w:rFonts w:ascii="SimSun" w:eastAsia="SimSun" w:hAnsi="SimSun" w:cs="SimSun"/>
                <w:color w:val="000000"/>
                <w:spacing w:val="0"/>
                <w:w w:val="100"/>
                <w:position w:val="0"/>
              </w:rPr>
              <w:t>名无限售流通股 股东和前</w:t>
            </w:r>
            <w:r>
              <w:rPr>
                <w:color w:val="000000"/>
                <w:spacing w:val="0"/>
                <w:w w:val="100"/>
                <w:position w:val="0"/>
              </w:rPr>
              <w:t>10</w:t>
            </w:r>
            <w:r>
              <w:rPr>
                <w:rFonts w:ascii="SimSun" w:eastAsia="SimSun" w:hAnsi="SimSun" w:cs="SimSun"/>
                <w:color w:val="000000"/>
                <w:spacing w:val="0"/>
                <w:w w:val="100"/>
                <w:position w:val="0"/>
              </w:rPr>
              <w:t>名股东之间关联关 系或一致行动的说明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其实先生与沈友根先生系父子关系，与陆丽丽女士系夫妻关系，截至报告期末，三人合 计持有股份占公司总股本</w:t>
            </w:r>
            <w:r>
              <w:rPr>
                <w:color w:val="000000"/>
                <w:spacing w:val="0"/>
                <w:w w:val="100"/>
                <w:position w:val="0"/>
              </w:rPr>
              <w:t>24.24%</w:t>
            </w:r>
            <w:r>
              <w:rPr>
                <w:rFonts w:ascii="SimSun" w:eastAsia="SimSun" w:hAnsi="SimSun" w:cs="SimSun"/>
                <w:color w:val="000000"/>
                <w:spacing w:val="0"/>
                <w:w w:val="100"/>
                <w:position w:val="0"/>
              </w:rPr>
              <w:t>。除此之外，公司未知上述其他股东之间是否存在关 联关系，也未知是否属于一致行动人。</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参与融资融券业务股东情况说明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11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公司是否具有表决权差异安排</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8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2</w:t>
      </w:r>
      <w:bookmarkEnd w:id="694"/>
      <w:r>
        <w:rPr>
          <w:color w:val="000000"/>
          <w:spacing w:val="0"/>
          <w:w w:val="100"/>
          <w:position w:val="0"/>
        </w:rPr>
        <w:t>、公司控股股东情况</w:t>
      </w:r>
      <w:bookmarkEnd w:id="692"/>
      <w:bookmarkEnd w:id="693"/>
      <w:bookmarkEnd w:id="695"/>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4550"/>
        <w:gridCol w:w="922"/>
        <w:gridCol w:w="4133"/>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东方财富信息股份有限公司董事长</w:t>
            </w: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报告期内控股和参股的其他境内外上市公司的股权情况</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 xml:space="preserve">截至报告期末，直接持有创业黑马科技集团股份有限公司 </w:t>
            </w:r>
            <w:r>
              <w:rPr>
                <w:color w:val="000000"/>
                <w:spacing w:val="0"/>
                <w:w w:val="100"/>
                <w:position w:val="0"/>
              </w:rPr>
              <w:t>0.45%</w:t>
            </w:r>
            <w:r>
              <w:rPr>
                <w:rFonts w:ascii="SimSun" w:eastAsia="SimSun" w:hAnsi="SimSun" w:cs="SimSun"/>
                <w:color w:val="000000"/>
                <w:spacing w:val="0"/>
                <w:w w:val="100"/>
                <w:position w:val="0"/>
              </w:rPr>
              <w:t>股份，间接持有清科创业控股有限公司</w:t>
            </w:r>
            <w:r>
              <w:rPr>
                <w:color w:val="000000"/>
                <w:spacing w:val="0"/>
                <w:w w:val="100"/>
                <w:position w:val="0"/>
              </w:rPr>
              <w:t>0.88%</w:t>
            </w:r>
            <w:r>
              <w:rPr>
                <w:rFonts w:ascii="SimSun" w:eastAsia="SimSun" w:hAnsi="SimSun" w:cs="SimSun"/>
                <w:color w:val="000000"/>
                <w:spacing w:val="0"/>
                <w:w w:val="100"/>
                <w:position w:val="0"/>
              </w:rPr>
              <w:t>股份。</w:t>
            </w:r>
          </w:p>
        </w:tc>
      </w:tr>
    </w:tbl>
    <w:p>
      <w:pPr>
        <w:widowControl w:val="0"/>
        <w:spacing w:after="11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24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3</w:t>
      </w:r>
      <w:bookmarkEnd w:id="698"/>
      <w:r>
        <w:rPr>
          <w:color w:val="000000"/>
          <w:spacing w:val="0"/>
          <w:w w:val="100"/>
          <w:position w:val="0"/>
        </w:rPr>
        <w:t>、公司实际控制人及其一致行动人</w:t>
      </w:r>
      <w:bookmarkEnd w:id="696"/>
      <w:bookmarkEnd w:id="697"/>
      <w:bookmarkEnd w:id="699"/>
    </w:p>
    <w:p>
      <w:pPr>
        <w:pStyle w:val="Style24"/>
        <w:keepNext w:val="0"/>
        <w:keepLines w:val="0"/>
        <w:widowControl w:val="0"/>
        <w:shd w:val="clear" w:color="auto" w:fill="auto"/>
        <w:bidi w:val="0"/>
        <w:spacing w:before="0" w:line="346"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3427"/>
        <w:gridCol w:w="1699"/>
        <w:gridCol w:w="2078"/>
        <w:gridCol w:w="2400"/>
      </w:tblGrid>
      <w:tr>
        <w:trPr>
          <w:trHeight w:val="76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与实际控制人关系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55" w:lineRule="exact"/>
              <w:ind w:left="0" w:right="0" w:firstLine="0"/>
              <w:jc w:val="center"/>
            </w:pPr>
            <w:r>
              <w:rPr>
                <w:rFonts w:ascii="SimSun" w:eastAsia="SimSun" w:hAnsi="SimSun" w:cs="SimSun"/>
                <w:color w:val="000000"/>
                <w:spacing w:val="0"/>
                <w:w w:val="100"/>
                <w:position w:val="0"/>
              </w:rPr>
              <w:t>是否取得其他国家或 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东方财富信息股份有限公司董事长</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年曾控股的境内外上市公司情况</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11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7 </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p>
    <w:p>
      <w:pPr>
        <w:widowControl w:val="0"/>
        <w:jc w:val="left"/>
        <w:rPr>
          <w:sz w:val="2"/>
          <w:szCs w:val="2"/>
        </w:rPr>
      </w:pPr>
      <w:r>
        <w:drawing>
          <wp:inline>
            <wp:extent cx="786130" cy="225425"/>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pic:blipFill>
                  <pic:spPr>
                    <a:xfrm>
                      <a:ext cx="786130" cy="225425"/>
                    </a:xfrm>
                    <a:prstGeom prst="rect"/>
                  </pic:spPr>
                </pic:pic>
              </a:graphicData>
            </a:graphic>
          </wp:inline>
        </w:drawing>
      </w:r>
    </w:p>
    <w:p>
      <w:pPr>
        <w:widowControl w:val="0"/>
        <w:spacing w:after="879" w:line="1" w:lineRule="exact"/>
      </w:pPr>
    </w:p>
    <w:p>
      <w:pPr>
        <w:pStyle w:val="Style24"/>
        <w:keepNext w:val="0"/>
        <w:keepLines w:val="0"/>
        <w:widowControl w:val="0"/>
        <w:shd w:val="clear" w:color="auto" w:fill="auto"/>
        <w:bidi w:val="0"/>
        <w:spacing w:before="0" w:after="320" w:line="240" w:lineRule="auto"/>
        <w:ind w:left="1880" w:right="0" w:firstLine="0"/>
        <w:jc w:val="left"/>
      </w:pPr>
      <w:r>
        <w:rPr>
          <w:b/>
          <w:bCs/>
          <w:color w:val="000000"/>
          <w:spacing w:val="0"/>
          <w:w w:val="100"/>
          <w:position w:val="0"/>
        </w:rPr>
        <w:t>其实</w:t>
      </w:r>
    </w:p>
    <w:p>
      <w:pPr>
        <w:pStyle w:val="Style28"/>
        <w:keepNext w:val="0"/>
        <w:keepLines w:val="0"/>
        <w:widowControl w:val="0"/>
        <w:shd w:val="clear" w:color="auto" w:fill="auto"/>
        <w:bidi w:val="0"/>
        <w:spacing w:before="0" w:after="360" w:line="240" w:lineRule="auto"/>
        <w:ind w:left="2480" w:right="0" w:firstLine="0"/>
        <w:jc w:val="left"/>
      </w:pPr>
      <w:r>
        <w:rPr>
          <w:rFonts w:ascii="SimSun" w:eastAsia="SimSun" w:hAnsi="SimSun" w:cs="SimSun"/>
          <w:b w:val="0"/>
          <w:bCs w:val="0"/>
          <w:color w:val="000000"/>
          <w:spacing w:val="0"/>
          <w:w w:val="100"/>
          <w:position w:val="0"/>
          <w:sz w:val="16"/>
          <w:szCs w:val="16"/>
        </w:rPr>
        <w:t>持股</w:t>
      </w:r>
      <w:r>
        <w:rPr>
          <w:b w:val="0"/>
          <w:bCs w:val="0"/>
          <w:color w:val="000000"/>
          <w:spacing w:val="0"/>
          <w:w w:val="100"/>
          <w:position w:val="0"/>
        </w:rPr>
        <w:t xml:space="preserve">20. </w:t>
      </w:r>
      <w:r>
        <w:rPr>
          <w:b w:val="0"/>
          <w:bCs w:val="0"/>
          <w:color w:val="000000"/>
          <w:spacing w:val="0"/>
          <w:w w:val="100"/>
          <w:position w:val="0"/>
        </w:rPr>
        <w:t>51%</w:t>
      </w:r>
    </w:p>
    <w:p>
      <w:pPr>
        <w:pStyle w:val="Style24"/>
        <w:keepNext w:val="0"/>
        <w:keepLines w:val="0"/>
        <w:widowControl w:val="0"/>
        <w:shd w:val="clear" w:color="auto" w:fill="auto"/>
        <w:bidi w:val="0"/>
        <w:spacing w:before="0" w:after="760" w:line="240" w:lineRule="auto"/>
        <w:ind w:left="0" w:right="0" w:firstLine="880"/>
        <w:jc w:val="left"/>
      </w:pPr>
      <w:r>
        <w:rPr>
          <w:b/>
          <w:bCs/>
          <w:color w:val="1D1D1D"/>
          <w:spacing w:val="0"/>
          <w:w w:val="100"/>
          <w:position w:val="0"/>
        </w:rPr>
        <w:t>东方财</w:t>
      </w:r>
      <w:r>
        <w:rPr>
          <w:b/>
          <w:bCs/>
          <w:color w:val="000000"/>
          <w:spacing w:val="0"/>
          <w:w w:val="100"/>
          <w:position w:val="0"/>
        </w:rPr>
        <w:t>富信息股份有限公司</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4</w:t>
      </w:r>
      <w:bookmarkEnd w:id="702"/>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700"/>
      <w:bookmarkEnd w:id="701"/>
      <w:bookmarkEnd w:id="703"/>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2"/>
        <w:keepNext/>
        <w:keepLines/>
        <w:widowControl w:val="0"/>
        <w:shd w:val="clear" w:color="auto" w:fill="auto"/>
        <w:tabs>
          <w:tab w:pos="392" w:val="left"/>
        </w:tabs>
        <w:bidi w:val="0"/>
        <w:spacing w:before="0" w:after="360" w:line="240" w:lineRule="auto"/>
        <w:ind w:left="0" w:right="0" w:firstLine="0"/>
        <w:jc w:val="both"/>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5</w:t>
      </w:r>
      <w:bookmarkEnd w:id="70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704"/>
      <w:bookmarkEnd w:id="705"/>
      <w:bookmarkEnd w:id="707"/>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2"/>
        <w:keepNext/>
        <w:keepLines/>
        <w:widowControl w:val="0"/>
        <w:shd w:val="clear" w:color="auto" w:fill="auto"/>
        <w:tabs>
          <w:tab w:pos="392" w:val="left"/>
        </w:tabs>
        <w:bidi w:val="0"/>
        <w:spacing w:before="0" w:after="360" w:line="240" w:lineRule="auto"/>
        <w:ind w:left="0" w:right="0" w:firstLine="0"/>
        <w:jc w:val="both"/>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6</w:t>
      </w:r>
      <w:bookmarkEnd w:id="710"/>
      <w:r>
        <w:rPr>
          <w:color w:val="000000"/>
          <w:spacing w:val="0"/>
          <w:w w:val="100"/>
          <w:position w:val="0"/>
        </w:rPr>
        <w:t>、</w:t>
        <w:tab/>
        <w:t>控股股东、实际控制人、重组方及其他承诺主体股份限制减持情况</w:t>
      </w:r>
      <w:bookmarkEnd w:id="708"/>
      <w:bookmarkEnd w:id="709"/>
      <w:bookmarkEnd w:id="711"/>
    </w:p>
    <w:p>
      <w:pPr>
        <w:pStyle w:val="Style24"/>
        <w:keepNext w:val="0"/>
        <w:keepLines w:val="0"/>
        <w:widowControl w:val="0"/>
        <w:numPr>
          <w:ilvl w:val="0"/>
          <w:numId w:val="5"/>
        </w:numPr>
        <w:shd w:val="clear" w:color="auto" w:fill="auto"/>
        <w:tabs>
          <w:tab w:pos="286" w:val="left"/>
        </w:tabs>
        <w:bidi w:val="0"/>
        <w:spacing w:before="0" w:after="360" w:line="240" w:lineRule="auto"/>
        <w:ind w:left="0" w:right="0" w:firstLine="0"/>
        <w:jc w:val="both"/>
      </w:pPr>
      <w:bookmarkStart w:id="712" w:name="bookmark712"/>
      <w:bookmarkEnd w:id="71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7 </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both"/>
      </w:pPr>
      <w:bookmarkStart w:id="713" w:name="bookmark713"/>
      <w:bookmarkStart w:id="714" w:name="bookmark714"/>
      <w:bookmarkStart w:id="715" w:name="bookmark715"/>
      <w:bookmarkStart w:id="716" w:name="bookmark716"/>
      <w:r>
        <w:rPr>
          <w:color w:val="000000"/>
          <w:spacing w:val="0"/>
          <w:w w:val="100"/>
          <w:position w:val="0"/>
          <w:sz w:val="24"/>
          <w:szCs w:val="24"/>
        </w:rPr>
        <w:t>四</w:t>
      </w:r>
      <w:bookmarkEnd w:id="715"/>
      <w:r>
        <w:rPr>
          <w:color w:val="000000"/>
          <w:spacing w:val="0"/>
          <w:w w:val="100"/>
          <w:position w:val="0"/>
          <w:sz w:val="24"/>
          <w:szCs w:val="24"/>
        </w:rPr>
        <w:t>、股份回购在报告期的具体实施情况</w:t>
      </w:r>
      <w:bookmarkEnd w:id="713"/>
      <w:bookmarkEnd w:id="714"/>
      <w:bookmarkEnd w:id="716"/>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股份回购的实施进展情况</w:t>
      </w:r>
    </w:p>
    <w:p>
      <w:pPr>
        <w:pStyle w:val="Style24"/>
        <w:keepNext w:val="0"/>
        <w:keepLines w:val="0"/>
        <w:widowControl w:val="0"/>
        <w:numPr>
          <w:ilvl w:val="0"/>
          <w:numId w:val="5"/>
        </w:numPr>
        <w:shd w:val="clear" w:color="auto" w:fill="auto"/>
        <w:tabs>
          <w:tab w:pos="286" w:val="left"/>
        </w:tabs>
        <w:bidi w:val="0"/>
        <w:spacing w:before="0" w:line="240" w:lineRule="auto"/>
        <w:ind w:left="0" w:right="0" w:firstLine="0"/>
        <w:jc w:val="both"/>
      </w:pPr>
      <w:bookmarkStart w:id="717" w:name="bookmark717"/>
      <w:bookmarkEnd w:id="71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7 </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24"/>
        <w:keepNext w:val="0"/>
        <w:keepLines w:val="0"/>
        <w:widowControl w:val="0"/>
        <w:numPr>
          <w:ilvl w:val="0"/>
          <w:numId w:val="5"/>
        </w:numPr>
        <w:shd w:val="clear" w:color="auto" w:fill="auto"/>
        <w:tabs>
          <w:tab w:pos="286" w:val="left"/>
        </w:tabs>
        <w:bidi w:val="0"/>
        <w:spacing w:before="0" w:after="360" w:line="240" w:lineRule="auto"/>
        <w:ind w:left="0" w:right="0" w:firstLine="0"/>
        <w:jc w:val="both"/>
        <w:sectPr>
          <w:footnotePr>
            <w:pos w:val="pageBottom"/>
            <w:numFmt w:val="upperRoman"/>
            <w:numStart w:val="1"/>
            <w:numRestart w:val="continuous"/>
            <w15:footnoteColumns w:val="1"/>
          </w:footnotePr>
          <w:pgSz w:w="11900" w:h="16840"/>
          <w:pgMar w:top="1284" w:right="1159" w:bottom="1462" w:left="1098" w:header="0" w:footer="3" w:gutter="0"/>
          <w:cols w:space="720"/>
          <w:noEndnote/>
          <w:rtlGutter w:val="0"/>
          <w:docGrid w:linePitch="360"/>
        </w:sectPr>
      </w:pPr>
      <w:bookmarkStart w:id="718" w:name="bookmark718"/>
      <w:bookmarkEnd w:id="71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7 </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4" behindDoc="0" locked="0" layoutInCell="1" allowOverlap="1">
                <wp:simplePos x="0" y="0"/>
                <wp:positionH relativeFrom="page">
                  <wp:posOffset>2658110</wp:posOffset>
                </wp:positionH>
                <wp:positionV relativeFrom="paragraph">
                  <wp:posOffset>0</wp:posOffset>
                </wp:positionV>
                <wp:extent cx="2231390" cy="243840"/>
                <wp:wrapTopAndBottom/>
                <wp:docPr id="9" name="Shape 9"/>
                <a:graphic xmlns:a="http://schemas.openxmlformats.org/drawingml/2006/main">
                  <a:graphicData uri="http://schemas.microsoft.com/office/word/2010/wordprocessingShape">
                    <wps:wsp>
                      <wps:cNvSpPr txBox="1"/>
                      <wps:spPr>
                        <a:xfrm>
                          <a:ext cx="223139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719" w:name="bookmark719"/>
                            <w:bookmarkStart w:id="720" w:name="bookmark720"/>
                            <w:bookmarkStart w:id="721" w:name="bookmark721"/>
                            <w:r>
                              <w:rPr>
                                <w:color w:val="000000"/>
                                <w:spacing w:val="0"/>
                                <w:w w:val="100"/>
                                <w:position w:val="0"/>
                              </w:rPr>
                              <w:t>第八节优先股相关情况</w:t>
                            </w:r>
                            <w:bookmarkEnd w:id="719"/>
                            <w:bookmarkEnd w:id="720"/>
                            <w:bookmarkEnd w:id="721"/>
                          </w:p>
                        </w:txbxContent>
                      </wps:txbx>
                      <wps:bodyPr wrap="none" lIns="0" tIns="0" rIns="0" bIns="0">
                        <a:noAutoFit/>
                      </wps:bodyPr>
                    </wps:wsp>
                  </a:graphicData>
                </a:graphic>
              </wp:anchor>
            </w:drawing>
          </mc:Choice>
          <mc:Fallback>
            <w:pict>
              <v:shape id="_x0000_s1035" type="#_x0000_t202" style="position:absolute;margin-left:209.30000000000001pt;margin-top:0;width:175.70000000000002pt;height:19.199999999999999pt;z-index:-125829369;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719" w:name="bookmark719"/>
                      <w:bookmarkStart w:id="720" w:name="bookmark720"/>
                      <w:bookmarkStart w:id="721" w:name="bookmark721"/>
                      <w:r>
                        <w:rPr>
                          <w:color w:val="000000"/>
                          <w:spacing w:val="0"/>
                          <w:w w:val="100"/>
                          <w:position w:val="0"/>
                        </w:rPr>
                        <w:t>第八节优先股相关情况</w:t>
                      </w:r>
                      <w:bookmarkEnd w:id="719"/>
                      <w:bookmarkEnd w:id="720"/>
                      <w:bookmarkEnd w:id="721"/>
                    </w:p>
                  </w:txbxContent>
                </v:textbox>
                <w10:wrap type="topAndBottom" anchorx="page"/>
              </v:shape>
            </w:pict>
          </mc:Fallback>
        </mc:AlternateConten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left"/>
        <w:sectPr>
          <w:footnotePr>
            <w:pos w:val="pageBottom"/>
            <w:numFmt w:val="upperRoman"/>
            <w:numStart w:val="1"/>
            <w:numRestart w:val="continuous"/>
            <w15:footnoteColumns w:val="1"/>
          </w:footnotePr>
          <w:pgSz w:w="11900" w:h="16840"/>
          <w:pgMar w:top="1928" w:right="1253" w:bottom="1928" w:left="1109"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480" w:after="580" w:line="240" w:lineRule="auto"/>
        <w:ind w:left="0" w:right="0" w:firstLine="0"/>
        <w:jc w:val="center"/>
      </w:pPr>
      <w:bookmarkStart w:id="722" w:name="bookmark722"/>
      <w:bookmarkStart w:id="723" w:name="bookmark723"/>
      <w:bookmarkStart w:id="724" w:name="bookmark724"/>
      <w:r>
        <w:rPr>
          <w:color w:val="000000"/>
          <w:spacing w:val="0"/>
          <w:w w:val="100"/>
          <w:position w:val="0"/>
        </w:rPr>
        <w:t>第九节债券相关情况</w:t>
      </w:r>
      <w:bookmarkEnd w:id="722"/>
      <w:bookmarkEnd w:id="723"/>
      <w:bookmarkEnd w:id="724"/>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keepLines/>
        <w:widowControl w:val="0"/>
        <w:shd w:val="clear" w:color="auto" w:fill="auto"/>
        <w:tabs>
          <w:tab w:pos="541" w:val="left"/>
        </w:tabs>
        <w:bidi w:val="0"/>
        <w:spacing w:before="0" w:after="360" w:line="240" w:lineRule="auto"/>
        <w:ind w:left="0" w:right="0" w:firstLine="0"/>
        <w:jc w:val="left"/>
      </w:pPr>
      <w:bookmarkStart w:id="725" w:name="bookmark725"/>
      <w:bookmarkStart w:id="726" w:name="bookmark726"/>
      <w:bookmarkStart w:id="727" w:name="bookmark727"/>
      <w:bookmarkStart w:id="728" w:name="bookmark728"/>
      <w:r>
        <w:rPr>
          <w:color w:val="000000"/>
          <w:spacing w:val="0"/>
          <w:w w:val="100"/>
          <w:position w:val="0"/>
          <w:sz w:val="24"/>
          <w:szCs w:val="24"/>
        </w:rPr>
        <w:t>一</w:t>
      </w:r>
      <w:bookmarkEnd w:id="727"/>
      <w:r>
        <w:rPr>
          <w:color w:val="000000"/>
          <w:spacing w:val="0"/>
          <w:w w:val="100"/>
          <w:position w:val="0"/>
          <w:sz w:val="24"/>
          <w:szCs w:val="24"/>
        </w:rPr>
        <w:t>、</w:t>
        <w:tab/>
        <w:t>企业债券</w:t>
      </w:r>
      <w:bookmarkEnd w:id="725"/>
      <w:bookmarkEnd w:id="726"/>
      <w:bookmarkEnd w:id="728"/>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报告期公司不存在企业债券。</w:t>
      </w:r>
    </w:p>
    <w:p>
      <w:pPr>
        <w:pStyle w:val="Style22"/>
        <w:keepNext/>
        <w:keepLines/>
        <w:widowControl w:val="0"/>
        <w:shd w:val="clear" w:color="auto" w:fill="auto"/>
        <w:tabs>
          <w:tab w:pos="541" w:val="left"/>
        </w:tabs>
        <w:bidi w:val="0"/>
        <w:spacing w:before="0" w:after="360" w:line="240" w:lineRule="auto"/>
        <w:ind w:left="0" w:right="0" w:firstLine="0"/>
        <w:jc w:val="left"/>
      </w:pPr>
      <w:bookmarkStart w:id="729" w:name="bookmark729"/>
      <w:bookmarkStart w:id="730" w:name="bookmark730"/>
      <w:bookmarkStart w:id="731" w:name="bookmark731"/>
      <w:bookmarkStart w:id="732" w:name="bookmark732"/>
      <w:r>
        <w:rPr>
          <w:color w:val="000000"/>
          <w:spacing w:val="0"/>
          <w:w w:val="100"/>
          <w:position w:val="0"/>
          <w:sz w:val="24"/>
          <w:szCs w:val="24"/>
        </w:rPr>
        <w:t>二</w:t>
      </w:r>
      <w:bookmarkEnd w:id="731"/>
      <w:r>
        <w:rPr>
          <w:color w:val="000000"/>
          <w:spacing w:val="0"/>
          <w:w w:val="100"/>
          <w:position w:val="0"/>
          <w:sz w:val="24"/>
          <w:szCs w:val="24"/>
        </w:rPr>
        <w:t>、</w:t>
        <w:tab/>
        <w:t>公司债券</w:t>
      </w:r>
      <w:bookmarkEnd w:id="729"/>
      <w:bookmarkEnd w:id="730"/>
      <w:bookmarkEnd w:id="732"/>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1</w:t>
      </w:r>
      <w:bookmarkEnd w:id="735"/>
      <w:r>
        <w:rPr>
          <w:color w:val="000000"/>
          <w:spacing w:val="0"/>
          <w:w w:val="100"/>
          <w:position w:val="0"/>
        </w:rPr>
        <w:t>、公司债券基本信息</w:t>
      </w:r>
      <w:bookmarkEnd w:id="733"/>
      <w:bookmarkEnd w:id="734"/>
      <w:bookmarkEnd w:id="73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62"/>
        <w:gridCol w:w="994"/>
        <w:gridCol w:w="710"/>
        <w:gridCol w:w="893"/>
        <w:gridCol w:w="950"/>
        <w:gridCol w:w="950"/>
        <w:gridCol w:w="965"/>
        <w:gridCol w:w="638"/>
        <w:gridCol w:w="1411"/>
        <w:gridCol w:w="830"/>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债券简称</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债券</w:t>
            </w:r>
          </w:p>
          <w:p>
            <w:pPr>
              <w:pStyle w:val="Style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代码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发行日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起息日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债券余额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还本付息方式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交易场所</w:t>
            </w:r>
          </w:p>
        </w:tc>
      </w:tr>
      <w:tr>
        <w:trPr>
          <w:trHeight w:val="16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西藏东方财富 证券股份有限 公司</w:t>
            </w:r>
            <w:r>
              <w:rPr>
                <w:color w:val="000000"/>
                <w:spacing w:val="0"/>
                <w:w w:val="100"/>
                <w:position w:val="0"/>
              </w:rPr>
              <w:t>2017</w:t>
            </w:r>
            <w:r>
              <w:rPr>
                <w:rFonts w:ascii="SimSun" w:eastAsia="SimSun" w:hAnsi="SimSun" w:cs="SimSun"/>
                <w:color w:val="000000"/>
                <w:spacing w:val="0"/>
                <w:w w:val="100"/>
                <w:position w:val="0"/>
              </w:rPr>
              <w:t>年证 券公司次级债 券（第一期）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东财</w:t>
            </w:r>
            <w:r>
              <w:rPr>
                <w:color w:val="000000"/>
                <w:spacing w:val="0"/>
                <w:w w:val="100"/>
                <w:position w:val="0"/>
              </w:rPr>
              <w:t>C1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118969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每年付息一次， 到期一次还本，</w:t>
            </w:r>
          </w:p>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最后一期利息随 本金的兑付一起 支付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深圳证券</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交易所</w:t>
            </w:r>
          </w:p>
        </w:tc>
      </w:tr>
      <w:tr>
        <w:trPr>
          <w:trHeight w:val="16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 xml:space="preserve">东方财富证券 股份有限公司 非公开发行 </w:t>
            </w:r>
            <w:r>
              <w:rPr>
                <w:color w:val="000000"/>
                <w:spacing w:val="0"/>
                <w:w w:val="100"/>
                <w:position w:val="0"/>
              </w:rPr>
              <w:t>2021</w:t>
            </w:r>
            <w:r>
              <w:rPr>
                <w:rFonts w:ascii="SimSun" w:eastAsia="SimSun" w:hAnsi="SimSun" w:cs="SimSun"/>
                <w:color w:val="000000"/>
                <w:spacing w:val="0"/>
                <w:w w:val="100"/>
                <w:position w:val="0"/>
              </w:rPr>
              <w:t>年公司债 券（第一期）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114895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按年付息、到期 一次还本，最后 一期利息随本金 一起支付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深圳证券 交易所</w:t>
            </w:r>
          </w:p>
        </w:tc>
      </w:tr>
      <w:tr>
        <w:trPr>
          <w:trHeight w:val="166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 xml:space="preserve">东方财富证券 股份有限公司 </w:t>
            </w:r>
            <w:r>
              <w:rPr>
                <w:color w:val="000000"/>
                <w:spacing w:val="0"/>
                <w:w w:val="100"/>
                <w:position w:val="0"/>
              </w:rPr>
              <w:t>2021</w:t>
            </w:r>
            <w:r>
              <w:rPr>
                <w:rFonts w:ascii="SimSun" w:eastAsia="SimSun" w:hAnsi="SimSun" w:cs="SimSun"/>
                <w:color w:val="000000"/>
                <w:spacing w:val="0"/>
                <w:w w:val="100"/>
                <w:position w:val="0"/>
              </w:rPr>
              <w:t>年非公开 发行公司债券 （第二期）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133060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到期一次性还本 付息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深圳证券 交易所</w:t>
            </w:r>
          </w:p>
        </w:tc>
      </w:tr>
      <w:tr>
        <w:trPr>
          <w:trHeight w:val="16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 xml:space="preserve">东方财富证券 股份有限公司 </w:t>
            </w:r>
            <w:r>
              <w:rPr>
                <w:color w:val="000000"/>
                <w:spacing w:val="0"/>
                <w:w w:val="100"/>
                <w:position w:val="0"/>
              </w:rPr>
              <w:t>2021</w:t>
            </w:r>
            <w:r>
              <w:rPr>
                <w:rFonts w:ascii="SimSun" w:eastAsia="SimSun" w:hAnsi="SimSun" w:cs="SimSun"/>
                <w:color w:val="000000"/>
                <w:spacing w:val="0"/>
                <w:w w:val="100"/>
                <w:position w:val="0"/>
              </w:rPr>
              <w:t>年非公开 发行公司债券 （第三期）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133077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到期一次性还本 付息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深圳证券</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交易所</w:t>
            </w:r>
          </w:p>
        </w:tc>
      </w:tr>
      <w:tr>
        <w:trPr>
          <w:trHeight w:val="98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 xml:space="preserve">东方财富证券 股份有限公司 </w:t>
            </w:r>
            <w:r>
              <w:rPr>
                <w:color w:val="000000"/>
                <w:spacing w:val="0"/>
                <w:w w:val="100"/>
                <w:position w:val="0"/>
              </w:rPr>
              <w:t>2021</w:t>
            </w:r>
            <w:r>
              <w:rPr>
                <w:rFonts w:ascii="SimSun" w:eastAsia="SimSun" w:hAnsi="SimSun" w:cs="SimSun"/>
                <w:color w:val="000000"/>
                <w:spacing w:val="0"/>
                <w:w w:val="100"/>
                <w:position w:val="0"/>
              </w:rPr>
              <w:t>年面向专</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149759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按年付息，到期 一次还本</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深圳证券 交易所</w:t>
            </w:r>
          </w:p>
        </w:tc>
      </w:tr>
    </w:tbl>
    <w:p>
      <w:pPr>
        <w:spacing w:lineRule="exact" w:line="1"/>
        <w:rPr>
          <w:sz w:val="2"/>
          <w:szCs w:val="2"/>
        </w:rPr>
      </w:pPr>
      <w:r>
        <w:br w:type="page"/>
      </w:r>
    </w:p>
    <w:tbl>
      <w:tblPr>
        <w:tblOverlap w:val="never"/>
        <w:jc w:val="center"/>
        <w:tblLayout w:type="fixed"/>
      </w:tblPr>
      <w:tblGrid>
        <w:gridCol w:w="1262"/>
        <w:gridCol w:w="994"/>
        <w:gridCol w:w="710"/>
        <w:gridCol w:w="893"/>
        <w:gridCol w:w="950"/>
        <w:gridCol w:w="950"/>
        <w:gridCol w:w="965"/>
        <w:gridCol w:w="638"/>
        <w:gridCol w:w="1411"/>
        <w:gridCol w:w="830"/>
      </w:tblGrid>
      <w:tr>
        <w:trPr>
          <w:trHeight w:val="13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业投资者公开</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发行公司债券</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（第一期）（品</w:t>
            </w:r>
          </w:p>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种一）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东方财富证券 股份有限公司 </w:t>
            </w:r>
            <w:r>
              <w:rPr>
                <w:color w:val="000000"/>
                <w:spacing w:val="0"/>
                <w:w w:val="100"/>
                <w:position w:val="0"/>
              </w:rPr>
              <w:t>2021</w:t>
            </w:r>
            <w:r>
              <w:rPr>
                <w:rFonts w:ascii="SimSun" w:eastAsia="SimSun" w:hAnsi="SimSun" w:cs="SimSun"/>
                <w:color w:val="000000"/>
                <w:spacing w:val="0"/>
                <w:w w:val="100"/>
                <w:position w:val="0"/>
              </w:rPr>
              <w:t>年面向专 业投资者公开 发行公司债券</w:t>
            </w:r>
          </w:p>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（第一期）（品 种二）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149760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2024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按年付息，到期 一次还本</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深圳证券 交易所</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RegS</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美元债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HAFOO</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N2412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40952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2024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191,271.00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每半年付息一</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次，到期一次还</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本付息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香港联合 交易所</w:t>
            </w:r>
          </w:p>
        </w:tc>
      </w:tr>
      <w:tr>
        <w:trPr>
          <w:trHeight w:val="1037"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投资者适当性安排（如有）</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“17</w:t>
            </w:r>
            <w:r>
              <w:rPr>
                <w:rFonts w:ascii="SimSun" w:eastAsia="SimSun" w:hAnsi="SimSun" w:cs="SimSun"/>
                <w:color w:val="000000"/>
                <w:spacing w:val="0"/>
                <w:w w:val="100"/>
                <w:position w:val="0"/>
              </w:rPr>
              <w:t>东财</w:t>
            </w:r>
            <w:r>
              <w:rPr>
                <w:color w:val="000000"/>
                <w:spacing w:val="0"/>
                <w:w w:val="100"/>
                <w:position w:val="0"/>
              </w:rPr>
              <w:t>C1”</w:t>
            </w:r>
            <w:r>
              <w:rPr>
                <w:rFonts w:ascii="SimSun" w:eastAsia="SimSun" w:hAnsi="SimSun" w:cs="SimSun"/>
                <w:color w:val="000000"/>
                <w:spacing w:val="0"/>
                <w:w w:val="100"/>
                <w:position w:val="0"/>
              </w:rPr>
              <w:t>面向合格投资者发行；</w:t>
            </w: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01”</w:t>
            </w:r>
            <w:r>
              <w:rPr>
                <w:rFonts w:ascii="SimSun" w:eastAsia="SimSun" w:hAnsi="SimSun" w:cs="SimSun"/>
                <w:color w:val="000000"/>
                <w:spacing w:val="0"/>
                <w:w w:val="100"/>
                <w:position w:val="0"/>
              </w:rPr>
              <w:t>、</w:t>
            </w: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02”</w:t>
            </w:r>
            <w:r>
              <w:rPr>
                <w:rFonts w:ascii="SimSun" w:eastAsia="SimSun" w:hAnsi="SimSun" w:cs="SimSun"/>
                <w:color w:val="000000"/>
                <w:spacing w:val="0"/>
                <w:w w:val="100"/>
                <w:position w:val="0"/>
              </w:rPr>
              <w:t>、</w:t>
            </w: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03”</w:t>
            </w:r>
            <w:r>
              <w:rPr>
                <w:rFonts w:ascii="SimSun" w:eastAsia="SimSun" w:hAnsi="SimSun" w:cs="SimSun"/>
                <w:color w:val="000000"/>
                <w:spacing w:val="0"/>
                <w:w w:val="100"/>
                <w:position w:val="0"/>
              </w:rPr>
              <w:t>面向 专业机构投资者发行；</w:t>
            </w: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04”</w:t>
            </w:r>
            <w:r>
              <w:rPr>
                <w:rFonts w:ascii="SimSun" w:eastAsia="SimSun" w:hAnsi="SimSun" w:cs="SimSun"/>
                <w:color w:val="000000"/>
                <w:spacing w:val="0"/>
                <w:w w:val="100"/>
                <w:position w:val="0"/>
              </w:rPr>
              <w:t>、</w:t>
            </w: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05”</w:t>
            </w:r>
            <w:r>
              <w:rPr>
                <w:rFonts w:ascii="SimSun" w:eastAsia="SimSun" w:hAnsi="SimSun" w:cs="SimSun"/>
                <w:color w:val="000000"/>
                <w:spacing w:val="0"/>
                <w:w w:val="100"/>
                <w:position w:val="0"/>
              </w:rPr>
              <w:t>面向专业投资者发行；</w:t>
            </w:r>
            <w:r>
              <w:rPr>
                <w:color w:val="000000"/>
                <w:spacing w:val="0"/>
                <w:w w:val="100"/>
                <w:position w:val="0"/>
              </w:rPr>
              <w:t>“HAFOO N2412”</w:t>
            </w:r>
            <w:r>
              <w:rPr>
                <w:rFonts w:ascii="SimSun" w:eastAsia="SimSun" w:hAnsi="SimSun" w:cs="SimSun"/>
                <w:color w:val="000000"/>
                <w:spacing w:val="0"/>
                <w:w w:val="100"/>
                <w:position w:val="0"/>
              </w:rPr>
              <w:t>面向专业投资者公开发行。</w:t>
            </w:r>
          </w:p>
        </w:tc>
      </w:tr>
      <w:tr>
        <w:trPr>
          <w:trHeight w:val="1325"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适用的交易机制</w:t>
            </w:r>
          </w:p>
        </w:tc>
        <w:tc>
          <w:tcPr>
            <w:gridSpan w:val="7"/>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“17</w:t>
            </w:r>
            <w:r>
              <w:rPr>
                <w:rFonts w:ascii="SimSun" w:eastAsia="SimSun" w:hAnsi="SimSun" w:cs="SimSun"/>
                <w:color w:val="000000"/>
                <w:spacing w:val="0"/>
                <w:w w:val="100"/>
                <w:position w:val="0"/>
              </w:rPr>
              <w:t>东财</w:t>
            </w:r>
            <w:r>
              <w:rPr>
                <w:color w:val="000000"/>
                <w:spacing w:val="0"/>
                <w:w w:val="100"/>
                <w:position w:val="0"/>
              </w:rPr>
              <w:t>C1”</w:t>
            </w:r>
            <w:r>
              <w:rPr>
                <w:rFonts w:ascii="SimSun" w:eastAsia="SimSun" w:hAnsi="SimSun" w:cs="SimSun"/>
                <w:color w:val="000000"/>
                <w:spacing w:val="0"/>
                <w:w w:val="100"/>
                <w:position w:val="0"/>
              </w:rPr>
              <w:t>、</w:t>
            </w: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01”</w:t>
            </w:r>
            <w:r>
              <w:rPr>
                <w:rFonts w:ascii="SimSun" w:eastAsia="SimSun" w:hAnsi="SimSun" w:cs="SimSun"/>
                <w:color w:val="000000"/>
                <w:spacing w:val="0"/>
                <w:w w:val="100"/>
                <w:position w:val="0"/>
              </w:rPr>
              <w:t>、</w:t>
            </w: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02”</w:t>
            </w:r>
            <w:r>
              <w:rPr>
                <w:rFonts w:ascii="SimSun" w:eastAsia="SimSun" w:hAnsi="SimSun" w:cs="SimSun"/>
                <w:color w:val="000000"/>
                <w:spacing w:val="0"/>
                <w:w w:val="100"/>
                <w:position w:val="0"/>
              </w:rPr>
              <w:t>、</w:t>
            </w: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03”</w:t>
            </w:r>
            <w:r>
              <w:rPr>
                <w:rFonts w:ascii="SimSun" w:eastAsia="SimSun" w:hAnsi="SimSun" w:cs="SimSun"/>
                <w:color w:val="000000"/>
                <w:spacing w:val="0"/>
                <w:w w:val="100"/>
                <w:position w:val="0"/>
              </w:rPr>
              <w:t>在深交所综合协议交易平 台进行转让；</w:t>
            </w: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04”</w:t>
            </w:r>
            <w:r>
              <w:rPr>
                <w:rFonts w:ascii="SimSun" w:eastAsia="SimSun" w:hAnsi="SimSun" w:cs="SimSun"/>
                <w:color w:val="000000"/>
                <w:spacing w:val="0"/>
                <w:w w:val="100"/>
                <w:position w:val="0"/>
              </w:rPr>
              <w:t>、</w:t>
            </w: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05”</w:t>
            </w:r>
            <w:r>
              <w:rPr>
                <w:rFonts w:ascii="SimSun" w:eastAsia="SimSun" w:hAnsi="SimSun" w:cs="SimSun"/>
                <w:color w:val="000000"/>
                <w:spacing w:val="0"/>
                <w:w w:val="100"/>
                <w:position w:val="0"/>
              </w:rPr>
              <w:t>在深交所集中竞价系统和综合协议交易平 台同时交易；</w:t>
            </w:r>
            <w:r>
              <w:rPr>
                <w:color w:val="000000"/>
                <w:spacing w:val="0"/>
                <w:w w:val="100"/>
                <w:position w:val="0"/>
              </w:rPr>
              <w:t>“HAFOO N2412”</w:t>
            </w:r>
            <w:r>
              <w:rPr>
                <w:rFonts w:ascii="SimSun" w:eastAsia="SimSun" w:hAnsi="SimSun" w:cs="SimSun"/>
                <w:color w:val="000000"/>
                <w:spacing w:val="0"/>
                <w:w w:val="100"/>
                <w:position w:val="0"/>
              </w:rPr>
              <w:t>在香港联合交易所美元债券适用面向专业投资者交 易。</w:t>
            </w:r>
          </w:p>
        </w:tc>
      </w:tr>
      <w:tr>
        <w:trPr>
          <w:trHeight w:val="730" w:hRule="exact"/>
        </w:trPr>
        <w:tc>
          <w:tcPr>
            <w:gridSpan w:val="3"/>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是否存在终止上市交易的风险和应对 措施</w:t>
            </w:r>
          </w:p>
        </w:tc>
        <w:tc>
          <w:tcPr>
            <w:gridSpan w:val="7"/>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不存在终止上市交易的风险。</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逾期未偿还债券</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2</w:t>
      </w:r>
      <w:bookmarkEnd w:id="739"/>
      <w:r>
        <w:rPr>
          <w:color w:val="000000"/>
          <w:spacing w:val="0"/>
          <w:w w:val="100"/>
          <w:position w:val="0"/>
        </w:rPr>
        <w:t>、发行人或投资者选择权条款、投资者保护条款的触发和执行情况</w:t>
      </w:r>
      <w:bookmarkEnd w:id="737"/>
      <w:bookmarkEnd w:id="738"/>
      <w:bookmarkEnd w:id="740"/>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2"/>
        <w:keepNext/>
        <w:keepLines/>
        <w:widowControl w:val="0"/>
        <w:shd w:val="clear" w:color="auto" w:fill="auto"/>
        <w:bidi w:val="0"/>
        <w:spacing w:before="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3</w:t>
      </w:r>
      <w:bookmarkEnd w:id="743"/>
      <w:r>
        <w:rPr>
          <w:color w:val="000000"/>
          <w:spacing w:val="0"/>
          <w:w w:val="100"/>
          <w:position w:val="0"/>
        </w:rPr>
        <w:t>、中介机构的情况</w:t>
      </w:r>
      <w:bookmarkEnd w:id="741"/>
      <w:bookmarkEnd w:id="742"/>
      <w:bookmarkEnd w:id="744"/>
    </w:p>
    <w:tbl>
      <w:tblPr>
        <w:tblOverlap w:val="never"/>
        <w:jc w:val="center"/>
        <w:tblLayout w:type="fixed"/>
      </w:tblPr>
      <w:tblGrid>
        <w:gridCol w:w="1608"/>
        <w:gridCol w:w="1603"/>
        <w:gridCol w:w="2016"/>
        <w:gridCol w:w="1282"/>
        <w:gridCol w:w="1488"/>
        <w:gridCol w:w="1608"/>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债券项目名称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中介机构名称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办公地址</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签字会计师 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中介机构联系人</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联系电话</w:t>
            </w:r>
          </w:p>
        </w:tc>
      </w:tr>
      <w:tr>
        <w:trPr>
          <w:trHeight w:val="10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东财</w:t>
            </w:r>
            <w:r>
              <w:rPr>
                <w:color w:val="000000"/>
                <w:spacing w:val="0"/>
                <w:w w:val="100"/>
                <w:position w:val="0"/>
              </w:rPr>
              <w:t>C1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中国国际金融股份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北京市朝阳区建国门外 大街</w:t>
            </w:r>
            <w:r>
              <w:rPr>
                <w:color w:val="000000"/>
                <w:spacing w:val="0"/>
                <w:w w:val="100"/>
                <w:position w:val="0"/>
              </w:rPr>
              <w:t>1</w:t>
            </w:r>
            <w:r>
              <w:rPr>
                <w:rFonts w:ascii="SimSun" w:eastAsia="SimSun" w:hAnsi="SimSun" w:cs="SimSun"/>
                <w:color w:val="000000"/>
                <w:spacing w:val="0"/>
                <w:w w:val="100"/>
                <w:position w:val="0"/>
              </w:rPr>
              <w:t>号国贸大厦</w:t>
            </w:r>
            <w:r>
              <w:rPr>
                <w:color w:val="000000"/>
                <w:spacing w:val="0"/>
                <w:w w:val="100"/>
                <w:position w:val="0"/>
              </w:rPr>
              <w:t>2</w:t>
            </w:r>
            <w:r>
              <w:rPr>
                <w:rFonts w:ascii="SimSun" w:eastAsia="SimSun" w:hAnsi="SimSun" w:cs="SimSun"/>
                <w:color w:val="000000"/>
                <w:spacing w:val="0"/>
                <w:w w:val="100"/>
                <w:position w:val="0"/>
              </w:rPr>
              <w:t xml:space="preserve">座 </w:t>
            </w:r>
            <w:r>
              <w:rPr>
                <w:color w:val="000000"/>
                <w:spacing w:val="0"/>
                <w:w w:val="100"/>
                <w:position w:val="0"/>
              </w:rPr>
              <w:t>27</w:t>
            </w:r>
            <w:r>
              <w:rPr>
                <w:rFonts w:ascii="SimSun" w:eastAsia="SimSun" w:hAnsi="SimSun" w:cs="SimSun"/>
                <w:color w:val="000000"/>
                <w:spacing w:val="0"/>
                <w:w w:val="100"/>
                <w:position w:val="0"/>
              </w:rPr>
              <w:t>层及</w:t>
            </w:r>
            <w:r>
              <w:rPr>
                <w:color w:val="000000"/>
                <w:spacing w:val="0"/>
                <w:w w:val="100"/>
                <w:position w:val="0"/>
              </w:rPr>
              <w:t>28</w:t>
            </w:r>
            <w:r>
              <w:rPr>
                <w:rFonts w:ascii="SimSun" w:eastAsia="SimSun" w:hAnsi="SimSun" w:cs="SimSun"/>
                <w:color w:val="000000"/>
                <w:spacing w:val="0"/>
                <w:w w:val="100"/>
                <w:position w:val="0"/>
              </w:rPr>
              <w:t>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雷仁光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010-65051166</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东财</w:t>
            </w:r>
            <w:r>
              <w:rPr>
                <w:color w:val="000000"/>
                <w:spacing w:val="0"/>
                <w:w w:val="100"/>
                <w:position w:val="0"/>
              </w:rPr>
              <w:t>C1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国浩律师（上海） 事务所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 xml:space="preserve">上海市静安区北京西路 </w:t>
            </w:r>
            <w:r>
              <w:rPr>
                <w:color w:val="000000"/>
                <w:spacing w:val="0"/>
                <w:w w:val="100"/>
                <w:position w:val="0"/>
              </w:rPr>
              <w:t>968</w:t>
            </w:r>
            <w:r>
              <w:rPr>
                <w:rFonts w:ascii="SimSun" w:eastAsia="SimSun" w:hAnsi="SimSun" w:cs="SimSun"/>
                <w:color w:val="000000"/>
                <w:spacing w:val="0"/>
                <w:w w:val="100"/>
                <w:position w:val="0"/>
              </w:rPr>
              <w:t>号嘉地中心</w:t>
            </w:r>
            <w:r>
              <w:rPr>
                <w:color w:val="000000"/>
                <w:spacing w:val="0"/>
                <w:w w:val="100"/>
                <w:position w:val="0"/>
              </w:rPr>
              <w:t>23-25</w:t>
            </w:r>
            <w:r>
              <w:rPr>
                <w:rFonts w:ascii="SimSun" w:eastAsia="SimSun" w:hAnsi="SimSun" w:cs="SimSun"/>
                <w:color w:val="000000"/>
                <w:spacing w:val="0"/>
                <w:w w:val="100"/>
                <w:position w:val="0"/>
              </w:rPr>
              <w:t xml:space="preserve">、 </w:t>
            </w:r>
            <w:r>
              <w:rPr>
                <w:color w:val="000000"/>
                <w:spacing w:val="0"/>
                <w:w w:val="100"/>
                <w:position w:val="0"/>
              </w:rPr>
              <w:t>27</w:t>
            </w:r>
            <w:r>
              <w:rPr>
                <w:rFonts w:ascii="SimSun" w:eastAsia="SimSun" w:hAnsi="SimSun" w:cs="SimSun"/>
                <w:color w:val="000000"/>
                <w:spacing w:val="0"/>
                <w:w w:val="100"/>
                <w:position w:val="0"/>
              </w:rPr>
              <w:t>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雷丹丹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021-52341668</w:t>
            </w:r>
          </w:p>
        </w:tc>
      </w:tr>
      <w:tr>
        <w:trPr>
          <w:trHeight w:val="71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东财</w:t>
            </w:r>
            <w:r>
              <w:rPr>
                <w:color w:val="000000"/>
                <w:spacing w:val="0"/>
                <w:w w:val="100"/>
                <w:position w:val="0"/>
              </w:rPr>
              <w:t>C1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立信会计师事务所</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（特殊普通合伙）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上海南京东路</w:t>
            </w:r>
            <w:r>
              <w:rPr>
                <w:color w:val="000000"/>
                <w:spacing w:val="0"/>
                <w:w w:val="100"/>
                <w:position w:val="0"/>
              </w:rPr>
              <w:t>61</w:t>
            </w:r>
            <w:r>
              <w:rPr>
                <w:rFonts w:ascii="SimSun" w:eastAsia="SimSun" w:hAnsi="SimSun" w:cs="SimSun"/>
                <w:color w:val="000000"/>
                <w:spacing w:val="0"/>
                <w:w w:val="100"/>
                <w:position w:val="0"/>
              </w:rPr>
              <w:t>号新黄 浦金融大厦四楼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姚辉、李新民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李新民</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021-23280000</w:t>
            </w:r>
          </w:p>
        </w:tc>
      </w:tr>
    </w:tbl>
    <w:p>
      <w:pPr>
        <w:spacing w:lineRule="exact" w:line="1"/>
        <w:rPr>
          <w:sz w:val="2"/>
          <w:szCs w:val="2"/>
        </w:rPr>
      </w:pPr>
      <w:r>
        <w:br w:type="page"/>
      </w:r>
    </w:p>
    <w:tbl>
      <w:tblPr>
        <w:tblOverlap w:val="never"/>
        <w:jc w:val="center"/>
        <w:tblLayout w:type="fixed"/>
      </w:tblPr>
      <w:tblGrid>
        <w:gridCol w:w="1608"/>
        <w:gridCol w:w="1603"/>
        <w:gridCol w:w="2016"/>
        <w:gridCol w:w="1282"/>
        <w:gridCol w:w="1488"/>
        <w:gridCol w:w="1608"/>
      </w:tblGrid>
      <w:tr>
        <w:trPr>
          <w:trHeight w:val="103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01</w:t>
            </w:r>
            <w:r>
              <w:rPr>
                <w:rFonts w:ascii="SimSun" w:eastAsia="SimSun" w:hAnsi="SimSun" w:cs="SimSun"/>
                <w:color w:val="000000"/>
                <w:spacing w:val="0"/>
                <w:w w:val="100"/>
                <w:position w:val="0"/>
              </w:rPr>
              <w:t>、</w:t>
            </w:r>
            <w:r>
              <w:rPr>
                <w:color w:val="000000"/>
                <w:spacing w:val="0"/>
                <w:w w:val="100"/>
                <w:position w:val="0"/>
              </w:rPr>
              <w:t>21</w:t>
            </w:r>
            <w:r>
              <w:rPr>
                <w:rFonts w:ascii="SimSun" w:eastAsia="SimSun" w:hAnsi="SimSun" w:cs="SimSun"/>
                <w:color w:val="000000"/>
                <w:spacing w:val="0"/>
                <w:w w:val="100"/>
                <w:position w:val="0"/>
              </w:rPr>
              <w:t>东 财</w:t>
            </w:r>
            <w:r>
              <w:rPr>
                <w:color w:val="000000"/>
                <w:spacing w:val="0"/>
                <w:w w:val="100"/>
                <w:position w:val="0"/>
              </w:rPr>
              <w:t>02</w:t>
            </w:r>
            <w:r>
              <w:rPr>
                <w:rFonts w:ascii="SimSun" w:eastAsia="SimSun" w:hAnsi="SimSun" w:cs="SimSun"/>
                <w:color w:val="000000"/>
                <w:spacing w:val="0"/>
                <w:w w:val="100"/>
                <w:position w:val="0"/>
              </w:rPr>
              <w:t>、</w:t>
            </w: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中国国际金融股份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北京市朝阳区建国门外 大街</w:t>
            </w:r>
            <w:r>
              <w:rPr>
                <w:color w:val="000000"/>
                <w:spacing w:val="0"/>
                <w:w w:val="100"/>
                <w:position w:val="0"/>
              </w:rPr>
              <w:t>1</w:t>
            </w:r>
            <w:r>
              <w:rPr>
                <w:rFonts w:ascii="SimSun" w:eastAsia="SimSun" w:hAnsi="SimSun" w:cs="SimSun"/>
                <w:color w:val="000000"/>
                <w:spacing w:val="0"/>
                <w:w w:val="100"/>
                <w:position w:val="0"/>
              </w:rPr>
              <w:t>号国贸大厦</w:t>
            </w:r>
            <w:r>
              <w:rPr>
                <w:color w:val="000000"/>
                <w:spacing w:val="0"/>
                <w:w w:val="100"/>
                <w:position w:val="0"/>
              </w:rPr>
              <w:t>2</w:t>
            </w:r>
            <w:r>
              <w:rPr>
                <w:rFonts w:ascii="SimSun" w:eastAsia="SimSun" w:hAnsi="SimSun" w:cs="SimSun"/>
                <w:color w:val="000000"/>
                <w:spacing w:val="0"/>
                <w:w w:val="100"/>
                <w:position w:val="0"/>
              </w:rPr>
              <w:t xml:space="preserve">座 </w:t>
            </w:r>
            <w:r>
              <w:rPr>
                <w:color w:val="000000"/>
                <w:spacing w:val="0"/>
                <w:w w:val="100"/>
                <w:position w:val="0"/>
              </w:rPr>
              <w:t>27</w:t>
            </w:r>
            <w:r>
              <w:rPr>
                <w:rFonts w:ascii="SimSun" w:eastAsia="SimSun" w:hAnsi="SimSun" w:cs="SimSun"/>
                <w:color w:val="000000"/>
                <w:spacing w:val="0"/>
                <w:w w:val="100"/>
                <w:position w:val="0"/>
              </w:rPr>
              <w:t>层及</w:t>
            </w:r>
            <w:r>
              <w:rPr>
                <w:color w:val="000000"/>
                <w:spacing w:val="0"/>
                <w:w w:val="100"/>
                <w:position w:val="0"/>
              </w:rPr>
              <w:t>28</w:t>
            </w:r>
            <w:r>
              <w:rPr>
                <w:rFonts w:ascii="SimSun" w:eastAsia="SimSun" w:hAnsi="SimSun" w:cs="SimSun"/>
                <w:color w:val="000000"/>
                <w:spacing w:val="0"/>
                <w:w w:val="100"/>
                <w:position w:val="0"/>
              </w:rPr>
              <w:t>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雷仁光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010-65051166</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01</w:t>
            </w:r>
            <w:r>
              <w:rPr>
                <w:rFonts w:ascii="SimSun" w:eastAsia="SimSun" w:hAnsi="SimSun" w:cs="SimSun"/>
                <w:color w:val="000000"/>
                <w:spacing w:val="0"/>
                <w:w w:val="100"/>
                <w:position w:val="0"/>
              </w:rPr>
              <w:t>、</w:t>
            </w:r>
            <w:r>
              <w:rPr>
                <w:color w:val="000000"/>
                <w:spacing w:val="0"/>
                <w:w w:val="100"/>
                <w:position w:val="0"/>
              </w:rPr>
              <w:t>21</w:t>
            </w:r>
            <w:r>
              <w:rPr>
                <w:rFonts w:ascii="SimSun" w:eastAsia="SimSun" w:hAnsi="SimSun" w:cs="SimSun"/>
                <w:color w:val="000000"/>
                <w:spacing w:val="0"/>
                <w:w w:val="100"/>
                <w:position w:val="0"/>
              </w:rPr>
              <w:t>东 财</w:t>
            </w:r>
            <w:r>
              <w:rPr>
                <w:color w:val="000000"/>
                <w:spacing w:val="0"/>
                <w:w w:val="100"/>
                <w:position w:val="0"/>
              </w:rPr>
              <w:t>02</w:t>
            </w:r>
            <w:r>
              <w:rPr>
                <w:rFonts w:ascii="SimSun" w:eastAsia="SimSun" w:hAnsi="SimSun" w:cs="SimSun"/>
                <w:color w:val="000000"/>
                <w:spacing w:val="0"/>
                <w:w w:val="100"/>
                <w:position w:val="0"/>
              </w:rPr>
              <w:t>、</w:t>
            </w: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国浩律师（上海） 事务所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 xml:space="preserve">上海市静安区北京西路 </w:t>
            </w:r>
            <w:r>
              <w:rPr>
                <w:color w:val="000000"/>
                <w:spacing w:val="0"/>
                <w:w w:val="100"/>
                <w:position w:val="0"/>
              </w:rPr>
              <w:t>968</w:t>
            </w:r>
            <w:r>
              <w:rPr>
                <w:rFonts w:ascii="SimSun" w:eastAsia="SimSun" w:hAnsi="SimSun" w:cs="SimSun"/>
                <w:color w:val="000000"/>
                <w:spacing w:val="0"/>
                <w:w w:val="100"/>
                <w:position w:val="0"/>
              </w:rPr>
              <w:t>号嘉地中心</w:t>
            </w:r>
            <w:r>
              <w:rPr>
                <w:color w:val="000000"/>
                <w:spacing w:val="0"/>
                <w:w w:val="100"/>
                <w:position w:val="0"/>
              </w:rPr>
              <w:t>23-25</w:t>
            </w:r>
            <w:r>
              <w:rPr>
                <w:rFonts w:ascii="SimSun" w:eastAsia="SimSun" w:hAnsi="SimSun" w:cs="SimSun"/>
                <w:color w:val="000000"/>
                <w:spacing w:val="0"/>
                <w:w w:val="100"/>
                <w:position w:val="0"/>
              </w:rPr>
              <w:t xml:space="preserve">、 </w:t>
            </w:r>
            <w:r>
              <w:rPr>
                <w:color w:val="000000"/>
                <w:spacing w:val="0"/>
                <w:w w:val="100"/>
                <w:position w:val="0"/>
              </w:rPr>
              <w:t>27</w:t>
            </w:r>
            <w:r>
              <w:rPr>
                <w:rFonts w:ascii="SimSun" w:eastAsia="SimSun" w:hAnsi="SimSun" w:cs="SimSun"/>
                <w:color w:val="000000"/>
                <w:spacing w:val="0"/>
                <w:w w:val="100"/>
                <w:position w:val="0"/>
              </w:rPr>
              <w:t>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徐雪桦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021-52341668</w:t>
            </w:r>
          </w:p>
        </w:tc>
      </w:tr>
      <w:tr>
        <w:trPr>
          <w:trHeight w:val="72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01</w:t>
            </w:r>
            <w:r>
              <w:rPr>
                <w:rFonts w:ascii="SimSun" w:eastAsia="SimSun" w:hAnsi="SimSun" w:cs="SimSun"/>
                <w:color w:val="000000"/>
                <w:spacing w:val="0"/>
                <w:w w:val="100"/>
                <w:position w:val="0"/>
              </w:rPr>
              <w:t>、</w:t>
            </w:r>
            <w:r>
              <w:rPr>
                <w:color w:val="000000"/>
                <w:spacing w:val="0"/>
                <w:w w:val="100"/>
                <w:position w:val="0"/>
              </w:rPr>
              <w:t>21</w:t>
            </w:r>
            <w:r>
              <w:rPr>
                <w:rFonts w:ascii="SimSun" w:eastAsia="SimSun" w:hAnsi="SimSun" w:cs="SimSun"/>
                <w:color w:val="000000"/>
                <w:spacing w:val="0"/>
                <w:w w:val="100"/>
                <w:position w:val="0"/>
              </w:rPr>
              <w:t>东 财</w:t>
            </w:r>
            <w:r>
              <w:rPr>
                <w:color w:val="000000"/>
                <w:spacing w:val="0"/>
                <w:w w:val="100"/>
                <w:position w:val="0"/>
              </w:rPr>
              <w:t>02</w:t>
            </w:r>
            <w:r>
              <w:rPr>
                <w:rFonts w:ascii="SimSun" w:eastAsia="SimSun" w:hAnsi="SimSun" w:cs="SimSun"/>
                <w:color w:val="000000"/>
                <w:spacing w:val="0"/>
                <w:w w:val="100"/>
                <w:position w:val="0"/>
              </w:rPr>
              <w:t>、</w:t>
            </w: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立信会计师事务所</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（特殊普通合伙）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上海南京东路</w:t>
            </w:r>
            <w:r>
              <w:rPr>
                <w:color w:val="000000"/>
                <w:spacing w:val="0"/>
                <w:w w:val="100"/>
                <w:position w:val="0"/>
              </w:rPr>
              <w:t>61</w:t>
            </w:r>
            <w:r>
              <w:rPr>
                <w:rFonts w:ascii="SimSun" w:eastAsia="SimSun" w:hAnsi="SimSun" w:cs="SimSun"/>
                <w:color w:val="000000"/>
                <w:spacing w:val="0"/>
                <w:w w:val="100"/>
                <w:position w:val="0"/>
              </w:rPr>
              <w:t>号新黄 浦金融大厦四楼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姚辉、徐国峰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李新民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021-23280000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04</w:t>
            </w:r>
            <w:r>
              <w:rPr>
                <w:rFonts w:ascii="SimSun" w:eastAsia="SimSun" w:hAnsi="SimSun" w:cs="SimSun"/>
                <w:color w:val="000000"/>
                <w:spacing w:val="0"/>
                <w:w w:val="100"/>
                <w:position w:val="0"/>
              </w:rPr>
              <w:t>、</w:t>
            </w:r>
            <w:r>
              <w:rPr>
                <w:color w:val="000000"/>
                <w:spacing w:val="0"/>
                <w:w w:val="100"/>
                <w:position w:val="0"/>
              </w:rPr>
              <w:t>21</w:t>
            </w:r>
            <w:r>
              <w:rPr>
                <w:rFonts w:ascii="SimSun" w:eastAsia="SimSun" w:hAnsi="SimSun" w:cs="SimSun"/>
                <w:color w:val="000000"/>
                <w:spacing w:val="0"/>
                <w:w w:val="100"/>
                <w:position w:val="0"/>
              </w:rPr>
              <w:t>东 财</w:t>
            </w:r>
            <w:r>
              <w:rPr>
                <w:color w:val="000000"/>
                <w:spacing w:val="0"/>
                <w:w w:val="100"/>
                <w:position w:val="0"/>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中国国际金融股份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北京市朝阳区建国门外 大街</w:t>
            </w:r>
            <w:r>
              <w:rPr>
                <w:color w:val="000000"/>
                <w:spacing w:val="0"/>
                <w:w w:val="100"/>
                <w:position w:val="0"/>
              </w:rPr>
              <w:t>1</w:t>
            </w:r>
            <w:r>
              <w:rPr>
                <w:rFonts w:ascii="SimSun" w:eastAsia="SimSun" w:hAnsi="SimSun" w:cs="SimSun"/>
                <w:color w:val="000000"/>
                <w:spacing w:val="0"/>
                <w:w w:val="100"/>
                <w:position w:val="0"/>
              </w:rPr>
              <w:t>号国贸大厦</w:t>
            </w:r>
            <w:r>
              <w:rPr>
                <w:color w:val="000000"/>
                <w:spacing w:val="0"/>
                <w:w w:val="100"/>
                <w:position w:val="0"/>
              </w:rPr>
              <w:t>2</w:t>
            </w:r>
            <w:r>
              <w:rPr>
                <w:rFonts w:ascii="SimSun" w:eastAsia="SimSun" w:hAnsi="SimSun" w:cs="SimSun"/>
                <w:color w:val="000000"/>
                <w:spacing w:val="0"/>
                <w:w w:val="100"/>
                <w:position w:val="0"/>
              </w:rPr>
              <w:t xml:space="preserve">座 </w:t>
            </w:r>
            <w:r>
              <w:rPr>
                <w:color w:val="000000"/>
                <w:spacing w:val="0"/>
                <w:w w:val="100"/>
                <w:position w:val="0"/>
              </w:rPr>
              <w:t>27</w:t>
            </w:r>
            <w:r>
              <w:rPr>
                <w:rFonts w:ascii="SimSun" w:eastAsia="SimSun" w:hAnsi="SimSun" w:cs="SimSun"/>
                <w:color w:val="000000"/>
                <w:spacing w:val="0"/>
                <w:w w:val="100"/>
                <w:position w:val="0"/>
              </w:rPr>
              <w:t>层及</w:t>
            </w:r>
            <w:r>
              <w:rPr>
                <w:color w:val="000000"/>
                <w:spacing w:val="0"/>
                <w:w w:val="100"/>
                <w:position w:val="0"/>
              </w:rPr>
              <w:t>28</w:t>
            </w:r>
            <w:r>
              <w:rPr>
                <w:rFonts w:ascii="SimSun" w:eastAsia="SimSun" w:hAnsi="SimSun" w:cs="SimSun"/>
                <w:color w:val="000000"/>
                <w:spacing w:val="0"/>
                <w:w w:val="100"/>
                <w:position w:val="0"/>
              </w:rPr>
              <w:t>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管文静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010-65051166</w:t>
            </w:r>
          </w:p>
        </w:tc>
      </w:tr>
      <w:tr>
        <w:trPr>
          <w:trHeight w:val="104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04</w:t>
            </w:r>
            <w:r>
              <w:rPr>
                <w:rFonts w:ascii="SimSun" w:eastAsia="SimSun" w:hAnsi="SimSun" w:cs="SimSun"/>
                <w:color w:val="000000"/>
                <w:spacing w:val="0"/>
                <w:w w:val="100"/>
                <w:position w:val="0"/>
              </w:rPr>
              <w:t>、</w:t>
            </w:r>
            <w:r>
              <w:rPr>
                <w:color w:val="000000"/>
                <w:spacing w:val="0"/>
                <w:w w:val="100"/>
                <w:position w:val="0"/>
              </w:rPr>
              <w:t>21</w:t>
            </w:r>
            <w:r>
              <w:rPr>
                <w:rFonts w:ascii="SimSun" w:eastAsia="SimSun" w:hAnsi="SimSun" w:cs="SimSun"/>
                <w:color w:val="000000"/>
                <w:spacing w:val="0"/>
                <w:w w:val="100"/>
                <w:position w:val="0"/>
              </w:rPr>
              <w:t>东 财</w:t>
            </w:r>
            <w:r>
              <w:rPr>
                <w:color w:val="000000"/>
                <w:spacing w:val="0"/>
                <w:w w:val="100"/>
                <w:position w:val="0"/>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国浩律师（上海） 事务所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 xml:space="preserve">上海市静安区北京西路 </w:t>
            </w:r>
            <w:r>
              <w:rPr>
                <w:color w:val="000000"/>
                <w:spacing w:val="0"/>
                <w:w w:val="100"/>
                <w:position w:val="0"/>
              </w:rPr>
              <w:t>968</w:t>
            </w:r>
            <w:r>
              <w:rPr>
                <w:rFonts w:ascii="SimSun" w:eastAsia="SimSun" w:hAnsi="SimSun" w:cs="SimSun"/>
                <w:color w:val="000000"/>
                <w:spacing w:val="0"/>
                <w:w w:val="100"/>
                <w:position w:val="0"/>
              </w:rPr>
              <w:t>号嘉地中心</w:t>
            </w:r>
            <w:r>
              <w:rPr>
                <w:color w:val="000000"/>
                <w:spacing w:val="0"/>
                <w:w w:val="100"/>
                <w:position w:val="0"/>
              </w:rPr>
              <w:t>23-25</w:t>
            </w:r>
            <w:r>
              <w:rPr>
                <w:rFonts w:ascii="SimSun" w:eastAsia="SimSun" w:hAnsi="SimSun" w:cs="SimSun"/>
                <w:color w:val="000000"/>
                <w:spacing w:val="0"/>
                <w:w w:val="100"/>
                <w:position w:val="0"/>
              </w:rPr>
              <w:t xml:space="preserve">、 </w:t>
            </w:r>
            <w:r>
              <w:rPr>
                <w:color w:val="000000"/>
                <w:spacing w:val="0"/>
                <w:w w:val="100"/>
                <w:position w:val="0"/>
              </w:rPr>
              <w:t>27</w:t>
            </w:r>
            <w:r>
              <w:rPr>
                <w:rFonts w:ascii="SimSun" w:eastAsia="SimSun" w:hAnsi="SimSun" w:cs="SimSun"/>
                <w:color w:val="000000"/>
                <w:spacing w:val="0"/>
                <w:w w:val="100"/>
                <w:position w:val="0"/>
              </w:rPr>
              <w:t>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徐雪桦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021-52341668</w:t>
            </w:r>
          </w:p>
        </w:tc>
      </w:tr>
      <w:tr>
        <w:trPr>
          <w:trHeight w:val="70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04</w:t>
            </w:r>
            <w:r>
              <w:rPr>
                <w:rFonts w:ascii="SimSun" w:eastAsia="SimSun" w:hAnsi="SimSun" w:cs="SimSun"/>
                <w:color w:val="000000"/>
                <w:spacing w:val="0"/>
                <w:w w:val="100"/>
                <w:position w:val="0"/>
              </w:rPr>
              <w:t>、</w:t>
            </w:r>
            <w:r>
              <w:rPr>
                <w:color w:val="000000"/>
                <w:spacing w:val="0"/>
                <w:w w:val="100"/>
                <w:position w:val="0"/>
              </w:rPr>
              <w:t>21</w:t>
            </w:r>
            <w:r>
              <w:rPr>
                <w:rFonts w:ascii="SimSun" w:eastAsia="SimSun" w:hAnsi="SimSun" w:cs="SimSun"/>
                <w:color w:val="000000"/>
                <w:spacing w:val="0"/>
                <w:w w:val="100"/>
                <w:position w:val="0"/>
              </w:rPr>
              <w:t>东 财</w:t>
            </w:r>
            <w:r>
              <w:rPr>
                <w:color w:val="000000"/>
                <w:spacing w:val="0"/>
                <w:w w:val="100"/>
                <w:position w:val="0"/>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立信会计师事务所</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（特殊普通合伙）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上海南京东路</w:t>
            </w:r>
            <w:r>
              <w:rPr>
                <w:color w:val="000000"/>
                <w:spacing w:val="0"/>
                <w:w w:val="100"/>
                <w:position w:val="0"/>
              </w:rPr>
              <w:t>61</w:t>
            </w:r>
            <w:r>
              <w:rPr>
                <w:rFonts w:ascii="SimSun" w:eastAsia="SimSun" w:hAnsi="SimSun" w:cs="SimSun"/>
                <w:color w:val="000000"/>
                <w:spacing w:val="0"/>
                <w:w w:val="100"/>
                <w:position w:val="0"/>
              </w:rPr>
              <w:t>号新黄 浦金融大厦四楼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姚辉、杨志平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李新民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021-23280000</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04</w:t>
            </w:r>
            <w:r>
              <w:rPr>
                <w:rFonts w:ascii="SimSun" w:eastAsia="SimSun" w:hAnsi="SimSun" w:cs="SimSun"/>
                <w:color w:val="000000"/>
                <w:spacing w:val="0"/>
                <w:w w:val="100"/>
                <w:position w:val="0"/>
              </w:rPr>
              <w:t>、</w:t>
            </w:r>
            <w:r>
              <w:rPr>
                <w:color w:val="000000"/>
                <w:spacing w:val="0"/>
                <w:w w:val="100"/>
                <w:position w:val="0"/>
              </w:rPr>
              <w:t>21</w:t>
            </w:r>
            <w:r>
              <w:rPr>
                <w:rFonts w:ascii="SimSun" w:eastAsia="SimSun" w:hAnsi="SimSun" w:cs="SimSun"/>
                <w:color w:val="000000"/>
                <w:spacing w:val="0"/>
                <w:w w:val="100"/>
                <w:position w:val="0"/>
              </w:rPr>
              <w:t>东 财</w:t>
            </w:r>
            <w:r>
              <w:rPr>
                <w:color w:val="000000"/>
                <w:spacing w:val="0"/>
                <w:w w:val="100"/>
                <w:position w:val="0"/>
              </w:rPr>
              <w:t>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中证鹏元资信评估 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 xml:space="preserve">深圳市福田区深南大道 </w:t>
            </w:r>
            <w:r>
              <w:rPr>
                <w:color w:val="000000"/>
                <w:spacing w:val="0"/>
                <w:w w:val="100"/>
                <w:position w:val="0"/>
              </w:rPr>
              <w:t>7008</w:t>
            </w:r>
            <w:r>
              <w:rPr>
                <w:rFonts w:ascii="SimSun" w:eastAsia="SimSun" w:hAnsi="SimSun" w:cs="SimSun"/>
                <w:color w:val="000000"/>
                <w:spacing w:val="0"/>
                <w:w w:val="100"/>
                <w:position w:val="0"/>
              </w:rPr>
              <w:t>号阳光高尔夫大厦 三楼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刘志强</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0755-82872333</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报告期内上述机构是否发生变化</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2"/>
        <w:keepNext/>
        <w:keepLines/>
        <w:widowControl w:val="0"/>
        <w:shd w:val="clear" w:color="auto" w:fill="auto"/>
        <w:bidi w:val="0"/>
        <w:spacing w:before="0" w:after="36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4</w:t>
      </w:r>
      <w:bookmarkEnd w:id="747"/>
      <w:r>
        <w:rPr>
          <w:color w:val="000000"/>
          <w:spacing w:val="0"/>
          <w:w w:val="100"/>
          <w:position w:val="0"/>
        </w:rPr>
        <w:t>、募集资金使用情况</w:t>
      </w:r>
      <w:bookmarkEnd w:id="745"/>
      <w:bookmarkEnd w:id="746"/>
      <w:bookmarkEnd w:id="74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74"/>
        <w:gridCol w:w="994"/>
        <w:gridCol w:w="998"/>
        <w:gridCol w:w="706"/>
        <w:gridCol w:w="3547"/>
        <w:gridCol w:w="994"/>
        <w:gridCol w:w="1392"/>
      </w:tblGrid>
      <w:tr>
        <w:trPr>
          <w:trHeight w:val="135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center"/>
            </w:pPr>
            <w:r>
              <w:rPr>
                <w:rFonts w:ascii="SimSun" w:eastAsia="SimSun" w:hAnsi="SimSun" w:cs="SimSun"/>
                <w:color w:val="000000"/>
                <w:spacing w:val="0"/>
                <w:w w:val="100"/>
                <w:position w:val="0"/>
              </w:rPr>
              <w:t>债券项目 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6" w:lineRule="exact"/>
              <w:ind w:left="0" w:right="0" w:firstLine="0"/>
              <w:jc w:val="center"/>
            </w:pPr>
            <w:r>
              <w:rPr>
                <w:rFonts w:ascii="SimSun" w:eastAsia="SimSun" w:hAnsi="SimSun" w:cs="SimSun"/>
                <w:color w:val="000000"/>
                <w:spacing w:val="0"/>
                <w:w w:val="100"/>
                <w:position w:val="0"/>
              </w:rPr>
              <w:t>募集资金 总金额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已使用金额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未使用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募集资金专项账户运作情况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募集资金违</w:t>
            </w:r>
          </w:p>
          <w:p>
            <w:pPr>
              <w:pStyle w:val="Style6"/>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规使用的整</w:t>
            </w:r>
          </w:p>
          <w:p>
            <w:pPr>
              <w:pStyle w:val="Style6"/>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改情况</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是否与募集说明</w:t>
            </w:r>
          </w:p>
          <w:p>
            <w:pPr>
              <w:pStyle w:val="Style6"/>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书承诺的用途、 使用计划及其他</w:t>
            </w:r>
          </w:p>
          <w:p>
            <w:pPr>
              <w:pStyle w:val="Style6"/>
              <w:keepNext w:val="0"/>
              <w:keepLines w:val="0"/>
              <w:widowControl w:val="0"/>
              <w:shd w:val="clear" w:color="auto" w:fill="auto"/>
              <w:bidi w:val="0"/>
              <w:spacing w:before="0" w:after="0" w:line="322" w:lineRule="exact"/>
              <w:ind w:left="0" w:right="0" w:firstLine="320"/>
              <w:jc w:val="left"/>
            </w:pPr>
            <w:r>
              <w:rPr>
                <w:rFonts w:ascii="SimSun" w:eastAsia="SimSun" w:hAnsi="SimSun" w:cs="SimSun"/>
                <w:color w:val="000000"/>
                <w:spacing w:val="0"/>
                <w:w w:val="100"/>
                <w:position w:val="0"/>
              </w:rPr>
              <w:t>约定一致</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rPr>
              <w:t>东财</w:t>
            </w:r>
            <w:r>
              <w:rPr>
                <w:color w:val="000000"/>
                <w:spacing w:val="0"/>
                <w:w w:val="100"/>
                <w:position w:val="0"/>
              </w:rPr>
              <w:t>C1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东方财富证券根据相关法律法规的规定指定 募集资金专项账户，用于债券募集资金的接 收、存储、划转。至报告期末，募集资金已 依照募集说明书中的资金运用计划，扣除发 行费用后全部用于补充东方财富证券营运资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96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东方财富证券根据相关法律法规的规定指定 募集资金专项账户，用于债券募集资金的接 收、存储、划转。至报告期末，募集资金已 依照募集说明书中的资金运用计划用于偿还 东方财富证券债务及东方财富证券营运资 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74"/>
        <w:gridCol w:w="994"/>
        <w:gridCol w:w="998"/>
        <w:gridCol w:w="706"/>
        <w:gridCol w:w="3547"/>
        <w:gridCol w:w="994"/>
        <w:gridCol w:w="1392"/>
      </w:tblGrid>
      <w:tr>
        <w:trPr>
          <w:trHeight w:val="196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东方财富证券根据相关法律法规的规定指定 募集资金专项账户，用于债券募集资金的接 收、存储、划转。至报告期末，募集资金已 依照募集说明书中的资金运用计划用于偿还 东方财富证券债务及补充东方财富证券营运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东方财富证券根据相关法律法规的规定指定 募集资金专项账户，用于债券募集资金的接 收、存储、划转。至报告期末，募集资金已 依照募集说明书中的资金运用计划用于偿还 东方财富证券债务及补充东方财富证券营运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97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东方财富证券根据相关法律法规的规定指定 募集资金专项账户，用于东方财富证券债券 募集资金的接收、存储、划转。至报告期 末，募集资金已依照募集说明书中的资金运 用计划用于偿还东方财富证券债务及补充东 方财富证券营运资金。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9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rFonts w:ascii="SimSun" w:eastAsia="SimSun" w:hAnsi="SimSun" w:cs="SimSun"/>
                <w:color w:val="000000"/>
                <w:spacing w:val="0"/>
                <w:w w:val="100"/>
                <w:position w:val="0"/>
              </w:rPr>
              <w:t>东财</w:t>
            </w:r>
            <w:r>
              <w:rPr>
                <w:color w:val="000000"/>
                <w:spacing w:val="0"/>
                <w:w w:val="100"/>
                <w:position w:val="0"/>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东方财富证券根据相关法律法规的规定指定 募集资金专项账户，用于东方财富证券债券 募集资金的接收、存储、划转。至报告期 末，募集资金已依照募集说明书中的资金运 用计划用于偿还东方财富证券债务及补充东 方财富证券营运资金。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80" w:line="240" w:lineRule="auto"/>
              <w:ind w:left="0" w:right="0" w:firstLine="0"/>
              <w:jc w:val="left"/>
            </w:pPr>
            <w:r>
              <w:rPr>
                <w:color w:val="000000"/>
                <w:spacing w:val="0"/>
                <w:w w:val="100"/>
                <w:position w:val="0"/>
              </w:rPr>
              <w:t>HAFOO</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N2412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191,271.00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191,271.00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募集资金用于建设项目</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公司报告期内变更上述债券募集资金用途</w:t>
      </w:r>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2"/>
        <w:keepNext/>
        <w:keepLines/>
        <w:widowControl w:val="0"/>
        <w:shd w:val="clear" w:color="auto" w:fill="auto"/>
        <w:tabs>
          <w:tab w:pos="392" w:val="left"/>
        </w:tabs>
        <w:bidi w:val="0"/>
        <w:spacing w:before="0" w:after="280" w:line="336" w:lineRule="exact"/>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5</w:t>
      </w:r>
      <w:bookmarkEnd w:id="751"/>
      <w:r>
        <w:rPr>
          <w:color w:val="000000"/>
          <w:spacing w:val="0"/>
          <w:w w:val="100"/>
          <w:position w:val="0"/>
        </w:rPr>
        <w:t>、</w:t>
        <w:tab/>
        <w:t>报告期内信用评级结果调整情况</w:t>
      </w:r>
      <w:bookmarkEnd w:id="749"/>
      <w:bookmarkEnd w:id="750"/>
      <w:bookmarkEnd w:id="752"/>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2"/>
        <w:keepNext/>
        <w:keepLines/>
        <w:widowControl w:val="0"/>
        <w:shd w:val="clear" w:color="auto" w:fill="auto"/>
        <w:tabs>
          <w:tab w:pos="392" w:val="left"/>
        </w:tabs>
        <w:bidi w:val="0"/>
        <w:spacing w:before="0" w:after="360" w:line="336" w:lineRule="exact"/>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6</w:t>
      </w:r>
      <w:bookmarkEnd w:id="755"/>
      <w:r>
        <w:rPr>
          <w:color w:val="000000"/>
          <w:spacing w:val="0"/>
          <w:w w:val="100"/>
          <w:position w:val="0"/>
        </w:rPr>
        <w:t>、</w:t>
        <w:tab/>
        <w:t>担保情况、偿债计划及其他偿债保障措施在报告期内的执行情况和变化情况及对债券投资者权益的影 响</w:t>
      </w:r>
      <w:bookmarkEnd w:id="753"/>
      <w:bookmarkEnd w:id="754"/>
      <w:bookmarkEnd w:id="756"/>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7 </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757" w:name="bookmark757"/>
      <w:bookmarkStart w:id="758" w:name="bookmark758"/>
      <w:bookmarkStart w:id="759" w:name="bookmark759"/>
      <w:bookmarkStart w:id="760" w:name="bookmark760"/>
      <w:r>
        <w:rPr>
          <w:color w:val="000000"/>
          <w:spacing w:val="0"/>
          <w:w w:val="100"/>
          <w:position w:val="0"/>
          <w:sz w:val="24"/>
          <w:szCs w:val="24"/>
        </w:rPr>
        <w:t>三</w:t>
      </w:r>
      <w:bookmarkEnd w:id="759"/>
      <w:r>
        <w:rPr>
          <w:color w:val="000000"/>
          <w:spacing w:val="0"/>
          <w:w w:val="100"/>
          <w:position w:val="0"/>
          <w:sz w:val="24"/>
          <w:szCs w:val="24"/>
        </w:rPr>
        <w:t>、非金融企业债务融资工具</w:t>
      </w:r>
      <w:bookmarkEnd w:id="757"/>
      <w:bookmarkEnd w:id="758"/>
      <w:bookmarkEnd w:id="760"/>
    </w:p>
    <w:p>
      <w:pPr>
        <w:pStyle w:val="Style24"/>
        <w:keepNext w:val="0"/>
        <w:keepLines w:val="0"/>
        <w:widowControl w:val="0"/>
        <w:shd w:val="clear" w:color="auto" w:fill="auto"/>
        <w:bidi w:val="0"/>
        <w:spacing w:before="0" w:after="280" w:line="240" w:lineRule="auto"/>
        <w:ind w:left="0" w:right="0" w:firstLine="0"/>
        <w:jc w:val="left"/>
        <w:sectPr>
          <w:footnotePr>
            <w:pos w:val="pageBottom"/>
            <w:numFmt w:val="upperRoman"/>
            <w:numStart w:val="1"/>
            <w:numRestart w:val="continuous"/>
            <w15:footnoteColumns w:val="1"/>
          </w:footnotePr>
          <w:pgSz w:w="11900" w:h="16840"/>
          <w:pgMar w:top="1443" w:right="1076" w:bottom="1544" w:left="109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7 </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吻东方财富</w:t>
      </w:r>
    </w:p>
    <w:p>
      <w:pPr>
        <w:pStyle w:val="Style37"/>
        <w:keepNext w:val="0"/>
        <w:keepLines w:val="0"/>
        <w:widowControl w:val="0"/>
        <w:shd w:val="clear" w:color="auto" w:fill="auto"/>
        <w:bidi w:val="0"/>
        <w:spacing w:before="0" w:after="200"/>
        <w:ind w:left="0" w:right="0"/>
        <w:jc w:val="both"/>
      </w:pPr>
      <w:r>
        <w:rPr>
          <w:color w:val="717171"/>
          <w:spacing w:val="0"/>
          <w:w w:val="100"/>
          <w:position w:val="0"/>
        </w:rPr>
        <w:t>east</w:t>
      </w:r>
      <w:r>
        <w:rPr>
          <w:spacing w:val="0"/>
          <w:w w:val="100"/>
          <w:position w:val="0"/>
        </w:rPr>
        <w:t>money.com</w:t>
      </w:r>
    </w:p>
    <w:p>
      <w:pPr>
        <w:pStyle w:val="Style24"/>
        <w:keepNext w:val="0"/>
        <w:keepLines w:val="0"/>
        <w:widowControl w:val="0"/>
        <w:shd w:val="clear" w:color="auto" w:fill="auto"/>
        <w:bidi w:val="0"/>
        <w:spacing w:before="0" w:after="360" w:line="316" w:lineRule="exact"/>
        <w:ind w:left="0" w:right="0" w:firstLine="0"/>
        <w:jc w:val="both"/>
      </w:pPr>
      <w:r>
        <w:rPr>
          <w:color w:val="000000"/>
          <w:spacing w:val="0"/>
          <w:w w:val="100"/>
          <w:position w:val="0"/>
        </w:rPr>
        <w:t>报告期公司不存在非金融企业债务融资工具。</w:t>
      </w:r>
    </w:p>
    <w:p>
      <w:pPr>
        <w:pStyle w:val="Style22"/>
        <w:keepNext/>
        <w:keepLines/>
        <w:widowControl w:val="0"/>
        <w:shd w:val="clear" w:color="auto" w:fill="auto"/>
        <w:bidi w:val="0"/>
        <w:spacing w:before="0" w:after="260" w:line="240" w:lineRule="auto"/>
        <w:ind w:left="0" w:right="0" w:firstLine="0"/>
        <w:jc w:val="both"/>
      </w:pPr>
      <w:bookmarkStart w:id="761" w:name="bookmark761"/>
      <w:bookmarkStart w:id="762" w:name="bookmark762"/>
      <w:bookmarkStart w:id="763" w:name="bookmark763"/>
      <w:bookmarkStart w:id="764" w:name="bookmark764"/>
      <w:r>
        <w:rPr>
          <w:color w:val="000000"/>
          <w:spacing w:val="0"/>
          <w:w w:val="100"/>
          <w:position w:val="0"/>
          <w:sz w:val="24"/>
          <w:szCs w:val="24"/>
        </w:rPr>
        <w:t>四</w:t>
      </w:r>
      <w:bookmarkEnd w:id="763"/>
      <w:r>
        <w:rPr>
          <w:color w:val="000000"/>
          <w:spacing w:val="0"/>
          <w:w w:val="100"/>
          <w:position w:val="0"/>
          <w:sz w:val="24"/>
          <w:szCs w:val="24"/>
        </w:rPr>
        <w:t>、可转换公司债券</w:t>
      </w:r>
      <w:bookmarkEnd w:id="761"/>
      <w:bookmarkEnd w:id="762"/>
      <w:bookmarkEnd w:id="764"/>
    </w:p>
    <w:p>
      <w:pPr>
        <w:pStyle w:val="Style24"/>
        <w:keepNext w:val="0"/>
        <w:keepLines w:val="0"/>
        <w:widowControl w:val="0"/>
        <w:shd w:val="clear" w:color="auto" w:fill="auto"/>
        <w:bidi w:val="0"/>
        <w:spacing w:before="0" w:after="360" w:line="316"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keepLines/>
        <w:widowControl w:val="0"/>
        <w:shd w:val="clear" w:color="auto" w:fill="auto"/>
        <w:tabs>
          <w:tab w:pos="382" w:val="left"/>
        </w:tabs>
        <w:bidi w:val="0"/>
        <w:spacing w:before="0" w:after="260" w:line="240" w:lineRule="auto"/>
        <w:ind w:left="0" w:right="0" w:firstLine="0"/>
        <w:jc w:val="both"/>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1</w:t>
      </w:r>
      <w:bookmarkEnd w:id="767"/>
      <w:r>
        <w:rPr>
          <w:color w:val="000000"/>
          <w:spacing w:val="0"/>
          <w:w w:val="100"/>
          <w:position w:val="0"/>
        </w:rPr>
        <w:t>、</w:t>
        <w:tab/>
        <w:t>转股价格历次调整情况</w:t>
      </w:r>
      <w:bookmarkEnd w:id="765"/>
      <w:bookmarkEnd w:id="766"/>
      <w:bookmarkEnd w:id="768"/>
    </w:p>
    <w:p>
      <w:pPr>
        <w:pStyle w:val="Style41"/>
        <w:keepNext w:val="0"/>
        <w:keepLines w:val="0"/>
        <w:widowControl w:val="0"/>
        <w:shd w:val="clear" w:color="auto" w:fill="auto"/>
        <w:bidi w:val="0"/>
        <w:spacing w:before="0" w:after="0" w:line="322" w:lineRule="exact"/>
        <w:ind w:left="0" w:right="0" w:firstLine="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1</w:t>
      </w:r>
      <w:r>
        <w:rPr>
          <w:color w:val="000000"/>
          <w:spacing w:val="0"/>
          <w:w w:val="100"/>
          <w:position w:val="0"/>
        </w:rPr>
        <w:t>）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日向不特定对象发行了 </w:t>
      </w:r>
      <w:r>
        <w:rPr>
          <w:rFonts w:ascii="Times New Roman" w:eastAsia="Times New Roman" w:hAnsi="Times New Roman" w:cs="Times New Roman"/>
          <w:color w:val="000000"/>
          <w:spacing w:val="0"/>
          <w:w w:val="100"/>
          <w:position w:val="0"/>
        </w:rPr>
        <w:t>15,800.00</w:t>
      </w:r>
      <w:r>
        <w:rPr>
          <w:color w:val="000000"/>
          <w:spacing w:val="0"/>
          <w:w w:val="100"/>
          <w:position w:val="0"/>
        </w:rPr>
        <w:t>万张可转债，并于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日在深交所上市，初始 转股价格为</w:t>
      </w:r>
      <w:r>
        <w:rPr>
          <w:rFonts w:ascii="Times New Roman" w:eastAsia="Times New Roman" w:hAnsi="Times New Roman" w:cs="Times New Roman"/>
          <w:color w:val="000000"/>
          <w:spacing w:val="0"/>
          <w:w w:val="100"/>
          <w:position w:val="0"/>
        </w:rPr>
        <w:t>28.08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41"/>
        <w:keepNext w:val="0"/>
        <w:keepLines w:val="0"/>
        <w:widowControl w:val="0"/>
        <w:shd w:val="clear" w:color="auto" w:fill="auto"/>
        <w:tabs>
          <w:tab w:pos="608" w:val="left"/>
        </w:tabs>
        <w:bidi w:val="0"/>
        <w:spacing w:before="0" w:after="360" w:line="310" w:lineRule="exact"/>
        <w:ind w:left="0" w:right="0" w:firstLine="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2</w:t>
      </w:r>
      <w:r>
        <w:rPr>
          <w:color w:val="000000"/>
          <w:spacing w:val="0"/>
          <w:w w:val="100"/>
          <w:position w:val="0"/>
        </w:rPr>
        <w:t>）</w:t>
        <w:tab/>
        <w:t>根据公司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年年度股东大会决议，公司于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日实施</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年度权益分派方案，以总股本 </w:t>
      </w:r>
      <w:r>
        <w:rPr>
          <w:rFonts w:ascii="Times New Roman" w:eastAsia="Times New Roman" w:hAnsi="Times New Roman" w:cs="Times New Roman"/>
          <w:color w:val="000000"/>
          <w:spacing w:val="0"/>
          <w:w w:val="100"/>
          <w:position w:val="0"/>
        </w:rPr>
        <w:t>8,613,136,491</w:t>
      </w:r>
      <w:r>
        <w:rPr>
          <w:color w:val="000000"/>
          <w:spacing w:val="0"/>
          <w:w w:val="100"/>
          <w:position w:val="0"/>
        </w:rPr>
        <w:t>股为基数，用资本公积金向全体股东每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0.60</w:t>
      </w:r>
      <w:r>
        <w:rPr>
          <w:color w:val="000000"/>
          <w:spacing w:val="0"/>
          <w:w w:val="100"/>
          <w:position w:val="0"/>
        </w:rPr>
        <w:t>元（含税）。 根据上述方案，东财转</w:t>
      </w:r>
      <w:r>
        <w:rPr>
          <w:rFonts w:ascii="Times New Roman" w:eastAsia="Times New Roman" w:hAnsi="Times New Roman" w:cs="Times New Roman"/>
          <w:color w:val="000000"/>
          <w:spacing w:val="0"/>
          <w:w w:val="100"/>
          <w:position w:val="0"/>
        </w:rPr>
        <w:t>3</w:t>
      </w:r>
      <w:r>
        <w:rPr>
          <w:color w:val="000000"/>
          <w:spacing w:val="0"/>
          <w:w w:val="100"/>
          <w:position w:val="0"/>
        </w:rPr>
        <w:t>转股价格调整为</w:t>
      </w:r>
      <w:r>
        <w:rPr>
          <w:rFonts w:ascii="Times New Roman" w:eastAsia="Times New Roman" w:hAnsi="Times New Roman" w:cs="Times New Roman"/>
          <w:color w:val="000000"/>
          <w:spacing w:val="0"/>
          <w:w w:val="100"/>
          <w:position w:val="0"/>
        </w:rPr>
        <w:t>23.35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2"/>
        <w:keepNext/>
        <w:keepLines/>
        <w:widowControl w:val="0"/>
        <w:shd w:val="clear" w:color="auto" w:fill="auto"/>
        <w:tabs>
          <w:tab w:pos="392" w:val="left"/>
        </w:tabs>
        <w:bidi w:val="0"/>
        <w:spacing w:before="0" w:after="260" w:line="240" w:lineRule="auto"/>
        <w:ind w:left="0" w:right="0" w:firstLine="0"/>
        <w:jc w:val="both"/>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2</w:t>
      </w:r>
      <w:bookmarkEnd w:id="773"/>
      <w:r>
        <w:rPr>
          <w:color w:val="000000"/>
          <w:spacing w:val="0"/>
          <w:w w:val="100"/>
          <w:position w:val="0"/>
        </w:rPr>
        <w:t>、</w:t>
        <w:tab/>
        <w:t>累计转股情况</w:t>
      </w:r>
      <w:bookmarkEnd w:id="771"/>
      <w:bookmarkEnd w:id="772"/>
      <w:bookmarkEnd w:id="774"/>
    </w:p>
    <w:p>
      <w:pPr>
        <w:pStyle w:val="Style24"/>
        <w:keepNext w:val="0"/>
        <w:keepLines w:val="0"/>
        <w:widowControl w:val="0"/>
        <w:shd w:val="clear" w:color="auto" w:fill="auto"/>
        <w:bidi w:val="0"/>
        <w:spacing w:before="0" w:line="316"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2"/>
        <w:gridCol w:w="1138"/>
        <w:gridCol w:w="1142"/>
        <w:gridCol w:w="1454"/>
        <w:gridCol w:w="1238"/>
        <w:gridCol w:w="994"/>
        <w:gridCol w:w="998"/>
        <w:gridCol w:w="1411"/>
        <w:gridCol w:w="686"/>
      </w:tblGrid>
      <w:tr>
        <w:trPr>
          <w:trHeight w:val="117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转债</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简称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转股起止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发行总量</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发行总金额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累计转股金额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累计转股数</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33" w:lineRule="exact"/>
              <w:ind w:left="0" w:right="0" w:firstLine="0"/>
              <w:jc w:val="both"/>
            </w:pPr>
            <w:r>
              <w:rPr>
                <w:rFonts w:ascii="SimSun" w:eastAsia="SimSun" w:hAnsi="SimSun" w:cs="SimSun"/>
                <w:color w:val="000000"/>
                <w:spacing w:val="0"/>
                <w:w w:val="100"/>
                <w:position w:val="0"/>
              </w:rPr>
              <w:t>转股数量占 转股开始日 前公司已发 行股份总额 的比例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尚未转股 金额</w:t>
            </w:r>
          </w:p>
        </w:tc>
        <w:tc>
          <w:tcPr>
            <w:tcBorders>
              <w:top w:val="single" w:sz="4"/>
              <w:left w:val="single" w:sz="4"/>
              <w:right w:val="single" w:sz="4"/>
            </w:tcBorders>
            <w:shd w:val="clear" w:color="auto" w:fill="D3D3D3"/>
            <w:vAlign w:val="top"/>
          </w:tcPr>
          <w:p>
            <w:pPr>
              <w:pStyle w:val="Style6"/>
              <w:keepNext w:val="0"/>
              <w:keepLines w:val="0"/>
              <w:widowControl w:val="0"/>
              <w:shd w:val="clear" w:color="auto" w:fill="auto"/>
              <w:bidi w:val="0"/>
              <w:spacing w:before="0" w:after="0" w:line="229" w:lineRule="exact"/>
              <w:ind w:left="0" w:right="0" w:firstLine="0"/>
              <w:jc w:val="center"/>
            </w:pPr>
            <w:r>
              <w:rPr>
                <w:rFonts w:ascii="SimSun" w:eastAsia="SimSun" w:hAnsi="SimSun" w:cs="SimSun"/>
                <w:color w:val="000000"/>
                <w:spacing w:val="0"/>
                <w:w w:val="100"/>
                <w:position w:val="0"/>
              </w:rPr>
              <w:t>未转股</w:t>
            </w:r>
          </w:p>
          <w:p>
            <w:pPr>
              <w:pStyle w:val="Style6"/>
              <w:keepNext w:val="0"/>
              <w:keepLines w:val="0"/>
              <w:widowControl w:val="0"/>
              <w:shd w:val="clear" w:color="auto" w:fill="auto"/>
              <w:bidi w:val="0"/>
              <w:spacing w:before="0" w:after="0" w:line="229" w:lineRule="exact"/>
              <w:ind w:left="0" w:right="0" w:firstLine="0"/>
              <w:jc w:val="center"/>
            </w:pPr>
            <w:r>
              <w:rPr>
                <w:rFonts w:ascii="SimSun" w:eastAsia="SimSun" w:hAnsi="SimSun" w:cs="SimSun"/>
                <w:color w:val="000000"/>
                <w:spacing w:val="0"/>
                <w:w w:val="100"/>
                <w:position w:val="0"/>
              </w:rPr>
              <w:t>金额占 发行总 金额的 比例</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东财 转</w:t>
            </w:r>
            <w:r>
              <w:rPr>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 xml:space="preserve">月 </w:t>
            </w:r>
            <w:r>
              <w:rPr>
                <w:color w:val="000000"/>
                <w:spacing w:val="0"/>
                <w:w w:val="100"/>
                <w:position w:val="0"/>
              </w:rPr>
              <w:t>13</w:t>
            </w:r>
            <w:r>
              <w:rPr>
                <w:rFonts w:ascii="SimSun" w:eastAsia="SimSun" w:hAnsi="SimSun" w:cs="SimSun"/>
                <w:color w:val="000000"/>
                <w:spacing w:val="0"/>
                <w:w w:val="100"/>
                <w:position w:val="0"/>
              </w:rPr>
              <w:t>日至</w:t>
            </w:r>
            <w:r>
              <w:rPr>
                <w:color w:val="000000"/>
                <w:spacing w:val="0"/>
                <w:w w:val="100"/>
                <w:position w:val="0"/>
              </w:rPr>
              <w:t xml:space="preserve">2022 </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158,000,000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15,800,000,000.00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713,738,500.00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30,564,066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15,086,261,500.00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95.48%</w:t>
            </w:r>
          </w:p>
        </w:tc>
      </w:tr>
    </w:tbl>
    <w:p>
      <w:pPr>
        <w:pStyle w:val="Style41"/>
        <w:keepNext w:val="0"/>
        <w:keepLines w:val="0"/>
        <w:widowControl w:val="0"/>
        <w:shd w:val="clear" w:color="auto" w:fill="auto"/>
        <w:bidi w:val="0"/>
        <w:spacing w:before="0" w:after="360" w:line="305" w:lineRule="exact"/>
        <w:ind w:left="0" w:right="0" w:firstLine="0"/>
        <w:jc w:val="both"/>
      </w:pPr>
      <w:r>
        <w:rPr>
          <w:color w:val="000000"/>
          <w:spacing w:val="0"/>
          <w:w w:val="100"/>
          <w:position w:val="0"/>
        </w:rPr>
        <w:t>注：公司第五届董事会第十九次会议审议通过了《关于赎回全部已发行可转换公司债券的议案》，决定行使“东 财转</w:t>
      </w:r>
      <w:r>
        <w:rPr>
          <w:rFonts w:ascii="Times New Roman" w:eastAsia="Times New Roman" w:hAnsi="Times New Roman" w:cs="Times New Roman"/>
          <w:color w:val="000000"/>
          <w:spacing w:val="0"/>
          <w:w w:val="100"/>
          <w:position w:val="0"/>
        </w:rPr>
        <w:t>3</w:t>
      </w:r>
      <w:r>
        <w:rPr>
          <w:color w:val="000000"/>
          <w:spacing w:val="0"/>
          <w:w w:val="100"/>
          <w:position w:val="0"/>
        </w:rPr>
        <w:t>”赎回权，按照可转债面值加当期应计利息的价格赎回在赎回登记日登记在册的全部“东财转</w:t>
      </w:r>
      <w:r>
        <w:rPr>
          <w:rFonts w:ascii="Times New Roman" w:eastAsia="Times New Roman" w:hAnsi="Times New Roman" w:cs="Times New Roman"/>
          <w:color w:val="000000"/>
          <w:spacing w:val="0"/>
          <w:w w:val="100"/>
          <w:position w:val="0"/>
        </w:rPr>
        <w:t>3</w:t>
      </w:r>
      <w:r>
        <w:rPr>
          <w:color w:val="000000"/>
          <w:spacing w:val="0"/>
          <w:w w:val="100"/>
          <w:position w:val="0"/>
        </w:rPr>
        <w:t>”。截 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日收盘后，“东财转</w:t>
      </w:r>
      <w:r>
        <w:rPr>
          <w:rFonts w:ascii="Times New Roman" w:eastAsia="Times New Roman" w:hAnsi="Times New Roman" w:cs="Times New Roman"/>
          <w:color w:val="000000"/>
          <w:spacing w:val="0"/>
          <w:w w:val="100"/>
          <w:position w:val="0"/>
        </w:rPr>
        <w:t>3</w:t>
      </w:r>
      <w:r>
        <w:rPr>
          <w:color w:val="000000"/>
          <w:spacing w:val="0"/>
          <w:w w:val="100"/>
          <w:position w:val="0"/>
        </w:rPr>
        <w:t>”累计转股</w:t>
      </w:r>
      <w:r>
        <w:rPr>
          <w:rFonts w:ascii="Times New Roman" w:eastAsia="Times New Roman" w:hAnsi="Times New Roman" w:cs="Times New Roman"/>
          <w:color w:val="000000"/>
          <w:spacing w:val="0"/>
          <w:w w:val="100"/>
          <w:position w:val="0"/>
        </w:rPr>
        <w:t>676,038,331</w:t>
      </w:r>
      <w:r>
        <w:rPr>
          <w:color w:val="000000"/>
          <w:spacing w:val="0"/>
          <w:w w:val="100"/>
          <w:position w:val="0"/>
        </w:rPr>
        <w:t>股，赎回数量为</w:t>
      </w:r>
      <w:r>
        <w:rPr>
          <w:rFonts w:ascii="Times New Roman" w:eastAsia="Times New Roman" w:hAnsi="Times New Roman" w:cs="Times New Roman"/>
          <w:color w:val="000000"/>
          <w:spacing w:val="0"/>
          <w:w w:val="100"/>
          <w:position w:val="0"/>
        </w:rPr>
        <w:t>140,612</w:t>
      </w:r>
      <w:r>
        <w:rPr>
          <w:color w:val="000000"/>
          <w:spacing w:val="0"/>
          <w:w w:val="100"/>
          <w:position w:val="0"/>
        </w:rPr>
        <w:t>张。</w:t>
      </w:r>
    </w:p>
    <w:p>
      <w:pPr>
        <w:pStyle w:val="Style32"/>
        <w:keepNext/>
        <w:keepLines/>
        <w:widowControl w:val="0"/>
        <w:shd w:val="clear" w:color="auto" w:fill="auto"/>
        <w:bidi w:val="0"/>
        <w:spacing w:before="0" w:after="360" w:line="240" w:lineRule="auto"/>
        <w:ind w:left="0" w:right="0" w:firstLine="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3</w:t>
      </w:r>
      <w:bookmarkEnd w:id="777"/>
      <w:r>
        <w:rPr>
          <w:color w:val="000000"/>
          <w:spacing w:val="0"/>
          <w:w w:val="100"/>
          <w:position w:val="0"/>
        </w:rPr>
        <w:t>、前十名可转债持有人情况</w:t>
      </w:r>
      <w:bookmarkEnd w:id="775"/>
      <w:bookmarkEnd w:id="776"/>
      <w:bookmarkEnd w:id="77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86"/>
        <w:gridCol w:w="3734"/>
        <w:gridCol w:w="979"/>
        <w:gridCol w:w="1430"/>
        <w:gridCol w:w="1555"/>
        <w:gridCol w:w="1219"/>
      </w:tblGrid>
      <w:tr>
        <w:trPr>
          <w:trHeight w:val="73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可转债持有人名称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可转债持有 人性质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报告期末持有可</w:t>
            </w:r>
          </w:p>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转债数量（张）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报告期末持有可转</w:t>
            </w:r>
          </w:p>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债金额（元）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报告期末持有 可转债占比</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中国工商银行股份有限公司一汇添富可转换债 券债券型证券投资基金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6,865,724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686,572,400.00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中国农业银行股份有限公司一富国可转换债券 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4,937,839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493,783,900.00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中国工商银行股份有限公司一易方达安心回报 债券型证券投资基金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3,654,056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365,405,600.00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w:t>
            </w:r>
          </w:p>
        </w:tc>
      </w:tr>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中国工商银行股份有限公司</w:t>
            </w:r>
            <w:r>
              <w:rPr>
                <w:color w:val="000000"/>
                <w:spacing w:val="0"/>
                <w:w w:val="100"/>
                <w:position w:val="0"/>
              </w:rPr>
              <w:t>-</w:t>
            </w:r>
            <w:r>
              <w:rPr>
                <w:rFonts w:ascii="SimSun" w:eastAsia="SimSun" w:hAnsi="SimSun" w:cs="SimSun"/>
                <w:color w:val="000000"/>
                <w:spacing w:val="0"/>
                <w:w w:val="100"/>
                <w:position w:val="0"/>
              </w:rPr>
              <w:t>博时信用债券投资 基金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3,539,228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353,922,800.00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r>
    </w:tbl>
    <w:p>
      <w:pPr>
        <w:sectPr>
          <w:footnotePr>
            <w:pos w:val="pageBottom"/>
            <w:numFmt w:val="upperRoman"/>
            <w:numStart w:val="1"/>
            <w:numRestart w:val="continuous"/>
            <w15:footnoteColumns w:val="1"/>
          </w:footnotePr>
          <w:pgSz w:w="11900" w:h="16840"/>
          <w:pgMar w:top="824" w:right="1080" w:bottom="1150" w:left="1109" w:header="0" w:footer="3" w:gutter="0"/>
          <w:cols w:space="720"/>
          <w:noEndnote/>
          <w:rtlGutter w:val="0"/>
          <w:docGrid w:linePitch="360"/>
        </w:sectPr>
      </w:pPr>
    </w:p>
    <w:tbl>
      <w:tblPr>
        <w:tblOverlap w:val="never"/>
        <w:jc w:val="center"/>
        <w:tblLayout w:type="fixed"/>
      </w:tblPr>
      <w:tblGrid>
        <w:gridCol w:w="686"/>
        <w:gridCol w:w="3734"/>
        <w:gridCol w:w="979"/>
        <w:gridCol w:w="1430"/>
        <w:gridCol w:w="1555"/>
        <w:gridCol w:w="1219"/>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全国社保基金四一四组合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3,434,713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343,471,300.00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中国工商银行股份有限公司一富国收益增强债 券型证券投资基金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3,079,303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307,930,300.00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全国社保基金二零八组合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2,842,876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284,287,600.00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中国农业银行股份有限公司一鹏华可转债债券 型证券投资基金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190,326,900.00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泰康资产鑫享</w:t>
            </w:r>
            <w:r>
              <w:rPr>
                <w:color w:val="000000"/>
                <w:spacing w:val="0"/>
                <w:w w:val="100"/>
                <w:position w:val="0"/>
              </w:rPr>
              <w:t>•</w:t>
            </w:r>
            <w:r>
              <w:rPr>
                <w:rFonts w:ascii="SimSun" w:eastAsia="SimSun" w:hAnsi="SimSun" w:cs="SimSun"/>
                <w:color w:val="000000"/>
                <w:spacing w:val="0"/>
                <w:w w:val="100"/>
                <w:position w:val="0"/>
              </w:rPr>
              <w:t>纯债</w:t>
            </w:r>
            <w:r>
              <w:rPr>
                <w:color w:val="000000"/>
                <w:spacing w:val="0"/>
                <w:w w:val="100"/>
                <w:position w:val="0"/>
              </w:rPr>
              <w:t>1</w:t>
            </w:r>
            <w:r>
              <w:rPr>
                <w:rFonts w:ascii="SimSun" w:eastAsia="SimSun" w:hAnsi="SimSun" w:cs="SimSun"/>
                <w:color w:val="000000"/>
                <w:spacing w:val="0"/>
                <w:w w:val="100"/>
                <w:position w:val="0"/>
              </w:rPr>
              <w:t>号固定收益型养老金产品 —中国工商银行股份有限公司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1,831,058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183,105,800.00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r>
      <w:tr>
        <w:trPr>
          <w:trHeight w:val="71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富国富益进取固定收益型养老金产品一中国工 商银行股份有限公司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1,670,365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167,036,500.00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w:t>
            </w:r>
          </w:p>
        </w:tc>
      </w:tr>
    </w:tbl>
    <w:p>
      <w:pPr>
        <w:widowControl w:val="0"/>
        <w:spacing w:after="259" w:line="1" w:lineRule="exact"/>
      </w:pPr>
    </w:p>
    <w:p>
      <w:pPr>
        <w:pStyle w:val="Style32"/>
        <w:keepNext/>
        <w:keepLines/>
        <w:widowControl w:val="0"/>
        <w:shd w:val="clear" w:color="auto" w:fill="auto"/>
        <w:tabs>
          <w:tab w:pos="470" w:val="left"/>
        </w:tabs>
        <w:bidi w:val="0"/>
        <w:spacing w:before="0" w:after="340" w:line="322" w:lineRule="exact"/>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4</w:t>
      </w:r>
      <w:bookmarkEnd w:id="781"/>
      <w:r>
        <w:rPr>
          <w:color w:val="000000"/>
          <w:spacing w:val="0"/>
          <w:w w:val="100"/>
          <w:position w:val="0"/>
        </w:rPr>
        <w:t>、</w:t>
        <w:tab/>
        <w:t>担保人盈利能力、资产状况和信用状况发生重大变化的情况</w:t>
      </w:r>
      <w:bookmarkEnd w:id="779"/>
      <w:bookmarkEnd w:id="780"/>
      <w:bookmarkEnd w:id="782"/>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2"/>
        <w:keepNext/>
        <w:keepLines/>
        <w:widowControl w:val="0"/>
        <w:shd w:val="clear" w:color="auto" w:fill="auto"/>
        <w:tabs>
          <w:tab w:pos="470" w:val="left"/>
        </w:tabs>
        <w:bidi w:val="0"/>
        <w:spacing w:before="0" w:after="260" w:line="322" w:lineRule="exact"/>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5</w:t>
      </w:r>
      <w:bookmarkEnd w:id="785"/>
      <w:r>
        <w:rPr>
          <w:color w:val="000000"/>
          <w:spacing w:val="0"/>
          <w:w w:val="100"/>
          <w:position w:val="0"/>
        </w:rPr>
        <w:t>、</w:t>
        <w:tab/>
        <w:t>报告期末公司的负债情况、资信变化情况以及在未来年度还债的现金安排</w:t>
      </w:r>
      <w:bookmarkEnd w:id="783"/>
      <w:bookmarkEnd w:id="784"/>
      <w:bookmarkEnd w:id="786"/>
    </w:p>
    <w:p>
      <w:pPr>
        <w:pStyle w:val="Style41"/>
        <w:keepNext w:val="0"/>
        <w:keepLines w:val="0"/>
        <w:widowControl w:val="0"/>
        <w:shd w:val="clear" w:color="auto" w:fill="auto"/>
        <w:tabs>
          <w:tab w:pos="584" w:val="left"/>
        </w:tabs>
        <w:bidi w:val="0"/>
        <w:spacing w:before="0" w:after="0" w:line="322" w:lineRule="exact"/>
        <w:ind w:left="0" w:right="0" w:firstLine="0"/>
        <w:jc w:val="left"/>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日，大公国际资信评估有限公司出具《东方财富信息股份有限公司主体与相关债项</w:t>
      </w:r>
      <w:r>
        <w:rPr>
          <w:rFonts w:ascii="Times New Roman" w:eastAsia="Times New Roman" w:hAnsi="Times New Roman" w:cs="Times New Roman"/>
          <w:color w:val="000000"/>
          <w:spacing w:val="0"/>
          <w:w w:val="100"/>
          <w:position w:val="0"/>
        </w:rPr>
        <w:t>2021</w:t>
      </w:r>
      <w:r>
        <w:rPr>
          <w:color w:val="000000"/>
          <w:spacing w:val="0"/>
          <w:w w:val="100"/>
          <w:position w:val="0"/>
        </w:rPr>
        <w:t>年度 跟踪评级报告》，公司主体长期信用等级维持</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评级展望维持稳定，</w:t>
      </w: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3”</w:t>
      </w:r>
      <w:r>
        <w:rPr>
          <w:color w:val="000000"/>
          <w:spacing w:val="0"/>
          <w:w w:val="100"/>
          <w:position w:val="0"/>
        </w:rPr>
        <w:t>的信用等级维持</w:t>
      </w:r>
      <w:r>
        <w:rPr>
          <w:rFonts w:ascii="Times New Roman" w:eastAsia="Times New Roman" w:hAnsi="Times New Roman" w:cs="Times New Roman"/>
          <w:color w:val="000000"/>
          <w:spacing w:val="0"/>
          <w:w w:val="100"/>
          <w:position w:val="0"/>
        </w:rPr>
        <w:t>AA+</w:t>
      </w:r>
      <w:r>
        <w:rPr>
          <w:color w:val="000000"/>
          <w:spacing w:val="0"/>
          <w:w w:val="100"/>
          <w:position w:val="0"/>
        </w:rPr>
        <w:t>。</w:t>
      </w:r>
    </w:p>
    <w:p>
      <w:pPr>
        <w:pStyle w:val="Style41"/>
        <w:keepNext w:val="0"/>
        <w:keepLines w:val="0"/>
        <w:widowControl w:val="0"/>
        <w:shd w:val="clear" w:color="auto" w:fill="auto"/>
        <w:tabs>
          <w:tab w:pos="574" w:val="left"/>
        </w:tabs>
        <w:bidi w:val="0"/>
        <w:spacing w:before="0" w:after="340" w:line="322" w:lineRule="exact"/>
        <w:ind w:left="0" w:right="0" w:firstLine="0"/>
        <w:jc w:val="left"/>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日，国际信用评级公司标普全球评级宣布，授予公司</w:t>
      </w:r>
      <w:r>
        <w:rPr>
          <w:rFonts w:ascii="Times New Roman" w:eastAsia="Times New Roman" w:hAnsi="Times New Roman" w:cs="Times New Roman"/>
          <w:color w:val="000000"/>
          <w:spacing w:val="0"/>
          <w:w w:val="100"/>
          <w:position w:val="0"/>
        </w:rPr>
        <w:t>“BBB-”</w:t>
      </w:r>
      <w:r>
        <w:rPr>
          <w:color w:val="000000"/>
          <w:spacing w:val="0"/>
          <w:w w:val="100"/>
          <w:position w:val="0"/>
        </w:rPr>
        <w:t>长期和</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A-3”</w:t>
      </w:r>
      <w:r>
        <w:rPr>
          <w:color w:val="000000"/>
          <w:spacing w:val="0"/>
          <w:w w:val="100"/>
          <w:position w:val="0"/>
        </w:rPr>
        <w:t>短期主体信用评 级。长期评级展望稳定。</w:t>
      </w:r>
    </w:p>
    <w:p>
      <w:pPr>
        <w:pStyle w:val="Style22"/>
        <w:keepNext/>
        <w:keepLines/>
        <w:widowControl w:val="0"/>
        <w:shd w:val="clear" w:color="auto" w:fill="auto"/>
        <w:tabs>
          <w:tab w:pos="541" w:val="left"/>
        </w:tabs>
        <w:bidi w:val="0"/>
        <w:spacing w:before="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sz w:val="24"/>
          <w:szCs w:val="24"/>
        </w:rPr>
        <w:t>五</w:t>
      </w:r>
      <w:bookmarkEnd w:id="791"/>
      <w:r>
        <w:rPr>
          <w:color w:val="000000"/>
          <w:spacing w:val="0"/>
          <w:w w:val="100"/>
          <w:position w:val="0"/>
          <w:sz w:val="24"/>
          <w:szCs w:val="24"/>
        </w:rPr>
        <w:t>、</w:t>
        <w:tab/>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789"/>
      <w:bookmarkEnd w:id="790"/>
      <w:bookmarkEnd w:id="792"/>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tabs>
          <w:tab w:pos="546" w:val="left"/>
        </w:tabs>
        <w:bidi w:val="0"/>
        <w:spacing w:before="0" w:line="240" w:lineRule="auto"/>
        <w:ind w:left="0" w:right="0" w:firstLine="0"/>
        <w:jc w:val="left"/>
      </w:pPr>
      <w:bookmarkStart w:id="793" w:name="bookmark793"/>
      <w:bookmarkStart w:id="794" w:name="bookmark794"/>
      <w:bookmarkStart w:id="795" w:name="bookmark795"/>
      <w:bookmarkStart w:id="796" w:name="bookmark796"/>
      <w:r>
        <w:rPr>
          <w:color w:val="000000"/>
          <w:spacing w:val="0"/>
          <w:w w:val="100"/>
          <w:position w:val="0"/>
          <w:sz w:val="24"/>
          <w:szCs w:val="24"/>
        </w:rPr>
        <w:t>六</w:t>
      </w:r>
      <w:bookmarkEnd w:id="795"/>
      <w:r>
        <w:rPr>
          <w:color w:val="000000"/>
          <w:spacing w:val="0"/>
          <w:w w:val="100"/>
          <w:position w:val="0"/>
          <w:sz w:val="24"/>
          <w:szCs w:val="24"/>
        </w:rPr>
        <w:t>、</w:t>
        <w:tab/>
        <w:t>报告期末除债券外的有息债务逾期情况</w:t>
      </w:r>
      <w:bookmarkEnd w:id="793"/>
      <w:bookmarkEnd w:id="794"/>
      <w:bookmarkEnd w:id="796"/>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tabs>
          <w:tab w:pos="546" w:val="left"/>
        </w:tabs>
        <w:bidi w:val="0"/>
        <w:spacing w:before="0" w:line="240" w:lineRule="auto"/>
        <w:ind w:left="0" w:right="0" w:firstLine="0"/>
        <w:jc w:val="left"/>
      </w:pPr>
      <w:bookmarkStart w:id="797" w:name="bookmark797"/>
      <w:bookmarkStart w:id="798" w:name="bookmark798"/>
      <w:bookmarkStart w:id="799" w:name="bookmark799"/>
      <w:bookmarkStart w:id="800" w:name="bookmark800"/>
      <w:r>
        <w:rPr>
          <w:color w:val="000000"/>
          <w:spacing w:val="0"/>
          <w:w w:val="100"/>
          <w:position w:val="0"/>
          <w:sz w:val="24"/>
          <w:szCs w:val="24"/>
        </w:rPr>
        <w:t>七</w:t>
      </w:r>
      <w:bookmarkEnd w:id="799"/>
      <w:r>
        <w:rPr>
          <w:color w:val="000000"/>
          <w:spacing w:val="0"/>
          <w:w w:val="100"/>
          <w:position w:val="0"/>
          <w:sz w:val="24"/>
          <w:szCs w:val="24"/>
        </w:rPr>
        <w:t>、</w:t>
        <w:tab/>
        <w:t>报告期内是否有违反规章制度的情况</w:t>
      </w:r>
      <w:bookmarkEnd w:id="797"/>
      <w:bookmarkEnd w:id="798"/>
      <w:bookmarkEnd w:id="800"/>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22"/>
        <w:keepNext/>
        <w:keepLines/>
        <w:widowControl w:val="0"/>
        <w:shd w:val="clear" w:color="auto" w:fill="auto"/>
        <w:tabs>
          <w:tab w:pos="546" w:val="left"/>
        </w:tabs>
        <w:bidi w:val="0"/>
        <w:spacing w:before="0" w:line="240" w:lineRule="auto"/>
        <w:ind w:left="0" w:right="0" w:firstLine="0"/>
        <w:jc w:val="left"/>
      </w:pPr>
      <w:bookmarkStart w:id="801" w:name="bookmark801"/>
      <w:bookmarkStart w:id="802" w:name="bookmark802"/>
      <w:bookmarkStart w:id="803" w:name="bookmark803"/>
      <w:bookmarkStart w:id="804" w:name="bookmark804"/>
      <w:r>
        <w:rPr>
          <w:color w:val="000000"/>
          <w:spacing w:val="0"/>
          <w:w w:val="100"/>
          <w:position w:val="0"/>
          <w:sz w:val="24"/>
          <w:szCs w:val="24"/>
        </w:rPr>
        <w:t>八</w:t>
      </w:r>
      <w:bookmarkEnd w:id="803"/>
      <w:r>
        <w:rPr>
          <w:color w:val="000000"/>
          <w:spacing w:val="0"/>
          <w:w w:val="100"/>
          <w:position w:val="0"/>
          <w:sz w:val="24"/>
          <w:szCs w:val="24"/>
        </w:rPr>
        <w:t>、</w:t>
        <w:tab/>
        <w:t>截至报告期末公司近两年的主要会计数据和财务指标</w:t>
      </w:r>
      <w:bookmarkEnd w:id="801"/>
      <w:bookmarkEnd w:id="802"/>
      <w:bookmarkEnd w:id="80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400"/>
        <w:gridCol w:w="2410"/>
        <w:gridCol w:w="2395"/>
        <w:gridCol w:w="240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本报告期末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本报告期末比上年末增减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流动比率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速动比率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r>
    </w:tbl>
    <w:p>
      <w:pPr>
        <w:spacing w:lineRule="exact" w:line="1"/>
        <w:rPr>
          <w:sz w:val="2"/>
          <w:szCs w:val="2"/>
        </w:rPr>
      </w:pPr>
      <w:r>
        <w:br w:type="page"/>
      </w:r>
    </w:p>
    <w:tbl>
      <w:tblPr>
        <w:tblOverlap w:val="never"/>
        <w:jc w:val="center"/>
        <w:tblLayout w:type="fixed"/>
      </w:tblPr>
      <w:tblGrid>
        <w:gridCol w:w="2400"/>
        <w:gridCol w:w="2410"/>
        <w:gridCol w:w="2395"/>
        <w:gridCol w:w="2400"/>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本报告期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本报告期比上年同期增减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扣除非经常性损益后净利润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844,030.38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471,137.01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Sun" w:eastAsia="SimSun" w:hAnsi="SimSun" w:cs="SimSun"/>
                <w:color w:val="000000"/>
                <w:spacing w:val="0"/>
                <w:w w:val="100"/>
                <w:position w:val="0"/>
              </w:rPr>
              <w:t>全部债务比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利息保障倍数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现金利息保障倍数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Sun" w:eastAsia="SimSun" w:hAnsi="SimSun" w:cs="SimSun"/>
                <w:color w:val="000000"/>
                <w:spacing w:val="0"/>
                <w:w w:val="100"/>
                <w:position w:val="0"/>
              </w:rPr>
              <w:t>利息保障倍数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贷款偿还率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ectPr>
          <w:footnotePr>
            <w:pos w:val="pageBottom"/>
            <w:numFmt w:val="upperRoman"/>
            <w:numStart w:val="1"/>
            <w:numRestart w:val="continuous"/>
            <w15:footnoteColumns w:val="1"/>
          </w:footnotePr>
          <w:pgSz w:w="11900" w:h="16840"/>
          <w:pgMar w:top="1443" w:right="1091" w:bottom="1760" w:left="1103" w:header="0" w:footer="3" w:gutter="0"/>
          <w:cols w:space="720"/>
          <w:noEndnote/>
          <w:rtlGutter w:val="0"/>
          <w:docGrid w:linePitch="360"/>
        </w:sectPr>
      </w:pPr>
    </w:p>
    <w:p>
      <w:pPr>
        <w:pStyle w:val="Style12"/>
        <w:keepNext/>
        <w:keepLines/>
        <w:widowControl w:val="0"/>
        <w:shd w:val="clear" w:color="auto" w:fill="auto"/>
        <w:bidi w:val="0"/>
        <w:spacing w:before="480" w:after="540" w:line="240" w:lineRule="auto"/>
        <w:ind w:left="0" w:right="0" w:firstLine="0"/>
        <w:jc w:val="center"/>
      </w:pPr>
      <w:bookmarkStart w:id="805" w:name="bookmark805"/>
      <w:bookmarkStart w:id="806" w:name="bookmark806"/>
      <w:bookmarkStart w:id="807" w:name="bookmark807"/>
      <w:r>
        <w:rPr>
          <w:color w:val="000000"/>
          <w:spacing w:val="0"/>
          <w:w w:val="100"/>
          <w:position w:val="0"/>
        </w:rPr>
        <w:t>第十节财务报告</w:t>
      </w:r>
      <w:bookmarkEnd w:id="805"/>
      <w:bookmarkEnd w:id="806"/>
      <w:bookmarkEnd w:id="807"/>
    </w:p>
    <w:p>
      <w:pPr>
        <w:pStyle w:val="Style22"/>
        <w:keepNext/>
        <w:keepLines/>
        <w:widowControl w:val="0"/>
        <w:shd w:val="clear" w:color="auto" w:fill="auto"/>
        <w:bidi w:val="0"/>
        <w:spacing w:before="0" w:after="300" w:line="240" w:lineRule="auto"/>
        <w:ind w:left="0" w:right="0" w:firstLine="280"/>
        <w:jc w:val="left"/>
      </w:pPr>
      <w:bookmarkStart w:id="808" w:name="bookmark808"/>
      <w:bookmarkStart w:id="809" w:name="bookmark809"/>
      <w:bookmarkStart w:id="810" w:name="bookmark810"/>
      <w:r>
        <w:rPr>
          <w:color w:val="000000"/>
          <w:spacing w:val="0"/>
          <w:w w:val="100"/>
          <w:position w:val="0"/>
          <w:sz w:val="24"/>
          <w:szCs w:val="24"/>
        </w:rPr>
        <w:t>、审计报告</w:t>
      </w:r>
      <w:bookmarkEnd w:id="808"/>
      <w:bookmarkEnd w:id="809"/>
      <w:bookmarkEnd w:id="810"/>
    </w:p>
    <w:tbl>
      <w:tblPr>
        <w:tblOverlap w:val="never"/>
        <w:jc w:val="center"/>
        <w:tblLayout w:type="fixed"/>
      </w:tblPr>
      <w:tblGrid>
        <w:gridCol w:w="4795"/>
        <w:gridCol w:w="4810"/>
      </w:tblGrid>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安永华明会计师事务所（特殊普通合伙）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安永华明（</w:t>
            </w:r>
            <w:r>
              <w:rPr>
                <w:color w:val="000000"/>
                <w:spacing w:val="0"/>
                <w:w w:val="100"/>
                <w:position w:val="0"/>
              </w:rPr>
              <w:t>2022</w:t>
            </w:r>
            <w:r>
              <w:rPr>
                <w:rFonts w:ascii="SimSun" w:eastAsia="SimSun" w:hAnsi="SimSun" w:cs="SimSun"/>
                <w:color w:val="000000"/>
                <w:spacing w:val="0"/>
                <w:w w:val="100"/>
                <w:position w:val="0"/>
              </w:rPr>
              <w:t>）审字第</w:t>
            </w:r>
            <w:r>
              <w:rPr>
                <w:color w:val="000000"/>
                <w:spacing w:val="0"/>
                <w:w w:val="100"/>
                <w:position w:val="0"/>
              </w:rPr>
              <w:t>61684426_B01</w:t>
            </w:r>
            <w:r>
              <w:rPr>
                <w:rFonts w:ascii="SimSun" w:eastAsia="SimSun" w:hAnsi="SimSun" w:cs="SimSun"/>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朱宝钦、严盛炜</w:t>
            </w:r>
          </w:p>
        </w:tc>
      </w:tr>
    </w:tbl>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东方财富信息股份有限公司全体股东:</w:t>
      </w:r>
    </w:p>
    <w:p>
      <w:pPr>
        <w:widowControl w:val="0"/>
        <w:spacing w:after="59" w:line="1" w:lineRule="exact"/>
      </w:pPr>
    </w:p>
    <w:p>
      <w:pPr>
        <w:pStyle w:val="Style32"/>
        <w:keepNext/>
        <w:keepLines/>
        <w:widowControl w:val="0"/>
        <w:shd w:val="clear" w:color="auto" w:fill="auto"/>
        <w:tabs>
          <w:tab w:pos="942" w:val="left"/>
        </w:tabs>
        <w:bidi w:val="0"/>
        <w:spacing w:before="0" w:after="0" w:line="309" w:lineRule="exact"/>
        <w:ind w:left="0" w:right="0" w:firstLine="440"/>
        <w:jc w:val="both"/>
      </w:pPr>
      <w:bookmarkStart w:id="811" w:name="bookmark811"/>
      <w:bookmarkStart w:id="812" w:name="bookmark812"/>
      <w:bookmarkStart w:id="813" w:name="bookmark813"/>
      <w:bookmarkStart w:id="814" w:name="bookmark814"/>
      <w:r>
        <w:rPr>
          <w:color w:val="000000"/>
          <w:spacing w:val="0"/>
          <w:w w:val="100"/>
          <w:position w:val="0"/>
        </w:rPr>
        <w:t>一</w:t>
      </w:r>
      <w:bookmarkEnd w:id="813"/>
      <w:r>
        <w:rPr>
          <w:color w:val="000000"/>
          <w:spacing w:val="0"/>
          <w:w w:val="100"/>
          <w:position w:val="0"/>
        </w:rPr>
        <w:t>、</w:t>
        <w:tab/>
        <w:t>审计意见</w:t>
      </w:r>
      <w:bookmarkEnd w:id="811"/>
      <w:bookmarkEnd w:id="812"/>
      <w:bookmarkEnd w:id="814"/>
    </w:p>
    <w:p>
      <w:pPr>
        <w:pStyle w:val="Style41"/>
        <w:keepNext w:val="0"/>
        <w:keepLines w:val="0"/>
        <w:widowControl w:val="0"/>
        <w:shd w:val="clear" w:color="auto" w:fill="auto"/>
        <w:bidi w:val="0"/>
        <w:spacing w:before="0" w:after="0" w:line="309" w:lineRule="exact"/>
        <w:ind w:left="0" w:right="0" w:firstLine="440"/>
        <w:jc w:val="both"/>
      </w:pPr>
      <w:r>
        <w:rPr>
          <w:color w:val="000000"/>
          <w:spacing w:val="0"/>
          <w:w w:val="100"/>
          <w:position w:val="0"/>
        </w:rPr>
        <w:t>我们审计了东方财富信息股份有限公司的财务报表，包括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日的合并及母公司资产负债表， </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年度的合并及母公司利润表、股东权益变动表和现金流量表以及相关财务报表附注。</w:t>
      </w:r>
    </w:p>
    <w:p>
      <w:pPr>
        <w:pStyle w:val="Style41"/>
        <w:keepNext w:val="0"/>
        <w:keepLines w:val="0"/>
        <w:widowControl w:val="0"/>
        <w:shd w:val="clear" w:color="auto" w:fill="auto"/>
        <w:bidi w:val="0"/>
        <w:spacing w:before="0" w:after="0" w:line="309" w:lineRule="exact"/>
        <w:ind w:left="0" w:right="0" w:firstLine="440"/>
        <w:jc w:val="both"/>
      </w:pPr>
      <w:r>
        <w:rPr>
          <w:color w:val="000000"/>
          <w:spacing w:val="0"/>
          <w:w w:val="100"/>
          <w:position w:val="0"/>
        </w:rPr>
        <w:t>我们认为，后附的东方财富信息股份有限公司的财务报表在所有重大方面按照企业会计准则的规定编 制，公允反映了东方财富信息股份有限公司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 及母公司经营成果和现金流量。</w:t>
      </w:r>
    </w:p>
    <w:p>
      <w:pPr>
        <w:pStyle w:val="Style41"/>
        <w:keepNext w:val="0"/>
        <w:keepLines w:val="0"/>
        <w:widowControl w:val="0"/>
        <w:shd w:val="clear" w:color="auto" w:fill="auto"/>
        <w:tabs>
          <w:tab w:pos="942" w:val="left"/>
        </w:tabs>
        <w:bidi w:val="0"/>
        <w:spacing w:before="0" w:after="0" w:line="309" w:lineRule="exact"/>
        <w:ind w:left="0" w:right="0" w:firstLine="440"/>
        <w:jc w:val="both"/>
      </w:pPr>
      <w:bookmarkStart w:id="815" w:name="bookmark815"/>
      <w:r>
        <w:rPr>
          <w:b/>
          <w:bCs/>
          <w:color w:val="000000"/>
          <w:spacing w:val="0"/>
          <w:w w:val="100"/>
          <w:position w:val="0"/>
        </w:rPr>
        <w:t>二</w:t>
      </w:r>
      <w:bookmarkEnd w:id="815"/>
      <w:r>
        <w:rPr>
          <w:b/>
          <w:bCs/>
          <w:color w:val="000000"/>
          <w:spacing w:val="0"/>
          <w:w w:val="100"/>
          <w:position w:val="0"/>
        </w:rPr>
        <w:t>、</w:t>
        <w:tab/>
        <w:t>形成审计意见的基础</w:t>
      </w:r>
    </w:p>
    <w:p>
      <w:pPr>
        <w:pStyle w:val="Style41"/>
        <w:keepNext w:val="0"/>
        <w:keepLines w:val="0"/>
        <w:widowControl w:val="0"/>
        <w:shd w:val="clear" w:color="auto" w:fill="auto"/>
        <w:bidi w:val="0"/>
        <w:spacing w:before="0" w:after="0" w:line="309" w:lineRule="exact"/>
        <w:ind w:left="0" w:right="0" w:firstLine="44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部分进一步阐述了我们在这些准则下的责任。按照中国注册会计师职业道德守则，我们独立于东方 财富信息股份有限公司，并履行了职业道德方面的其他责任。我们相信，我们获取的审计证据是充分、适 当的，为发表审计意见提供了基础。</w:t>
      </w:r>
    </w:p>
    <w:p>
      <w:pPr>
        <w:pStyle w:val="Style41"/>
        <w:keepNext w:val="0"/>
        <w:keepLines w:val="0"/>
        <w:widowControl w:val="0"/>
        <w:shd w:val="clear" w:color="auto" w:fill="auto"/>
        <w:tabs>
          <w:tab w:pos="942" w:val="left"/>
        </w:tabs>
        <w:bidi w:val="0"/>
        <w:spacing w:before="0" w:after="0" w:line="309" w:lineRule="exact"/>
        <w:ind w:left="0" w:right="0" w:firstLine="440"/>
        <w:jc w:val="both"/>
      </w:pPr>
      <w:bookmarkStart w:id="816" w:name="bookmark816"/>
      <w:r>
        <w:rPr>
          <w:b/>
          <w:bCs/>
          <w:color w:val="000000"/>
          <w:spacing w:val="0"/>
          <w:w w:val="100"/>
          <w:position w:val="0"/>
        </w:rPr>
        <w:t>三</w:t>
      </w:r>
      <w:bookmarkEnd w:id="816"/>
      <w:r>
        <w:rPr>
          <w:b/>
          <w:bCs/>
          <w:color w:val="000000"/>
          <w:spacing w:val="0"/>
          <w:w w:val="100"/>
          <w:position w:val="0"/>
        </w:rPr>
        <w:t>、</w:t>
        <w:tab/>
        <w:t>关键审计事项</w:t>
      </w:r>
    </w:p>
    <w:p>
      <w:pPr>
        <w:pStyle w:val="Style41"/>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财务报表整体进行审计并形成审计意见为背景，我们不对这些事项单独发表意见。我们对下述每一事项在 审计中是如何应对的描述也以此为背景。</w:t>
      </w:r>
    </w:p>
    <w:p>
      <w:pPr>
        <w:pStyle w:val="Style41"/>
        <w:keepNext w:val="0"/>
        <w:keepLines w:val="0"/>
        <w:widowControl w:val="0"/>
        <w:shd w:val="clear" w:color="auto" w:fill="auto"/>
        <w:bidi w:val="0"/>
        <w:spacing w:before="0" w:after="60" w:line="309" w:lineRule="exact"/>
        <w:ind w:left="0" w:right="0" w:firstLine="440"/>
        <w:jc w:val="both"/>
      </w:pPr>
      <w:r>
        <w:rPr>
          <w:color w:val="000000"/>
          <w:spacing w:val="0"/>
          <w:w w:val="100"/>
          <w:position w:val="0"/>
        </w:rPr>
        <w:t>我们已经履行了本报告</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部分阐述的责任，包括与这些关键审计事 项相关的责任。相应地，我们的审计工作包括执行为应对评估的财务报表重大错报风险而设计的审计程序。 我们执行审计程序的结果，包括应对下述关键审计事项所执行的程序，为财务报表整体发表审计意见提供 了基础。</w:t>
      </w:r>
    </w:p>
    <w:tbl>
      <w:tblPr>
        <w:tblOverlap w:val="never"/>
        <w:jc w:val="center"/>
        <w:tblLayout w:type="fixed"/>
      </w:tblPr>
      <w:tblGrid>
        <w:gridCol w:w="4834"/>
        <w:gridCol w:w="4829"/>
      </w:tblGrid>
      <w:tr>
        <w:trPr>
          <w:trHeight w:val="350" w:hRule="exact"/>
        </w:trPr>
        <w:tc>
          <w:tcPr>
            <w:tcBorders>
              <w:top w:val="single" w:sz="4"/>
              <w:left w:val="single" w:sz="4"/>
            </w:tcBorders>
            <w:shd w:val="clear" w:color="auto" w:fill="AEAAA9"/>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关键审计事项</w:t>
            </w:r>
          </w:p>
        </w:tc>
        <w:tc>
          <w:tcPr>
            <w:tcBorders>
              <w:top w:val="single" w:sz="4"/>
              <w:left w:val="single" w:sz="4"/>
              <w:right w:val="single" w:sz="4"/>
            </w:tcBorders>
            <w:shd w:val="clear" w:color="auto" w:fill="AEAAA9"/>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该事项在审计中是如何应对</w:t>
            </w:r>
          </w:p>
        </w:tc>
      </w:tr>
      <w:tr>
        <w:trPr>
          <w:trHeight w:val="360" w:hRule="exact"/>
        </w:trPr>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b/>
                <w:bCs/>
                <w:color w:val="000000"/>
                <w:spacing w:val="0"/>
                <w:w w:val="100"/>
                <w:position w:val="0"/>
                <w:sz w:val="20"/>
                <w:szCs w:val="20"/>
              </w:rPr>
              <w:t>（一）商誉减值</w:t>
            </w:r>
          </w:p>
        </w:tc>
      </w:tr>
    </w:tbl>
    <w:p>
      <w:pPr>
        <w:widowControl w:val="0"/>
        <w:spacing w:line="1" w:lineRule="exact"/>
      </w:pPr>
      <w:r>
        <w:br w:type="page"/>
      </w:r>
    </w:p>
    <w:tbl>
      <w:tblPr>
        <w:tblOverlap w:val="never"/>
        <w:jc w:val="center"/>
        <w:tblLayout w:type="fixed"/>
      </w:tblPr>
      <w:tblGrid>
        <w:gridCol w:w="4824"/>
        <w:gridCol w:w="4838"/>
      </w:tblGrid>
      <w:tr>
        <w:trPr>
          <w:trHeight w:val="535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314" w:lineRule="exact"/>
              <w:ind w:left="0" w:right="0" w:firstLine="0"/>
              <w:jc w:val="both"/>
              <w:rPr>
                <w:sz w:val="20"/>
                <w:szCs w:val="20"/>
              </w:rPr>
            </w:pPr>
            <w:r>
              <w:rPr>
                <w:rFonts w:ascii="SimSun" w:eastAsia="SimSun" w:hAnsi="SimSun" w:cs="SimSun"/>
                <w:color w:val="000000"/>
                <w:spacing w:val="0"/>
                <w:w w:val="100"/>
                <w:position w:val="0"/>
                <w:sz w:val="20"/>
                <w:szCs w:val="20"/>
              </w:rPr>
              <w:t>截至</w:t>
            </w: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 xml:space="preserve">日，东方财富信息股份有限公司 因收购子公司产生的商誉净值为人民币 </w:t>
            </w:r>
            <w:r>
              <w:rPr>
                <w:color w:val="000000"/>
                <w:spacing w:val="0"/>
                <w:w w:val="100"/>
                <w:position w:val="0"/>
                <w:sz w:val="20"/>
                <w:szCs w:val="20"/>
              </w:rPr>
              <w:t>2,945,861,162.24</w:t>
            </w:r>
            <w:r>
              <w:rPr>
                <w:rFonts w:ascii="SimSun" w:eastAsia="SimSun" w:hAnsi="SimSun" w:cs="SimSun"/>
                <w:color w:val="000000"/>
                <w:spacing w:val="0"/>
                <w:w w:val="100"/>
                <w:position w:val="0"/>
                <w:sz w:val="20"/>
                <w:szCs w:val="20"/>
              </w:rPr>
              <w:t xml:space="preserve">元，累计商誉减值准备余额为人民 币 </w:t>
            </w:r>
            <w:r>
              <w:rPr>
                <w:color w:val="000000"/>
                <w:spacing w:val="0"/>
                <w:w w:val="100"/>
                <w:position w:val="0"/>
                <w:sz w:val="20"/>
                <w:szCs w:val="20"/>
              </w:rPr>
              <w:t>12,816,180.48</w:t>
            </w:r>
            <w:r>
              <w:rPr>
                <w:rFonts w:ascii="SimSun" w:eastAsia="SimSun" w:hAnsi="SimSun" w:cs="SimSun"/>
                <w:color w:val="000000"/>
                <w:spacing w:val="0"/>
                <w:w w:val="100"/>
                <w:position w:val="0"/>
                <w:sz w:val="20"/>
                <w:szCs w:val="20"/>
              </w:rPr>
              <w:t>元。</w:t>
            </w:r>
          </w:p>
          <w:p>
            <w:pPr>
              <w:pStyle w:val="Style6"/>
              <w:keepNext w:val="0"/>
              <w:keepLines w:val="0"/>
              <w:widowControl w:val="0"/>
              <w:shd w:val="clear" w:color="auto" w:fill="auto"/>
              <w:bidi w:val="0"/>
              <w:spacing w:before="0" w:after="140" w:line="314" w:lineRule="exact"/>
              <w:ind w:left="0" w:right="0" w:firstLine="0"/>
              <w:jc w:val="both"/>
              <w:rPr>
                <w:sz w:val="20"/>
                <w:szCs w:val="20"/>
              </w:rPr>
            </w:pPr>
            <w:r>
              <w:rPr>
                <w:rFonts w:ascii="SimSun" w:eastAsia="SimSun" w:hAnsi="SimSun" w:cs="SimSun"/>
                <w:color w:val="000000"/>
                <w:spacing w:val="0"/>
                <w:w w:val="100"/>
                <w:position w:val="0"/>
                <w:sz w:val="20"/>
                <w:szCs w:val="20"/>
              </w:rPr>
              <w:t>商誉来源于对东方财富证券股份有限公司、哈富证 券有限公司、东财保险经纪有限公司及上海东方财 富证券投资咨询有限公司的收购。商誉减值测试于 每年年末进行一次，管理层将上述子公司分别确认 为单个资产组。</w:t>
            </w:r>
          </w:p>
          <w:p>
            <w:pPr>
              <w:pStyle w:val="Style6"/>
              <w:keepNext w:val="0"/>
              <w:keepLines w:val="0"/>
              <w:widowControl w:val="0"/>
              <w:shd w:val="clear" w:color="auto" w:fill="auto"/>
              <w:bidi w:val="0"/>
              <w:spacing w:before="0" w:after="140" w:line="312" w:lineRule="exact"/>
              <w:ind w:left="0" w:right="0" w:firstLine="0"/>
              <w:jc w:val="both"/>
              <w:rPr>
                <w:sz w:val="20"/>
                <w:szCs w:val="20"/>
              </w:rPr>
            </w:pPr>
            <w:r>
              <w:rPr>
                <w:rFonts w:ascii="SimSun" w:eastAsia="SimSun" w:hAnsi="SimSun" w:cs="SimSun"/>
                <w:color w:val="000000"/>
                <w:spacing w:val="0"/>
                <w:w w:val="100"/>
                <w:position w:val="0"/>
                <w:sz w:val="20"/>
                <w:szCs w:val="20"/>
              </w:rPr>
              <w:t>管理层采用估值模型对资产组的可收回金额进行评 估。由于在确定商誉是否应计提减值准备时涉及重 大的管理层判断和估计，因此我们将商誉减值认定 为关键审计事项。</w:t>
            </w:r>
          </w:p>
          <w:p>
            <w:pPr>
              <w:pStyle w:val="Style6"/>
              <w:keepNext w:val="0"/>
              <w:keepLines w:val="0"/>
              <w:widowControl w:val="0"/>
              <w:shd w:val="clear" w:color="auto" w:fill="auto"/>
              <w:bidi w:val="0"/>
              <w:spacing w:before="0" w:after="140" w:line="314" w:lineRule="exact"/>
              <w:ind w:left="0" w:right="0" w:firstLine="0"/>
              <w:jc w:val="both"/>
              <w:rPr>
                <w:sz w:val="20"/>
                <w:szCs w:val="20"/>
              </w:rPr>
            </w:pPr>
            <w:r>
              <w:rPr>
                <w:rFonts w:ascii="SimSun" w:eastAsia="SimSun" w:hAnsi="SimSun" w:cs="SimSun"/>
                <w:color w:val="000000"/>
                <w:spacing w:val="0"/>
                <w:w w:val="100"/>
                <w:position w:val="0"/>
                <w:sz w:val="20"/>
                <w:szCs w:val="20"/>
              </w:rPr>
              <w:t>相关披露请参见财务报表附注。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40" w:line="314" w:lineRule="exact"/>
              <w:ind w:left="0" w:right="0" w:firstLine="0"/>
              <w:jc w:val="both"/>
              <w:rPr>
                <w:sz w:val="20"/>
                <w:szCs w:val="20"/>
              </w:rPr>
            </w:pPr>
            <w:r>
              <w:rPr>
                <w:rFonts w:ascii="SimSun" w:eastAsia="SimSun" w:hAnsi="SimSun" w:cs="SimSun"/>
                <w:color w:val="000000"/>
                <w:spacing w:val="0"/>
                <w:w w:val="100"/>
                <w:position w:val="0"/>
                <w:sz w:val="20"/>
                <w:szCs w:val="20"/>
              </w:rPr>
              <w:t>我们对商誉的减值测试执行的审计程序主要包括：</w:t>
            </w:r>
          </w:p>
          <w:p>
            <w:pPr>
              <w:pStyle w:val="Style6"/>
              <w:keepNext w:val="0"/>
              <w:keepLines w:val="0"/>
              <w:widowControl w:val="0"/>
              <w:shd w:val="clear" w:color="auto" w:fill="auto"/>
              <w:bidi w:val="0"/>
              <w:spacing w:before="0" w:after="140" w:line="317" w:lineRule="exact"/>
              <w:ind w:left="0" w:right="0" w:firstLine="0"/>
              <w:jc w:val="both"/>
              <w:rPr>
                <w:sz w:val="20"/>
                <w:szCs w:val="20"/>
              </w:rPr>
            </w:pPr>
            <w:r>
              <w:rPr>
                <w:rFonts w:ascii="SimSun" w:eastAsia="SimSun" w:hAnsi="SimSun" w:cs="SimSun"/>
                <w:color w:val="000000"/>
                <w:spacing w:val="0"/>
                <w:w w:val="100"/>
                <w:position w:val="0"/>
                <w:sz w:val="20"/>
                <w:szCs w:val="20"/>
              </w:rPr>
              <w:t>基于我们对东方财富信息股份有限公司及其子公司 业务的了解和企业会计准则的规定，评价管理层对 各资产组的识别以及如何将商誉和其他资产分配至 各资产组的结果；</w:t>
            </w:r>
          </w:p>
          <w:p>
            <w:pPr>
              <w:pStyle w:val="Style6"/>
              <w:keepNext w:val="0"/>
              <w:keepLines w:val="0"/>
              <w:widowControl w:val="0"/>
              <w:shd w:val="clear" w:color="auto" w:fill="auto"/>
              <w:bidi w:val="0"/>
              <w:spacing w:before="0" w:after="140" w:line="314" w:lineRule="exact"/>
              <w:ind w:left="0" w:right="0" w:firstLine="0"/>
              <w:jc w:val="both"/>
              <w:rPr>
                <w:sz w:val="20"/>
                <w:szCs w:val="20"/>
              </w:rPr>
            </w:pPr>
            <w:r>
              <w:rPr>
                <w:rFonts w:ascii="SimSun" w:eastAsia="SimSun" w:hAnsi="SimSun" w:cs="SimSun"/>
                <w:color w:val="000000"/>
                <w:spacing w:val="0"/>
                <w:w w:val="100"/>
                <w:position w:val="0"/>
                <w:sz w:val="20"/>
                <w:szCs w:val="20"/>
              </w:rPr>
              <w:t>利用我们内部估值复核专家的工作，基于企业会计 准则的要求，评价预计资产组的可收回金额时管理 层所采用的方法和关键假设；</w:t>
            </w:r>
          </w:p>
          <w:p>
            <w:pPr>
              <w:pStyle w:val="Style6"/>
              <w:keepNext w:val="0"/>
              <w:keepLines w:val="0"/>
              <w:widowControl w:val="0"/>
              <w:shd w:val="clear" w:color="auto" w:fill="auto"/>
              <w:bidi w:val="0"/>
              <w:spacing w:before="0" w:after="140" w:line="310" w:lineRule="exact"/>
              <w:ind w:left="0" w:right="0" w:firstLine="0"/>
              <w:jc w:val="both"/>
              <w:rPr>
                <w:sz w:val="20"/>
                <w:szCs w:val="20"/>
              </w:rPr>
            </w:pPr>
            <w:r>
              <w:rPr>
                <w:rFonts w:ascii="SimSun" w:eastAsia="SimSun" w:hAnsi="SimSun" w:cs="SimSun"/>
                <w:color w:val="000000"/>
                <w:spacing w:val="0"/>
                <w:w w:val="100"/>
                <w:position w:val="0"/>
                <w:sz w:val="20"/>
                <w:szCs w:val="20"/>
              </w:rPr>
              <w:t>我们评估了估值模型的合理性以及相关参数的适当 性。该评估是基于我们对公司业务和所处行业的了 解，包括相关子公司的过往业绩和行业统计数据 等。我们也测试了估值模型的计算准确性；</w:t>
            </w:r>
          </w:p>
          <w:p>
            <w:pPr>
              <w:pStyle w:val="Style6"/>
              <w:keepNext w:val="0"/>
              <w:keepLines w:val="0"/>
              <w:widowControl w:val="0"/>
              <w:shd w:val="clear" w:color="auto" w:fill="auto"/>
              <w:bidi w:val="0"/>
              <w:spacing w:before="0" w:after="140" w:line="312" w:lineRule="exact"/>
              <w:ind w:left="0" w:right="0" w:firstLine="0"/>
              <w:jc w:val="both"/>
              <w:rPr>
                <w:sz w:val="20"/>
                <w:szCs w:val="20"/>
              </w:rPr>
            </w:pPr>
            <w:r>
              <w:rPr>
                <w:rFonts w:ascii="SimSun" w:eastAsia="SimSun" w:hAnsi="SimSun" w:cs="SimSun"/>
                <w:color w:val="000000"/>
                <w:spacing w:val="0"/>
                <w:w w:val="100"/>
                <w:position w:val="0"/>
                <w:sz w:val="20"/>
                <w:szCs w:val="20"/>
              </w:rPr>
              <w:t>评价财务报表中商誉减值的相关披露是否符合企业 会计准则的要求。</w:t>
            </w:r>
          </w:p>
        </w:tc>
      </w:tr>
      <w:tr>
        <w:trPr>
          <w:trHeight w:val="350"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（二）融出资金及买入返售金融资产减值评估</w:t>
            </w:r>
          </w:p>
        </w:tc>
      </w:tr>
      <w:tr>
        <w:trPr>
          <w:trHeight w:val="705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60" w:line="311" w:lineRule="exact"/>
              <w:ind w:left="0" w:right="0" w:firstLine="0"/>
              <w:jc w:val="both"/>
              <w:rPr>
                <w:sz w:val="20"/>
                <w:szCs w:val="20"/>
              </w:rPr>
            </w:pPr>
            <w:r>
              <w:rPr>
                <w:rFonts w:ascii="SimSun" w:eastAsia="SimSun" w:hAnsi="SimSun" w:cs="SimSun"/>
                <w:color w:val="000000"/>
                <w:spacing w:val="0"/>
                <w:w w:val="100"/>
                <w:position w:val="0"/>
                <w:sz w:val="20"/>
                <w:szCs w:val="20"/>
              </w:rPr>
              <w:t>截至</w:t>
            </w: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日，公司融出资金的账面净值为 人民币</w:t>
            </w:r>
            <w:r>
              <w:rPr>
                <w:color w:val="000000"/>
                <w:spacing w:val="0"/>
                <w:w w:val="100"/>
                <w:position w:val="0"/>
                <w:sz w:val="20"/>
                <w:szCs w:val="20"/>
              </w:rPr>
              <w:t>43,407,081,598.64</w:t>
            </w:r>
            <w:r>
              <w:rPr>
                <w:rFonts w:ascii="SimSun" w:eastAsia="SimSun" w:hAnsi="SimSun" w:cs="SimSun"/>
                <w:color w:val="000000"/>
                <w:spacing w:val="0"/>
                <w:w w:val="100"/>
                <w:position w:val="0"/>
                <w:sz w:val="20"/>
                <w:szCs w:val="20"/>
              </w:rPr>
              <w:t>元，其中减值准备余额为人 民币</w:t>
            </w:r>
            <w:r>
              <w:rPr>
                <w:color w:val="000000"/>
                <w:spacing w:val="0"/>
                <w:w w:val="100"/>
                <w:position w:val="0"/>
                <w:sz w:val="20"/>
                <w:szCs w:val="20"/>
              </w:rPr>
              <w:t>85,331,105.9</w:t>
            </w:r>
            <w:r>
              <w:rPr>
                <w:color w:val="000000"/>
                <w:spacing w:val="0"/>
                <w:w w:val="100"/>
                <w:position w:val="0"/>
                <w:sz w:val="20"/>
                <w:szCs w:val="20"/>
              </w:rPr>
              <w:t>2</w:t>
            </w:r>
            <w:r>
              <w:rPr>
                <w:rFonts w:ascii="SimSun" w:eastAsia="SimSun" w:hAnsi="SimSun" w:cs="SimSun"/>
                <w:color w:val="000000"/>
                <w:spacing w:val="0"/>
                <w:w w:val="100"/>
                <w:position w:val="0"/>
                <w:sz w:val="20"/>
                <w:szCs w:val="20"/>
              </w:rPr>
              <w:t>元；买入返售金融资产的账面净 值为人民币</w:t>
            </w:r>
            <w:r>
              <w:rPr>
                <w:color w:val="000000"/>
                <w:spacing w:val="0"/>
                <w:w w:val="100"/>
                <w:position w:val="0"/>
                <w:sz w:val="20"/>
                <w:szCs w:val="20"/>
              </w:rPr>
              <w:t>3,477,819,258.48</w:t>
            </w:r>
            <w:r>
              <w:rPr>
                <w:rFonts w:ascii="SimSun" w:eastAsia="SimSun" w:hAnsi="SimSun" w:cs="SimSun"/>
                <w:color w:val="000000"/>
                <w:spacing w:val="0"/>
                <w:w w:val="100"/>
                <w:position w:val="0"/>
                <w:sz w:val="20"/>
                <w:szCs w:val="20"/>
              </w:rPr>
              <w:t>元，其中减值准备余额 为人民币</w:t>
            </w:r>
            <w:r>
              <w:rPr>
                <w:color w:val="000000"/>
                <w:spacing w:val="0"/>
                <w:w w:val="100"/>
                <w:position w:val="0"/>
                <w:sz w:val="20"/>
                <w:szCs w:val="20"/>
              </w:rPr>
              <w:t>587,377.61</w:t>
            </w:r>
            <w:r>
              <w:rPr>
                <w:rFonts w:ascii="SimSun" w:eastAsia="SimSun" w:hAnsi="SimSun" w:cs="SimSun"/>
                <w:color w:val="000000"/>
                <w:spacing w:val="0"/>
                <w:w w:val="100"/>
                <w:position w:val="0"/>
                <w:sz w:val="20"/>
                <w:szCs w:val="20"/>
              </w:rPr>
              <w:t>元。</w:t>
            </w:r>
          </w:p>
          <w:p>
            <w:pPr>
              <w:pStyle w:val="Style6"/>
              <w:keepNext w:val="0"/>
              <w:keepLines w:val="0"/>
              <w:widowControl w:val="0"/>
              <w:shd w:val="clear" w:color="auto" w:fill="auto"/>
              <w:bidi w:val="0"/>
              <w:spacing w:before="0" w:after="160" w:line="311" w:lineRule="exact"/>
              <w:ind w:left="0" w:right="0" w:firstLine="0"/>
              <w:jc w:val="both"/>
              <w:rPr>
                <w:sz w:val="20"/>
                <w:szCs w:val="20"/>
              </w:rPr>
            </w:pPr>
            <w:r>
              <w:rPr>
                <w:rFonts w:ascii="SimSun" w:eastAsia="SimSun" w:hAnsi="SimSun" w:cs="SimSun"/>
                <w:color w:val="000000"/>
                <w:spacing w:val="0"/>
                <w:w w:val="100"/>
                <w:position w:val="0"/>
                <w:sz w:val="20"/>
                <w:szCs w:val="20"/>
              </w:rPr>
              <w:t>公司于每个资产负债表日，以预期信用损失为基础 对融出资金与买入返售金融资产进行减值测试并确 认损失准备。如果信用风险自初始确认后未显著增 加，公司按照相当于未来</w:t>
            </w:r>
            <w:r>
              <w:rPr>
                <w:color w:val="000000"/>
                <w:spacing w:val="0"/>
                <w:w w:val="100"/>
                <w:position w:val="0"/>
                <w:sz w:val="20"/>
                <w:szCs w:val="20"/>
              </w:rPr>
              <w:t>12</w:t>
            </w:r>
            <w:r>
              <w:rPr>
                <w:rFonts w:ascii="SimSun" w:eastAsia="SimSun" w:hAnsi="SimSun" w:cs="SimSun"/>
                <w:color w:val="000000"/>
                <w:spacing w:val="0"/>
                <w:w w:val="100"/>
                <w:position w:val="0"/>
                <w:sz w:val="20"/>
                <w:szCs w:val="20"/>
              </w:rPr>
              <w:t>个月内预期信用损失的 金额计量损失准备。如果信用风险自初始确认后已 显著增加，公司按照相当于整个存续期内预期信用 损失的金额计量损失准备。如果已经发生信用损失， 公司确认整个存续期内的信用减值。公司在评估预 期信用损失时，考虑所有合理且有依据的信息，包 括前瞻性信息。</w:t>
            </w:r>
          </w:p>
          <w:p>
            <w:pPr>
              <w:pStyle w:val="Style6"/>
              <w:keepNext w:val="0"/>
              <w:keepLines w:val="0"/>
              <w:widowControl w:val="0"/>
              <w:shd w:val="clear" w:color="auto" w:fill="auto"/>
              <w:bidi w:val="0"/>
              <w:spacing w:before="0" w:after="160" w:line="310" w:lineRule="exact"/>
              <w:ind w:left="0" w:right="0" w:firstLine="0"/>
              <w:jc w:val="both"/>
              <w:rPr>
                <w:sz w:val="20"/>
                <w:szCs w:val="20"/>
              </w:rPr>
            </w:pPr>
            <w:r>
              <w:rPr>
                <w:rFonts w:ascii="SimSun" w:eastAsia="SimSun" w:hAnsi="SimSun" w:cs="SimSun"/>
                <w:color w:val="000000"/>
                <w:spacing w:val="0"/>
                <w:w w:val="100"/>
                <w:position w:val="0"/>
                <w:sz w:val="20"/>
                <w:szCs w:val="20"/>
              </w:rPr>
              <w:t>由于相关资产金额重大，其减值评估需要管理层作 出重大判断，包括对减值阶段的划分及未来现金流 量的估计等，因此我们将融出资金及买入返售金融 资产减值评估认定为关键审计事项。</w:t>
            </w:r>
          </w:p>
          <w:p>
            <w:pPr>
              <w:pStyle w:val="Style6"/>
              <w:keepNext w:val="0"/>
              <w:keepLines w:val="0"/>
              <w:widowControl w:val="0"/>
              <w:shd w:val="clear" w:color="auto" w:fill="auto"/>
              <w:bidi w:val="0"/>
              <w:spacing w:before="0" w:after="160" w:line="311" w:lineRule="exact"/>
              <w:ind w:left="0" w:right="0" w:firstLine="0"/>
              <w:jc w:val="both"/>
              <w:rPr>
                <w:sz w:val="20"/>
                <w:szCs w:val="20"/>
              </w:rPr>
            </w:pPr>
            <w:r>
              <w:rPr>
                <w:rFonts w:ascii="SimSun" w:eastAsia="SimSun" w:hAnsi="SimSun" w:cs="SimSun"/>
                <w:color w:val="000000"/>
                <w:spacing w:val="0"/>
                <w:w w:val="100"/>
                <w:position w:val="0"/>
                <w:sz w:val="20"/>
                <w:szCs w:val="20"/>
              </w:rPr>
              <w:t>相关披露请参见财务报表附注。</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120" w:after="140" w:line="302" w:lineRule="exact"/>
              <w:ind w:left="0" w:right="0" w:firstLine="0"/>
              <w:jc w:val="both"/>
              <w:rPr>
                <w:sz w:val="20"/>
                <w:szCs w:val="20"/>
              </w:rPr>
            </w:pPr>
            <w:r>
              <w:rPr>
                <w:rFonts w:ascii="SimSun" w:eastAsia="SimSun" w:hAnsi="SimSun" w:cs="SimSun"/>
                <w:color w:val="000000"/>
                <w:spacing w:val="0"/>
                <w:w w:val="100"/>
                <w:position w:val="0"/>
                <w:sz w:val="20"/>
                <w:szCs w:val="20"/>
              </w:rPr>
              <w:t>我们对融出资金及买入返售金融资产减值评估执行 的审计程序主要包括：</w:t>
            </w:r>
          </w:p>
          <w:p>
            <w:pPr>
              <w:pStyle w:val="Style6"/>
              <w:keepNext w:val="0"/>
              <w:keepLines w:val="0"/>
              <w:widowControl w:val="0"/>
              <w:shd w:val="clear" w:color="auto" w:fill="auto"/>
              <w:bidi w:val="0"/>
              <w:spacing w:before="0" w:after="140" w:line="317" w:lineRule="exact"/>
              <w:ind w:left="0" w:right="0" w:firstLine="0"/>
              <w:jc w:val="both"/>
              <w:rPr>
                <w:sz w:val="20"/>
                <w:szCs w:val="20"/>
              </w:rPr>
            </w:pPr>
            <w:r>
              <w:rPr>
                <w:rFonts w:ascii="SimSun" w:eastAsia="SimSun" w:hAnsi="SimSun" w:cs="SimSun"/>
                <w:color w:val="000000"/>
                <w:spacing w:val="0"/>
                <w:w w:val="100"/>
                <w:position w:val="0"/>
                <w:sz w:val="20"/>
                <w:szCs w:val="20"/>
              </w:rPr>
              <w:t>评估及测试了与融出资金及买入返售金融资产减值 计提流程相关的内部控制设计、运行的有效性；</w:t>
            </w:r>
          </w:p>
          <w:p>
            <w:pPr>
              <w:pStyle w:val="Style6"/>
              <w:keepNext w:val="0"/>
              <w:keepLines w:val="0"/>
              <w:widowControl w:val="0"/>
              <w:shd w:val="clear" w:color="auto" w:fill="auto"/>
              <w:bidi w:val="0"/>
              <w:spacing w:before="0" w:after="140" w:line="302" w:lineRule="exact"/>
              <w:ind w:left="0" w:right="0" w:firstLine="0"/>
              <w:jc w:val="both"/>
              <w:rPr>
                <w:sz w:val="20"/>
                <w:szCs w:val="20"/>
              </w:rPr>
            </w:pPr>
            <w:r>
              <w:rPr>
                <w:rFonts w:ascii="SimSun" w:eastAsia="SimSun" w:hAnsi="SimSun" w:cs="SimSun"/>
                <w:color w:val="000000"/>
                <w:spacing w:val="0"/>
                <w:w w:val="100"/>
                <w:position w:val="0"/>
                <w:sz w:val="20"/>
                <w:szCs w:val="20"/>
              </w:rPr>
              <w:t>对管理层减值阶段划分的定性、定量标准及用于确 定各个阶段减值损失金额采用的预期信用损失模型 的合理性进行了评估；</w:t>
            </w:r>
          </w:p>
          <w:p>
            <w:pPr>
              <w:pStyle w:val="Style6"/>
              <w:keepNext w:val="0"/>
              <w:keepLines w:val="0"/>
              <w:widowControl w:val="0"/>
              <w:shd w:val="clear" w:color="auto" w:fill="auto"/>
              <w:bidi w:val="0"/>
              <w:spacing w:before="0" w:after="140" w:line="307" w:lineRule="exact"/>
              <w:ind w:left="0" w:right="0" w:firstLine="0"/>
              <w:jc w:val="both"/>
              <w:rPr>
                <w:sz w:val="20"/>
                <w:szCs w:val="20"/>
              </w:rPr>
            </w:pPr>
            <w:r>
              <w:rPr>
                <w:rFonts w:ascii="SimSun" w:eastAsia="SimSun" w:hAnsi="SimSun" w:cs="SimSun"/>
                <w:color w:val="000000"/>
                <w:spacing w:val="0"/>
                <w:w w:val="100"/>
                <w:position w:val="0"/>
                <w:sz w:val="20"/>
                <w:szCs w:val="20"/>
              </w:rPr>
              <w:t>选取样本，对样本的减值阶段划分结果与预期信用 损失模型的标准进行对比；</w:t>
            </w:r>
          </w:p>
          <w:p>
            <w:pPr>
              <w:pStyle w:val="Style6"/>
              <w:keepNext w:val="0"/>
              <w:keepLines w:val="0"/>
              <w:widowControl w:val="0"/>
              <w:shd w:val="clear" w:color="auto" w:fill="auto"/>
              <w:bidi w:val="0"/>
              <w:spacing w:before="0" w:after="140" w:line="312" w:lineRule="exact"/>
              <w:ind w:left="0" w:right="0" w:firstLine="0"/>
              <w:jc w:val="both"/>
              <w:rPr>
                <w:sz w:val="20"/>
                <w:szCs w:val="20"/>
              </w:rPr>
            </w:pPr>
            <w:r>
              <w:rPr>
                <w:rFonts w:ascii="SimSun" w:eastAsia="SimSun" w:hAnsi="SimSun" w:cs="SimSun"/>
                <w:color w:val="000000"/>
                <w:spacing w:val="0"/>
                <w:w w:val="100"/>
                <w:position w:val="0"/>
                <w:sz w:val="20"/>
                <w:szCs w:val="20"/>
              </w:rPr>
              <w:t>对管理层在计算减值损失时使用的关键参数的合理 性进行了评估，包括违约风险暴露、违约概率、违约 损失率、前瞻性调整因子等参数，并通过重新计算 检查管理层减值损失模型的计算准确性；</w:t>
            </w:r>
          </w:p>
          <w:p>
            <w:pPr>
              <w:pStyle w:val="Style6"/>
              <w:keepNext w:val="0"/>
              <w:keepLines w:val="0"/>
              <w:widowControl w:val="0"/>
              <w:shd w:val="clear" w:color="auto" w:fill="auto"/>
              <w:bidi w:val="0"/>
              <w:spacing w:before="0" w:after="140" w:line="307" w:lineRule="exact"/>
              <w:ind w:left="0" w:right="0" w:firstLine="0"/>
              <w:jc w:val="both"/>
              <w:rPr>
                <w:sz w:val="20"/>
                <w:szCs w:val="20"/>
              </w:rPr>
            </w:pPr>
            <w:r>
              <w:rPr>
                <w:rFonts w:ascii="SimSun" w:eastAsia="SimSun" w:hAnsi="SimSun" w:cs="SimSun"/>
                <w:color w:val="000000"/>
                <w:spacing w:val="0"/>
                <w:w w:val="100"/>
                <w:position w:val="0"/>
                <w:sz w:val="20"/>
                <w:szCs w:val="20"/>
              </w:rPr>
              <w:t>结合历史损失经验及市场惯例，评估了管理层减值 模型计算结果的合理性；</w:t>
            </w:r>
          </w:p>
          <w:p>
            <w:pPr>
              <w:pStyle w:val="Style6"/>
              <w:keepNext w:val="0"/>
              <w:keepLines w:val="0"/>
              <w:widowControl w:val="0"/>
              <w:shd w:val="clear" w:color="auto" w:fill="auto"/>
              <w:bidi w:val="0"/>
              <w:spacing w:before="0" w:after="140" w:line="331" w:lineRule="exact"/>
              <w:ind w:left="0" w:right="0" w:firstLine="0"/>
              <w:jc w:val="both"/>
              <w:rPr>
                <w:sz w:val="20"/>
                <w:szCs w:val="20"/>
              </w:rPr>
            </w:pPr>
            <w:r>
              <w:rPr>
                <w:rFonts w:ascii="SimSun" w:eastAsia="SimSun" w:hAnsi="SimSun" w:cs="SimSun"/>
                <w:color w:val="000000"/>
                <w:spacing w:val="0"/>
                <w:w w:val="100"/>
                <w:position w:val="0"/>
                <w:sz w:val="20"/>
                <w:szCs w:val="20"/>
              </w:rPr>
              <w:t>评价财务报表中融出资金及买入返售金融资产减值 的相关披露是否符合企业会计准则的要求。</w:t>
            </w:r>
          </w:p>
        </w:tc>
      </w:tr>
      <w:tr>
        <w:trPr>
          <w:trHeight w:val="360" w:hRule="exact"/>
        </w:trPr>
        <w:tc>
          <w:tcPr>
            <w:gridSpan w:val="2"/>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（三）收入的确认</w:t>
            </w:r>
          </w:p>
        </w:tc>
      </w:tr>
    </w:tbl>
    <w:p>
      <w:pPr>
        <w:widowControl w:val="0"/>
        <w:spacing w:line="1" w:lineRule="exact"/>
      </w:pPr>
      <w:r>
        <w:br w:type="page"/>
      </w:r>
    </w:p>
    <w:tbl>
      <w:tblPr>
        <w:tblOverlap w:val="never"/>
        <w:jc w:val="center"/>
        <w:tblLayout w:type="fixed"/>
      </w:tblPr>
      <w:tblGrid>
        <w:gridCol w:w="4824"/>
        <w:gridCol w:w="4838"/>
      </w:tblGrid>
      <w:tr>
        <w:trPr>
          <w:trHeight w:val="7397"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140" w:after="140" w:line="314" w:lineRule="exact"/>
              <w:ind w:left="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 xml:space="preserve">年度，公司营业总收入金额为人民币 </w:t>
            </w:r>
            <w:r>
              <w:rPr>
                <w:color w:val="000000"/>
                <w:spacing w:val="0"/>
                <w:w w:val="100"/>
                <w:position w:val="0"/>
                <w:sz w:val="20"/>
                <w:szCs w:val="20"/>
              </w:rPr>
              <w:t>13,094,320,648.24</w:t>
            </w:r>
            <w:r>
              <w:rPr>
                <w:rFonts w:ascii="SimSun" w:eastAsia="SimSun" w:hAnsi="SimSun" w:cs="SimSun"/>
                <w:color w:val="000000"/>
                <w:spacing w:val="0"/>
                <w:w w:val="100"/>
                <w:position w:val="0"/>
                <w:sz w:val="20"/>
                <w:szCs w:val="20"/>
              </w:rPr>
              <w:t xml:space="preserve">元，其中营业收入金额为人民币 </w:t>
            </w:r>
            <w:r>
              <w:rPr>
                <w:color w:val="000000"/>
                <w:spacing w:val="0"/>
                <w:w w:val="100"/>
                <w:position w:val="0"/>
                <w:sz w:val="20"/>
                <w:szCs w:val="20"/>
              </w:rPr>
              <w:t>5,404,805,007.55</w:t>
            </w:r>
            <w:r>
              <w:rPr>
                <w:rFonts w:ascii="SimSun" w:eastAsia="SimSun" w:hAnsi="SimSun" w:cs="SimSun"/>
                <w:color w:val="000000"/>
                <w:spacing w:val="0"/>
                <w:w w:val="100"/>
                <w:position w:val="0"/>
                <w:sz w:val="20"/>
                <w:szCs w:val="20"/>
              </w:rPr>
              <w:t xml:space="preserve">元、手续费及佣金净收入金额为人 民币 </w:t>
            </w:r>
            <w:r>
              <w:rPr>
                <w:color w:val="000000"/>
                <w:spacing w:val="0"/>
                <w:w w:val="100"/>
                <w:position w:val="0"/>
                <w:sz w:val="20"/>
                <w:szCs w:val="20"/>
              </w:rPr>
              <w:t>5,368,586,358.83</w:t>
            </w:r>
            <w:r>
              <w:rPr>
                <w:rFonts w:ascii="SimSun" w:eastAsia="SimSun" w:hAnsi="SimSun" w:cs="SimSun"/>
                <w:color w:val="000000"/>
                <w:spacing w:val="0"/>
                <w:w w:val="100"/>
                <w:position w:val="0"/>
                <w:sz w:val="20"/>
                <w:szCs w:val="20"/>
              </w:rPr>
              <w:t>元。</w:t>
            </w:r>
          </w:p>
          <w:p>
            <w:pPr>
              <w:pStyle w:val="Style6"/>
              <w:keepNext w:val="0"/>
              <w:keepLines w:val="0"/>
              <w:widowControl w:val="0"/>
              <w:shd w:val="clear" w:color="auto" w:fill="auto"/>
              <w:bidi w:val="0"/>
              <w:spacing w:before="0" w:after="140" w:line="322" w:lineRule="exact"/>
              <w:ind w:left="0" w:right="0" w:firstLine="0"/>
              <w:jc w:val="left"/>
              <w:rPr>
                <w:sz w:val="20"/>
                <w:szCs w:val="20"/>
              </w:rPr>
            </w:pPr>
            <w:r>
              <w:rPr>
                <w:rFonts w:ascii="SimSun" w:eastAsia="SimSun" w:hAnsi="SimSun" w:cs="SimSun"/>
                <w:color w:val="000000"/>
                <w:spacing w:val="0"/>
                <w:w w:val="100"/>
                <w:position w:val="0"/>
                <w:sz w:val="20"/>
                <w:szCs w:val="20"/>
              </w:rPr>
              <w:t>公司经营范围涉及证券业务、金融电子商务服务业 务、金融数据服务业务、互联网广告服务业务等。</w:t>
            </w:r>
          </w:p>
          <w:p>
            <w:pPr>
              <w:pStyle w:val="Style6"/>
              <w:keepNext w:val="0"/>
              <w:keepLines w:val="0"/>
              <w:widowControl w:val="0"/>
              <w:shd w:val="clear" w:color="auto" w:fill="auto"/>
              <w:bidi w:val="0"/>
              <w:spacing w:before="0" w:after="140" w:line="317" w:lineRule="exact"/>
              <w:ind w:left="0" w:right="0" w:firstLine="0"/>
              <w:jc w:val="left"/>
              <w:rPr>
                <w:sz w:val="20"/>
                <w:szCs w:val="20"/>
              </w:rPr>
            </w:pPr>
            <w:r>
              <w:rPr>
                <w:rFonts w:ascii="SimSun" w:eastAsia="SimSun" w:hAnsi="SimSun" w:cs="SimSun"/>
                <w:color w:val="000000"/>
                <w:spacing w:val="0"/>
                <w:w w:val="100"/>
                <w:position w:val="0"/>
                <w:sz w:val="20"/>
                <w:szCs w:val="20"/>
              </w:rPr>
              <w:t>考虑到公司产生收入的交易量的庞大、收入类型的 多样化，我们将其作为一项关键审计事项。</w:t>
            </w:r>
          </w:p>
          <w:p>
            <w:pPr>
              <w:pStyle w:val="Style6"/>
              <w:keepNext w:val="0"/>
              <w:keepLines w:val="0"/>
              <w:widowControl w:val="0"/>
              <w:shd w:val="clear" w:color="auto" w:fill="auto"/>
              <w:bidi w:val="0"/>
              <w:spacing w:before="0" w:after="140" w:line="315" w:lineRule="exact"/>
              <w:ind w:left="0" w:right="0" w:firstLine="0"/>
              <w:jc w:val="left"/>
              <w:rPr>
                <w:sz w:val="20"/>
                <w:szCs w:val="20"/>
              </w:rPr>
            </w:pPr>
            <w:r>
              <w:rPr>
                <w:rFonts w:ascii="SimSun" w:eastAsia="SimSun" w:hAnsi="SimSun" w:cs="SimSun"/>
                <w:color w:val="000000"/>
                <w:spacing w:val="0"/>
                <w:w w:val="100"/>
                <w:position w:val="0"/>
                <w:sz w:val="20"/>
                <w:szCs w:val="20"/>
              </w:rPr>
              <w:t>相关披露请参见财务报表附注。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40" w:line="312" w:lineRule="exact"/>
              <w:ind w:left="0" w:right="0" w:firstLine="0"/>
              <w:jc w:val="both"/>
              <w:rPr>
                <w:sz w:val="20"/>
                <w:szCs w:val="20"/>
              </w:rPr>
            </w:pPr>
            <w:r>
              <w:rPr>
                <w:rFonts w:ascii="SimSun" w:eastAsia="SimSun" w:hAnsi="SimSun" w:cs="SimSun"/>
                <w:color w:val="000000"/>
                <w:spacing w:val="0"/>
                <w:w w:val="100"/>
                <w:position w:val="0"/>
                <w:sz w:val="20"/>
                <w:szCs w:val="20"/>
              </w:rPr>
              <w:t>我们对收入的确认执行的审计程序主要包括：</w:t>
            </w:r>
          </w:p>
          <w:p>
            <w:pPr>
              <w:pStyle w:val="Style6"/>
              <w:keepNext w:val="0"/>
              <w:keepLines w:val="0"/>
              <w:widowControl w:val="0"/>
              <w:shd w:val="clear" w:color="auto" w:fill="auto"/>
              <w:bidi w:val="0"/>
              <w:spacing w:before="0" w:after="140" w:line="317" w:lineRule="exact"/>
              <w:ind w:left="0" w:right="0" w:firstLine="0"/>
              <w:jc w:val="both"/>
              <w:rPr>
                <w:sz w:val="20"/>
                <w:szCs w:val="20"/>
              </w:rPr>
            </w:pPr>
            <w:r>
              <w:rPr>
                <w:rFonts w:ascii="SimSun" w:eastAsia="SimSun" w:hAnsi="SimSun" w:cs="SimSun"/>
                <w:color w:val="000000"/>
                <w:spacing w:val="0"/>
                <w:w w:val="100"/>
                <w:position w:val="0"/>
                <w:sz w:val="20"/>
                <w:szCs w:val="20"/>
              </w:rPr>
              <w:t>了解、评价了与收入确认相关的关键内部控制的设 计和运行有效性；</w:t>
            </w:r>
          </w:p>
          <w:p>
            <w:pPr>
              <w:pStyle w:val="Style6"/>
              <w:keepNext w:val="0"/>
              <w:keepLines w:val="0"/>
              <w:widowControl w:val="0"/>
              <w:shd w:val="clear" w:color="auto" w:fill="auto"/>
              <w:bidi w:val="0"/>
              <w:spacing w:before="0" w:after="140" w:line="324" w:lineRule="exact"/>
              <w:ind w:left="0" w:right="0" w:firstLine="0"/>
              <w:jc w:val="both"/>
              <w:rPr>
                <w:sz w:val="20"/>
                <w:szCs w:val="20"/>
              </w:rPr>
            </w:pPr>
            <w:r>
              <w:rPr>
                <w:rFonts w:ascii="SimSun" w:eastAsia="SimSun" w:hAnsi="SimSun" w:cs="SimSun"/>
                <w:color w:val="000000"/>
                <w:spacing w:val="0"/>
                <w:w w:val="100"/>
                <w:position w:val="0"/>
                <w:sz w:val="20"/>
                <w:szCs w:val="20"/>
              </w:rPr>
              <w:t>针对不同业务类型，根据销售产品、客户类型等不 同分类以及同行业情况执行了分析性程序，分析了 收入变动的合理性；</w:t>
            </w:r>
          </w:p>
          <w:p>
            <w:pPr>
              <w:pStyle w:val="Style6"/>
              <w:keepNext w:val="0"/>
              <w:keepLines w:val="0"/>
              <w:widowControl w:val="0"/>
              <w:shd w:val="clear" w:color="auto" w:fill="auto"/>
              <w:bidi w:val="0"/>
              <w:spacing w:before="0" w:after="140" w:line="312" w:lineRule="exact"/>
              <w:ind w:left="0" w:right="0" w:firstLine="0"/>
              <w:jc w:val="both"/>
              <w:rPr>
                <w:sz w:val="20"/>
                <w:szCs w:val="20"/>
              </w:rPr>
            </w:pPr>
            <w:r>
              <w:rPr>
                <w:rFonts w:ascii="SimSun" w:eastAsia="SimSun" w:hAnsi="SimSun" w:cs="SimSun"/>
                <w:color w:val="000000"/>
                <w:spacing w:val="0"/>
                <w:w w:val="100"/>
                <w:position w:val="0"/>
                <w:sz w:val="20"/>
                <w:szCs w:val="20"/>
              </w:rPr>
              <w:t>抽查不同业务类型的客户合同，结合有关业务流程 和协议约定的费率、计费方式、服务内容等检查了 收入确认是否符合企业会计准则的规定；</w:t>
            </w:r>
          </w:p>
          <w:p>
            <w:pPr>
              <w:pStyle w:val="Style6"/>
              <w:keepNext w:val="0"/>
              <w:keepLines w:val="0"/>
              <w:widowControl w:val="0"/>
              <w:shd w:val="clear" w:color="auto" w:fill="auto"/>
              <w:bidi w:val="0"/>
              <w:spacing w:before="0" w:after="140" w:line="310" w:lineRule="exact"/>
              <w:ind w:left="0" w:right="0" w:firstLine="0"/>
              <w:jc w:val="both"/>
              <w:rPr>
                <w:sz w:val="20"/>
                <w:szCs w:val="20"/>
              </w:rPr>
            </w:pPr>
            <w:r>
              <w:rPr>
                <w:rFonts w:ascii="SimSun" w:eastAsia="SimSun" w:hAnsi="SimSun" w:cs="SimSun"/>
                <w:color w:val="000000"/>
                <w:spacing w:val="0"/>
                <w:w w:val="100"/>
                <w:position w:val="0"/>
                <w:sz w:val="20"/>
                <w:szCs w:val="20"/>
              </w:rPr>
              <w:t>针对不同业务类型，采取不同的抽样方法实施了函 证或检查合同等程序，核实收入的真实性和完整 性；</w:t>
            </w:r>
          </w:p>
          <w:p>
            <w:pPr>
              <w:pStyle w:val="Style6"/>
              <w:keepNext w:val="0"/>
              <w:keepLines w:val="0"/>
              <w:widowControl w:val="0"/>
              <w:shd w:val="clear" w:color="auto" w:fill="auto"/>
              <w:bidi w:val="0"/>
              <w:spacing w:before="0" w:after="140" w:line="307" w:lineRule="exact"/>
              <w:ind w:left="0" w:right="0" w:firstLine="0"/>
              <w:jc w:val="both"/>
              <w:rPr>
                <w:sz w:val="20"/>
                <w:szCs w:val="20"/>
              </w:rPr>
            </w:pPr>
            <w:r>
              <w:rPr>
                <w:rFonts w:ascii="SimSun" w:eastAsia="SimSun" w:hAnsi="SimSun" w:cs="SimSun"/>
                <w:color w:val="000000"/>
                <w:spacing w:val="0"/>
                <w:w w:val="100"/>
                <w:position w:val="0"/>
                <w:sz w:val="20"/>
                <w:szCs w:val="20"/>
              </w:rPr>
              <w:t>针对不同业务类型，抽查了与财务相关的业务信息 系统记录，重新计算了相关业务收入确认的准确 性；</w:t>
            </w:r>
          </w:p>
          <w:p>
            <w:pPr>
              <w:pStyle w:val="Style6"/>
              <w:keepNext w:val="0"/>
              <w:keepLines w:val="0"/>
              <w:widowControl w:val="0"/>
              <w:shd w:val="clear" w:color="auto" w:fill="auto"/>
              <w:bidi w:val="0"/>
              <w:spacing w:before="0" w:after="140" w:line="302" w:lineRule="exact"/>
              <w:ind w:left="0" w:right="0" w:firstLine="0"/>
              <w:jc w:val="both"/>
              <w:rPr>
                <w:sz w:val="20"/>
                <w:szCs w:val="20"/>
              </w:rPr>
            </w:pPr>
            <w:r>
              <w:rPr>
                <w:rFonts w:ascii="SimSun" w:eastAsia="SimSun" w:hAnsi="SimSun" w:cs="SimSun"/>
                <w:color w:val="000000"/>
                <w:spacing w:val="0"/>
                <w:w w:val="100"/>
                <w:position w:val="0"/>
                <w:sz w:val="20"/>
                <w:szCs w:val="20"/>
              </w:rPr>
              <w:t>执行了截止测试，抽样检查资产负债表日前后收入 确认记录，评价收入是否确认在恰当的会计期间；</w:t>
            </w:r>
          </w:p>
          <w:p>
            <w:pPr>
              <w:pStyle w:val="Style6"/>
              <w:keepNext w:val="0"/>
              <w:keepLines w:val="0"/>
              <w:widowControl w:val="0"/>
              <w:shd w:val="clear" w:color="auto" w:fill="auto"/>
              <w:bidi w:val="0"/>
              <w:spacing w:before="0" w:after="140" w:line="322" w:lineRule="exact"/>
              <w:ind w:left="0" w:right="0" w:firstLine="0"/>
              <w:jc w:val="both"/>
              <w:rPr>
                <w:sz w:val="20"/>
                <w:szCs w:val="20"/>
              </w:rPr>
            </w:pPr>
            <w:r>
              <w:rPr>
                <w:rFonts w:ascii="SimSun" w:eastAsia="SimSun" w:hAnsi="SimSun" w:cs="SimSun"/>
                <w:color w:val="000000"/>
                <w:spacing w:val="0"/>
                <w:w w:val="100"/>
                <w:position w:val="0"/>
                <w:sz w:val="20"/>
                <w:szCs w:val="20"/>
              </w:rPr>
              <w:t>评价财务报表中收入的相关披露是否符合企业会计 准则的要求。</w:t>
            </w:r>
          </w:p>
        </w:tc>
      </w:tr>
    </w:tbl>
    <w:p>
      <w:pPr>
        <w:widowControl w:val="0"/>
        <w:spacing w:after="299" w:line="1" w:lineRule="exact"/>
      </w:pPr>
    </w:p>
    <w:p>
      <w:pPr>
        <w:pStyle w:val="Style22"/>
        <w:keepNext/>
        <w:keepLines/>
        <w:widowControl w:val="0"/>
        <w:shd w:val="clear" w:color="auto" w:fill="auto"/>
        <w:bidi w:val="0"/>
        <w:spacing w:before="0" w:after="300" w:line="310" w:lineRule="exact"/>
        <w:ind w:left="0" w:right="0" w:firstLine="420"/>
        <w:jc w:val="left"/>
      </w:pPr>
      <w:bookmarkStart w:id="817" w:name="bookmark817"/>
      <w:bookmarkStart w:id="818" w:name="bookmark818"/>
      <w:bookmarkStart w:id="819" w:name="bookmark819"/>
      <w:bookmarkStart w:id="820" w:name="bookmark820"/>
      <w:r>
        <w:rPr>
          <w:color w:val="000000"/>
          <w:spacing w:val="0"/>
          <w:w w:val="100"/>
          <w:position w:val="0"/>
          <w:sz w:val="24"/>
          <w:szCs w:val="24"/>
        </w:rPr>
        <w:t>四</w:t>
      </w:r>
      <w:bookmarkEnd w:id="819"/>
      <w:r>
        <w:rPr>
          <w:color w:val="000000"/>
          <w:spacing w:val="0"/>
          <w:w w:val="100"/>
          <w:position w:val="0"/>
          <w:sz w:val="24"/>
          <w:szCs w:val="24"/>
        </w:rPr>
        <w:t>、其他信息</w:t>
      </w:r>
      <w:bookmarkEnd w:id="817"/>
      <w:bookmarkEnd w:id="818"/>
      <w:bookmarkEnd w:id="820"/>
    </w:p>
    <w:p>
      <w:pPr>
        <w:pStyle w:val="Style10"/>
        <w:keepNext w:val="0"/>
        <w:keepLines w:val="0"/>
        <w:widowControl w:val="0"/>
        <w:shd w:val="clear" w:color="auto" w:fill="auto"/>
        <w:bidi w:val="0"/>
        <w:spacing w:before="0" w:after="0" w:line="310" w:lineRule="exact"/>
        <w:ind w:left="0" w:right="0" w:firstLine="440"/>
        <w:jc w:val="both"/>
        <w:rPr>
          <w:sz w:val="24"/>
          <w:szCs w:val="24"/>
        </w:rPr>
      </w:pPr>
      <w:r>
        <w:rPr>
          <w:b w:val="0"/>
          <w:bCs w:val="0"/>
          <w:color w:val="000000"/>
          <w:spacing w:val="0"/>
          <w:w w:val="100"/>
          <w:position w:val="0"/>
          <w:sz w:val="24"/>
          <w:szCs w:val="24"/>
        </w:rPr>
        <w:t>东方财富信息股份有限公司管理层对其他信息负责。其他信息包括年度报告中涵盖的信 息，但不包括财务报表和我们的审计报告。</w:t>
      </w:r>
    </w:p>
    <w:p>
      <w:pPr>
        <w:pStyle w:val="Style10"/>
        <w:keepNext w:val="0"/>
        <w:keepLines w:val="0"/>
        <w:widowControl w:val="0"/>
        <w:shd w:val="clear" w:color="auto" w:fill="auto"/>
        <w:bidi w:val="0"/>
        <w:spacing w:before="0" w:after="0" w:line="310" w:lineRule="exact"/>
        <w:ind w:left="0" w:right="0" w:firstLine="440"/>
        <w:jc w:val="both"/>
        <w:rPr>
          <w:sz w:val="24"/>
          <w:szCs w:val="24"/>
        </w:rPr>
      </w:pPr>
      <w:r>
        <w:rPr>
          <w:b w:val="0"/>
          <w:bCs w:val="0"/>
          <w:color w:val="000000"/>
          <w:spacing w:val="0"/>
          <w:w w:val="100"/>
          <w:position w:val="0"/>
          <w:sz w:val="24"/>
          <w:szCs w:val="24"/>
        </w:rPr>
        <w:t>我们对财务报表发表的审计意见不涵盖其他信息，我们也不对其他信息发表任何形式的 鉴证结论。</w:t>
      </w:r>
    </w:p>
    <w:p>
      <w:pPr>
        <w:pStyle w:val="Style10"/>
        <w:keepNext w:val="0"/>
        <w:keepLines w:val="0"/>
        <w:widowControl w:val="0"/>
        <w:shd w:val="clear" w:color="auto" w:fill="auto"/>
        <w:bidi w:val="0"/>
        <w:spacing w:before="0" w:after="0" w:line="310" w:lineRule="exact"/>
        <w:ind w:left="0" w:right="0" w:firstLine="440"/>
        <w:jc w:val="both"/>
        <w:rPr>
          <w:sz w:val="24"/>
          <w:szCs w:val="24"/>
        </w:rPr>
      </w:pPr>
      <w:r>
        <w:rPr>
          <w:b w:val="0"/>
          <w:bCs w:val="0"/>
          <w:color w:val="000000"/>
          <w:spacing w:val="0"/>
          <w:w w:val="100"/>
          <w:position w:val="0"/>
          <w:sz w:val="24"/>
          <w:szCs w:val="24"/>
        </w:rPr>
        <w:t>结合我们对财务报表的审计，我们的责任是阅读其他信息，在此过程中，考虑其他信息是 否与财务报表或我们在审计过程中了解到的情况存在重大不一致或者似乎存在重大错报。</w:t>
      </w:r>
    </w:p>
    <w:p>
      <w:pPr>
        <w:pStyle w:val="Style10"/>
        <w:keepNext w:val="0"/>
        <w:keepLines w:val="0"/>
        <w:widowControl w:val="0"/>
        <w:shd w:val="clear" w:color="auto" w:fill="auto"/>
        <w:bidi w:val="0"/>
        <w:spacing w:before="0" w:after="300" w:line="310" w:lineRule="exact"/>
        <w:ind w:left="0" w:right="0" w:firstLine="440"/>
        <w:jc w:val="both"/>
        <w:rPr>
          <w:sz w:val="24"/>
          <w:szCs w:val="24"/>
        </w:rPr>
      </w:pPr>
      <w:r>
        <w:rPr>
          <w:b w:val="0"/>
          <w:bCs w:val="0"/>
          <w:color w:val="000000"/>
          <w:spacing w:val="0"/>
          <w:w w:val="100"/>
          <w:position w:val="0"/>
          <w:sz w:val="24"/>
          <w:szCs w:val="24"/>
        </w:rPr>
        <w:t>基于我们已执行的工作，如果我们确定其他信息存在重大错报，我们应当报告该事实。在 这方面，我们无任何事项需要报告。</w:t>
      </w:r>
    </w:p>
    <w:p>
      <w:pPr>
        <w:pStyle w:val="Style22"/>
        <w:keepNext/>
        <w:keepLines/>
        <w:widowControl w:val="0"/>
        <w:shd w:val="clear" w:color="auto" w:fill="auto"/>
        <w:bidi w:val="0"/>
        <w:spacing w:before="0" w:after="300" w:line="310" w:lineRule="exact"/>
        <w:ind w:left="0" w:right="0" w:firstLine="440"/>
        <w:jc w:val="both"/>
      </w:pPr>
      <w:bookmarkStart w:id="821" w:name="bookmark821"/>
      <w:bookmarkStart w:id="822" w:name="bookmark822"/>
      <w:bookmarkStart w:id="823" w:name="bookmark823"/>
      <w:bookmarkStart w:id="824" w:name="bookmark824"/>
      <w:r>
        <w:rPr>
          <w:color w:val="000000"/>
          <w:spacing w:val="0"/>
          <w:w w:val="100"/>
          <w:position w:val="0"/>
          <w:sz w:val="24"/>
          <w:szCs w:val="24"/>
        </w:rPr>
        <w:t>五</w:t>
      </w:r>
      <w:bookmarkEnd w:id="823"/>
      <w:r>
        <w:rPr>
          <w:color w:val="000000"/>
          <w:spacing w:val="0"/>
          <w:w w:val="100"/>
          <w:position w:val="0"/>
          <w:sz w:val="24"/>
          <w:szCs w:val="24"/>
        </w:rPr>
        <w:t>、管理层和治理层对财务报表的责任</w:t>
      </w:r>
      <w:bookmarkEnd w:id="821"/>
      <w:bookmarkEnd w:id="822"/>
      <w:bookmarkEnd w:id="824"/>
    </w:p>
    <w:p>
      <w:pPr>
        <w:pStyle w:val="Style10"/>
        <w:keepNext w:val="0"/>
        <w:keepLines w:val="0"/>
        <w:widowControl w:val="0"/>
        <w:shd w:val="clear" w:color="auto" w:fill="auto"/>
        <w:bidi w:val="0"/>
        <w:spacing w:before="0" w:after="0" w:line="315" w:lineRule="exact"/>
        <w:ind w:left="0" w:right="0" w:firstLine="440"/>
        <w:jc w:val="both"/>
        <w:rPr>
          <w:sz w:val="24"/>
          <w:szCs w:val="24"/>
        </w:rPr>
      </w:pPr>
      <w:r>
        <w:rPr>
          <w:b w:val="0"/>
          <w:bCs w:val="0"/>
          <w:color w:val="000000"/>
          <w:spacing w:val="0"/>
          <w:w w:val="100"/>
          <w:position w:val="0"/>
          <w:sz w:val="24"/>
          <w:szCs w:val="24"/>
        </w:rPr>
        <w:t>管理层负责按照企业会计准则的规定编制财务报表，使其实现公允反映，并设计、执行和 维护必要的内部控制，以使财务报表不存在由于舞弊或错误导致的重大错报。</w:t>
      </w:r>
    </w:p>
    <w:p>
      <w:pPr>
        <w:pStyle w:val="Style10"/>
        <w:keepNext w:val="0"/>
        <w:keepLines w:val="0"/>
        <w:widowControl w:val="0"/>
        <w:shd w:val="clear" w:color="auto" w:fill="auto"/>
        <w:bidi w:val="0"/>
        <w:spacing w:before="0" w:after="0" w:line="315" w:lineRule="exact"/>
        <w:ind w:left="0" w:right="0" w:firstLine="440"/>
        <w:jc w:val="both"/>
        <w:rPr>
          <w:sz w:val="24"/>
          <w:szCs w:val="24"/>
        </w:rPr>
      </w:pPr>
      <w:r>
        <w:rPr>
          <w:b w:val="0"/>
          <w:bCs w:val="0"/>
          <w:color w:val="000000"/>
          <w:spacing w:val="0"/>
          <w:w w:val="100"/>
          <w:position w:val="0"/>
          <w:sz w:val="24"/>
          <w:szCs w:val="24"/>
        </w:rPr>
        <w:t>在编制财务报表时，管理层负责评估东方财富信息股份有限公司的持续经营能力，披露与 持续经营相关的事项（如适用），并运用持续经营假设，除非计划进行清算、终止运营或别 无其他现实的选择。</w:t>
      </w:r>
    </w:p>
    <w:p>
      <w:pPr>
        <w:pStyle w:val="Style10"/>
        <w:keepNext w:val="0"/>
        <w:keepLines w:val="0"/>
        <w:widowControl w:val="0"/>
        <w:shd w:val="clear" w:color="auto" w:fill="auto"/>
        <w:bidi w:val="0"/>
        <w:spacing w:before="0" w:after="300" w:line="315" w:lineRule="exact"/>
        <w:ind w:left="0" w:right="0" w:firstLine="420"/>
        <w:jc w:val="left"/>
        <w:rPr>
          <w:sz w:val="24"/>
          <w:szCs w:val="24"/>
        </w:rPr>
      </w:pPr>
      <w:r>
        <w:rPr>
          <w:b w:val="0"/>
          <w:bCs w:val="0"/>
          <w:color w:val="000000"/>
          <w:spacing w:val="0"/>
          <w:w w:val="100"/>
          <w:position w:val="0"/>
          <w:sz w:val="24"/>
          <w:szCs w:val="24"/>
        </w:rPr>
        <w:t>治理层负责监督东方财富信息股份有限公司的财务报告过程。</w:t>
      </w:r>
      <w:r>
        <w:br w:type="page"/>
      </w:r>
    </w:p>
    <w:p>
      <w:pPr>
        <w:pStyle w:val="Style22"/>
        <w:keepNext/>
        <w:keepLines/>
        <w:widowControl w:val="0"/>
        <w:shd w:val="clear" w:color="auto" w:fill="auto"/>
        <w:bidi w:val="0"/>
        <w:spacing w:before="0" w:after="300" w:line="240" w:lineRule="auto"/>
        <w:ind w:left="0" w:right="0" w:firstLine="420"/>
        <w:jc w:val="left"/>
      </w:pPr>
      <w:bookmarkStart w:id="825" w:name="bookmark825"/>
      <w:bookmarkStart w:id="826" w:name="bookmark826"/>
      <w:bookmarkStart w:id="827" w:name="bookmark827"/>
      <w:bookmarkStart w:id="828" w:name="bookmark828"/>
      <w:r>
        <w:rPr>
          <w:color w:val="000000"/>
          <w:spacing w:val="0"/>
          <w:w w:val="100"/>
          <w:position w:val="0"/>
          <w:sz w:val="24"/>
          <w:szCs w:val="24"/>
        </w:rPr>
        <w:t>六</w:t>
      </w:r>
      <w:bookmarkEnd w:id="827"/>
      <w:r>
        <w:rPr>
          <w:color w:val="000000"/>
          <w:spacing w:val="0"/>
          <w:w w:val="100"/>
          <w:position w:val="0"/>
          <w:sz w:val="24"/>
          <w:szCs w:val="24"/>
        </w:rPr>
        <w:t>、注册会计师对财务报表审计的责任</w:t>
      </w:r>
      <w:bookmarkEnd w:id="825"/>
      <w:bookmarkEnd w:id="826"/>
      <w:bookmarkEnd w:id="828"/>
    </w:p>
    <w:p>
      <w:pPr>
        <w:pStyle w:val="Style10"/>
        <w:keepNext w:val="0"/>
        <w:keepLines w:val="0"/>
        <w:widowControl w:val="0"/>
        <w:shd w:val="clear" w:color="auto" w:fill="auto"/>
        <w:bidi w:val="0"/>
        <w:spacing w:before="0" w:after="0" w:line="311" w:lineRule="exact"/>
        <w:ind w:left="0" w:right="0" w:firstLine="460"/>
        <w:jc w:val="left"/>
        <w:rPr>
          <w:sz w:val="24"/>
          <w:szCs w:val="24"/>
        </w:rPr>
      </w:pPr>
      <w:r>
        <w:rPr>
          <w:b w:val="0"/>
          <w:bCs w:val="0"/>
          <w:color w:val="000000"/>
          <w:spacing w:val="0"/>
          <w:w w:val="100"/>
          <w:position w:val="0"/>
          <w:sz w:val="24"/>
          <w:szCs w:val="24"/>
        </w:rPr>
        <w:t>我们的目标是对财务报表整体是否不存在由于舞弊或错误导致的重大错报获取合理保证， 并出具包含审计意见的审计报告。合理保证是高水平的保证，但并不能保证按照审计准则执 行的审计在某一重大错报存在时总能发现。错报可能由于舞弊或错误导致，如果合理预期错 报单独或汇总起来可能影响财务报表使用者依据财务报表作出的经济决策，则通常认为错报 是重大的。</w:t>
      </w:r>
    </w:p>
    <w:p>
      <w:pPr>
        <w:pStyle w:val="Style10"/>
        <w:keepNext w:val="0"/>
        <w:keepLines w:val="0"/>
        <w:widowControl w:val="0"/>
        <w:shd w:val="clear" w:color="auto" w:fill="auto"/>
        <w:bidi w:val="0"/>
        <w:spacing w:before="0" w:after="0" w:line="311" w:lineRule="exact"/>
        <w:ind w:left="0" w:right="0" w:firstLine="460"/>
        <w:jc w:val="both"/>
        <w:rPr>
          <w:sz w:val="24"/>
          <w:szCs w:val="24"/>
        </w:rPr>
      </w:pPr>
      <w:r>
        <w:rPr>
          <w:b w:val="0"/>
          <w:bCs w:val="0"/>
          <w:color w:val="000000"/>
          <w:spacing w:val="0"/>
          <w:w w:val="100"/>
          <w:position w:val="0"/>
          <w:sz w:val="24"/>
          <w:szCs w:val="24"/>
        </w:rPr>
        <w:t>在按照审计准则执行审计工作的过程中，我们运用职业判断，并保持职业怀疑。同时，我 们也执行以下工作：</w:t>
      </w:r>
    </w:p>
    <w:p>
      <w:pPr>
        <w:pStyle w:val="Style10"/>
        <w:keepNext w:val="0"/>
        <w:keepLines w:val="0"/>
        <w:widowControl w:val="0"/>
        <w:shd w:val="clear" w:color="auto" w:fill="auto"/>
        <w:tabs>
          <w:tab w:pos="1221" w:val="left"/>
        </w:tabs>
        <w:bidi w:val="0"/>
        <w:spacing w:before="0" w:after="0" w:line="311" w:lineRule="exact"/>
        <w:ind w:left="0" w:right="0" w:firstLine="460"/>
        <w:jc w:val="both"/>
        <w:rPr>
          <w:sz w:val="24"/>
          <w:szCs w:val="24"/>
        </w:rPr>
      </w:pPr>
      <w:bookmarkStart w:id="829" w:name="bookmark829"/>
      <w:r>
        <w:rPr>
          <w:b w:val="0"/>
          <w:bCs w:val="0"/>
          <w:color w:val="000000"/>
          <w:spacing w:val="0"/>
          <w:w w:val="100"/>
          <w:position w:val="0"/>
          <w:sz w:val="24"/>
          <w:szCs w:val="24"/>
        </w:rPr>
        <w:t>（</w:t>
      </w:r>
      <w:bookmarkEnd w:id="829"/>
      <w:r>
        <w:rPr>
          <w:b w:val="0"/>
          <w:bCs w:val="0"/>
          <w:color w:val="000000"/>
          <w:spacing w:val="0"/>
          <w:w w:val="100"/>
          <w:position w:val="0"/>
          <w:sz w:val="24"/>
          <w:szCs w:val="24"/>
        </w:rPr>
        <w:t>一）</w:t>
        <w:tab/>
        <w:t>识别和评估由于舞弊或错误导致的财务报表重大错报风险，设计和实施审计程序 以应对这些风险，并获取充分、适当的审计证据，作为发表审计意见的基础。由于舞弊可能 涉及串通、伪造、故意遗漏、虚假陈述或凌驾于内部控制之上，未能发现由于舞弊导致的重 大错报的风险高于未能发现由于错误导致的重大错报的风险。</w:t>
      </w:r>
    </w:p>
    <w:p>
      <w:pPr>
        <w:pStyle w:val="Style10"/>
        <w:keepNext w:val="0"/>
        <w:keepLines w:val="0"/>
        <w:widowControl w:val="0"/>
        <w:shd w:val="clear" w:color="auto" w:fill="auto"/>
        <w:tabs>
          <w:tab w:pos="1226" w:val="left"/>
        </w:tabs>
        <w:bidi w:val="0"/>
        <w:spacing w:before="0" w:after="0" w:line="311" w:lineRule="exact"/>
        <w:ind w:left="0" w:right="0" w:firstLine="460"/>
        <w:jc w:val="both"/>
        <w:rPr>
          <w:sz w:val="24"/>
          <w:szCs w:val="24"/>
        </w:rPr>
      </w:pPr>
      <w:bookmarkStart w:id="830" w:name="bookmark830"/>
      <w:r>
        <w:rPr>
          <w:b w:val="0"/>
          <w:bCs w:val="0"/>
          <w:color w:val="000000"/>
          <w:spacing w:val="0"/>
          <w:w w:val="100"/>
          <w:position w:val="0"/>
          <w:sz w:val="24"/>
          <w:szCs w:val="24"/>
        </w:rPr>
        <w:t>（</w:t>
      </w:r>
      <w:bookmarkEnd w:id="830"/>
      <w:r>
        <w:rPr>
          <w:b w:val="0"/>
          <w:bCs w:val="0"/>
          <w:color w:val="000000"/>
          <w:spacing w:val="0"/>
          <w:w w:val="100"/>
          <w:position w:val="0"/>
          <w:sz w:val="24"/>
          <w:szCs w:val="24"/>
        </w:rPr>
        <w:t>二）</w:t>
        <w:tab/>
        <w:t>了解与审计相关的内部控制，以设计恰当的审计程序，但目的并非对内部控制的 有效性发表意见。</w:t>
      </w:r>
    </w:p>
    <w:p>
      <w:pPr>
        <w:pStyle w:val="Style10"/>
        <w:keepNext w:val="0"/>
        <w:keepLines w:val="0"/>
        <w:widowControl w:val="0"/>
        <w:shd w:val="clear" w:color="auto" w:fill="auto"/>
        <w:tabs>
          <w:tab w:pos="1041" w:val="left"/>
        </w:tabs>
        <w:bidi w:val="0"/>
        <w:spacing w:before="0" w:after="0" w:line="311" w:lineRule="exact"/>
        <w:ind w:left="0" w:right="0" w:firstLine="420"/>
        <w:jc w:val="left"/>
        <w:rPr>
          <w:sz w:val="24"/>
          <w:szCs w:val="24"/>
        </w:rPr>
      </w:pPr>
      <w:bookmarkStart w:id="831" w:name="bookmark831"/>
      <w:r>
        <w:rPr>
          <w:b w:val="0"/>
          <w:bCs w:val="0"/>
          <w:color w:val="000000"/>
          <w:spacing w:val="0"/>
          <w:w w:val="100"/>
          <w:position w:val="0"/>
          <w:sz w:val="24"/>
          <w:szCs w:val="24"/>
        </w:rPr>
        <w:t>（</w:t>
      </w:r>
      <w:bookmarkEnd w:id="831"/>
      <w:r>
        <w:rPr>
          <w:b w:val="0"/>
          <w:bCs w:val="0"/>
          <w:color w:val="000000"/>
          <w:spacing w:val="0"/>
          <w:w w:val="100"/>
          <w:position w:val="0"/>
          <w:sz w:val="24"/>
          <w:szCs w:val="24"/>
        </w:rPr>
        <w:t>三）</w:t>
        <w:tab/>
        <w:t>评价管理层选用会计政策的恰当性和作出会计估计及相关披露的合理性。</w:t>
      </w:r>
    </w:p>
    <w:p>
      <w:pPr>
        <w:pStyle w:val="Style10"/>
        <w:keepNext w:val="0"/>
        <w:keepLines w:val="0"/>
        <w:widowControl w:val="0"/>
        <w:shd w:val="clear" w:color="auto" w:fill="auto"/>
        <w:tabs>
          <w:tab w:pos="1226" w:val="left"/>
        </w:tabs>
        <w:bidi w:val="0"/>
        <w:spacing w:before="0" w:after="0" w:line="311" w:lineRule="exact"/>
        <w:ind w:left="0" w:right="0" w:firstLine="460"/>
        <w:jc w:val="both"/>
        <w:rPr>
          <w:sz w:val="24"/>
          <w:szCs w:val="24"/>
        </w:rPr>
      </w:pPr>
      <w:bookmarkStart w:id="832" w:name="bookmark832"/>
      <w:r>
        <w:rPr>
          <w:b w:val="0"/>
          <w:bCs w:val="0"/>
          <w:color w:val="000000"/>
          <w:spacing w:val="0"/>
          <w:w w:val="100"/>
          <w:position w:val="0"/>
          <w:sz w:val="24"/>
          <w:szCs w:val="24"/>
        </w:rPr>
        <w:t>（</w:t>
      </w:r>
      <w:bookmarkEnd w:id="832"/>
      <w:r>
        <w:rPr>
          <w:b w:val="0"/>
          <w:bCs w:val="0"/>
          <w:color w:val="000000"/>
          <w:spacing w:val="0"/>
          <w:w w:val="100"/>
          <w:position w:val="0"/>
          <w:sz w:val="24"/>
          <w:szCs w:val="24"/>
        </w:rPr>
        <w:t>四）</w:t>
        <w:tab/>
        <w:t>对管理层使用持续经营假设的恰当性得出结论。同时，根据获取的审计证据，就 可能导致对东方财富信息股份有限公司持续经营能力产生重大疑虑的事项或情况是否存在重 大不确定性得出结论。如果我们得出结论认为存在重大不确定性，审计准则要求我们在审计 报告中提请报表使用者注意财务报表中的相关披露；如果披露不充分，我们应当发表非无保 留意见。我们的结论基于截至审计报告日可获得的信息。然而，未来的事项或情况可能导致 东方财富信息股份有限公司不能持续经营。</w:t>
      </w:r>
    </w:p>
    <w:p>
      <w:pPr>
        <w:pStyle w:val="Style10"/>
        <w:keepNext w:val="0"/>
        <w:keepLines w:val="0"/>
        <w:widowControl w:val="0"/>
        <w:shd w:val="clear" w:color="auto" w:fill="auto"/>
        <w:tabs>
          <w:tab w:pos="1226" w:val="left"/>
        </w:tabs>
        <w:bidi w:val="0"/>
        <w:spacing w:before="0" w:after="0" w:line="311" w:lineRule="exact"/>
        <w:ind w:left="0" w:right="0" w:firstLine="460"/>
        <w:jc w:val="both"/>
        <w:rPr>
          <w:sz w:val="24"/>
          <w:szCs w:val="24"/>
        </w:rPr>
      </w:pPr>
      <w:bookmarkStart w:id="833" w:name="bookmark833"/>
      <w:r>
        <w:rPr>
          <w:b w:val="0"/>
          <w:bCs w:val="0"/>
          <w:color w:val="000000"/>
          <w:spacing w:val="0"/>
          <w:w w:val="100"/>
          <w:position w:val="0"/>
          <w:sz w:val="24"/>
          <w:szCs w:val="24"/>
        </w:rPr>
        <w:t>（</w:t>
      </w:r>
      <w:bookmarkEnd w:id="833"/>
      <w:r>
        <w:rPr>
          <w:b w:val="0"/>
          <w:bCs w:val="0"/>
          <w:color w:val="000000"/>
          <w:spacing w:val="0"/>
          <w:w w:val="100"/>
          <w:position w:val="0"/>
          <w:sz w:val="24"/>
          <w:szCs w:val="24"/>
        </w:rPr>
        <w:t>五）</w:t>
        <w:tab/>
        <w:t>评价财务报表的总体列报（包括披露）、结构和内容，并评价财务报表是否公允 反映相关交易和事项。</w:t>
      </w:r>
    </w:p>
    <w:p>
      <w:pPr>
        <w:pStyle w:val="Style10"/>
        <w:keepNext w:val="0"/>
        <w:keepLines w:val="0"/>
        <w:widowControl w:val="0"/>
        <w:shd w:val="clear" w:color="auto" w:fill="auto"/>
        <w:tabs>
          <w:tab w:pos="1221" w:val="left"/>
        </w:tabs>
        <w:bidi w:val="0"/>
        <w:spacing w:before="0" w:after="0" w:line="311" w:lineRule="exact"/>
        <w:ind w:left="0" w:right="0" w:firstLine="460"/>
        <w:jc w:val="both"/>
        <w:rPr>
          <w:sz w:val="24"/>
          <w:szCs w:val="24"/>
        </w:rPr>
      </w:pPr>
      <w:bookmarkStart w:id="834" w:name="bookmark834"/>
      <w:r>
        <w:rPr>
          <w:b w:val="0"/>
          <w:bCs w:val="0"/>
          <w:color w:val="000000"/>
          <w:spacing w:val="0"/>
          <w:w w:val="100"/>
          <w:position w:val="0"/>
          <w:sz w:val="24"/>
          <w:szCs w:val="24"/>
        </w:rPr>
        <w:t>（</w:t>
      </w:r>
      <w:bookmarkEnd w:id="834"/>
      <w:r>
        <w:rPr>
          <w:b w:val="0"/>
          <w:bCs w:val="0"/>
          <w:color w:val="000000"/>
          <w:spacing w:val="0"/>
          <w:w w:val="100"/>
          <w:position w:val="0"/>
          <w:sz w:val="24"/>
          <w:szCs w:val="24"/>
        </w:rPr>
        <w:t>六）</w:t>
        <w:tab/>
        <w:t>就东方财富信息股份有限公司中实体或业务活动的财务信息获取充分、适当的审 计证据，以对财务报表发表审计意见。我们负责指导、监督和执行集团报告审计，并对审计 意见承担全部责任。</w:t>
      </w:r>
    </w:p>
    <w:p>
      <w:pPr>
        <w:pStyle w:val="Style10"/>
        <w:keepNext w:val="0"/>
        <w:keepLines w:val="0"/>
        <w:widowControl w:val="0"/>
        <w:shd w:val="clear" w:color="auto" w:fill="auto"/>
        <w:bidi w:val="0"/>
        <w:spacing w:before="0" w:after="0" w:line="311" w:lineRule="exact"/>
        <w:ind w:left="0" w:right="0" w:firstLine="460"/>
        <w:jc w:val="both"/>
        <w:rPr>
          <w:sz w:val="24"/>
          <w:szCs w:val="24"/>
        </w:rPr>
      </w:pPr>
      <w:r>
        <w:rPr>
          <w:b w:val="0"/>
          <w:bCs w:val="0"/>
          <w:color w:val="000000"/>
          <w:spacing w:val="0"/>
          <w:w w:val="100"/>
          <w:position w:val="0"/>
          <w:sz w:val="24"/>
          <w:szCs w:val="24"/>
        </w:rPr>
        <w:t>我们与治理层就计划的审计范围、时间安排和重大审计发现等事项进行沟通，包括沟通我 们在审计中识别出的值得关注的内部控制缺陷。</w:t>
      </w:r>
    </w:p>
    <w:p>
      <w:pPr>
        <w:pStyle w:val="Style10"/>
        <w:keepNext w:val="0"/>
        <w:keepLines w:val="0"/>
        <w:widowControl w:val="0"/>
        <w:shd w:val="clear" w:color="auto" w:fill="auto"/>
        <w:bidi w:val="0"/>
        <w:spacing w:before="0" w:after="0" w:line="311" w:lineRule="exact"/>
        <w:ind w:left="0" w:right="0" w:firstLine="460"/>
        <w:jc w:val="both"/>
        <w:rPr>
          <w:sz w:val="24"/>
          <w:szCs w:val="24"/>
        </w:rPr>
      </w:pPr>
      <w:r>
        <w:rPr>
          <w:b w:val="0"/>
          <w:bCs w:val="0"/>
          <w:color w:val="000000"/>
          <w:spacing w:val="0"/>
          <w:w w:val="100"/>
          <w:position w:val="0"/>
          <w:sz w:val="24"/>
          <w:szCs w:val="24"/>
        </w:rPr>
        <w:t>我们还就已遵守与独立性相关的职业道德要求向治理层提供声明，并与治理层沟通可能 被合理认为影响我们独立性的所有关系和其他事项，以及相关的防范措施（如适用）。</w:t>
      </w:r>
    </w:p>
    <w:p>
      <w:pPr>
        <w:pStyle w:val="Style10"/>
        <w:keepNext w:val="0"/>
        <w:keepLines w:val="0"/>
        <w:widowControl w:val="0"/>
        <w:shd w:val="clear" w:color="auto" w:fill="auto"/>
        <w:bidi w:val="0"/>
        <w:spacing w:before="0" w:after="0" w:line="311" w:lineRule="exact"/>
        <w:ind w:left="0" w:right="0" w:firstLine="460"/>
        <w:jc w:val="both"/>
        <w:rPr>
          <w:sz w:val="24"/>
          <w:szCs w:val="24"/>
        </w:rPr>
      </w:pPr>
      <w:r>
        <w:rPr>
          <w:b w:val="0"/>
          <w:bCs w:val="0"/>
          <w:color w:val="000000"/>
          <w:spacing w:val="0"/>
          <w:w w:val="100"/>
          <w:position w:val="0"/>
          <w:sz w:val="24"/>
          <w:szCs w:val="24"/>
        </w:rPr>
        <w:t>从与治理层沟通过的事项中，我们确定哪些事项对本期财务报表审计最为重要，因而构成 关键审计事项。我们在审计报告中描述这些事项，除非法律法规禁止公开披露这些事项，或 在极少数情形下，如果合理预期在审计报告中沟通某事项造成的负面后果超过在公众利益方 面产生的益处，我们确定不应在审计报告中沟通该事项。</w:t>
      </w:r>
    </w:p>
    <w:p>
      <w:pPr>
        <w:widowControl w:val="0"/>
        <w:spacing w:line="1" w:lineRule="exact"/>
        <w:sectPr>
          <w:footnotePr>
            <w:pos w:val="pageBottom"/>
            <w:numFmt w:val="upperRoman"/>
            <w:numStart w:val="1"/>
            <w:numRestart w:val="continuous"/>
            <w15:footnoteColumns w:val="1"/>
          </w:footnotePr>
          <w:pgSz w:w="11900" w:h="16840"/>
          <w:pgMar w:top="1443" w:right="909" w:bottom="1659" w:left="1054" w:header="0" w:footer="3" w:gutter="0"/>
          <w:cols w:space="720"/>
          <w:noEndnote/>
          <w:rtlGutter w:val="0"/>
          <w:docGrid w:linePitch="360"/>
        </w:sectPr>
      </w:pPr>
      <w:r>
        <mc:AlternateContent>
          <mc:Choice Requires="wps">
            <w:drawing>
              <wp:anchor distT="254000" distB="2540" distL="0" distR="0" simplePos="0" relativeHeight="125829386" behindDoc="0" locked="0" layoutInCell="1" allowOverlap="1">
                <wp:simplePos x="0" y="0"/>
                <wp:positionH relativeFrom="page">
                  <wp:posOffset>974090</wp:posOffset>
                </wp:positionH>
                <wp:positionV relativeFrom="paragraph">
                  <wp:posOffset>254000</wp:posOffset>
                </wp:positionV>
                <wp:extent cx="1591310" cy="463550"/>
                <wp:wrapTopAndBottom/>
                <wp:docPr id="11" name="Shape 11"/>
                <a:graphic xmlns:a="http://schemas.openxmlformats.org/drawingml/2006/main">
                  <a:graphicData uri="http://schemas.microsoft.com/office/word/2010/wordprocessingShape">
                    <wps:wsp>
                      <wps:cNvSpPr txBox="1"/>
                      <wps:spPr>
                        <a:xfrm>
                          <a:ext cx="1591310" cy="463550"/>
                        </a:xfrm>
                        <a:prstGeom prst="rect"/>
                        <a:noFill/>
                      </wps:spPr>
                      <wps:txbx>
                        <w:txbxContent>
                          <w:p>
                            <w:pPr>
                              <w:pStyle w:val="Style10"/>
                              <w:keepNext w:val="0"/>
                              <w:keepLines w:val="0"/>
                              <w:widowControl w:val="0"/>
                              <w:shd w:val="clear" w:color="auto" w:fill="auto"/>
                              <w:bidi w:val="0"/>
                              <w:spacing w:before="0" w:after="0" w:line="355" w:lineRule="exact"/>
                              <w:ind w:left="0" w:right="0" w:firstLine="0"/>
                              <w:jc w:val="left"/>
                              <w:rPr>
                                <w:sz w:val="24"/>
                                <w:szCs w:val="24"/>
                              </w:rPr>
                            </w:pPr>
                            <w:r>
                              <w:rPr>
                                <w:color w:val="000000"/>
                                <w:spacing w:val="0"/>
                                <w:w w:val="100"/>
                                <w:position w:val="0"/>
                                <w:sz w:val="24"/>
                                <w:szCs w:val="24"/>
                              </w:rPr>
                              <w:t>安永华明会计师事务所 （特殊普通合伙）</w:t>
                            </w:r>
                          </w:p>
                        </w:txbxContent>
                      </wps:txbx>
                      <wps:bodyPr lIns="0" tIns="0" rIns="0" bIns="0">
                        <a:noAutoFit/>
                      </wps:bodyPr>
                    </wps:wsp>
                  </a:graphicData>
                </a:graphic>
              </wp:anchor>
            </w:drawing>
          </mc:Choice>
          <mc:Fallback>
            <w:pict>
              <v:shape id="_x0000_s1037" type="#_x0000_t202" style="position:absolute;margin-left:76.700000000000003pt;margin-top:20.pt;width:125.3pt;height:36.5pt;z-index:-125829367;mso-wrap-distance-left:0;mso-wrap-distance-top:20.pt;mso-wrap-distance-right:0;mso-wrap-distance-bottom:0.20000000000000001pt;mso-position-horizontal-relative:page" filled="f" stroked="f">
                <v:textbox inset="0,0,0,0">
                  <w:txbxContent>
                    <w:p>
                      <w:pPr>
                        <w:pStyle w:val="Style10"/>
                        <w:keepNext w:val="0"/>
                        <w:keepLines w:val="0"/>
                        <w:widowControl w:val="0"/>
                        <w:shd w:val="clear" w:color="auto" w:fill="auto"/>
                        <w:bidi w:val="0"/>
                        <w:spacing w:before="0" w:after="0" w:line="355" w:lineRule="exact"/>
                        <w:ind w:left="0" w:right="0" w:firstLine="0"/>
                        <w:jc w:val="left"/>
                        <w:rPr>
                          <w:sz w:val="24"/>
                          <w:szCs w:val="24"/>
                        </w:rPr>
                      </w:pPr>
                      <w:r>
                        <w:rPr>
                          <w:color w:val="000000"/>
                          <w:spacing w:val="0"/>
                          <w:w w:val="100"/>
                          <w:position w:val="0"/>
                          <w:sz w:val="24"/>
                          <w:szCs w:val="24"/>
                        </w:rPr>
                        <w:t>安永华明会计师事务所 （特殊普通合伙）</w:t>
                      </w:r>
                    </w:p>
                  </w:txbxContent>
                </v:textbox>
                <w10:wrap type="topAndBottom" anchorx="page"/>
              </v:shape>
            </w:pict>
          </mc:Fallback>
        </mc:AlternateContent>
      </w:r>
      <w:r>
        <mc:AlternateContent>
          <mc:Choice Requires="wps">
            <w:drawing>
              <wp:anchor distT="333375" distB="0" distL="0" distR="0" simplePos="0" relativeHeight="125829388" behindDoc="0" locked="0" layoutInCell="1" allowOverlap="1">
                <wp:simplePos x="0" y="0"/>
                <wp:positionH relativeFrom="page">
                  <wp:posOffset>4052570</wp:posOffset>
                </wp:positionH>
                <wp:positionV relativeFrom="paragraph">
                  <wp:posOffset>333375</wp:posOffset>
                </wp:positionV>
                <wp:extent cx="1725295" cy="387350"/>
                <wp:wrapTopAndBottom/>
                <wp:docPr id="13" name="Shape 13"/>
                <a:graphic xmlns:a="http://schemas.openxmlformats.org/drawingml/2006/main">
                  <a:graphicData uri="http://schemas.microsoft.com/office/word/2010/wordprocessingShape">
                    <wps:wsp>
                      <wps:cNvSpPr txBox="1"/>
                      <wps:spPr>
                        <a:xfrm>
                          <a:ext cx="1725295" cy="38735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中国注册会计师：朱宝钦</w:t>
                            </w:r>
                          </w:p>
                          <w:p>
                            <w:pPr>
                              <w:pStyle w:val="Style10"/>
                              <w:keepNext w:val="0"/>
                              <w:keepLines w:val="0"/>
                              <w:widowControl w:val="0"/>
                              <w:shd w:val="clear" w:color="auto" w:fill="auto"/>
                              <w:bidi w:val="0"/>
                              <w:spacing w:before="0" w:after="0" w:line="240" w:lineRule="auto"/>
                              <w:ind w:left="260" w:right="0" w:firstLine="0"/>
                              <w:jc w:val="center"/>
                              <w:rPr>
                                <w:sz w:val="24"/>
                                <w:szCs w:val="24"/>
                              </w:rPr>
                            </w:pPr>
                            <w:r>
                              <w:rPr>
                                <w:color w:val="000000"/>
                                <w:spacing w:val="0"/>
                                <w:w w:val="100"/>
                                <w:position w:val="0"/>
                                <w:sz w:val="24"/>
                                <w:szCs w:val="24"/>
                              </w:rPr>
                              <w:t>（项目合伙人）</w:t>
                            </w:r>
                          </w:p>
                        </w:txbxContent>
                      </wps:txbx>
                      <wps:bodyPr lIns="0" tIns="0" rIns="0" bIns="0">
                        <a:noAutoFit/>
                      </wps:bodyPr>
                    </wps:wsp>
                  </a:graphicData>
                </a:graphic>
              </wp:anchor>
            </w:drawing>
          </mc:Choice>
          <mc:Fallback>
            <w:pict>
              <v:shape id="_x0000_s1039" type="#_x0000_t202" style="position:absolute;margin-left:319.10000000000002pt;margin-top:26.25pt;width:135.84999999999999pt;height:30.5pt;z-index:-125829365;mso-wrap-distance-left:0;mso-wrap-distance-top:26.25pt;mso-wrap-distance-right:0;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中国注册会计师：朱宝钦</w:t>
                      </w:r>
                    </w:p>
                    <w:p>
                      <w:pPr>
                        <w:pStyle w:val="Style10"/>
                        <w:keepNext w:val="0"/>
                        <w:keepLines w:val="0"/>
                        <w:widowControl w:val="0"/>
                        <w:shd w:val="clear" w:color="auto" w:fill="auto"/>
                        <w:bidi w:val="0"/>
                        <w:spacing w:before="0" w:after="0" w:line="240" w:lineRule="auto"/>
                        <w:ind w:left="260" w:right="0" w:firstLine="0"/>
                        <w:jc w:val="center"/>
                        <w:rPr>
                          <w:sz w:val="24"/>
                          <w:szCs w:val="24"/>
                        </w:rPr>
                      </w:pPr>
                      <w:r>
                        <w:rPr>
                          <w:color w:val="000000"/>
                          <w:spacing w:val="0"/>
                          <w:w w:val="100"/>
                          <w:position w:val="0"/>
                          <w:sz w:val="24"/>
                          <w:szCs w:val="24"/>
                        </w:rPr>
                        <w:t>（项目合伙人）</w:t>
                      </w:r>
                    </w:p>
                  </w:txbxContent>
                </v:textbox>
                <w10:wrap type="topAndBottom" anchorx="page"/>
              </v:shape>
            </w:pict>
          </mc:Fallback>
        </mc:AlternateContent>
      </w:r>
    </w:p>
    <w:p>
      <w:pPr>
        <w:widowControl w:val="0"/>
        <w:spacing w:line="228" w:lineRule="exact"/>
        <w:rPr>
          <w:sz w:val="18"/>
          <w:szCs w:val="18"/>
        </w:rPr>
      </w:pPr>
    </w:p>
    <w:p>
      <w:pPr>
        <w:widowControl w:val="0"/>
        <w:spacing w:line="1" w:lineRule="exact"/>
        <w:sectPr>
          <w:footnotePr>
            <w:pos w:val="pageBottom"/>
            <w:numFmt w:val="upperRoman"/>
            <w:numStart w:val="1"/>
            <w:numRestart w:val="continuous"/>
            <w15:footnoteColumns w:val="1"/>
          </w:footnotePr>
          <w:type w:val="continuous"/>
          <w:pgSz w:w="11900" w:h="16840"/>
          <w:pgMar w:top="1443" w:right="0" w:bottom="1429" w:left="0" w:header="0" w:footer="3" w:gutter="0"/>
          <w:cols w:space="720"/>
          <w:noEndnote/>
          <w:rtlGutter w:val="0"/>
          <w:docGrid w:linePitch="360"/>
        </w:sectPr>
      </w:pPr>
    </w:p>
    <w:p>
      <w:pPr>
        <w:pStyle w:val="Style10"/>
        <w:keepNext w:val="0"/>
        <w:keepLines w:val="0"/>
        <w:widowControl w:val="0"/>
        <w:shd w:val="clear" w:color="auto" w:fill="auto"/>
        <w:bidi w:val="0"/>
        <w:spacing w:before="0" w:after="640" w:line="240" w:lineRule="auto"/>
        <w:ind w:left="5320" w:right="0" w:firstLine="0"/>
        <w:jc w:val="left"/>
        <w:rPr>
          <w:sz w:val="24"/>
          <w:szCs w:val="24"/>
        </w:rPr>
      </w:pPr>
      <w:r>
        <w:rPr>
          <w:color w:val="000000"/>
          <w:spacing w:val="0"/>
          <w:w w:val="100"/>
          <w:position w:val="0"/>
          <w:sz w:val="24"/>
          <w:szCs w:val="24"/>
        </w:rPr>
        <w:t>中国注册会计师：严盛炜</w:t>
      </w:r>
    </w:p>
    <w:p>
      <w:pPr>
        <w:pStyle w:val="Style10"/>
        <w:keepNext w:val="0"/>
        <w:keepLines w:val="0"/>
        <w:widowControl w:val="0"/>
        <w:shd w:val="clear" w:color="auto" w:fill="auto"/>
        <w:bidi w:val="0"/>
        <w:spacing w:before="0" w:after="0" w:line="240" w:lineRule="auto"/>
        <w:ind w:left="3600" w:right="0" w:firstLine="0"/>
        <w:jc w:val="left"/>
        <w:rPr>
          <w:sz w:val="24"/>
          <w:szCs w:val="24"/>
        </w:rPr>
      </w:pPr>
      <w:r>
        <mc:AlternateContent>
          <mc:Choice Requires="wps">
            <w:drawing>
              <wp:anchor distT="0" distB="0" distL="114300" distR="114300" simplePos="0" relativeHeight="125829390" behindDoc="0" locked="0" layoutInCell="1" allowOverlap="1">
                <wp:simplePos x="0" y="0"/>
                <wp:positionH relativeFrom="page">
                  <wp:posOffset>983615</wp:posOffset>
                </wp:positionH>
                <wp:positionV relativeFrom="paragraph">
                  <wp:posOffset>12700</wp:posOffset>
                </wp:positionV>
                <wp:extent cx="709930" cy="207010"/>
                <wp:wrapSquare wrapText="right"/>
                <wp:docPr id="15" name="Shape 15"/>
                <a:graphic xmlns:a="http://schemas.openxmlformats.org/drawingml/2006/main">
                  <a:graphicData uri="http://schemas.microsoft.com/office/word/2010/wordprocessingShape">
                    <wps:wsp>
                      <wps:cNvSpPr txBox="1"/>
                      <wps:spPr>
                        <a:xfrm>
                          <a:ext cx="709930" cy="20701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北京</w:t>
                            </w:r>
                          </w:p>
                        </w:txbxContent>
                      </wps:txbx>
                      <wps:bodyPr wrap="none" lIns="0" tIns="0" rIns="0" bIns="0">
                        <a:noAutoFit/>
                      </wps:bodyPr>
                    </wps:wsp>
                  </a:graphicData>
                </a:graphic>
              </wp:anchor>
            </w:drawing>
          </mc:Choice>
          <mc:Fallback>
            <w:pict>
              <v:shape id="_x0000_s1041" type="#_x0000_t202" style="position:absolute;margin-left:77.450000000000003pt;margin-top:1.pt;width:55.899999999999999pt;height:16.300000000000001pt;z-index:-125829363;mso-wrap-distance-left:9.pt;mso-wrap-distance-right:9.pt;mso-position-horizontal-relative:page" filled="f" stroked="f">
                <v:textbox inset="0,0,0,0">
                  <w:txbxContent>
                    <w:p>
                      <w:pPr>
                        <w:pStyle w:val="Style10"/>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北京</w:t>
                      </w:r>
                    </w:p>
                  </w:txbxContent>
                </v:textbox>
                <w10:wrap type="square" side="right" anchorx="page"/>
              </v:shape>
            </w:pict>
          </mc:Fallback>
        </mc:AlternateContent>
      </w:r>
      <w:bookmarkStart w:id="835" w:name="bookmark835"/>
      <w:r>
        <w:rPr>
          <w:color w:val="000000"/>
          <w:spacing w:val="0"/>
          <w:w w:val="100"/>
          <w:position w:val="0"/>
          <w:sz w:val="24"/>
          <w:szCs w:val="24"/>
        </w:rPr>
        <w:t>二</w:t>
      </w:r>
      <w:bookmarkEnd w:id="835"/>
      <w:r>
        <w:rPr>
          <w:color w:val="000000"/>
          <w:spacing w:val="0"/>
          <w:w w:val="100"/>
          <w:position w:val="0"/>
          <w:sz w:val="24"/>
          <w:szCs w:val="24"/>
        </w:rPr>
        <w:t>。二二年三月十七日</w:t>
      </w:r>
      <w:r>
        <w:br w:type="page"/>
      </w:r>
    </w:p>
    <w:p>
      <w:pPr>
        <w:pStyle w:val="Style22"/>
        <w:keepNext/>
        <w:keepLines/>
        <w:widowControl w:val="0"/>
        <w:shd w:val="clear" w:color="auto" w:fill="auto"/>
        <w:bidi w:val="0"/>
        <w:spacing w:before="0" w:after="380" w:line="240" w:lineRule="auto"/>
        <w:ind w:left="0" w:right="0" w:firstLine="0"/>
        <w:jc w:val="left"/>
      </w:pPr>
      <w:bookmarkStart w:id="836" w:name="bookmark836"/>
      <w:bookmarkStart w:id="837" w:name="bookmark837"/>
      <w:bookmarkStart w:id="838" w:name="bookmark838"/>
      <w:r>
        <w:rPr>
          <w:color w:val="000000"/>
          <w:spacing w:val="0"/>
          <w:w w:val="100"/>
          <w:position w:val="0"/>
          <w:sz w:val="24"/>
          <w:szCs w:val="24"/>
        </w:rPr>
        <w:t>二、财务报表</w:t>
      </w:r>
      <w:bookmarkEnd w:id="836"/>
      <w:bookmarkEnd w:id="837"/>
      <w:bookmarkEnd w:id="838"/>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38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w:t>
      </w:r>
      <w:bookmarkEnd w:id="841"/>
      <w:r>
        <w:rPr>
          <w:color w:val="000000"/>
          <w:spacing w:val="0"/>
          <w:w w:val="100"/>
          <w:position w:val="0"/>
        </w:rPr>
        <w:t>、合并资产负债表</w:t>
      </w:r>
      <w:bookmarkEnd w:id="839"/>
      <w:bookmarkEnd w:id="840"/>
      <w:bookmarkEnd w:id="842"/>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编制单位：东方财富信息股份有限公司</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312"/>
        <w:gridCol w:w="3398"/>
      </w:tblGrid>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59,610,593,783.57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41,420,490,433.77</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10,475,675,745.56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6,652,245,869.33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融出资金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43,407,081,598.64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30,072,385,470.42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33,570,836,530.79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12,831,853,398.85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110,767,197.62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1,819,259,030.82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pPr>
            <w:r>
              <w:rPr>
                <w:color w:val="000000"/>
                <w:spacing w:val="0"/>
                <w:w w:val="100"/>
                <w:position w:val="0"/>
              </w:rPr>
              <w:t>726,021,922.60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87,004,309.14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106,959,684.71</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8,338,749,508.38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9,801,549,035.32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3,477,819,258.48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pPr>
            <w:r>
              <w:rPr>
                <w:color w:val="000000"/>
                <w:spacing w:val="0"/>
                <w:w w:val="100"/>
                <w:position w:val="0"/>
              </w:rPr>
              <w:t>895,038,591.26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存出保证金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3,142,236,877.04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2,070,467,729.03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78,610,904.38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81,508,614.18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164,118,634,744.42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104,658,520,749.47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发放贷款和垫款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37,138,141.39</w:t>
            </w:r>
          </w:p>
        </w:tc>
      </w:tr>
    </w:tbl>
    <w:p>
      <w:pPr>
        <w:widowControl w:val="0"/>
        <w:spacing w:line="1" w:lineRule="exact"/>
      </w:pPr>
      <w:r>
        <w:br w:type="page"/>
      </w:r>
    </w:p>
    <w:tbl>
      <w:tblPr>
        <w:tblOverlap w:val="never"/>
        <w:jc w:val="center"/>
        <w:tblLayout w:type="fixed"/>
      </w:tblPr>
      <w:tblGrid>
        <w:gridCol w:w="2981"/>
        <w:gridCol w:w="3312"/>
        <w:gridCol w:w="3398"/>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14,030,143,691.09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380,963,170.98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pPr>
            <w:r>
              <w:rPr>
                <w:color w:val="000000"/>
                <w:spacing w:val="0"/>
                <w:w w:val="100"/>
                <w:position w:val="0"/>
              </w:rPr>
              <w:t>451,522,742.84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327,377,741.46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123,926,074.02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2,692,122,169.62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1,763,881,149.40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123,356,696.08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pPr>
            <w:r>
              <w:rPr>
                <w:color w:val="000000"/>
                <w:spacing w:val="0"/>
                <w:w w:val="100"/>
                <w:position w:val="0"/>
              </w:rPr>
              <w:t>36,294,004.57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162,305,199.78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174,417,550.93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174,332,788.65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2,945,861,162.24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2,945,861,162.24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pPr>
            <w:r>
              <w:rPr>
                <w:color w:val="000000"/>
                <w:spacing w:val="0"/>
                <w:w w:val="100"/>
                <w:position w:val="0"/>
              </w:rPr>
              <w:t>43,281,828.92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pPr>
            <w:r>
              <w:rPr>
                <w:color w:val="000000"/>
                <w:spacing w:val="0"/>
                <w:w w:val="100"/>
                <w:position w:val="0"/>
              </w:rPr>
              <w:t>55,709,096.26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21,790,038.39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pPr>
            <w:r>
              <w:rPr>
                <w:color w:val="000000"/>
                <w:spacing w:val="0"/>
                <w:w w:val="100"/>
                <w:position w:val="0"/>
              </w:rPr>
              <w:t>81,549,857.49</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20,901,619,249.49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5,670,215,016.86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185,020,253,993.91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110,328,735,766.33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2,809,602,383.88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2,940,214,165.22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应付短期融资券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13,122,179,421.45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8,402,188,109.28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1,206,662,888.89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1,012,222,222.22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2,932,164,970.01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123,669,805.08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pPr>
            <w:r>
              <w:rPr>
                <w:color w:val="000000"/>
                <w:spacing w:val="0"/>
                <w:w w:val="100"/>
                <w:position w:val="0"/>
              </w:rPr>
              <w:t>57,665,679.69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430,968.80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229,011,620.11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211,046,973.13</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411,729.15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1,033,242.19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197,209,026.86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180,183,670.38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26,707,665,609.89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8,533,225,079.65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代理买卖证券款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63,928,842,159.88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49,797,784,255.00</w:t>
            </w:r>
          </w:p>
        </w:tc>
      </w:tr>
    </w:tbl>
    <w:p>
      <w:pPr>
        <w:widowControl w:val="0"/>
        <w:spacing w:line="1" w:lineRule="exact"/>
      </w:pPr>
      <w:r>
        <w:br w:type="page"/>
      </w:r>
    </w:p>
    <w:tbl>
      <w:tblPr>
        <w:tblOverlap w:val="never"/>
        <w:jc w:val="center"/>
        <w:tblLayout w:type="fixed"/>
      </w:tblPr>
      <w:tblGrid>
        <w:gridCol w:w="2981"/>
        <w:gridCol w:w="3312"/>
        <w:gridCol w:w="3398"/>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410,051,304.63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347,111,853.77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468,864,356.95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336,270,172.24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3,016,652,033.62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1,759,641,832.07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6,030,516,853.30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2,239,377,911.52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1,842,482.56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4,175,801.76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121,119,342,520.87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75,888,576,062.31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19,710,301,844.62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1,218,986,301.37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81,951,615.12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23,222,183.35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23,220,584.22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43,141,263.41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40,035,597.18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19,860,674,906.50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1,283,692,482.77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140,980,017,427.37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77,172,268,545.08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10,366,327,855.00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8,613,136,491.00</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1,956,432,160.45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13,461,569,443.42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14,451,069,974.79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312"/>
        <w:gridCol w:w="3398"/>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86,456,564.84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-41,050,280.77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908,725,824.08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594,148,886.07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17,260,724,718.75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9,539,162,150.16</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44,040,236,566.54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33,156,467,221.25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44,040,236,566.54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33,156,467,221.25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185,020,253,993.91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110,328,735,766.33</w:t>
            </w:r>
          </w:p>
        </w:tc>
      </w:tr>
    </w:tbl>
    <w:p>
      <w:pPr>
        <w:pStyle w:val="Style32"/>
        <w:keepNext/>
        <w:keepLines/>
        <w:widowControl w:val="0"/>
        <w:shd w:val="clear" w:color="auto" w:fill="auto"/>
        <w:bidi w:val="0"/>
        <w:spacing w:before="0" w:after="360" w:line="240" w:lineRule="auto"/>
        <w:ind w:left="0" w:right="0" w:firstLine="0"/>
        <w:jc w:val="left"/>
      </w:pPr>
      <w:r>
        <mc:AlternateContent>
          <mc:Choice Requires="wps">
            <w:drawing>
              <wp:anchor distT="139700" distB="3175" distL="114300" distR="5267960" simplePos="0" relativeHeight="125829392" behindDoc="0" locked="0" layoutInCell="1" allowOverlap="1">
                <wp:simplePos x="0" y="0"/>
                <wp:positionH relativeFrom="page">
                  <wp:posOffset>707390</wp:posOffset>
                </wp:positionH>
                <wp:positionV relativeFrom="margin">
                  <wp:posOffset>2520950</wp:posOffset>
                </wp:positionV>
                <wp:extent cx="966470" cy="152400"/>
                <wp:wrapTopAndBottom/>
                <wp:docPr id="17" name="Shape 17"/>
                <a:graphic xmlns:a="http://schemas.openxmlformats.org/drawingml/2006/main">
                  <a:graphicData uri="http://schemas.microsoft.com/office/word/2010/wordprocessingShape">
                    <wps:wsp>
                      <wps:cNvSpPr txBox="1"/>
                      <wps:spPr>
                        <a:xfrm>
                          <a:ext cx="966470" cy="1524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法定代表人：其实</w:t>
                            </w:r>
                          </w:p>
                        </w:txbxContent>
                      </wps:txbx>
                      <wps:bodyPr wrap="none" lIns="0" tIns="0" rIns="0" bIns="0">
                        <a:noAutoFit/>
                      </wps:bodyPr>
                    </wps:wsp>
                  </a:graphicData>
                </a:graphic>
              </wp:anchor>
            </w:drawing>
          </mc:Choice>
          <mc:Fallback>
            <w:pict>
              <v:shape id="_x0000_s1043" type="#_x0000_t202" style="position:absolute;margin-left:55.700000000000003pt;margin-top:198.5pt;width:76.100000000000009pt;height:12.pt;z-index:-125829361;mso-wrap-distance-left:9.pt;mso-wrap-distance-top:11.pt;mso-wrap-distance-right:414.80000000000001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法定代表人：其实</w:t>
                      </w:r>
                    </w:p>
                  </w:txbxContent>
                </v:textbox>
                <w10:wrap type="topAndBottom" anchorx="page" anchory="margin"/>
              </v:shape>
            </w:pict>
          </mc:Fallback>
        </mc:AlternateContent>
      </w:r>
      <w:r>
        <mc:AlternateContent>
          <mc:Choice Requires="wps">
            <w:drawing>
              <wp:anchor distT="139700" distB="6350" distL="2284730" distR="2521585" simplePos="0" relativeHeight="125829394" behindDoc="0" locked="0" layoutInCell="1" allowOverlap="1">
                <wp:simplePos x="0" y="0"/>
                <wp:positionH relativeFrom="page">
                  <wp:posOffset>2877820</wp:posOffset>
                </wp:positionH>
                <wp:positionV relativeFrom="margin">
                  <wp:posOffset>2520950</wp:posOffset>
                </wp:positionV>
                <wp:extent cx="1542415" cy="149225"/>
                <wp:wrapTopAndBottom/>
                <wp:docPr id="19" name="Shape 19"/>
                <a:graphic xmlns:a="http://schemas.openxmlformats.org/drawingml/2006/main">
                  <a:graphicData uri="http://schemas.microsoft.com/office/word/2010/wordprocessingShape">
                    <wps:wsp>
                      <wps:cNvSpPr txBox="1"/>
                      <wps:spPr>
                        <a:xfrm>
                          <a:ext cx="154241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主管会计工作负责人：黄建海</w:t>
                            </w:r>
                          </w:p>
                        </w:txbxContent>
                      </wps:txbx>
                      <wps:bodyPr wrap="none" lIns="0" tIns="0" rIns="0" bIns="0">
                        <a:noAutoFit/>
                      </wps:bodyPr>
                    </wps:wsp>
                  </a:graphicData>
                </a:graphic>
              </wp:anchor>
            </w:drawing>
          </mc:Choice>
          <mc:Fallback>
            <w:pict>
              <v:shape id="_x0000_s1045" type="#_x0000_t202" style="position:absolute;margin-left:226.59999999999999pt;margin-top:198.5pt;width:121.45pt;height:11.75pt;z-index:-125829359;mso-wrap-distance-left:179.90000000000001pt;mso-wrap-distance-top:11.pt;mso-wrap-distance-right:198.55000000000001pt;mso-wrap-distance-bottom:0.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主管会计工作负责人：黄建海</w:t>
                      </w:r>
                    </w:p>
                  </w:txbxContent>
                </v:textbox>
                <w10:wrap type="topAndBottom" anchorx="page" anchory="margin"/>
              </v:shape>
            </w:pict>
          </mc:Fallback>
        </mc:AlternateContent>
      </w:r>
      <w:r>
        <mc:AlternateContent>
          <mc:Choice Requires="wps">
            <w:drawing>
              <wp:anchor distT="139700" distB="0" distL="5030470" distR="114300" simplePos="0" relativeHeight="125829396" behindDoc="0" locked="0" layoutInCell="1" allowOverlap="1">
                <wp:simplePos x="0" y="0"/>
                <wp:positionH relativeFrom="page">
                  <wp:posOffset>5623560</wp:posOffset>
                </wp:positionH>
                <wp:positionV relativeFrom="margin">
                  <wp:posOffset>2520950</wp:posOffset>
                </wp:positionV>
                <wp:extent cx="1203960" cy="155575"/>
                <wp:wrapTopAndBottom/>
                <wp:docPr id="21" name="Shape 21"/>
                <a:graphic xmlns:a="http://schemas.openxmlformats.org/drawingml/2006/main">
                  <a:graphicData uri="http://schemas.microsoft.com/office/word/2010/wordprocessingShape">
                    <wps:wsp>
                      <wps:cNvSpPr txBox="1"/>
                      <wps:spPr>
                        <a:xfrm>
                          <a:ext cx="1203960" cy="15557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会计机构负责人：王涛</w:t>
                            </w:r>
                          </w:p>
                        </w:txbxContent>
                      </wps:txbx>
                      <wps:bodyPr wrap="none" lIns="0" tIns="0" rIns="0" bIns="0">
                        <a:noAutoFit/>
                      </wps:bodyPr>
                    </wps:wsp>
                  </a:graphicData>
                </a:graphic>
              </wp:anchor>
            </w:drawing>
          </mc:Choice>
          <mc:Fallback>
            <w:pict>
              <v:shape id="_x0000_s1047" type="#_x0000_t202" style="position:absolute;margin-left:442.80000000000001pt;margin-top:198.5pt;width:94.799999999999997pt;height:12.25pt;z-index:-125829357;mso-wrap-distance-left:396.10000000000002pt;mso-wrap-distance-top:11.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会计机构负责人：王涛</w:t>
                      </w:r>
                    </w:p>
                  </w:txbxContent>
                </v:textbox>
                <w10:wrap type="topAndBottom" anchorx="page" anchory="margin"/>
              </v:shape>
            </w:pict>
          </mc:Fallback>
        </mc:AlternateContent>
      </w: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2</w:t>
      </w:r>
      <w:bookmarkEnd w:id="845"/>
      <w:r>
        <w:rPr>
          <w:color w:val="000000"/>
          <w:spacing w:val="0"/>
          <w:w w:val="100"/>
          <w:position w:val="0"/>
        </w:rPr>
        <w:t>、母公司资产负债表</w:t>
      </w:r>
      <w:bookmarkEnd w:id="843"/>
      <w:bookmarkEnd w:id="844"/>
      <w:bookmarkEnd w:id="84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3312"/>
        <w:gridCol w:w="331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819,327,407.57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690,708,967.36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229,696.83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213,443.63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100,132,711.81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102,706,476.71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1,277,141,877.12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292,760,368.50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38,027,572.74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48,604,726.10</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74,218,835.30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39,036,019.57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15,741,057,015.48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18,050,135,116.85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1,174,030,001.87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312"/>
        <w:gridCol w:w="331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28,086,423,513.64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24,699,803,732.39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131,152,341.46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123,926,074.02</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1,203,511,735.91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1,291,695,016.76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pPr>
            <w:r>
              <w:rPr>
                <w:color w:val="000000"/>
                <w:spacing w:val="0"/>
                <w:w w:val="100"/>
                <w:position w:val="0"/>
              </w:rPr>
              <w:t>57,320,664.25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pPr>
            <w:r>
              <w:rPr>
                <w:color w:val="000000"/>
                <w:spacing w:val="0"/>
                <w:w w:val="100"/>
                <w:position w:val="0"/>
              </w:rPr>
              <w:t>11,054,026.85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11,983,804.52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2,667,789.82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355,080.25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2,425,435.55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539,049,573.58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1,300,000,000.00</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30,031,179,645.51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27,430,189,143.49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48,081,314,762.36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28,604,219,145.36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700,603,777.78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253,017,819.18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107,262,490.46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88,166,825.18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170,653.38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pPr>
            <w:r>
              <w:rPr>
                <w:color w:val="000000"/>
                <w:spacing w:val="0"/>
                <w:w w:val="100"/>
                <w:position w:val="0"/>
              </w:rPr>
              <w:t>61,430,711.07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66,425,231.87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134,564,251.32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124,081,793.67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206,171,988.77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161,209,042.49</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248,713,546.28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115,581,916.83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26,406,200.28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312"/>
        <w:gridCol w:w="3312"/>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2,586,338.00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1,485,323,619.34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811,068,967.22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13,432,803,100.80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29,405,681.67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1,450,000.00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2,365,458.54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7,731,577.99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943,786.64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4,049,668.50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13,466,968,027.65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13,231,246.49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14,952,291,646.99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824,300,213.71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10,366,327,855.00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8,613,136,491.00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1,956,432,160.45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13,451,682,646.86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14,441,183,178.23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908,725,824.08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594,148,886.07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6,445,854,628.98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4,131,450,376.35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33,129,023,115.37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27,779,918,931.65</w:t>
            </w:r>
          </w:p>
        </w:tc>
      </w:tr>
      <w:tr>
        <w:trPr>
          <w:trHeight w:val="3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48,081,314,762.36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28,604,219,145.36</w:t>
            </w: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3</w:t>
      </w:r>
      <w:bookmarkEnd w:id="849"/>
      <w:r>
        <w:rPr>
          <w:color w:val="000000"/>
          <w:spacing w:val="0"/>
          <w:w w:val="100"/>
          <w:position w:val="0"/>
        </w:rPr>
        <w:t>、合并利润表</w:t>
      </w:r>
      <w:bookmarkEnd w:id="847"/>
      <w:bookmarkEnd w:id="848"/>
      <w:bookmarkEnd w:id="85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842"/>
        <w:gridCol w:w="263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13,094,320,648.24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8,238,557,108.92</w:t>
            </w:r>
          </w:p>
        </w:tc>
      </w:tr>
    </w:tbl>
    <w:p>
      <w:pPr>
        <w:widowControl w:val="0"/>
        <w:spacing w:line="1" w:lineRule="exact"/>
      </w:pPr>
      <w:r>
        <w:br w:type="page"/>
      </w:r>
    </w:p>
    <w:tbl>
      <w:tblPr>
        <w:tblOverlap w:val="never"/>
        <w:jc w:val="center"/>
        <w:tblLayout w:type="fixed"/>
      </w:tblPr>
      <w:tblGrid>
        <w:gridCol w:w="4133"/>
        <w:gridCol w:w="2842"/>
        <w:gridCol w:w="263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pPr>
            <w:r>
              <w:rPr>
                <w:color w:val="000000"/>
                <w:spacing w:val="0"/>
                <w:w w:val="100"/>
                <w:position w:val="0"/>
              </w:rPr>
              <w:t>5,404,805,007.55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3,252,288,346.37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利息净收入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2,320,929,281.86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1,536,242,523.59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手续费及佣金净收入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pPr>
            <w:r>
              <w:rPr>
                <w:color w:val="000000"/>
                <w:spacing w:val="0"/>
                <w:w w:val="100"/>
                <w:position w:val="0"/>
              </w:rPr>
              <w:t>5,368,586,358.83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3,450,026,238.96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pPr>
            <w:r>
              <w:rPr>
                <w:color w:val="000000"/>
                <w:spacing w:val="0"/>
                <w:w w:val="100"/>
                <w:position w:val="0"/>
              </w:rPr>
              <w:t>4,131,893,125.80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3,037,001,311.66</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color w:val="000000"/>
                <w:spacing w:val="0"/>
                <w:w w:val="100"/>
                <w:position w:val="0"/>
              </w:rPr>
              <w:t>663,441,110.02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566,645,612.46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104,015,767.30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67,064,868.31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color w:val="000000"/>
                <w:spacing w:val="0"/>
                <w:w w:val="100"/>
                <w:position w:val="0"/>
              </w:rPr>
              <w:t>652,179,275.76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522,997,937.41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1,849,387,236.61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1,467,987,211.68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color w:val="000000"/>
                <w:spacing w:val="0"/>
                <w:w w:val="100"/>
                <w:position w:val="0"/>
              </w:rPr>
              <w:t>723,971,197.23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378,383,908.01</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138,898,538.88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33,921,773.79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color w:val="000000"/>
                <w:spacing w:val="0"/>
                <w:w w:val="100"/>
                <w:position w:val="0"/>
              </w:rPr>
              <w:t>402,777,049.73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208,246,592.16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266,592,664.39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175,804,784.85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132,624,566.67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103,938,196.56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color w:val="000000"/>
                <w:spacing w:val="0"/>
                <w:w w:val="100"/>
                <w:position w:val="0"/>
              </w:rPr>
              <w:t>735,084,778.51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316,086,963.18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9,340,428.14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10,507,271.28</w:t>
            </w:r>
          </w:p>
        </w:tc>
      </w:tr>
      <w:tr>
        <w:trPr>
          <w:trHeight w:val="72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1120"/>
              <w:jc w:val="left"/>
            </w:pPr>
            <w:r>
              <w:rPr>
                <w:rFonts w:ascii="SimSun" w:eastAsia="SimSun" w:hAnsi="SimSun" w:cs="SimSun"/>
                <w:color w:val="000000"/>
                <w:spacing w:val="0"/>
                <w:w w:val="100"/>
                <w:position w:val="0"/>
              </w:rPr>
              <w:t>以摊余成本计量的金融资产终止确认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汇兑收益（损失以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3,714,050.31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-870,731.37</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净敞口套期收益（损失以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公允价值变动收益（损失以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274,589,396.58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-709,728.54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信用减值损失（损失以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-28,629,154.28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-54,226,604.75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资产减值损失（损失以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-33,204,797.40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资产处置收益（损失以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-214,954.06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10,079,596,206.17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5,532,571,088.60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302,688.21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50,878.75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减：营业外支出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25,928,168.79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17,167,738.93</w:t>
            </w:r>
          </w:p>
        </w:tc>
      </w:tr>
    </w:tbl>
    <w:p>
      <w:pPr>
        <w:widowControl w:val="0"/>
        <w:spacing w:line="1" w:lineRule="exact"/>
      </w:pPr>
      <w:r>
        <w:br w:type="page"/>
      </w:r>
    </w:p>
    <w:p>
      <w:pPr>
        <w:widowControl w:val="0"/>
        <w:spacing w:line="1" w:lineRule="exact"/>
      </w:pPr>
      <w:r>
        <mc:AlternateContent>
          <mc:Choice Requires="wps">
            <w:drawing>
              <wp:anchor distT="139700" distB="3175" distL="114300" distR="5267960" simplePos="0" relativeHeight="125829398" behindDoc="0" locked="0" layoutInCell="1" allowOverlap="1">
                <wp:simplePos x="0" y="0"/>
                <wp:positionH relativeFrom="page">
                  <wp:posOffset>722630</wp:posOffset>
                </wp:positionH>
                <wp:positionV relativeFrom="margin">
                  <wp:posOffset>8598535</wp:posOffset>
                </wp:positionV>
                <wp:extent cx="966470" cy="152400"/>
                <wp:wrapTopAndBottom/>
                <wp:docPr id="23" name="Shape 23"/>
                <a:graphic xmlns:a="http://schemas.openxmlformats.org/drawingml/2006/main">
                  <a:graphicData uri="http://schemas.microsoft.com/office/word/2010/wordprocessingShape">
                    <wps:wsp>
                      <wps:cNvSpPr txBox="1"/>
                      <wps:spPr>
                        <a:xfrm>
                          <a:ext cx="966470" cy="15240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法定代表人：其实</w:t>
                            </w:r>
                          </w:p>
                        </w:txbxContent>
                      </wps:txbx>
                      <wps:bodyPr wrap="none" lIns="0" tIns="0" rIns="0" bIns="0">
                        <a:noAutoFit/>
                      </wps:bodyPr>
                    </wps:wsp>
                  </a:graphicData>
                </a:graphic>
              </wp:anchor>
            </w:drawing>
          </mc:Choice>
          <mc:Fallback>
            <w:pict>
              <v:shape id="_x0000_s1049" type="#_x0000_t202" style="position:absolute;margin-left:56.899999999999999pt;margin-top:677.05000000000007pt;width:76.100000000000009pt;height:12.pt;z-index:-125829355;mso-wrap-distance-left:9.pt;mso-wrap-distance-top:11.pt;mso-wrap-distance-right:414.80000000000001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法定代表人：其实</w:t>
                      </w:r>
                    </w:p>
                  </w:txbxContent>
                </v:textbox>
                <w10:wrap type="topAndBottom" anchorx="page" anchory="margin"/>
              </v:shape>
            </w:pict>
          </mc:Fallback>
        </mc:AlternateContent>
      </w:r>
      <w:r>
        <mc:AlternateContent>
          <mc:Choice Requires="wps">
            <w:drawing>
              <wp:anchor distT="139700" distB="6350" distL="2284730" distR="2521585" simplePos="0" relativeHeight="125829400" behindDoc="0" locked="0" layoutInCell="1" allowOverlap="1">
                <wp:simplePos x="0" y="0"/>
                <wp:positionH relativeFrom="page">
                  <wp:posOffset>2893060</wp:posOffset>
                </wp:positionH>
                <wp:positionV relativeFrom="margin">
                  <wp:posOffset>8598535</wp:posOffset>
                </wp:positionV>
                <wp:extent cx="1542415" cy="149225"/>
                <wp:wrapTopAndBottom/>
                <wp:docPr id="25" name="Shape 25"/>
                <a:graphic xmlns:a="http://schemas.openxmlformats.org/drawingml/2006/main">
                  <a:graphicData uri="http://schemas.microsoft.com/office/word/2010/wordprocessingShape">
                    <wps:wsp>
                      <wps:cNvSpPr txBox="1"/>
                      <wps:spPr>
                        <a:xfrm>
                          <a:ext cx="1542415"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主管会计工作负责人：黄建海</w:t>
                            </w:r>
                          </w:p>
                        </w:txbxContent>
                      </wps:txbx>
                      <wps:bodyPr wrap="none" lIns="0" tIns="0" rIns="0" bIns="0">
                        <a:noAutoFit/>
                      </wps:bodyPr>
                    </wps:wsp>
                  </a:graphicData>
                </a:graphic>
              </wp:anchor>
            </w:drawing>
          </mc:Choice>
          <mc:Fallback>
            <w:pict>
              <v:shape id="_x0000_s1051" type="#_x0000_t202" style="position:absolute;margin-left:227.80000000000001pt;margin-top:677.05000000000007pt;width:121.45pt;height:11.75pt;z-index:-125829353;mso-wrap-distance-left:179.90000000000001pt;mso-wrap-distance-top:11.pt;mso-wrap-distance-right:198.55000000000001pt;mso-wrap-distance-bottom:0.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主管会计工作负责人：黄建海</w:t>
                      </w:r>
                    </w:p>
                  </w:txbxContent>
                </v:textbox>
                <w10:wrap type="topAndBottom" anchorx="page" anchory="margin"/>
              </v:shape>
            </w:pict>
          </mc:Fallback>
        </mc:AlternateContent>
      </w:r>
      <w:r>
        <mc:AlternateContent>
          <mc:Choice Requires="wps">
            <w:drawing>
              <wp:anchor distT="139700" distB="0" distL="5030470" distR="114300" simplePos="0" relativeHeight="125829402" behindDoc="0" locked="0" layoutInCell="1" allowOverlap="1">
                <wp:simplePos x="0" y="0"/>
                <wp:positionH relativeFrom="page">
                  <wp:posOffset>5638800</wp:posOffset>
                </wp:positionH>
                <wp:positionV relativeFrom="margin">
                  <wp:posOffset>8598535</wp:posOffset>
                </wp:positionV>
                <wp:extent cx="1203960" cy="155575"/>
                <wp:wrapTopAndBottom/>
                <wp:docPr id="27" name="Shape 27"/>
                <a:graphic xmlns:a="http://schemas.openxmlformats.org/drawingml/2006/main">
                  <a:graphicData uri="http://schemas.microsoft.com/office/word/2010/wordprocessingShape">
                    <wps:wsp>
                      <wps:cNvSpPr txBox="1"/>
                      <wps:spPr>
                        <a:xfrm>
                          <a:ext cx="1203960" cy="15557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会计机构负责人：王涛</w:t>
                            </w:r>
                          </w:p>
                        </w:txbxContent>
                      </wps:txbx>
                      <wps:bodyPr wrap="none" lIns="0" tIns="0" rIns="0" bIns="0">
                        <a:noAutoFit/>
                      </wps:bodyPr>
                    </wps:wsp>
                  </a:graphicData>
                </a:graphic>
              </wp:anchor>
            </w:drawing>
          </mc:Choice>
          <mc:Fallback>
            <w:pict>
              <v:shape id="_x0000_s1053" type="#_x0000_t202" style="position:absolute;margin-left:444.pt;margin-top:677.05000000000007pt;width:94.799999999999997pt;height:12.25pt;z-index:-125829351;mso-wrap-distance-left:396.10000000000002pt;mso-wrap-distance-top:11.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会计机构负责人：王涛</w:t>
                      </w:r>
                    </w:p>
                  </w:txbxContent>
                </v:textbox>
                <w10:wrap type="topAndBottom" anchorx="page" anchory="margin"/>
              </v:shape>
            </w:pict>
          </mc:Fallback>
        </mc:AlternateContent>
      </w:r>
    </w:p>
    <w:tbl>
      <w:tblPr>
        <w:tblOverlap w:val="never"/>
        <w:jc w:val="center"/>
        <w:tblLayout w:type="fixed"/>
      </w:tblPr>
      <w:tblGrid>
        <w:gridCol w:w="4133"/>
        <w:gridCol w:w="2842"/>
        <w:gridCol w:w="263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10,053,970,725.59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5,515,454,228.42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1,501,043,029.53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737,349,377.68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8,552,927,696.06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4,778,104,850.74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w:t>
            </w:r>
            <w:r>
              <w:rPr>
                <w:rFonts w:ascii="SimSun" w:eastAsia="SimSun" w:hAnsi="SimSun" w:cs="SimSun"/>
                <w:color w:val="000000"/>
                <w:spacing w:val="0"/>
                <w:w w:val="100"/>
                <w:position w:val="0"/>
              </w:rPr>
              <w:t>持续经营净利润（净亏损以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8,552,927,696.06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4,778,104,850.74</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w:t>
            </w:r>
            <w:r>
              <w:rPr>
                <w:rFonts w:ascii="SimSun" w:eastAsia="SimSun" w:hAnsi="SimSun" w:cs="SimSun"/>
                <w:color w:val="000000"/>
                <w:spacing w:val="0"/>
                <w:w w:val="100"/>
                <w:position w:val="0"/>
              </w:rPr>
              <w:t>终止经营净利润（净亏损以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w:t>
            </w:r>
            <w:r>
              <w:rPr>
                <w:rFonts w:ascii="SimSun" w:eastAsia="SimSun" w:hAnsi="SimSun" w:cs="SimSun"/>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8,552,927,696.06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4,778,104,850.74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w:t>
            </w: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127,506,845.61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-50,635,502.14</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127,506,845.61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-50,635,502.14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1.</w:t>
            </w:r>
            <w:r>
              <w:rPr>
                <w:rFonts w:ascii="SimSun" w:eastAsia="SimSun" w:hAnsi="SimSun" w:cs="SimSun"/>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2.</w:t>
            </w:r>
            <w:r>
              <w:rPr>
                <w:rFonts w:ascii="SimSun" w:eastAsia="SimSun" w:hAnsi="SimSun" w:cs="SimSun"/>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3.</w:t>
            </w:r>
            <w:r>
              <w:rPr>
                <w:rFonts w:ascii="SimSun" w:eastAsia="SimSun" w:hAnsi="SimSun" w:cs="SimSun"/>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4.</w:t>
            </w:r>
            <w:r>
              <w:rPr>
                <w:rFonts w:ascii="SimSun" w:eastAsia="SimSun" w:hAnsi="SimSun" w:cs="SimSun"/>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127,506,845.61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-50,635,502.14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1.</w:t>
            </w:r>
            <w:r>
              <w:rPr>
                <w:rFonts w:ascii="SimSun" w:eastAsia="SimSun" w:hAnsi="SimSun" w:cs="SimSun"/>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2.</w:t>
            </w:r>
            <w:r>
              <w:rPr>
                <w:rFonts w:ascii="SimSun" w:eastAsia="SimSun" w:hAnsi="SimSun" w:cs="SimSun"/>
                <w:color w:val="000000"/>
                <w:spacing w:val="0"/>
                <w:w w:val="100"/>
                <w:position w:val="0"/>
              </w:rPr>
              <w:t>其他债权投资公允价值变动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158,882,565.79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20"/>
              <w:jc w:val="left"/>
            </w:pPr>
            <w:r>
              <w:rPr>
                <w:color w:val="000000"/>
                <w:spacing w:val="0"/>
                <w:w w:val="100"/>
                <w:position w:val="0"/>
              </w:rPr>
              <w:t>3.</w:t>
            </w:r>
            <w:r>
              <w:rPr>
                <w:rFonts w:ascii="SimSun" w:eastAsia="SimSun" w:hAnsi="SimSun" w:cs="SimSun"/>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4.</w:t>
            </w:r>
            <w:r>
              <w:rPr>
                <w:rFonts w:ascii="SimSun" w:eastAsia="SimSun" w:hAnsi="SimSun" w:cs="SimSun"/>
                <w:color w:val="000000"/>
                <w:spacing w:val="0"/>
                <w:w w:val="100"/>
                <w:position w:val="0"/>
              </w:rPr>
              <w:t>其他债权投资信用减值准备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987,173.80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-32,362,893.98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-50,635,502.14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8,680,434,541.67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4,727,469,348.60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8,680,434,541.67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4,727,469,348.60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0.48</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4</w:t>
      </w:r>
      <w:bookmarkEnd w:id="853"/>
      <w:r>
        <w:rPr>
          <w:color w:val="000000"/>
          <w:spacing w:val="0"/>
          <w:w w:val="100"/>
          <w:position w:val="0"/>
        </w:rPr>
        <w:t>、母公司利润表</w:t>
      </w:r>
      <w:bookmarkEnd w:id="851"/>
      <w:bookmarkEnd w:id="852"/>
      <w:bookmarkEnd w:id="85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21"/>
        <w:gridCol w:w="2698"/>
        <w:gridCol w:w="2486"/>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5,422,757,732.70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3,001,472,217.43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388,053,952.58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365,624,587.11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color w:val="000000"/>
                <w:spacing w:val="0"/>
                <w:w w:val="100"/>
                <w:position w:val="0"/>
              </w:rPr>
              <w:t>42,363,117.39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28,158,048.05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367,691,705.90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397,461,755.54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402,006,466.67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336,768,237.21</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469,062,251.03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225,176,993.75</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-73,248,393.17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-39,734,354.36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333,334,208.21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165,709,928.10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406,998,824.63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205,713,785.60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color w:val="000000"/>
                <w:spacing w:val="0"/>
                <w:w w:val="100"/>
                <w:position w:val="0"/>
              </w:rPr>
              <w:t>43,472,853.09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45,902,599.81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color w:val="000000"/>
                <w:spacing w:val="0"/>
                <w:w w:val="100"/>
                <w:position w:val="0"/>
              </w:rPr>
              <w:t>24,573,972.24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12,999,025.19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9,340,428.14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10,507,271.28</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1120" w:right="0" w:firstLine="0"/>
              <w:jc w:val="left"/>
            </w:pPr>
            <w:r>
              <w:rPr>
                <w:rFonts w:ascii="SimSun" w:eastAsia="SimSun" w:hAnsi="SimSun" w:cs="SimSun"/>
                <w:color w:val="000000"/>
                <w:spacing w:val="0"/>
                <w:w w:val="100"/>
                <w:position w:val="0"/>
              </w:rPr>
              <w:t>以摊余成本计量的金融资产终止确认收益</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净敞口套期收益（损失以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公允价值变动收益（损失以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4,667,208.84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7,416,817.17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信用减值损失（损失以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-2,652,672.76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-251,332.88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资产减值损失（损失以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-25,120,485.00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资产处置收益（损失以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-204,148.76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-71,221.71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3,825,685,844.95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1,728,892,352.71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34,091.59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40,022.92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12,316,220.45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3,639,555.55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3,813,403,716.09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1,725,292,820.08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667,634,335.99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170,619,377.19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3,145,769,380.10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1,554,673,442.89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（一）持续经营净利润（净亏损以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3,145,769,380.10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1,554,673,442.89</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（二）终止经营净利润（净亏损以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1.</w:t>
            </w:r>
            <w:r>
              <w:rPr>
                <w:rFonts w:ascii="SimSun" w:eastAsia="SimSun" w:hAnsi="SimSun" w:cs="SimSun"/>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2.</w:t>
            </w:r>
            <w:r>
              <w:rPr>
                <w:rFonts w:ascii="SimSun" w:eastAsia="SimSun" w:hAnsi="SimSun" w:cs="SimSun"/>
                <w:color w:val="000000"/>
                <w:spacing w:val="0"/>
                <w:w w:val="100"/>
                <w:position w:val="0"/>
              </w:rPr>
              <w:t>权益法下不能转损益的其他综合收益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21"/>
        <w:gridCol w:w="2698"/>
        <w:gridCol w:w="2486"/>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3.</w:t>
            </w:r>
            <w:r>
              <w:rPr>
                <w:rFonts w:ascii="SimSun" w:eastAsia="SimSun" w:hAnsi="SimSun" w:cs="SimSun"/>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4.</w:t>
            </w:r>
            <w:r>
              <w:rPr>
                <w:rFonts w:ascii="SimSun" w:eastAsia="SimSun" w:hAnsi="SimSun" w:cs="SimSun"/>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1.</w:t>
            </w:r>
            <w:r>
              <w:rPr>
                <w:rFonts w:ascii="SimSun" w:eastAsia="SimSun" w:hAnsi="SimSun" w:cs="SimSun"/>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2.</w:t>
            </w:r>
            <w:r>
              <w:rPr>
                <w:rFonts w:ascii="SimSun" w:eastAsia="SimSun" w:hAnsi="SimSun" w:cs="SimSun"/>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3.</w:t>
            </w:r>
            <w:r>
              <w:rPr>
                <w:rFonts w:ascii="SimSun" w:eastAsia="SimSun" w:hAnsi="SimSun" w:cs="SimSun"/>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4.</w:t>
            </w:r>
            <w:r>
              <w:rPr>
                <w:rFonts w:ascii="SimSun" w:eastAsia="SimSun" w:hAnsi="SimSun" w:cs="SimSun"/>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3,145,769,380.10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1,554,673,442.89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5</w:t>
      </w:r>
      <w:bookmarkEnd w:id="857"/>
      <w:r>
        <w:rPr>
          <w:color w:val="000000"/>
          <w:spacing w:val="0"/>
          <w:w w:val="100"/>
          <w:position w:val="0"/>
        </w:rPr>
        <w:t>、合并现金流量表</w:t>
      </w:r>
      <w:bookmarkEnd w:id="855"/>
      <w:bookmarkEnd w:id="856"/>
      <w:bookmarkEnd w:id="85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89"/>
        <w:gridCol w:w="2986"/>
        <w:gridCol w:w="263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4,709,661,275.08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3,136,233,587.21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客户贷款及垫款净减少额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37,265,418.28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11,769,638,696.76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7,426,539,603.19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15,575,167,230.45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5,376,453,481.38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代理买卖证券收到的现金净额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15,673,397,374.05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17,602,032,248.68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65,256,259.26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1,565,573,609.84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301,985,641.58</w:t>
            </w:r>
          </w:p>
        </w:tc>
      </w:tr>
    </w:tbl>
    <w:p>
      <w:pPr>
        <w:widowControl w:val="0"/>
        <w:spacing w:line="1" w:lineRule="exact"/>
      </w:pPr>
      <w:r>
        <w:br w:type="page"/>
      </w:r>
    </w:p>
    <w:tbl>
      <w:tblPr>
        <w:tblOverlap w:val="never"/>
        <w:jc w:val="center"/>
        <w:tblLayout w:type="fixed"/>
      </w:tblPr>
      <w:tblGrid>
        <w:gridCol w:w="3989"/>
        <w:gridCol w:w="2986"/>
        <w:gridCol w:w="263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color w:val="000000"/>
                <w:spacing w:val="0"/>
                <w:w w:val="100"/>
                <w:position w:val="0"/>
              </w:rPr>
              <w:t>49,530,703,604.46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34,308,500,821.30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617,194,385.74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483,843,732.50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融出资金净增加额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13,264,794,164.34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14,063,080,053.23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为交易目的而持有的金融资产净增加额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17,875,827,706.44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7,724,733,961.10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24,692,484.20</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2,700,043,991.80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1,699,194,555.17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1,697,694,910.66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1,198,395,287.01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2,244,179,668.63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984,836,498.80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2,156,709,595.10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3,600,697,607.83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color w:val="000000"/>
                <w:spacing w:val="0"/>
                <w:w w:val="100"/>
                <w:position w:val="0"/>
              </w:rPr>
              <w:t>40,556,444,422.71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29,779,474,179.84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rPr>
              <w:t>8,974,259,181.75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4,529,026,641.46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rPr>
              <w:t>4,328,488,857.33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1,300,236,469.64</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140,392,771.96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7,878,857.45</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400"/>
              <w:jc w:val="left"/>
            </w:pPr>
            <w:r>
              <w:rPr>
                <w:rFonts w:ascii="SimSun" w:eastAsia="SimSun" w:hAnsi="SimSun" w:cs="SimSun"/>
                <w:color w:val="000000"/>
                <w:spacing w:val="0"/>
                <w:w w:val="100"/>
                <w:position w:val="0"/>
              </w:rPr>
              <w:t>处置固定资产、无形资产和其他长期资产收 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1,083,340.59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1,183,170.17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78,494.93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55,124.86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rPr>
              <w:t>4,470,043,464.81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1,309,353,622.12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400"/>
              <w:jc w:val="left"/>
            </w:pPr>
            <w:r>
              <w:rPr>
                <w:rFonts w:ascii="SimSun" w:eastAsia="SimSun" w:hAnsi="SimSun" w:cs="SimSun"/>
                <w:color w:val="000000"/>
                <w:spacing w:val="0"/>
                <w:w w:val="100"/>
                <w:position w:val="0"/>
              </w:rPr>
              <w:t>购建固定资产、无形资产和其他长期资产支 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1,386,103,759.03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275,962,559.86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17,885,156,068.55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1,434,174,888.18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71,600,274.85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19,342,860,102.43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1,720,307,448.04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left"/>
            </w:pPr>
            <w:r>
              <w:rPr>
                <w:color w:val="000000"/>
                <w:spacing w:val="0"/>
                <w:w w:val="100"/>
                <w:position w:val="0"/>
              </w:rPr>
              <w:t>-14,872,816,637.62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-410,953,825.92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38,777,860.94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1,147,320,120.26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3,045,454,554.60</w:t>
            </w:r>
          </w:p>
        </w:tc>
      </w:tr>
    </w:tbl>
    <w:p>
      <w:pPr>
        <w:widowControl w:val="0"/>
        <w:spacing w:line="1" w:lineRule="exact"/>
      </w:pPr>
      <w:r>
        <w:br w:type="page"/>
      </w:r>
    </w:p>
    <w:tbl>
      <w:tblPr>
        <w:tblOverlap w:val="never"/>
        <w:jc w:val="center"/>
        <w:tblLayout w:type="fixed"/>
      </w:tblPr>
      <w:tblGrid>
        <w:gridCol w:w="3989"/>
        <w:gridCol w:w="2986"/>
        <w:gridCol w:w="263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color w:val="000000"/>
                <w:spacing w:val="0"/>
                <w:w w:val="100"/>
                <w:position w:val="0"/>
              </w:rPr>
              <w:t>57,633,042,562.92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22,747,036,000.00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52,469,336.72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color w:val="000000"/>
                <w:spacing w:val="0"/>
                <w:w w:val="100"/>
                <w:position w:val="0"/>
              </w:rPr>
              <w:t>58,780,362,683.18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25,883,737,752.26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color w:val="000000"/>
                <w:spacing w:val="0"/>
                <w:w w:val="100"/>
                <w:position w:val="0"/>
              </w:rPr>
              <w:t>29,818,133,758.37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9,759,217,841.63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1,126,035,283.74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519,300,895.70</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89,411,260.28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color w:val="000000"/>
                <w:spacing w:val="0"/>
                <w:w w:val="100"/>
                <w:position w:val="0"/>
              </w:rPr>
              <w:t>31,033,580,302.39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10,278,518,737.33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color w:val="000000"/>
                <w:spacing w:val="0"/>
                <w:w w:val="100"/>
                <w:position w:val="0"/>
              </w:rPr>
              <w:t>27,746,782,380.79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15,605,219,014.93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-29,609,230.89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-51,398,789.38</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color w:val="000000"/>
                <w:spacing w:val="0"/>
                <w:w w:val="100"/>
                <w:position w:val="0"/>
              </w:rPr>
              <w:t>21,818,615,694.03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19,671,893,041.09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color w:val="000000"/>
                <w:spacing w:val="0"/>
                <w:w w:val="100"/>
                <w:position w:val="0"/>
              </w:rPr>
              <w:t>48,031,027,413.67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28,359,134,372.58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color w:val="000000"/>
                <w:spacing w:val="0"/>
                <w:w w:val="100"/>
                <w:position w:val="0"/>
              </w:rPr>
              <w:t>69,849,643,107.70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48,031,027,413.67</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6</w:t>
      </w:r>
      <w:bookmarkEnd w:id="861"/>
      <w:r>
        <w:rPr>
          <w:color w:val="000000"/>
          <w:spacing w:val="0"/>
          <w:w w:val="100"/>
          <w:position w:val="0"/>
        </w:rPr>
        <w:t>、母公司现金流量表</w:t>
      </w:r>
      <w:bookmarkEnd w:id="859"/>
      <w:bookmarkEnd w:id="860"/>
      <w:bookmarkEnd w:id="86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89"/>
        <w:gridCol w:w="2986"/>
        <w:gridCol w:w="263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rPr>
              <w:t>4,755,890,856.50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2,887,089,089.28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55,655,410.44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202,129,255.31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1,085,188,668.42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rPr>
              <w:t>4,958,020,111.81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4,027,933,168.14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352,623,659.60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349,800,492.17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606,215,361.99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461,674,675.12</w:t>
            </w: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956,550,283.72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188,735,711.47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517,171,674.94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440,691,534.32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2,432,560,980.25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1,440,902,413.08</w:t>
            </w: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2,525,459,131.56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2,587,030,755.06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2,770,019,232.59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600,057,083.75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357,818,527.71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194,699,171.72</w:t>
            </w:r>
          </w:p>
        </w:tc>
      </w:tr>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400"/>
              <w:jc w:val="left"/>
            </w:pPr>
            <w:r>
              <w:rPr>
                <w:rFonts w:ascii="SimSun" w:eastAsia="SimSun" w:hAnsi="SimSun" w:cs="SimSun"/>
                <w:color w:val="000000"/>
                <w:spacing w:val="0"/>
                <w:w w:val="100"/>
                <w:position w:val="0"/>
              </w:rPr>
              <w:t>处置固定资产、无形资产和其他长期资产收 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610,229.40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8,785.00</w:t>
            </w:r>
          </w:p>
        </w:tc>
      </w:tr>
      <w:tr>
        <w:trPr>
          <w:trHeight w:val="3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89"/>
        <w:gridCol w:w="2986"/>
        <w:gridCol w:w="2630"/>
      </w:tblGrid>
      <w:tr>
        <w:trPr>
          <w:trHeight w:val="41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1,600,000,000.00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49,868,500.00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rPr>
              <w:t>4,728,447,989.70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844,633,540.47</w:t>
            </w:r>
          </w:p>
        </w:tc>
      </w:tr>
      <w:tr>
        <w:trPr>
          <w:trHeight w:val="70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400"/>
              <w:jc w:val="left"/>
            </w:pPr>
            <w:r>
              <w:rPr>
                <w:rFonts w:ascii="SimSun" w:eastAsia="SimSun" w:hAnsi="SimSun" w:cs="SimSun"/>
                <w:color w:val="000000"/>
                <w:spacing w:val="0"/>
                <w:w w:val="100"/>
                <w:position w:val="0"/>
              </w:rPr>
              <w:t>购建固定资产、无形资产和其他长期资产支 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pPr>
            <w:r>
              <w:rPr>
                <w:color w:val="000000"/>
                <w:spacing w:val="0"/>
                <w:w w:val="100"/>
                <w:position w:val="0"/>
              </w:rPr>
              <w:t>72,446,970.63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87,205,343.04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40" w:right="0" w:firstLine="0"/>
              <w:jc w:val="both"/>
            </w:pPr>
            <w:r>
              <w:rPr>
                <w:color w:val="000000"/>
                <w:spacing w:val="0"/>
                <w:w w:val="100"/>
                <w:position w:val="0"/>
              </w:rPr>
              <w:t>4,542,627,484.02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1,053,359,055.94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18,187,115,938.98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8,978,930,675.56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color w:val="000000"/>
                <w:spacing w:val="0"/>
                <w:w w:val="100"/>
                <w:position w:val="0"/>
              </w:rPr>
              <w:t>22,802,190,393.63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10,119,495,074.54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-18,073,742,403.93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-9,274,861,534.07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38,777,860.94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861,160,120.26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375,454,562.60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15,779,925,500.00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7,275,000,000.00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16,641,085,620.26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7,689,232,423.54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413,950,766.37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572,618,841.63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524,413,859.31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216,036,180.50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26,243,655.58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964,608,281.26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788,655,022.13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15,676,477,339.00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6,900,577,401.41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128,194,066.63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212,746,622.40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690,922,410.99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478,175,788.59</w:t>
            </w:r>
          </w:p>
        </w:tc>
      </w:tr>
      <w:tr>
        <w:trPr>
          <w:trHeight w:val="3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819,116,477.62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690,922,410.99</w:t>
            </w:r>
          </w:p>
        </w:tc>
      </w:tr>
    </w:tbl>
    <w:p>
      <w:pPr>
        <w:sectPr>
          <w:footnotePr>
            <w:pos w:val="pageBottom"/>
            <w:numFmt w:val="upperRoman"/>
            <w:numStart w:val="1"/>
            <w:numRestart w:val="continuous"/>
            <w15:footnoteColumns w:val="1"/>
          </w:footnotePr>
          <w:type w:val="continuous"/>
          <w:pgSz w:w="11900" w:h="16840"/>
          <w:pgMar w:top="1443" w:right="958" w:bottom="1429" w:left="1006" w:header="0" w:footer="3" w:gutter="0"/>
          <w:cols w:space="720"/>
          <w:noEndnote/>
          <w:rtlGutter w:val="0"/>
          <w:docGrid w:linePitch="360"/>
        </w:sectPr>
      </w:pPr>
    </w:p>
    <w:p>
      <w:pPr>
        <w:pStyle w:val="Style32"/>
        <w:keepNext/>
        <w:keepLines/>
        <w:widowControl w:val="0"/>
        <w:shd w:val="clear" w:color="auto" w:fill="auto"/>
        <w:bidi w:val="0"/>
        <w:spacing w:before="0" w:line="240" w:lineRule="auto"/>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7</w:t>
      </w:r>
      <w:bookmarkEnd w:id="865"/>
      <w:r>
        <w:rPr>
          <w:color w:val="000000"/>
          <w:spacing w:val="0"/>
          <w:w w:val="100"/>
          <w:position w:val="0"/>
        </w:rPr>
        <w:t>、合并所有者权益变动表</w:t>
      </w:r>
      <w:bookmarkEnd w:id="863"/>
      <w:bookmarkEnd w:id="864"/>
      <w:bookmarkEnd w:id="866"/>
    </w:p>
    <w:p>
      <w:pPr>
        <w:pStyle w:val="Style24"/>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本期金额</w:t>
      </w:r>
    </w:p>
    <w:p>
      <w:pPr>
        <w:pStyle w:val="Style20"/>
        <w:keepNext w:val="0"/>
        <w:keepLines w:val="0"/>
        <w:widowControl w:val="0"/>
        <w:shd w:val="clear" w:color="auto" w:fill="auto"/>
        <w:bidi w:val="0"/>
        <w:spacing w:before="0" w:after="0" w:line="240" w:lineRule="auto"/>
        <w:ind w:left="12778" w:right="0" w:firstLine="0"/>
        <w:jc w:val="left"/>
      </w:pPr>
      <w:r>
        <w:rPr>
          <w:color w:val="000000"/>
          <w:spacing w:val="0"/>
          <w:w w:val="100"/>
          <w:position w:val="0"/>
        </w:rPr>
        <w:t>单位：元</w:t>
      </w:r>
    </w:p>
    <w:tbl>
      <w:tblPr>
        <w:tblOverlap w:val="never"/>
        <w:jc w:val="center"/>
        <w:tblLayout w:type="fixed"/>
      </w:tblPr>
      <w:tblGrid>
        <w:gridCol w:w="1003"/>
        <w:gridCol w:w="1426"/>
        <w:gridCol w:w="274"/>
        <w:gridCol w:w="288"/>
        <w:gridCol w:w="706"/>
        <w:gridCol w:w="1430"/>
        <w:gridCol w:w="274"/>
        <w:gridCol w:w="1282"/>
        <w:gridCol w:w="288"/>
        <w:gridCol w:w="1267"/>
        <w:gridCol w:w="432"/>
        <w:gridCol w:w="1416"/>
        <w:gridCol w:w="288"/>
        <w:gridCol w:w="1411"/>
        <w:gridCol w:w="288"/>
        <w:gridCol w:w="1435"/>
      </w:tblGrid>
      <w:tr>
        <w:trPr>
          <w:trHeight w:val="32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r>
      <w:tr>
        <w:trPr>
          <w:trHeight w:val="331"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textDirection w:val="tbRlV"/>
            <w:vAlign w:val="top"/>
          </w:tcPr>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所有者权益合计</w:t>
            </w:r>
          </w:p>
        </w:tc>
      </w:tr>
      <w:tr>
        <w:trPr>
          <w:trHeight w:val="317"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减</w:t>
            </w:r>
          </w:p>
          <w:p>
            <w:pPr>
              <w:pStyle w:val="Style6"/>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w:t>
            </w:r>
          </w:p>
          <w:p>
            <w:pPr>
              <w:pStyle w:val="Style6"/>
              <w:keepNext w:val="0"/>
              <w:keepLines w:val="0"/>
              <w:widowControl w:val="0"/>
              <w:shd w:val="clear" w:color="auto" w:fill="auto"/>
              <w:bidi w:val="0"/>
              <w:spacing w:before="0" w:after="0" w:line="226" w:lineRule="exact"/>
              <w:ind w:left="0" w:right="0" w:firstLine="0"/>
              <w:jc w:val="both"/>
            </w:pPr>
            <w:r>
              <w:rPr>
                <w:rFonts w:ascii="SimSun" w:eastAsia="SimSun" w:hAnsi="SimSun" w:cs="SimSun"/>
                <w:color w:val="000000"/>
                <w:spacing w:val="0"/>
                <w:w w:val="100"/>
                <w:position w:val="0"/>
              </w:rPr>
              <w:t>库 存 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其他综合收益</w:t>
            </w:r>
          </w:p>
        </w:tc>
        <w:tc>
          <w:tcPr>
            <w:vMerge w:val="restart"/>
            <w:tcBorders>
              <w:top w:val="single" w:sz="4"/>
              <w:left w:val="single" w:sz="4"/>
            </w:tcBorders>
            <w:shd w:val="clear" w:color="auto" w:fill="D3D3D3"/>
            <w:textDirection w:val="tbRlV"/>
            <w:vAlign w:val="bottom"/>
          </w:tcPr>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风险</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tcBorders>
            <w:shd w:val="clear" w:color="auto" w:fill="D3D3D3"/>
            <w:textDirection w:val="tbRlV"/>
            <w:vAlign w:val="top"/>
          </w:tcPr>
          <w:p>
            <w:pPr/>
          </w:p>
        </w:tc>
        <w:tc>
          <w:tcPr>
            <w:vMerge/>
            <w:tcBorders>
              <w:left w:val="single" w:sz="4"/>
              <w:right w:val="single" w:sz="4"/>
            </w:tcBorders>
            <w:shd w:val="clear" w:color="auto" w:fill="D3D3D3"/>
            <w:vAlign w:val="center"/>
          </w:tcPr>
          <w:p>
            <w:pPr/>
          </w:p>
        </w:tc>
      </w:tr>
      <w:tr>
        <w:trPr>
          <w:trHeight w:val="94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textDirection w:val="tbRlV"/>
            <w:vAlign w:val="bottom"/>
          </w:tcPr>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续</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textDirection w:val="tbRlV"/>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textDirection w:val="tbRlV"/>
            <w:vAlign w:val="top"/>
          </w:tcPr>
          <w:p>
            <w:pPr/>
          </w:p>
        </w:tc>
        <w:tc>
          <w:tcPr>
            <w:vMerge/>
            <w:tcBorders>
              <w:left w:val="single" w:sz="4"/>
              <w:right w:val="single" w:sz="4"/>
            </w:tcBorders>
            <w:shd w:val="clear" w:color="auto" w:fill="D3D3D3"/>
            <w:vAlign w:val="center"/>
          </w:tcPr>
          <w:p>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一、上年期 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8,613,136,491.00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14,451,069,974.79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-41,050,280.77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594,148,886.07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9,539,162,150.16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33,156,467,221.25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33,156,467,221.25</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16" w:lineRule="exact"/>
              <w:ind w:left="0" w:right="0" w:firstLine="0"/>
              <w:jc w:val="both"/>
            </w:pPr>
            <w:r>
              <w:rPr>
                <w:rFonts w:ascii="SimSun" w:eastAsia="SimSun" w:hAnsi="SimSun" w:cs="SimSun"/>
                <w:color w:val="000000"/>
                <w:spacing w:val="0"/>
                <w:w w:val="100"/>
                <w:position w:val="0"/>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同一控制下 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二、本年期 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8,613,136,491.00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14,451,069,974.79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-41,050,280.77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594,148,886.07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9,539,162,150.16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33,156,467,221.25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33,156,467,221.25</w:t>
            </w:r>
          </w:p>
        </w:tc>
      </w:tr>
      <w:tr>
        <w:trPr>
          <w:trHeight w:val="125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8" w:lineRule="exact"/>
              <w:ind w:left="0" w:right="0" w:firstLine="0"/>
              <w:jc w:val="both"/>
            </w:pPr>
            <w:r>
              <w:rPr>
                <w:rFonts w:ascii="SimSun" w:eastAsia="SimSun" w:hAnsi="SimSun" w:cs="SimSun"/>
                <w:color w:val="000000"/>
                <w:spacing w:val="0"/>
                <w:w w:val="100"/>
                <w:position w:val="0"/>
              </w:rPr>
              <w:t>三、本期增 减变动金额 （减少以</w:t>
            </w:r>
          </w:p>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_,,号填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1,753,191,364.00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1,956,43</w:t>
            </w:r>
          </w:p>
          <w:p>
            <w:pPr>
              <w:pStyle w:val="Style6"/>
              <w:keepNext w:val="0"/>
              <w:keepLines w:val="0"/>
              <w:widowControl w:val="0"/>
              <w:shd w:val="clear" w:color="auto" w:fill="auto"/>
              <w:bidi w:val="0"/>
              <w:spacing w:before="0" w:after="0" w:line="233" w:lineRule="auto"/>
              <w:ind w:left="0" w:right="0" w:firstLine="0"/>
              <w:jc w:val="left"/>
            </w:pPr>
            <w:r>
              <w:rPr>
                <w:color w:val="000000"/>
                <w:spacing w:val="0"/>
                <w:w w:val="100"/>
                <w:position w:val="0"/>
              </w:rPr>
              <w:t>2,160.45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-989,500,531.37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127,506,845.61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314,576,938.01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7,721,562,568.59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10,883,769,345.29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10,883,769,345.29</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6" w:lineRule="exact"/>
              <w:ind w:left="0" w:right="0" w:firstLine="0"/>
              <w:jc w:val="both"/>
            </w:pPr>
            <w:r>
              <w:rPr>
                <w:rFonts w:ascii="SimSun" w:eastAsia="SimSun" w:hAnsi="SimSun" w:cs="SimSun"/>
                <w:color w:val="000000"/>
                <w:spacing w:val="0"/>
                <w:w w:val="100"/>
                <w:position w:val="0"/>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127,506,845.61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8,552,927,696.06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8,680,434,541.67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8,680,434,541.67</w:t>
            </w:r>
          </w:p>
        </w:tc>
      </w:tr>
      <w:tr>
        <w:trPr>
          <w:trHeight w:val="79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（二）所有</w:t>
            </w:r>
          </w:p>
          <w:p>
            <w:pPr>
              <w:pStyle w:val="Style6"/>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者投入和减 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30,564,066.00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1,956,43</w:t>
            </w:r>
          </w:p>
          <w:p>
            <w:pPr>
              <w:pStyle w:val="Style6"/>
              <w:keepNext w:val="0"/>
              <w:keepLines w:val="0"/>
              <w:widowControl w:val="0"/>
              <w:shd w:val="clear" w:color="auto" w:fill="auto"/>
              <w:bidi w:val="0"/>
              <w:spacing w:before="0" w:after="0" w:line="233" w:lineRule="auto"/>
              <w:ind w:left="0" w:right="0" w:firstLine="0"/>
              <w:jc w:val="left"/>
            </w:pPr>
            <w:r>
              <w:rPr>
                <w:color w:val="000000"/>
                <w:spacing w:val="0"/>
                <w:w w:val="100"/>
                <w:position w:val="0"/>
              </w:rPr>
              <w:t>2,160.45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733,126,766.63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2,720,122,993.08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2,720,122,993.08</w:t>
            </w:r>
          </w:p>
        </w:tc>
      </w:tr>
      <w:tr>
        <w:trPr>
          <w:trHeight w:val="2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upperRoman"/>
            <w:numStart w:val="1"/>
            <w:numRestart w:val="continuous"/>
            <w15:footnoteColumns w:val="1"/>
          </w:footnotePr>
          <w:pgSz w:w="16840" w:h="11900" w:orient="landscape"/>
          <w:pgMar w:top="1532" w:right="1813" w:bottom="1306" w:left="1458" w:header="0" w:footer="3" w:gutter="0"/>
          <w:cols w:space="720"/>
          <w:noEndnote/>
          <w:rtlGutter w:val="0"/>
          <w:docGrid w:linePitch="360"/>
        </w:sectPr>
      </w:pPr>
    </w:p>
    <w:p>
      <w:pPr>
        <w:widowControl w:val="0"/>
        <w:jc w:val="center"/>
        <w:rPr>
          <w:sz w:val="2"/>
          <w:szCs w:val="2"/>
        </w:rPr>
      </w:pPr>
      <w:r>
        <w:drawing>
          <wp:inline>
            <wp:extent cx="786130" cy="225425"/>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9"/>
                    <a:stretch/>
                  </pic:blipFill>
                  <pic:spPr>
                    <a:xfrm>
                      <a:ext cx="786130" cy="225425"/>
                    </a:xfrm>
                    <a:prstGeom prst="rect"/>
                  </pic:spPr>
                </pic:pic>
              </a:graphicData>
            </a:graphic>
          </wp:inline>
        </w:drawing>
      </w:r>
    </w:p>
    <w:p>
      <w:pPr>
        <w:widowControl w:val="0"/>
        <w:spacing w:after="59" w:line="1" w:lineRule="exact"/>
      </w:pPr>
    </w:p>
    <w:tbl>
      <w:tblPr>
        <w:tblOverlap w:val="never"/>
        <w:jc w:val="center"/>
        <w:tblLayout w:type="fixed"/>
      </w:tblPr>
      <w:tblGrid>
        <w:gridCol w:w="1046"/>
        <w:gridCol w:w="1426"/>
        <w:gridCol w:w="274"/>
        <w:gridCol w:w="288"/>
        <w:gridCol w:w="706"/>
        <w:gridCol w:w="1430"/>
        <w:gridCol w:w="274"/>
        <w:gridCol w:w="1282"/>
        <w:gridCol w:w="288"/>
        <w:gridCol w:w="1267"/>
        <w:gridCol w:w="432"/>
        <w:gridCol w:w="1416"/>
        <w:gridCol w:w="288"/>
        <w:gridCol w:w="1411"/>
        <w:gridCol w:w="288"/>
        <w:gridCol w:w="1507"/>
      </w:tblGrid>
      <w:tr>
        <w:trPr>
          <w:trHeight w:val="54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6" w:lineRule="exact"/>
              <w:ind w:left="0" w:right="0" w:firstLine="0"/>
              <w:jc w:val="both"/>
            </w:pPr>
            <w:r>
              <w:rPr>
                <w:rFonts w:ascii="SimSun" w:eastAsia="SimSun" w:hAnsi="SimSun" w:cs="SimSun"/>
                <w:color w:val="000000"/>
                <w:spacing w:val="0"/>
                <w:w w:val="100"/>
                <w:position w:val="0"/>
              </w:rPr>
              <w:t>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5"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.其他权 益工具持有 者投入资本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30,564,066.00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1,956,43</w:t>
            </w:r>
          </w:p>
          <w:p>
            <w:pPr>
              <w:pStyle w:val="Style6"/>
              <w:keepNext w:val="0"/>
              <w:keepLines w:val="0"/>
              <w:widowControl w:val="0"/>
              <w:shd w:val="clear" w:color="auto" w:fill="auto"/>
              <w:bidi w:val="0"/>
              <w:spacing w:before="0" w:after="0" w:line="233" w:lineRule="auto"/>
              <w:ind w:left="0" w:right="0" w:firstLine="0"/>
              <w:jc w:val="left"/>
            </w:pPr>
            <w:r>
              <w:rPr>
                <w:color w:val="000000"/>
                <w:spacing w:val="0"/>
                <w:w w:val="100"/>
                <w:position w:val="0"/>
              </w:rPr>
              <w:t>2,160.45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684,288,878.66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2,671,285,105.11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2,671,285,105.11</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 付计入所有 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48,139,540.00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48,139,540.00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48,139,540.00</w:t>
            </w: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698,347.97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698,347.97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698,347.97</w:t>
            </w:r>
          </w:p>
        </w:tc>
      </w:tr>
      <w:tr>
        <w:trPr>
          <w:trHeight w:val="54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（三）利润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314,576,938.01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-831,365,127.47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-516,788,189.46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-516,788,189.46</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5"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314,576,938.01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-314,576,938.01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.提取一 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8"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35"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.对所有 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-516,788,189.46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-516,788,189.46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-516,788,189.46</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3" w:lineRule="exact"/>
              <w:ind w:left="0" w:right="0" w:firstLine="0"/>
              <w:jc w:val="both"/>
            </w:pPr>
            <w:r>
              <w:rPr>
                <w:rFonts w:ascii="SimSun" w:eastAsia="SimSun" w:hAnsi="SimSun" w:cs="SimSun"/>
                <w:color w:val="000000"/>
                <w:spacing w:val="0"/>
                <w:w w:val="100"/>
                <w:position w:val="0"/>
              </w:rPr>
              <w:t>（四）所有 者权益内部 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1,722,627,298.00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-1,722,627,298.00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38"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.资本公 积转增资本 （或股本）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1,722,627,298.00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-1,722,627,298.00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5"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.盈余公 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50"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.盈余公 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34"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.设定受 益计划变动 额结转留存 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upperRoman"/>
            <w:numStart w:val="1"/>
            <w:numRestart w:val="continuous"/>
            <w15:footnoteColumns w:val="1"/>
          </w:footnotePr>
          <w:pgSz w:w="16840" w:h="11900" w:orient="landscape"/>
          <w:pgMar w:top="846" w:right="1803" w:bottom="1143" w:left="1414" w:header="0" w:footer="3" w:gutter="0"/>
          <w:cols w:space="720"/>
          <w:noEndnote/>
          <w:rtlGutter w:val="0"/>
          <w:docGrid w:linePitch="360"/>
        </w:sectPr>
      </w:pPr>
    </w:p>
    <w:tbl>
      <w:tblPr>
        <w:tblOverlap w:val="never"/>
        <w:jc w:val="center"/>
        <w:tblLayout w:type="fixed"/>
      </w:tblPr>
      <w:tblGrid>
        <w:gridCol w:w="1003"/>
        <w:gridCol w:w="1426"/>
        <w:gridCol w:w="274"/>
        <w:gridCol w:w="288"/>
        <w:gridCol w:w="706"/>
        <w:gridCol w:w="1430"/>
        <w:gridCol w:w="274"/>
        <w:gridCol w:w="1282"/>
        <w:gridCol w:w="288"/>
        <w:gridCol w:w="1267"/>
        <w:gridCol w:w="432"/>
        <w:gridCol w:w="1416"/>
        <w:gridCol w:w="288"/>
        <w:gridCol w:w="1411"/>
        <w:gridCol w:w="288"/>
        <w:gridCol w:w="1435"/>
      </w:tblGrid>
      <w:tr>
        <w:trPr>
          <w:trHeight w:val="81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5"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.其他综 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5"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5"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四、本期期 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10,366,327,855.00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1,956,43</w:t>
            </w:r>
          </w:p>
          <w:p>
            <w:pPr>
              <w:pStyle w:val="Style6"/>
              <w:keepNext w:val="0"/>
              <w:keepLines w:val="0"/>
              <w:widowControl w:val="0"/>
              <w:shd w:val="clear" w:color="auto" w:fill="auto"/>
              <w:bidi w:val="0"/>
              <w:spacing w:before="0" w:after="0" w:line="233" w:lineRule="auto"/>
              <w:ind w:left="0" w:right="0" w:firstLine="0"/>
              <w:jc w:val="left"/>
            </w:pPr>
            <w:r>
              <w:rPr>
                <w:color w:val="000000"/>
                <w:spacing w:val="0"/>
                <w:w w:val="100"/>
                <w:position w:val="0"/>
              </w:rPr>
              <w:t>2,160.45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13,461,569,443.42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86,456,564.84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908,725,824.08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17,260,724,718.75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44,040,236,566.54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44,040,236,566.54</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pStyle w:val="Style20"/>
        <w:keepNext w:val="0"/>
        <w:keepLines w:val="0"/>
        <w:widowControl w:val="0"/>
        <w:shd w:val="clear" w:color="auto" w:fill="auto"/>
        <w:bidi w:val="0"/>
        <w:spacing w:before="0" w:after="0" w:line="240" w:lineRule="auto"/>
        <w:ind w:left="12778" w:right="0" w:firstLine="0"/>
        <w:jc w:val="left"/>
      </w:pPr>
      <w:r>
        <w:rPr>
          <w:color w:val="000000"/>
          <w:spacing w:val="0"/>
          <w:w w:val="100"/>
          <w:position w:val="0"/>
        </w:rPr>
        <w:t>单位：元</w:t>
      </w:r>
    </w:p>
    <w:tbl>
      <w:tblPr>
        <w:tblOverlap w:val="never"/>
        <w:jc w:val="center"/>
        <w:tblLayout w:type="fixed"/>
      </w:tblPr>
      <w:tblGrid>
        <w:gridCol w:w="1008"/>
        <w:gridCol w:w="1421"/>
        <w:gridCol w:w="278"/>
        <w:gridCol w:w="283"/>
        <w:gridCol w:w="710"/>
        <w:gridCol w:w="1426"/>
        <w:gridCol w:w="278"/>
        <w:gridCol w:w="1277"/>
        <w:gridCol w:w="288"/>
        <w:gridCol w:w="1262"/>
        <w:gridCol w:w="437"/>
        <w:gridCol w:w="1421"/>
        <w:gridCol w:w="283"/>
        <w:gridCol w:w="1411"/>
        <w:gridCol w:w="288"/>
        <w:gridCol w:w="1435"/>
      </w:tblGrid>
      <w:tr>
        <w:trPr>
          <w:trHeight w:val="34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年年度</w:t>
            </w:r>
          </w:p>
        </w:tc>
      </w:tr>
      <w:tr>
        <w:trPr>
          <w:trHeight w:val="317"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textDirection w:val="tbRlV"/>
            <w:vAlign w:val="top"/>
          </w:tcPr>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所有者权益合计</w:t>
            </w:r>
          </w:p>
        </w:tc>
      </w:tr>
      <w:tr>
        <w:trPr>
          <w:trHeight w:val="331"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3" w:lineRule="exact"/>
              <w:ind w:left="0" w:right="0" w:firstLine="0"/>
              <w:jc w:val="left"/>
            </w:pPr>
            <w:r>
              <w:rPr>
                <w:rFonts w:ascii="SimSun" w:eastAsia="SimSun" w:hAnsi="SimSun" w:cs="SimSun"/>
                <w:color w:val="000000"/>
                <w:spacing w:val="0"/>
                <w:w w:val="100"/>
                <w:position w:val="0"/>
              </w:rPr>
              <w:t>减</w:t>
            </w:r>
          </w:p>
          <w:p>
            <w:pPr>
              <w:pStyle w:val="Style6"/>
              <w:keepNext w:val="0"/>
              <w:keepLines w:val="0"/>
              <w:widowControl w:val="0"/>
              <w:shd w:val="clear" w:color="auto" w:fill="auto"/>
              <w:bidi w:val="0"/>
              <w:spacing w:before="0" w:after="0" w:line="233" w:lineRule="exact"/>
              <w:ind w:left="0" w:right="0" w:firstLine="0"/>
              <w:jc w:val="left"/>
            </w:pPr>
            <w:r>
              <w:rPr>
                <w:rFonts w:ascii="SimSun" w:eastAsia="SimSun" w:hAnsi="SimSun" w:cs="SimSun"/>
                <w:color w:val="000000"/>
                <w:spacing w:val="0"/>
                <w:w w:val="100"/>
                <w:position w:val="0"/>
              </w:rPr>
              <w:t>:</w:t>
            </w:r>
          </w:p>
          <w:p>
            <w:pPr>
              <w:pStyle w:val="Style6"/>
              <w:keepNext w:val="0"/>
              <w:keepLines w:val="0"/>
              <w:widowControl w:val="0"/>
              <w:shd w:val="clear" w:color="auto" w:fill="auto"/>
              <w:bidi w:val="0"/>
              <w:spacing w:before="0" w:after="0" w:line="233" w:lineRule="exact"/>
              <w:ind w:left="0" w:right="0" w:firstLine="0"/>
              <w:jc w:val="left"/>
            </w:pPr>
            <w:r>
              <w:rPr>
                <w:rFonts w:ascii="SimSun" w:eastAsia="SimSun" w:hAnsi="SimSun" w:cs="SimSun"/>
                <w:color w:val="000000"/>
                <w:spacing w:val="0"/>
                <w:w w:val="100"/>
                <w:position w:val="0"/>
              </w:rPr>
              <w:t>库 存 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其他综合收益</w:t>
            </w:r>
          </w:p>
        </w:tc>
        <w:tc>
          <w:tcPr>
            <w:vMerge w:val="restart"/>
            <w:tcBorders>
              <w:top w:val="single" w:sz="4"/>
              <w:left w:val="single" w:sz="4"/>
            </w:tcBorders>
            <w:shd w:val="clear" w:color="auto" w:fill="D3D3D3"/>
            <w:textDirection w:val="tbRlV"/>
            <w:vAlign w:val="bottom"/>
          </w:tcPr>
          <w:p>
            <w:pPr>
              <w:pStyle w:val="Style6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一般</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风险</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tcBorders>
            <w:shd w:val="clear" w:color="auto" w:fill="D3D3D3"/>
            <w:textDirection w:val="tbRlV"/>
            <w:vAlign w:val="top"/>
          </w:tcPr>
          <w:p>
            <w:pPr/>
          </w:p>
        </w:tc>
        <w:tc>
          <w:tcPr>
            <w:vMerge/>
            <w:tcBorders>
              <w:left w:val="single" w:sz="4"/>
              <w:right w:val="single" w:sz="4"/>
            </w:tcBorders>
            <w:shd w:val="clear" w:color="auto" w:fill="D3D3D3"/>
            <w:vAlign w:val="center"/>
          </w:tcPr>
          <w:p>
            <w:pPr/>
          </w:p>
        </w:tc>
      </w:tr>
      <w:tr>
        <w:trPr>
          <w:trHeight w:val="9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textDirection w:val="tbRlV"/>
            <w:vAlign w:val="bottom"/>
          </w:tcPr>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续</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textDirection w:val="tbRlV"/>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textDirection w:val="tbRlV"/>
            <w:vAlign w:val="top"/>
          </w:tcPr>
          <w:p>
            <w:pPr/>
          </w:p>
        </w:tc>
        <w:tc>
          <w:tcPr>
            <w:vMerge/>
            <w:tcBorders>
              <w:left w:val="single" w:sz="4"/>
              <w:right w:val="single" w:sz="4"/>
            </w:tcBorders>
            <w:shd w:val="clear" w:color="auto" w:fill="D3D3D3"/>
            <w:vAlign w:val="center"/>
          </w:tcPr>
          <w:p>
            <w:pPr/>
          </w:p>
        </w:tc>
      </w:tr>
      <w:tr>
        <w:trPr>
          <w:trHeight w:val="56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一、上年期 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6,715,608,655.00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8,930,620,933.89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9,585,221.37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438,681,541.78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5,117,992,903.36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21,212,489,255.40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21,212,489,255.40</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16" w:lineRule="exact"/>
              <w:ind w:left="0" w:right="0" w:firstLine="0"/>
              <w:jc w:val="left"/>
            </w:pPr>
            <w:r>
              <w:rPr>
                <w:rFonts w:ascii="SimSun" w:eastAsia="SimSun" w:hAnsi="SimSun" w:cs="SimSun"/>
                <w:color w:val="000000"/>
                <w:spacing w:val="0"/>
                <w:w w:val="100"/>
                <w:position w:val="0"/>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同一控制下 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6,715,608,655.00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8,930,620,933.89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9,585,221.37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438,681,541.78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5,117,992,903.36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21,212,489,255.40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21,212,489,255.40</w:t>
            </w:r>
          </w:p>
        </w:tc>
      </w:tr>
    </w:tbl>
    <w:p>
      <w:pPr>
        <w:sectPr>
          <w:footnotePr>
            <w:pos w:val="pageBottom"/>
            <w:numFmt w:val="upperRoman"/>
            <w:numStart w:val="1"/>
            <w:numRestart w:val="continuous"/>
            <w15:footnoteColumns w:val="1"/>
          </w:footnotePr>
          <w:pgSz w:w="16840" w:h="11900" w:orient="landscape"/>
          <w:pgMar w:top="1263" w:right="1813" w:bottom="1263" w:left="1424" w:header="0" w:footer="3" w:gutter="0"/>
          <w:cols w:space="720"/>
          <w:noEndnote/>
          <w:rtlGutter w:val="0"/>
          <w:docGrid w:linePitch="360"/>
        </w:sectPr>
      </w:pPr>
    </w:p>
    <w:p>
      <w:pPr>
        <w:widowControl w:val="0"/>
        <w:jc w:val="center"/>
        <w:rPr>
          <w:sz w:val="2"/>
          <w:szCs w:val="2"/>
        </w:rPr>
      </w:pPr>
      <w:r>
        <w:drawing>
          <wp:inline>
            <wp:extent cx="786130" cy="225425"/>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1"/>
                    <a:stretch/>
                  </pic:blipFill>
                  <pic:spPr>
                    <a:xfrm>
                      <a:ext cx="786130" cy="225425"/>
                    </a:xfrm>
                    <a:prstGeom prst="rect"/>
                  </pic:spPr>
                </pic:pic>
              </a:graphicData>
            </a:graphic>
          </wp:inline>
        </w:drawing>
      </w:r>
    </w:p>
    <w:p>
      <w:pPr>
        <w:widowControl w:val="0"/>
        <w:spacing w:after="59" w:line="1" w:lineRule="exact"/>
      </w:pPr>
    </w:p>
    <w:tbl>
      <w:tblPr>
        <w:tblOverlap w:val="never"/>
        <w:jc w:val="center"/>
        <w:tblLayout w:type="fixed"/>
      </w:tblPr>
      <w:tblGrid>
        <w:gridCol w:w="1003"/>
        <w:gridCol w:w="1426"/>
        <w:gridCol w:w="274"/>
        <w:gridCol w:w="288"/>
        <w:gridCol w:w="706"/>
        <w:gridCol w:w="1430"/>
        <w:gridCol w:w="274"/>
        <w:gridCol w:w="1282"/>
        <w:gridCol w:w="288"/>
        <w:gridCol w:w="1267"/>
        <w:gridCol w:w="432"/>
        <w:gridCol w:w="1416"/>
        <w:gridCol w:w="288"/>
        <w:gridCol w:w="1411"/>
        <w:gridCol w:w="288"/>
        <w:gridCol w:w="1435"/>
      </w:tblGrid>
      <w:tr>
        <w:trPr>
          <w:trHeight w:val="312"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三、本期增 减变动金额</w:t>
            </w:r>
          </w:p>
          <w:p>
            <w:pPr>
              <w:pStyle w:val="Style6"/>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（减少以</w:t>
            </w:r>
          </w:p>
          <w:p>
            <w:pPr>
              <w:pStyle w:val="Style6"/>
              <w:keepNext w:val="0"/>
              <w:keepLines w:val="0"/>
              <w:widowControl w:val="0"/>
              <w:shd w:val="clear" w:color="auto" w:fill="auto"/>
              <w:bidi w:val="0"/>
              <w:spacing w:before="0" w:after="0" w:line="298" w:lineRule="exact"/>
              <w:ind w:left="0" w:right="0" w:firstLine="0"/>
              <w:jc w:val="both"/>
            </w:pPr>
            <w:r>
              <w:rPr>
                <w:color w:val="000000"/>
                <w:spacing w:val="0"/>
                <w:w w:val="100"/>
                <w:position w:val="0"/>
              </w:rPr>
              <w:t>“</w:t>
            </w:r>
            <w:r>
              <w:rPr>
                <w:rFonts w:ascii="SimSun" w:eastAsia="SimSun" w:hAnsi="SimSun" w:cs="SimSun"/>
                <w:color w:val="000000"/>
                <w:spacing w:val="0"/>
                <w:w w:val="100"/>
                <w:position w:val="0"/>
              </w:rPr>
              <w:t>_,,号填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1,897,527,836.00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5,520,449,040.90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-50,635,502.14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155,467,344.29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4,421,169,246.80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11,943,977,965.85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11,943,977,965.85</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6" w:lineRule="exact"/>
              <w:ind w:left="0" w:right="0" w:firstLine="0"/>
              <w:jc w:val="both"/>
            </w:pPr>
            <w:r>
              <w:rPr>
                <w:rFonts w:ascii="SimSun" w:eastAsia="SimSun" w:hAnsi="SimSun" w:cs="SimSun"/>
                <w:color w:val="000000"/>
                <w:spacing w:val="0"/>
                <w:w w:val="100"/>
                <w:position w:val="0"/>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-50,635,502.14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4,778,104,850.74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4,727,469,348.60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4,727,469,348.60</w:t>
            </w:r>
          </w:p>
        </w:tc>
      </w:tr>
      <w:tr>
        <w:trPr>
          <w:trHeight w:val="79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（二）所有</w:t>
            </w:r>
          </w:p>
          <w:p>
            <w:pPr>
              <w:pStyle w:val="Style6"/>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者投入和减 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554,406,105.00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6,863,570,771.90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7,417,976,876.90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7,417,976,876.90</w:t>
            </w:r>
          </w:p>
        </w:tc>
      </w:tr>
      <w:tr>
        <w:trPr>
          <w:trHeight w:val="792"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38"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.所有者 投入的普通 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2,231,177.00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36,546,683.94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38,777,860.94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38,777,860.94</w:t>
            </w:r>
          </w:p>
        </w:tc>
      </w:tr>
      <w:tr>
        <w:trPr>
          <w:trHeight w:val="778"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35"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.其他权 益工具持有 者投入资本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552,174,928.00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6,825,768,215.94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7,377,943,143.94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7,377,943,143.94</w:t>
            </w:r>
          </w:p>
        </w:tc>
      </w:tr>
      <w:tr>
        <w:trPr>
          <w:trHeight w:val="103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 付计入所有 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1,255,872.02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1,255,872.02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1,255,872.02</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（三）利润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155,467,344.29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-356,935,603.94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-201,468,259.65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-201,468,259.65</w:t>
            </w:r>
          </w:p>
        </w:tc>
      </w:tr>
      <w:tr>
        <w:trPr>
          <w:trHeight w:val="552"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35"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155,467,344.29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-155,467,344.29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.提取一 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3"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.对所有 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-201,468,259.65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-201,468,259.65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-201,468,259.65</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33" w:lineRule="exact"/>
              <w:ind w:left="0" w:right="0" w:firstLine="0"/>
              <w:jc w:val="both"/>
            </w:pPr>
            <w:r>
              <w:rPr>
                <w:rFonts w:ascii="SimSun" w:eastAsia="SimSun" w:hAnsi="SimSun" w:cs="SimSun"/>
                <w:color w:val="000000"/>
                <w:spacing w:val="0"/>
                <w:w w:val="100"/>
                <w:position w:val="0"/>
              </w:rPr>
              <w:t>（四）所有 者权益内部 结转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1,343,121,731.00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-1,343,121,731.00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upperRoman"/>
            <w:numStart w:val="1"/>
            <w:numRestart w:val="continuous"/>
            <w15:footnoteColumns w:val="1"/>
          </w:footnotePr>
          <w:pgSz w:w="16840" w:h="11900" w:orient="landscape"/>
          <w:pgMar w:top="846" w:right="1876" w:bottom="1143" w:left="1458" w:header="0" w:footer="3" w:gutter="0"/>
          <w:cols w:space="720"/>
          <w:noEndnote/>
          <w:rtlGutter w:val="0"/>
          <w:docGrid w:linePitch="360"/>
        </w:sectPr>
      </w:pPr>
    </w:p>
    <w:p>
      <w:pPr>
        <w:widowControl w:val="0"/>
        <w:jc w:val="center"/>
        <w:rPr>
          <w:sz w:val="2"/>
          <w:szCs w:val="2"/>
        </w:rPr>
      </w:pPr>
      <w:r>
        <w:drawing>
          <wp:inline>
            <wp:extent cx="786130" cy="225425"/>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3"/>
                    <a:stretch/>
                  </pic:blipFill>
                  <pic:spPr>
                    <a:xfrm>
                      <a:ext cx="786130" cy="225425"/>
                    </a:xfrm>
                    <a:prstGeom prst="rect"/>
                  </pic:spPr>
                </pic:pic>
              </a:graphicData>
            </a:graphic>
          </wp:inline>
        </w:drawing>
      </w:r>
    </w:p>
    <w:p>
      <w:pPr>
        <w:widowControl w:val="0"/>
        <w:spacing w:after="59" w:line="1" w:lineRule="exact"/>
      </w:pPr>
    </w:p>
    <w:tbl>
      <w:tblPr>
        <w:tblOverlap w:val="never"/>
        <w:jc w:val="center"/>
        <w:tblLayout w:type="fixed"/>
      </w:tblPr>
      <w:tblGrid>
        <w:gridCol w:w="1046"/>
        <w:gridCol w:w="1426"/>
        <w:gridCol w:w="274"/>
        <w:gridCol w:w="288"/>
        <w:gridCol w:w="706"/>
        <w:gridCol w:w="1430"/>
        <w:gridCol w:w="274"/>
        <w:gridCol w:w="1282"/>
        <w:gridCol w:w="288"/>
        <w:gridCol w:w="1267"/>
        <w:gridCol w:w="432"/>
        <w:gridCol w:w="1416"/>
        <w:gridCol w:w="288"/>
        <w:gridCol w:w="1411"/>
        <w:gridCol w:w="288"/>
        <w:gridCol w:w="1507"/>
      </w:tblGrid>
      <w:tr>
        <w:trPr>
          <w:trHeight w:val="81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3"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.资本公 积转增资本 （或股本）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1,343,121,731.00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-1,343,121,731.00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8"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.盈余公 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5"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.盈余公 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38"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.设定受 益计划变动 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.其他综 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5" w:lineRule="exact"/>
              <w:ind w:left="0" w:right="0" w:firstLine="0"/>
              <w:jc w:val="both"/>
            </w:pPr>
            <w:r>
              <w:rPr>
                <w:rFonts w:ascii="SimSun" w:eastAsia="SimSun" w:hAnsi="SimSun" w:cs="SimSun"/>
                <w:color w:val="000000"/>
                <w:spacing w:val="0"/>
                <w:w w:val="100"/>
                <w:position w:val="0"/>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35"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5"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D3D3D3"/>
            <w:vAlign w:val="top"/>
          </w:tcPr>
          <w:p>
            <w:pPr>
              <w:pStyle w:val="Style6"/>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四、本期期 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8,613,136,491.00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14,451,069,974.79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-41,050,280.77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594,148,886.07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9,539,162,150.16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33,156,467,221.25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33,156,467,221.25</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8</w:t>
      </w:r>
      <w:bookmarkEnd w:id="869"/>
      <w:r>
        <w:rPr>
          <w:color w:val="000000"/>
          <w:spacing w:val="0"/>
          <w:w w:val="100"/>
          <w:position w:val="0"/>
        </w:rPr>
        <w:t>、母公司所有者权益变动表</w:t>
      </w:r>
      <w:bookmarkEnd w:id="867"/>
      <w:bookmarkEnd w:id="868"/>
      <w:bookmarkEnd w:id="870"/>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421"/>
        <w:gridCol w:w="2544"/>
        <w:gridCol w:w="1426"/>
        <w:gridCol w:w="427"/>
        <w:gridCol w:w="422"/>
        <w:gridCol w:w="571"/>
        <w:gridCol w:w="1277"/>
        <w:gridCol w:w="1411"/>
        <w:gridCol w:w="288"/>
        <w:gridCol w:w="1565"/>
      </w:tblGrid>
      <w:tr>
        <w:trPr>
          <w:trHeight w:val="32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r>
      <w:tr>
        <w:trPr>
          <w:trHeight w:val="32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所有者权益合计</w:t>
            </w:r>
          </w:p>
        </w:tc>
      </w:tr>
    </w:tbl>
    <w:p>
      <w:pPr>
        <w:sectPr>
          <w:footnotePr>
            <w:pos w:val="pageBottom"/>
            <w:numFmt w:val="upperRoman"/>
            <w:numStart w:val="1"/>
            <w:numRestart w:val="continuous"/>
            <w15:footnoteColumns w:val="1"/>
          </w:footnotePr>
          <w:pgSz w:w="16840" w:h="11900" w:orient="landscape"/>
          <w:pgMar w:top="846" w:right="1745" w:bottom="1143" w:left="1414" w:header="0" w:footer="3" w:gutter="0"/>
          <w:cols w:space="720"/>
          <w:noEndnote/>
          <w:rtlGutter w:val="0"/>
          <w:docGrid w:linePitch="360"/>
        </w:sectPr>
      </w:pPr>
    </w:p>
    <w:p>
      <w:pPr>
        <w:widowControl w:val="0"/>
        <w:jc w:val="center"/>
        <w:rPr>
          <w:sz w:val="2"/>
          <w:szCs w:val="2"/>
        </w:rPr>
      </w:pPr>
      <w:r>
        <w:drawing>
          <wp:inline>
            <wp:extent cx="786130" cy="225425"/>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a:stretch/>
                  </pic:blipFill>
                  <pic:spPr>
                    <a:xfrm>
                      <a:ext cx="786130" cy="225425"/>
                    </a:xfrm>
                    <a:prstGeom prst="rect"/>
                  </pic:spPr>
                </pic:pic>
              </a:graphicData>
            </a:graphic>
          </wp:inline>
        </w:drawing>
      </w:r>
    </w:p>
    <w:p>
      <w:pPr>
        <w:widowControl w:val="0"/>
        <w:spacing w:after="59" w:line="1" w:lineRule="exact"/>
      </w:pPr>
    </w:p>
    <w:tbl>
      <w:tblPr>
        <w:tblOverlap w:val="never"/>
        <w:jc w:val="center"/>
        <w:tblLayout w:type="fixed"/>
      </w:tblPr>
      <w:tblGrid>
        <w:gridCol w:w="2285"/>
        <w:gridCol w:w="1411"/>
        <w:gridCol w:w="581"/>
        <w:gridCol w:w="562"/>
        <w:gridCol w:w="1411"/>
        <w:gridCol w:w="1426"/>
        <w:gridCol w:w="418"/>
        <w:gridCol w:w="432"/>
        <w:gridCol w:w="562"/>
        <w:gridCol w:w="1286"/>
        <w:gridCol w:w="1411"/>
        <w:gridCol w:w="288"/>
        <w:gridCol w:w="1565"/>
      </w:tblGrid>
      <w:tr>
        <w:trPr>
          <w:trHeight w:val="58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优先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16" w:lineRule="exact"/>
              <w:ind w:left="0" w:right="0" w:firstLine="0"/>
              <w:jc w:val="center"/>
            </w:pPr>
            <w:r>
              <w:rPr>
                <w:rFonts w:ascii="SimSun" w:eastAsia="SimSun" w:hAnsi="SimSun" w:cs="SimSun"/>
                <w:color w:val="000000"/>
                <w:spacing w:val="0"/>
                <w:w w:val="100"/>
                <w:position w:val="0"/>
              </w:rPr>
              <w:t>库存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收益</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储备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他</w:t>
            </w:r>
          </w:p>
        </w:tc>
        <w:tc>
          <w:tcPr>
            <w:tcBorders>
              <w:top w:val="single" w:sz="4"/>
              <w:left w:val="single" w:sz="4"/>
              <w:right w:val="single" w:sz="4"/>
            </w:tcBorders>
            <w:shd w:val="clear" w:color="auto" w:fill="D3D3D3"/>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8,613,136,491.00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14,441,183,178.23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594,148,886.07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4,131,450,376.35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27,779,918,931.65</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8,613,136,491.00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14,441,183,178.23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594,148,886.07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4,131,450,376.35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27,779,918,931.65</w:t>
            </w:r>
          </w:p>
        </w:tc>
      </w:tr>
      <w:tr>
        <w:trPr>
          <w:trHeight w:val="56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三、本期增减变动金额（减 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1,753,191,364.00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1,956,432,160.45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-989,500,531.37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314,576,938.01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2,314,404,252.63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5,349,104,183.72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3,145,769,380.10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3,145,769,380.10</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（二）所有者投入和减少资 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30,564,066.00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1,956,432,160.45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733,126,766.63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2,720,122,993.08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5"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.其他权益工具持有者投 入资本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30,564,066.00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1,956,432,160.45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684,288,878.66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2,671,285,105.11</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48,139,540.00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48,139,540.00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698,347.97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698,347.97</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314,576,938.01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-831,365,127.47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-516,788,189.46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314,576,938.01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-314,576,938.01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-516,788,189.46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-516,788,189.46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（四）所有者权益内部结转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1,722,627,298.00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-1,722,627,298.00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30"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 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1,722,627,298.00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-1,722,627,298.00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5"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.设定受益计划变动额结 转留存收益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upperRoman"/>
            <w:numStart w:val="1"/>
            <w:numRestart w:val="continuous"/>
            <w15:footnoteColumns w:val="1"/>
          </w:footnotePr>
          <w:pgSz w:w="16840" w:h="11900" w:orient="landscape"/>
          <w:pgMar w:top="846" w:right="1746" w:bottom="1143" w:left="1458" w:header="0" w:footer="3" w:gutter="0"/>
          <w:cols w:space="720"/>
          <w:noEndnote/>
          <w:rtlGutter w:val="0"/>
          <w:docGrid w:linePitch="360"/>
        </w:sectPr>
      </w:pPr>
    </w:p>
    <w:tbl>
      <w:tblPr>
        <w:tblOverlap w:val="never"/>
        <w:jc w:val="center"/>
        <w:tblLayout w:type="fixed"/>
      </w:tblPr>
      <w:tblGrid>
        <w:gridCol w:w="2285"/>
        <w:gridCol w:w="1411"/>
        <w:gridCol w:w="581"/>
        <w:gridCol w:w="562"/>
        <w:gridCol w:w="1411"/>
        <w:gridCol w:w="1426"/>
        <w:gridCol w:w="418"/>
        <w:gridCol w:w="432"/>
        <w:gridCol w:w="562"/>
        <w:gridCol w:w="1286"/>
        <w:gridCol w:w="1411"/>
        <w:gridCol w:w="288"/>
        <w:gridCol w:w="1565"/>
      </w:tblGrid>
      <w:tr>
        <w:trPr>
          <w:trHeight w:val="58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10,366,327,855.00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1,956,432,160.45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13,451,682,646.86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908,725,824.08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6,445,854,628.98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33,129,023,115.37</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pStyle w:val="Style20"/>
        <w:keepNext w:val="0"/>
        <w:keepLines w:val="0"/>
        <w:widowControl w:val="0"/>
        <w:shd w:val="clear" w:color="auto" w:fill="auto"/>
        <w:bidi w:val="0"/>
        <w:spacing w:before="0" w:after="0" w:line="240" w:lineRule="auto"/>
        <w:ind w:left="12806" w:right="0" w:firstLine="0"/>
        <w:jc w:val="left"/>
      </w:pPr>
      <w:r>
        <w:rPr>
          <w:color w:val="000000"/>
          <w:spacing w:val="0"/>
          <w:w w:val="100"/>
          <w:position w:val="0"/>
        </w:rPr>
        <w:t>单位：元</w:t>
      </w:r>
    </w:p>
    <w:tbl>
      <w:tblPr>
        <w:tblOverlap w:val="never"/>
        <w:jc w:val="center"/>
        <w:tblLayout w:type="fixed"/>
      </w:tblPr>
      <w:tblGrid>
        <w:gridCol w:w="2918"/>
        <w:gridCol w:w="1373"/>
        <w:gridCol w:w="677"/>
        <w:gridCol w:w="691"/>
        <w:gridCol w:w="403"/>
        <w:gridCol w:w="1411"/>
        <w:gridCol w:w="547"/>
        <w:gridCol w:w="677"/>
        <w:gridCol w:w="547"/>
        <w:gridCol w:w="1224"/>
        <w:gridCol w:w="1373"/>
        <w:gridCol w:w="274"/>
        <w:gridCol w:w="1464"/>
      </w:tblGrid>
      <w:tr>
        <w:trPr>
          <w:trHeight w:val="34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年年度</w:t>
            </w:r>
          </w:p>
        </w:tc>
      </w:tr>
      <w:tr>
        <w:trPr>
          <w:trHeight w:val="317"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减：</w:t>
            </w:r>
          </w:p>
          <w:p>
            <w:pPr>
              <w:pStyle w:val="Style6"/>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库存 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未分配利润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w:t>
            </w:r>
          </w:p>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所有者权益合计</w:t>
            </w:r>
          </w:p>
        </w:tc>
      </w:tr>
      <w:tr>
        <w:trPr>
          <w:trHeight w:val="56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6,715,608,655.00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8,920,734,137.33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438,681,541.78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2,933,712,537.40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19,008,736,871.51</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6,715,608,655.00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8,920,734,137.33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438,681,541.78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2,933,712,537.40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19,008,736,871.51</w:t>
            </w:r>
          </w:p>
        </w:tc>
      </w:tr>
      <w:tr>
        <w:trPr>
          <w:trHeight w:val="56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 xml:space="preserve">三、本期增减变动金额（减少以 </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1,897,527,836.00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5,520,449,040.90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155,467,344.29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1,197,737,838.95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8,771,182,060.14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1,554,673,442.89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1,554,673,442.89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（二）所有者投入和减少资本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554,406,105.00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6,863,570,771.90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7,417,976,876.90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2,231,177.00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36,546,683.94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38,777,860.94</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.其他权益工具持有者投入资本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552,174,928.00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6,825,768,215.94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7,377,943,143.94</w:t>
            </w: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1,255,872.02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1,255,872.02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155,467,344.29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-356,935,603.94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-201,468,259.65</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155,467,344.29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-155,467,344.29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18"/>
        <w:gridCol w:w="1373"/>
        <w:gridCol w:w="677"/>
        <w:gridCol w:w="691"/>
        <w:gridCol w:w="403"/>
        <w:gridCol w:w="1411"/>
        <w:gridCol w:w="547"/>
        <w:gridCol w:w="677"/>
        <w:gridCol w:w="547"/>
        <w:gridCol w:w="1229"/>
        <w:gridCol w:w="1368"/>
        <w:gridCol w:w="274"/>
        <w:gridCol w:w="1464"/>
      </w:tblGrid>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-201,468,259.65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-201,468,259.65</w:t>
            </w: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（四）所有者权益内部结转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1,343,121,731.00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-1,343,121,731.00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1,343,121,731.00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-1,343,121,731.00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.设定受益计划变动额结转留存收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8,613,136,491.00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14,441,183,178.23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594,148,886.07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4,131,450,376.35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27,779,918,931.65</w:t>
            </w:r>
          </w:p>
        </w:tc>
      </w:tr>
    </w:tbl>
    <w:p>
      <w:pPr>
        <w:sectPr>
          <w:footnotePr>
            <w:pos w:val="pageBottom"/>
            <w:numFmt w:val="upperRoman"/>
            <w:numStart w:val="1"/>
            <w:numRestart w:val="continuous"/>
            <w15:footnoteColumns w:val="1"/>
          </w:footnotePr>
          <w:pgSz w:w="16840" w:h="11900" w:orient="landscape"/>
          <w:pgMar w:top="1287" w:right="1766" w:bottom="1268" w:left="1404" w:header="0" w:footer="3" w:gutter="0"/>
          <w:cols w:space="720"/>
          <w:noEndnote/>
          <w:rtlGutter w:val="0"/>
          <w:docGrid w:linePitch="360"/>
        </w:sectPr>
      </w:pPr>
    </w:p>
    <w:p>
      <w:pPr>
        <w:pStyle w:val="Style22"/>
        <w:keepNext/>
        <w:keepLines/>
        <w:widowControl w:val="0"/>
        <w:shd w:val="clear" w:color="auto" w:fill="auto"/>
        <w:bidi w:val="0"/>
        <w:spacing w:before="340" w:after="440" w:line="240" w:lineRule="auto"/>
        <w:ind w:left="0" w:right="0" w:firstLine="0"/>
        <w:jc w:val="both"/>
      </w:pPr>
      <w:bookmarkStart w:id="871" w:name="bookmark871"/>
      <w:bookmarkStart w:id="872" w:name="bookmark872"/>
      <w:bookmarkStart w:id="873" w:name="bookmark873"/>
      <w:bookmarkStart w:id="874" w:name="bookmark874"/>
      <w:r>
        <w:rPr>
          <w:color w:val="000000"/>
          <w:spacing w:val="0"/>
          <w:w w:val="100"/>
          <w:position w:val="0"/>
          <w:sz w:val="24"/>
          <w:szCs w:val="24"/>
        </w:rPr>
        <w:t>三</w:t>
      </w:r>
      <w:bookmarkEnd w:id="873"/>
      <w:r>
        <w:rPr>
          <w:color w:val="000000"/>
          <w:spacing w:val="0"/>
          <w:w w:val="100"/>
          <w:position w:val="0"/>
          <w:sz w:val="24"/>
          <w:szCs w:val="24"/>
        </w:rPr>
        <w:t>、公司基本情况</w:t>
      </w:r>
      <w:bookmarkEnd w:id="871"/>
      <w:bookmarkEnd w:id="872"/>
      <w:bookmarkEnd w:id="874"/>
    </w:p>
    <w:p>
      <w:pPr>
        <w:pStyle w:val="Style41"/>
        <w:keepNext w:val="0"/>
        <w:keepLines w:val="0"/>
        <w:widowControl w:val="0"/>
        <w:shd w:val="clear" w:color="auto" w:fill="auto"/>
        <w:bidi w:val="0"/>
        <w:spacing w:before="0" w:after="100" w:line="281" w:lineRule="exact"/>
        <w:ind w:left="0" w:right="0" w:firstLine="0"/>
        <w:jc w:val="both"/>
      </w:pPr>
      <w:r>
        <w:rPr>
          <w:color w:val="000000"/>
          <w:spacing w:val="0"/>
          <w:w w:val="100"/>
          <w:position w:val="0"/>
        </w:rPr>
        <w:t>东方财富信息股份有限公司（以下简称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）的前身系上海东财信息技术有限公司，本公司 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日改制为股份有限公司，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日由上海东财信息技术股份有限公司更名为东方财富 信息股份有限公司。</w:t>
      </w:r>
    </w:p>
    <w:p>
      <w:pPr>
        <w:pStyle w:val="Style41"/>
        <w:keepNext w:val="0"/>
        <w:keepLines w:val="0"/>
        <w:widowControl w:val="0"/>
        <w:shd w:val="clear" w:color="auto" w:fill="auto"/>
        <w:bidi w:val="0"/>
        <w:spacing w:before="0" w:after="100" w:line="281" w:lineRule="exact"/>
        <w:ind w:left="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2009</w:t>
      </w:r>
      <w:r>
        <w:rPr>
          <w:color w:val="000000"/>
          <w:spacing w:val="0"/>
          <w:w w:val="100"/>
          <w:position w:val="0"/>
        </w:rPr>
        <w:t>年第二次临时股东大会决议，并经中国证券监督管理委员会以证监许可</w:t>
      </w:r>
      <w:r>
        <w:rPr>
          <w:rFonts w:ascii="Times New Roman" w:eastAsia="Times New Roman" w:hAnsi="Times New Roman" w:cs="Times New Roman"/>
          <w:color w:val="000000"/>
          <w:spacing w:val="0"/>
          <w:w w:val="100"/>
          <w:position w:val="0"/>
        </w:rPr>
        <w:t>[201</w:t>
      </w:r>
      <w:r>
        <w:rPr>
          <w:rFonts w:ascii="Times New Roman" w:eastAsia="Times New Roman" w:hAnsi="Times New Roman" w:cs="Times New Roman"/>
          <w:color w:val="000000"/>
          <w:spacing w:val="0"/>
          <w:w w:val="100"/>
          <w:position w:val="0"/>
        </w:rPr>
        <w:t>0]249</w:t>
      </w:r>
      <w:r>
        <w:rPr>
          <w:color w:val="000000"/>
          <w:spacing w:val="0"/>
          <w:w w:val="100"/>
          <w:position w:val="0"/>
        </w:rPr>
        <w:t>号《关于 核准东方财富信息股份有限公司首次公开发行股票并在创业板上市的批复》核准，公司向社会公开发行人 民币普通股</w:t>
      </w:r>
      <w:r>
        <w:rPr>
          <w:rFonts w:ascii="Times New Roman" w:eastAsia="Times New Roman" w:hAnsi="Times New Roman" w:cs="Times New Roman"/>
          <w:color w:val="000000"/>
          <w:spacing w:val="0"/>
          <w:w w:val="100"/>
          <w:position w:val="0"/>
        </w:rPr>
        <w:t>35,000,000</w:t>
      </w:r>
      <w:r>
        <w:rPr>
          <w:color w:val="000000"/>
          <w:spacing w:val="0"/>
          <w:w w:val="100"/>
          <w:position w:val="0"/>
        </w:rPr>
        <w:t>股，增加注册资本</w:t>
      </w:r>
      <w:r>
        <w:rPr>
          <w:rFonts w:ascii="Times New Roman" w:eastAsia="Times New Roman" w:hAnsi="Times New Roman" w:cs="Times New Roman"/>
          <w:color w:val="000000"/>
          <w:spacing w:val="0"/>
          <w:w w:val="100"/>
          <w:position w:val="0"/>
        </w:rPr>
        <w:t>35,000,000.00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40,000,000.0</w:t>
      </w:r>
      <w:r>
        <w:rPr>
          <w:rFonts w:ascii="Times New Roman" w:eastAsia="Times New Roman" w:hAnsi="Times New Roman" w:cs="Times New Roman"/>
          <w:color w:val="000000"/>
          <w:spacing w:val="0"/>
          <w:w w:val="100"/>
          <w:position w:val="0"/>
        </w:rPr>
        <w:t>0</w:t>
      </w:r>
      <w:r>
        <w:rPr>
          <w:color w:val="000000"/>
          <w:spacing w:val="0"/>
          <w:w w:val="100"/>
          <w:position w:val="0"/>
        </w:rPr>
        <w:t>元。本 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日在深圳证券交易所挂牌交易，并于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日在上海市工商行政管理局取得相同 注册号的《企业法人营业执照》。</w:t>
      </w:r>
    </w:p>
    <w:p>
      <w:pPr>
        <w:pStyle w:val="Style41"/>
        <w:keepNext w:val="0"/>
        <w:keepLines w:val="0"/>
        <w:widowControl w:val="0"/>
        <w:shd w:val="clear" w:color="auto" w:fill="auto"/>
        <w:bidi w:val="0"/>
        <w:spacing w:before="0" w:after="100" w:line="280" w:lineRule="exact"/>
        <w:ind w:left="0" w:right="0" w:firstLine="0"/>
        <w:jc w:val="both"/>
      </w:pPr>
      <w:r>
        <w:rPr>
          <w:color w:val="000000"/>
          <w:spacing w:val="0"/>
          <w:w w:val="100"/>
          <w:position w:val="0"/>
        </w:rPr>
        <w:t>公司注册地：上海市嘉定区宝安公路</w:t>
      </w:r>
      <w:r>
        <w:rPr>
          <w:rFonts w:ascii="Times New Roman" w:eastAsia="Times New Roman" w:hAnsi="Times New Roman" w:cs="Times New Roman"/>
          <w:color w:val="000000"/>
          <w:spacing w:val="0"/>
          <w:w w:val="100"/>
          <w:position w:val="0"/>
        </w:rPr>
        <w:t>2999</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幢，经营地址：上海市徐汇区宛平南路</w:t>
      </w:r>
      <w:r>
        <w:rPr>
          <w:rFonts w:ascii="Times New Roman" w:eastAsia="Times New Roman" w:hAnsi="Times New Roman" w:cs="Times New Roman"/>
          <w:color w:val="000000"/>
          <w:spacing w:val="0"/>
          <w:w w:val="100"/>
          <w:position w:val="0"/>
        </w:rPr>
        <w:t>88</w:t>
      </w:r>
      <w:r>
        <w:rPr>
          <w:color w:val="000000"/>
          <w:spacing w:val="0"/>
          <w:w w:val="100"/>
          <w:position w:val="0"/>
        </w:rPr>
        <w:t>号东方财富大厦。</w:t>
      </w:r>
    </w:p>
    <w:p>
      <w:pPr>
        <w:pStyle w:val="Style41"/>
        <w:keepNext w:val="0"/>
        <w:keepLines w:val="0"/>
        <w:widowControl w:val="0"/>
        <w:shd w:val="clear" w:color="auto" w:fill="auto"/>
        <w:bidi w:val="0"/>
        <w:spacing w:before="0" w:after="100" w:line="280" w:lineRule="exact"/>
        <w:ind w:left="0" w:right="0" w:firstLine="0"/>
        <w:jc w:val="both"/>
      </w:pPr>
      <w:r>
        <w:rPr>
          <w:color w:val="000000"/>
          <w:spacing w:val="0"/>
          <w:w w:val="100"/>
          <w:position w:val="0"/>
        </w:rPr>
        <w:t>公司主要经营活动为：证券业务、金融电子商务服务业务、金融数据服务业务等。</w:t>
      </w:r>
    </w:p>
    <w:p>
      <w:pPr>
        <w:pStyle w:val="Style41"/>
        <w:keepNext w:val="0"/>
        <w:keepLines w:val="0"/>
        <w:widowControl w:val="0"/>
        <w:shd w:val="clear" w:color="auto" w:fill="auto"/>
        <w:bidi w:val="0"/>
        <w:spacing w:before="0" w:after="100" w:line="280" w:lineRule="exact"/>
        <w:ind w:left="0" w:right="0" w:firstLine="0"/>
        <w:jc w:val="both"/>
      </w:pPr>
      <w:r>
        <w:rPr>
          <w:color w:val="000000"/>
          <w:spacing w:val="0"/>
          <w:w w:val="100"/>
          <w:position w:val="0"/>
        </w:rPr>
        <w:t>公司的最终控制方为其实先生。</w:t>
      </w:r>
    </w:p>
    <w:p>
      <w:pPr>
        <w:pStyle w:val="Style41"/>
        <w:keepNext w:val="0"/>
        <w:keepLines w:val="0"/>
        <w:widowControl w:val="0"/>
        <w:shd w:val="clear" w:color="auto" w:fill="auto"/>
        <w:bidi w:val="0"/>
        <w:spacing w:before="0" w:after="100" w:line="280" w:lineRule="exact"/>
        <w:ind w:left="0" w:right="0" w:firstLine="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日决议批准。</w:t>
      </w:r>
    </w:p>
    <w:p>
      <w:pPr>
        <w:pStyle w:val="Style41"/>
        <w:keepNext w:val="0"/>
        <w:keepLines w:val="0"/>
        <w:widowControl w:val="0"/>
        <w:shd w:val="clear" w:color="auto" w:fill="auto"/>
        <w:bidi w:val="0"/>
        <w:spacing w:before="0" w:after="100" w:line="278" w:lineRule="exact"/>
        <w:ind w:left="0" w:right="0" w:firstLine="0"/>
        <w:jc w:val="both"/>
      </w:pPr>
      <w:r>
        <w:rPr>
          <w:color w:val="000000"/>
          <w:spacing w:val="0"/>
          <w:w w:val="100"/>
          <w:position w:val="0"/>
        </w:rPr>
        <w:t>本年合并范围内新增</w:t>
      </w:r>
      <w:r>
        <w:rPr>
          <w:rFonts w:ascii="Times New Roman" w:eastAsia="Times New Roman" w:hAnsi="Times New Roman" w:cs="Times New Roman"/>
          <w:color w:val="000000"/>
          <w:spacing w:val="0"/>
          <w:w w:val="100"/>
          <w:position w:val="0"/>
        </w:rPr>
        <w:t>9</w:t>
      </w:r>
      <w:r>
        <w:rPr>
          <w:color w:val="000000"/>
          <w:spacing w:val="0"/>
          <w:w w:val="100"/>
          <w:position w:val="0"/>
        </w:rPr>
        <w:t>家全资子公司，为上海哈富网络科技有限公司、扬州东方财富数据服务有限公司、成 都东方财富信息技术有限公司、东方财富国际证券有限公司、东方财富国际期货有限公司、哈富网络科技 有限公司、哈富有限公司、</w:t>
      </w:r>
      <w:r>
        <w:rPr>
          <w:rFonts w:ascii="Times New Roman" w:eastAsia="Times New Roman" w:hAnsi="Times New Roman" w:cs="Times New Roman"/>
          <w:color w:val="000000"/>
          <w:spacing w:val="0"/>
          <w:w w:val="100"/>
          <w:position w:val="0"/>
        </w:rPr>
        <w:t>Eastmoney Sea Holdings PTE. LTD.</w:t>
      </w:r>
      <w:r>
        <w:rPr>
          <w:color w:val="000000"/>
          <w:spacing w:val="0"/>
          <w:w w:val="100"/>
          <w:position w:val="0"/>
        </w:rPr>
        <w:t>和</w:t>
      </w:r>
      <w:r>
        <w:rPr>
          <w:rFonts w:ascii="Times New Roman" w:eastAsia="Times New Roman" w:hAnsi="Times New Roman" w:cs="Times New Roman"/>
          <w:color w:val="000000"/>
          <w:spacing w:val="0"/>
          <w:w w:val="100"/>
          <w:position w:val="0"/>
        </w:rPr>
        <w:t>Hafoo Securities （Singapore） PTE. LTD.</w:t>
      </w:r>
      <w:r>
        <w:rPr>
          <w:color w:val="000000"/>
          <w:spacing w:val="0"/>
          <w:w w:val="100"/>
          <w:position w:val="0"/>
        </w:rPr>
        <w:t>。</w:t>
      </w:r>
    </w:p>
    <w:p>
      <w:pPr>
        <w:pStyle w:val="Style41"/>
        <w:keepNext w:val="0"/>
        <w:keepLines w:val="0"/>
        <w:widowControl w:val="0"/>
        <w:shd w:val="clear" w:color="auto" w:fill="auto"/>
        <w:bidi w:val="0"/>
        <w:spacing w:before="0" w:after="100" w:line="302" w:lineRule="exact"/>
        <w:ind w:left="0" w:right="0" w:firstLine="0"/>
        <w:jc w:val="both"/>
      </w:pPr>
      <w:r>
        <w:rPr>
          <w:color w:val="000000"/>
          <w:spacing w:val="0"/>
          <w:w w:val="100"/>
          <w:position w:val="0"/>
        </w:rPr>
        <w:t>本年合并范围内新增</w:t>
      </w:r>
      <w:r>
        <w:rPr>
          <w:rFonts w:ascii="Times New Roman" w:eastAsia="Times New Roman" w:hAnsi="Times New Roman" w:cs="Times New Roman"/>
          <w:color w:val="000000"/>
          <w:spacing w:val="0"/>
          <w:w w:val="100"/>
          <w:position w:val="0"/>
        </w:rPr>
        <w:t>24</w:t>
      </w:r>
      <w:r>
        <w:rPr>
          <w:color w:val="000000"/>
          <w:spacing w:val="0"/>
          <w:w w:val="100"/>
          <w:position w:val="0"/>
        </w:rPr>
        <w:t>家结构化主体，减少</w:t>
      </w:r>
      <w:r>
        <w:rPr>
          <w:rFonts w:ascii="Times New Roman" w:eastAsia="Times New Roman" w:hAnsi="Times New Roman" w:cs="Times New Roman"/>
          <w:color w:val="000000"/>
          <w:spacing w:val="0"/>
          <w:w w:val="100"/>
          <w:position w:val="0"/>
        </w:rPr>
        <w:t>2</w:t>
      </w:r>
      <w:r>
        <w:rPr>
          <w:color w:val="000000"/>
          <w:spacing w:val="0"/>
          <w:w w:val="100"/>
          <w:position w:val="0"/>
        </w:rPr>
        <w:t>家结构化主体。截至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日，共有</w:t>
      </w:r>
      <w:r>
        <w:rPr>
          <w:rFonts w:ascii="Times New Roman" w:eastAsia="Times New Roman" w:hAnsi="Times New Roman" w:cs="Times New Roman"/>
          <w:color w:val="000000"/>
          <w:spacing w:val="0"/>
          <w:w w:val="100"/>
          <w:position w:val="0"/>
        </w:rPr>
        <w:t>26</w:t>
      </w:r>
      <w:r>
        <w:rPr>
          <w:color w:val="000000"/>
          <w:spacing w:val="0"/>
          <w:w w:val="100"/>
          <w:position w:val="0"/>
        </w:rPr>
        <w:t>只产品因本公司 享有的可变回报重大而纳入本公司合并财务报表的合并范围</w:t>
      </w:r>
    </w:p>
    <w:p>
      <w:pPr>
        <w:pStyle w:val="Style41"/>
        <w:keepNext w:val="0"/>
        <w:keepLines w:val="0"/>
        <w:widowControl w:val="0"/>
        <w:shd w:val="clear" w:color="auto" w:fill="auto"/>
        <w:bidi w:val="0"/>
        <w:spacing w:before="0" w:after="340" w:line="280" w:lineRule="exact"/>
        <w:ind w:left="0" w:right="0" w:firstLine="0"/>
        <w:jc w:val="both"/>
      </w:pPr>
      <w:r>
        <w:rPr>
          <w:color w:val="000000"/>
          <w:spacing w:val="0"/>
          <w:w w:val="100"/>
          <w:position w:val="0"/>
        </w:rPr>
        <w:t>本年合并财务报表范围及其变化情况详见本附注八、合并范围的变更及本附注九、在其他主体中的权益。</w:t>
      </w:r>
    </w:p>
    <w:p>
      <w:pPr>
        <w:pStyle w:val="Style22"/>
        <w:keepNext/>
        <w:keepLines/>
        <w:widowControl w:val="0"/>
        <w:shd w:val="clear" w:color="auto" w:fill="auto"/>
        <w:tabs>
          <w:tab w:pos="522" w:val="left"/>
        </w:tabs>
        <w:bidi w:val="0"/>
        <w:spacing w:before="0" w:line="240" w:lineRule="auto"/>
        <w:ind w:left="0" w:right="0" w:firstLine="0"/>
        <w:jc w:val="both"/>
      </w:pPr>
      <w:bookmarkStart w:id="875" w:name="bookmark875"/>
      <w:bookmarkStart w:id="876" w:name="bookmark876"/>
      <w:bookmarkStart w:id="877" w:name="bookmark877"/>
      <w:bookmarkStart w:id="878" w:name="bookmark878"/>
      <w:r>
        <w:rPr>
          <w:color w:val="000000"/>
          <w:spacing w:val="0"/>
          <w:w w:val="100"/>
          <w:position w:val="0"/>
          <w:sz w:val="24"/>
          <w:szCs w:val="24"/>
        </w:rPr>
        <w:t>四</w:t>
      </w:r>
      <w:bookmarkEnd w:id="877"/>
      <w:r>
        <w:rPr>
          <w:color w:val="000000"/>
          <w:spacing w:val="0"/>
          <w:w w:val="100"/>
          <w:position w:val="0"/>
          <w:sz w:val="24"/>
          <w:szCs w:val="24"/>
        </w:rPr>
        <w:t>、</w:t>
        <w:tab/>
        <w:t>财务报表的编制基础</w:t>
      </w:r>
      <w:bookmarkEnd w:id="875"/>
      <w:bookmarkEnd w:id="876"/>
      <w:bookmarkEnd w:id="878"/>
    </w:p>
    <w:p>
      <w:pPr>
        <w:pStyle w:val="Style32"/>
        <w:keepNext/>
        <w:keepLines/>
        <w:widowControl w:val="0"/>
        <w:shd w:val="clear" w:color="auto" w:fill="auto"/>
        <w:tabs>
          <w:tab w:pos="425" w:val="left"/>
        </w:tabs>
        <w:bidi w:val="0"/>
        <w:spacing w:before="0" w:after="240" w:line="293" w:lineRule="auto"/>
        <w:ind w:left="0" w:right="0" w:firstLine="0"/>
        <w:jc w:val="both"/>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1</w:t>
      </w:r>
      <w:bookmarkEnd w:id="881"/>
      <w:r>
        <w:rPr>
          <w:color w:val="000000"/>
          <w:spacing w:val="0"/>
          <w:w w:val="100"/>
          <w:position w:val="0"/>
        </w:rPr>
        <w:t>、</w:t>
        <w:tab/>
        <w:t>编制基础</w:t>
      </w:r>
      <w:bookmarkEnd w:id="879"/>
      <w:bookmarkEnd w:id="880"/>
      <w:bookmarkEnd w:id="882"/>
    </w:p>
    <w:p>
      <w:pPr>
        <w:pStyle w:val="Style41"/>
        <w:keepNext w:val="0"/>
        <w:keepLines w:val="0"/>
        <w:widowControl w:val="0"/>
        <w:shd w:val="clear" w:color="auto" w:fill="auto"/>
        <w:bidi w:val="0"/>
        <w:spacing w:before="0" w:after="340" w:line="259" w:lineRule="exact"/>
        <w:ind w:left="0" w:right="0" w:firstLine="0"/>
        <w:jc w:val="both"/>
      </w:pPr>
      <w:r>
        <w:rPr>
          <w:color w:val="000000"/>
          <w:spacing w:val="0"/>
          <w:w w:val="100"/>
          <w:position w:val="0"/>
        </w:rPr>
        <w:t>本财务报表按照财政部颁布的《企业会计准则一基本准则》以及其后颁布及修订的具体会计准则、应用 指南、解释以及其他相关规定（统称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）编制，以及中国证券监督管理委员会《公开发行证 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号——财务报告的一般规定》的相关规定编制。</w:t>
      </w:r>
    </w:p>
    <w:p>
      <w:pPr>
        <w:pStyle w:val="Style32"/>
        <w:keepNext/>
        <w:keepLines/>
        <w:widowControl w:val="0"/>
        <w:shd w:val="clear" w:color="auto" w:fill="auto"/>
        <w:tabs>
          <w:tab w:pos="425" w:val="left"/>
        </w:tabs>
        <w:bidi w:val="0"/>
        <w:spacing w:before="0" w:after="240" w:line="293" w:lineRule="auto"/>
        <w:ind w:left="0" w:right="0" w:firstLine="0"/>
        <w:jc w:val="both"/>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color w:val="000000"/>
          <w:spacing w:val="0"/>
          <w:w w:val="100"/>
          <w:position w:val="0"/>
        </w:rPr>
        <w:t>、</w:t>
        <w:tab/>
        <w:t>持续经营</w:t>
      </w:r>
      <w:bookmarkEnd w:id="883"/>
      <w:bookmarkEnd w:id="884"/>
      <w:bookmarkEnd w:id="886"/>
    </w:p>
    <w:p>
      <w:pPr>
        <w:pStyle w:val="Style41"/>
        <w:keepNext w:val="0"/>
        <w:keepLines w:val="0"/>
        <w:widowControl w:val="0"/>
        <w:shd w:val="clear" w:color="auto" w:fill="auto"/>
        <w:bidi w:val="0"/>
        <w:spacing w:before="0" w:after="340" w:line="280" w:lineRule="exact"/>
        <w:ind w:left="0" w:right="0" w:firstLine="0"/>
        <w:jc w:val="both"/>
      </w:pPr>
      <w:r>
        <w:rPr>
          <w:color w:val="000000"/>
          <w:spacing w:val="0"/>
          <w:w w:val="100"/>
          <w:position w:val="0"/>
        </w:rPr>
        <w:t>本财务报表以持续经营为基础列报。</w:t>
      </w:r>
    </w:p>
    <w:p>
      <w:pPr>
        <w:pStyle w:val="Style22"/>
        <w:keepNext/>
        <w:keepLines/>
        <w:widowControl w:val="0"/>
        <w:shd w:val="clear" w:color="auto" w:fill="auto"/>
        <w:tabs>
          <w:tab w:pos="541" w:val="left"/>
        </w:tabs>
        <w:bidi w:val="0"/>
        <w:spacing w:before="0" w:after="240" w:line="240" w:lineRule="auto"/>
        <w:ind w:left="0" w:right="0" w:firstLine="0"/>
        <w:jc w:val="both"/>
      </w:pPr>
      <w:bookmarkStart w:id="887" w:name="bookmark887"/>
      <w:bookmarkStart w:id="888" w:name="bookmark888"/>
      <w:bookmarkStart w:id="889" w:name="bookmark889"/>
      <w:bookmarkStart w:id="890" w:name="bookmark890"/>
      <w:r>
        <w:rPr>
          <w:color w:val="000000"/>
          <w:spacing w:val="0"/>
          <w:w w:val="100"/>
          <w:position w:val="0"/>
          <w:sz w:val="24"/>
          <w:szCs w:val="24"/>
        </w:rPr>
        <w:t>五</w:t>
      </w:r>
      <w:bookmarkEnd w:id="889"/>
      <w:r>
        <w:rPr>
          <w:color w:val="000000"/>
          <w:spacing w:val="0"/>
          <w:w w:val="100"/>
          <w:position w:val="0"/>
          <w:sz w:val="24"/>
          <w:szCs w:val="24"/>
        </w:rPr>
        <w:t>、</w:t>
        <w:tab/>
        <w:t>重要会计政策及会计估计</w:t>
      </w:r>
      <w:bookmarkEnd w:id="887"/>
      <w:bookmarkEnd w:id="888"/>
      <w:bookmarkEnd w:id="890"/>
    </w:p>
    <w:p>
      <w:pPr>
        <w:pStyle w:val="Style24"/>
        <w:keepNext w:val="0"/>
        <w:keepLines w:val="0"/>
        <w:widowControl w:val="0"/>
        <w:shd w:val="clear" w:color="auto" w:fill="auto"/>
        <w:bidi w:val="0"/>
        <w:spacing w:before="0" w:after="0" w:line="274" w:lineRule="exact"/>
        <w:ind w:left="0" w:right="0" w:firstLine="0"/>
        <w:jc w:val="both"/>
      </w:pPr>
      <w:r>
        <w:rPr>
          <w:color w:val="000000"/>
          <w:spacing w:val="0"/>
          <w:w w:val="100"/>
          <w:position w:val="0"/>
        </w:rPr>
        <w:t>具体会计政策和会计估计提示：</w:t>
      </w:r>
    </w:p>
    <w:p>
      <w:pPr>
        <w:pStyle w:val="Style41"/>
        <w:keepNext w:val="0"/>
        <w:keepLines w:val="0"/>
        <w:widowControl w:val="0"/>
        <w:shd w:val="clear" w:color="auto" w:fill="auto"/>
        <w:bidi w:val="0"/>
        <w:spacing w:before="0" w:after="340" w:line="274" w:lineRule="exact"/>
        <w:ind w:left="0" w:right="0" w:firstLine="0"/>
        <w:jc w:val="both"/>
      </w:pPr>
      <w:r>
        <w:rPr>
          <w:color w:val="000000"/>
          <w:spacing w:val="0"/>
          <w:w w:val="100"/>
          <w:position w:val="0"/>
        </w:rPr>
        <w:t>本公司根据实际生产经营特点制定了具体会计政策和会计估计，主要体现在金融工具的估值和减值、收入 确认和计量等。</w:t>
      </w:r>
    </w:p>
    <w:p>
      <w:pPr>
        <w:pStyle w:val="Style32"/>
        <w:keepNext/>
        <w:keepLines/>
        <w:widowControl w:val="0"/>
        <w:shd w:val="clear" w:color="auto" w:fill="auto"/>
        <w:bidi w:val="0"/>
        <w:spacing w:before="0" w:after="240" w:line="293" w:lineRule="auto"/>
        <w:ind w:left="0" w:right="0" w:firstLine="0"/>
        <w:jc w:val="both"/>
      </w:pPr>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891"/>
      <w:bookmarkEnd w:id="892"/>
      <w:bookmarkEnd w:id="893"/>
    </w:p>
    <w:p>
      <w:pPr>
        <w:pStyle w:val="Style41"/>
        <w:keepNext w:val="0"/>
        <w:keepLines w:val="0"/>
        <w:widowControl w:val="0"/>
        <w:shd w:val="clear" w:color="auto" w:fill="auto"/>
        <w:bidi w:val="0"/>
        <w:spacing w:before="0" w:after="240" w:line="274" w:lineRule="exact"/>
        <w:ind w:left="0" w:right="0" w:firstLine="0"/>
        <w:jc w:val="both"/>
      </w:pPr>
      <w:r>
        <w:rPr>
          <w:color w:val="000000"/>
          <w:spacing w:val="0"/>
          <w:w w:val="100"/>
          <w:position w:val="0"/>
        </w:rPr>
        <w:t>本财务报表符合企业会计准则的要求，真实、完整地反映了本公司截至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日的财务状况以及 </w:t>
      </w:r>
      <w:r>
        <w:rPr>
          <w:rFonts w:ascii="Times New Roman" w:eastAsia="Times New Roman" w:hAnsi="Times New Roman" w:cs="Times New Roman"/>
          <w:color w:val="000000"/>
          <w:spacing w:val="0"/>
          <w:w w:val="100"/>
          <w:position w:val="0"/>
        </w:rPr>
        <w:t>2021</w:t>
      </w:r>
      <w:r>
        <w:rPr>
          <w:color w:val="000000"/>
          <w:spacing w:val="0"/>
          <w:w w:val="100"/>
          <w:position w:val="0"/>
        </w:rPr>
        <w:t>年度的经营成果和现金流量。</w:t>
      </w:r>
    </w:p>
    <w:p>
      <w:pPr>
        <w:pStyle w:val="Style32"/>
        <w:keepNext/>
        <w:keepLines/>
        <w:widowControl w:val="0"/>
        <w:shd w:val="clear" w:color="auto" w:fill="auto"/>
        <w:tabs>
          <w:tab w:pos="392" w:val="left"/>
        </w:tabs>
        <w:bidi w:val="0"/>
        <w:spacing w:before="0" w:after="280" w:line="274" w:lineRule="exact"/>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color w:val="000000"/>
          <w:spacing w:val="0"/>
          <w:w w:val="100"/>
          <w:position w:val="0"/>
        </w:rPr>
        <w:t>、</w:t>
        <w:tab/>
        <w:t>会计期间</w:t>
      </w:r>
      <w:bookmarkEnd w:id="894"/>
      <w:bookmarkEnd w:id="895"/>
      <w:bookmarkEnd w:id="897"/>
    </w:p>
    <w:p>
      <w:pPr>
        <w:pStyle w:val="Style41"/>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本公司会计年度采用公历年度，即每年自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2"/>
        <w:keepNext/>
        <w:keepLines/>
        <w:widowControl w:val="0"/>
        <w:shd w:val="clear" w:color="auto" w:fill="auto"/>
        <w:tabs>
          <w:tab w:pos="392" w:val="left"/>
        </w:tabs>
        <w:bidi w:val="0"/>
        <w:spacing w:before="0" w:after="280" w:line="274" w:lineRule="exact"/>
        <w:ind w:left="0" w:right="0" w:firstLine="0"/>
        <w:jc w:val="both"/>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3</w:t>
      </w:r>
      <w:bookmarkEnd w:id="900"/>
      <w:r>
        <w:rPr>
          <w:color w:val="000000"/>
          <w:spacing w:val="0"/>
          <w:w w:val="100"/>
          <w:position w:val="0"/>
        </w:rPr>
        <w:t>、</w:t>
        <w:tab/>
        <w:t>营业周期</w:t>
      </w:r>
      <w:bookmarkEnd w:id="898"/>
      <w:bookmarkEnd w:id="899"/>
      <w:bookmarkEnd w:id="901"/>
    </w:p>
    <w:p>
      <w:pPr>
        <w:pStyle w:val="Style41"/>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2"/>
        <w:keepNext/>
        <w:keepLines/>
        <w:widowControl w:val="0"/>
        <w:shd w:val="clear" w:color="auto" w:fill="auto"/>
        <w:tabs>
          <w:tab w:pos="392" w:val="left"/>
        </w:tabs>
        <w:bidi w:val="0"/>
        <w:spacing w:before="0" w:after="280" w:line="274" w:lineRule="exact"/>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4</w:t>
      </w:r>
      <w:bookmarkEnd w:id="904"/>
      <w:r>
        <w:rPr>
          <w:color w:val="000000"/>
          <w:spacing w:val="0"/>
          <w:w w:val="100"/>
          <w:position w:val="0"/>
        </w:rPr>
        <w:t>、</w:t>
        <w:tab/>
        <w:t>记账本位币</w:t>
      </w:r>
      <w:bookmarkEnd w:id="902"/>
      <w:bookmarkEnd w:id="903"/>
      <w:bookmarkEnd w:id="905"/>
    </w:p>
    <w:p>
      <w:pPr>
        <w:pStyle w:val="Style4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本公司记账本位币和编制本财务报表所采用的货币均为人民币。除有特别说明外，均以人民币元为单位表 示。</w:t>
      </w:r>
    </w:p>
    <w:p>
      <w:pPr>
        <w:pStyle w:val="Style41"/>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本公司下属子公司、合营企业及联营企业，根据其经营所处的主要经济环境自行决定其记账本位币，编制 财务报表时折算为人民币。</w:t>
      </w:r>
    </w:p>
    <w:p>
      <w:pPr>
        <w:pStyle w:val="Style32"/>
        <w:keepNext/>
        <w:keepLines/>
        <w:widowControl w:val="0"/>
        <w:shd w:val="clear" w:color="auto" w:fill="auto"/>
        <w:tabs>
          <w:tab w:pos="392" w:val="left"/>
        </w:tabs>
        <w:bidi w:val="0"/>
        <w:spacing w:before="0" w:after="280" w:line="274" w:lineRule="exact"/>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5</w:t>
      </w:r>
      <w:bookmarkEnd w:id="908"/>
      <w:r>
        <w:rPr>
          <w:color w:val="000000"/>
          <w:spacing w:val="0"/>
          <w:w w:val="100"/>
          <w:position w:val="0"/>
        </w:rPr>
        <w:t>、</w:t>
        <w:tab/>
        <w:t>同一控制下和非同一控制下企业合并的会计处理方法</w:t>
      </w:r>
      <w:bookmarkEnd w:id="906"/>
      <w:bookmarkEnd w:id="907"/>
      <w:bookmarkEnd w:id="909"/>
    </w:p>
    <w:p>
      <w:pPr>
        <w:pStyle w:val="Style41"/>
        <w:keepNext w:val="0"/>
        <w:keepLines w:val="0"/>
        <w:widowControl w:val="0"/>
        <w:shd w:val="clear" w:color="auto" w:fill="auto"/>
        <w:bidi w:val="0"/>
        <w:spacing w:before="0" w:after="0" w:line="274" w:lineRule="exact"/>
        <w:ind w:left="0" w:right="0" w:firstLine="0"/>
        <w:jc w:val="both"/>
      </w:pPr>
      <w:r>
        <w:rPr>
          <w:color w:val="000000"/>
          <w:spacing w:val="0"/>
          <w:w w:val="100"/>
          <w:position w:val="0"/>
        </w:rPr>
        <w:t>企业合并分为同一控制下企业合并和非同一控制下企业合并。</w:t>
      </w:r>
    </w:p>
    <w:p>
      <w:pPr>
        <w:pStyle w:val="Style41"/>
        <w:keepNext w:val="0"/>
        <w:keepLines w:val="0"/>
        <w:widowControl w:val="0"/>
        <w:shd w:val="clear" w:color="auto" w:fill="auto"/>
        <w:bidi w:val="0"/>
        <w:spacing w:before="0" w:after="0" w:line="274" w:lineRule="exact"/>
        <w:ind w:left="0" w:right="0" w:firstLine="0"/>
        <w:jc w:val="both"/>
      </w:pPr>
      <w:r>
        <w:rPr>
          <w:color w:val="000000"/>
          <w:spacing w:val="0"/>
          <w:w w:val="100"/>
          <w:position w:val="0"/>
        </w:rPr>
        <w:t>同一控制下企业合并：</w:t>
      </w:r>
    </w:p>
    <w:p>
      <w:pPr>
        <w:pStyle w:val="Style41"/>
        <w:keepNext w:val="0"/>
        <w:keepLines w:val="0"/>
        <w:widowControl w:val="0"/>
        <w:shd w:val="clear" w:color="auto" w:fill="auto"/>
        <w:bidi w:val="0"/>
        <w:spacing w:before="0" w:after="0" w:line="274" w:lineRule="exact"/>
        <w:ind w:left="0" w:right="0" w:firstLine="0"/>
        <w:jc w:val="both"/>
      </w:pPr>
      <w:r>
        <w:rPr>
          <w:color w:val="000000"/>
          <w:spacing w:val="0"/>
          <w:w w:val="100"/>
          <w:position w:val="0"/>
        </w:rPr>
        <w:t>参与合并的企业在合并前后均受同一方或相同的多方最终控制，且该控制并非暂时性的，为同一控制下企 业合并。同一控制下企业合并，在合并日取得对其他参与合并企业控制权的一方为合并方，参与合并的其 他企业为被合并方。合并日，是指合并方实际取得对被合并方控制权的日期。</w:t>
      </w:r>
    </w:p>
    <w:p>
      <w:pPr>
        <w:pStyle w:val="Style41"/>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合并方在同一控制下企业合并中取得的资产和负债（包括最终控制方收购被合并方而形成的商誉），按合 并日在最终控制方财务报表中的账面价值为基础进行相关会计处理。合并方取得的净资产账面价值与支付 的合并对价的账面价值（或发行股份面值总额）的差额，调整资本公积中的股本溢价，不足冲减的则调整 留存收益。</w:t>
      </w:r>
    </w:p>
    <w:p>
      <w:pPr>
        <w:pStyle w:val="Style41"/>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非同一控制下企业合并：</w:t>
      </w:r>
    </w:p>
    <w:p>
      <w:pPr>
        <w:pStyle w:val="Style41"/>
        <w:keepNext w:val="0"/>
        <w:keepLines w:val="0"/>
        <w:widowControl w:val="0"/>
        <w:shd w:val="clear" w:color="auto" w:fill="auto"/>
        <w:bidi w:val="0"/>
        <w:spacing w:before="0" w:after="0" w:line="274" w:lineRule="exact"/>
        <w:ind w:left="0" w:right="0" w:firstLine="0"/>
        <w:jc w:val="both"/>
      </w:pPr>
      <w:r>
        <w:rPr>
          <w:color w:val="000000"/>
          <w:spacing w:val="0"/>
          <w:w w:val="100"/>
          <w:position w:val="0"/>
        </w:rPr>
        <w:t>参与合并的企业在合并前后不受同一方或相同的多方最终控制的，为非同一控制下企业合并。非同一控制 下企业合并，在购买日取得对其他参与合并企业控制权的一方为购买方，参与合并的其他企业为被购买方。 购买日，是指为购买方实际取得对被购买方控制权的日期。</w:t>
      </w:r>
    </w:p>
    <w:p>
      <w:pPr>
        <w:pStyle w:val="Style41"/>
        <w:keepNext w:val="0"/>
        <w:keepLines w:val="0"/>
        <w:widowControl w:val="0"/>
        <w:shd w:val="clear" w:color="auto" w:fill="auto"/>
        <w:bidi w:val="0"/>
        <w:spacing w:before="0" w:after="0" w:line="274" w:lineRule="exact"/>
        <w:ind w:left="0" w:right="0" w:firstLine="0"/>
        <w:jc w:val="both"/>
      </w:pPr>
      <w:r>
        <w:rPr>
          <w:color w:val="000000"/>
          <w:spacing w:val="0"/>
          <w:w w:val="100"/>
          <w:position w:val="0"/>
        </w:rPr>
        <w:t>非同一控制下企业合并中所取得的被购买方可辨认资产、负债及或有负债在收购日以公允价值计量。</w:t>
      </w:r>
    </w:p>
    <w:p>
      <w:pPr>
        <w:pStyle w:val="Style41"/>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支付的合并对价的公允价值（或发行的权益性证券的公允价值）与购买日之前持有的被购买方的股权的公 允价值之和大于合并中取得的被购买方可辨认净资产公允价值份额的差额，确认为商誉，并以成本减去累 计减值损失进行后续计量。支付的合并对价的公允价值（或发行的权益性证券的公允价值）与购买日之前 持有的被购买方的股权的公允价值之和小于合并中取得的被购买方可辨认净资产公允价值份额的，对取得 的被购买方各项可辨认资产、负债及或有负债的公允价值以及支付的合并对价的公允价值（或发行的权益 性证券的公允价值）及购买日之前持有的被购买方的股权的公允价值的计量进行复核，复核后支付的合并 对价的公允价值（或发行的权益性证券的公允价值）与购买日之前持有的被购买方的股权的公允价值之和 仍小于合并中取得的被购买方可辨认净资产公允价值份额的，其差额计入当期损益。</w:t>
      </w:r>
    </w:p>
    <w:p>
      <w:pPr>
        <w:pStyle w:val="Style32"/>
        <w:keepNext/>
        <w:keepLines/>
        <w:widowControl w:val="0"/>
        <w:shd w:val="clear" w:color="auto" w:fill="auto"/>
        <w:tabs>
          <w:tab w:pos="392" w:val="left"/>
        </w:tabs>
        <w:bidi w:val="0"/>
        <w:spacing w:before="0" w:after="280" w:line="274" w:lineRule="exact"/>
        <w:ind w:left="0" w:right="0" w:firstLine="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6</w:t>
      </w:r>
      <w:bookmarkEnd w:id="912"/>
      <w:r>
        <w:rPr>
          <w:color w:val="000000"/>
          <w:spacing w:val="0"/>
          <w:w w:val="100"/>
          <w:position w:val="0"/>
        </w:rPr>
        <w:t>、</w:t>
        <w:tab/>
        <w:t>合并财务报表的编制方法</w:t>
      </w:r>
      <w:bookmarkEnd w:id="910"/>
      <w:bookmarkEnd w:id="911"/>
      <w:bookmarkEnd w:id="913"/>
    </w:p>
    <w:p>
      <w:pPr>
        <w:pStyle w:val="Style41"/>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合并财务报表的合并范围以控制为基础确定，包括母公司及全部子公司的财务报表。子公司，是指被母公 司控制的主体（含企业、被投资单位中可分割的部分，以及母公司所控制的结构化主体等）。</w:t>
      </w:r>
    </w:p>
    <w:p>
      <w:pPr>
        <w:pStyle w:val="Style41"/>
        <w:keepNext w:val="0"/>
        <w:keepLines w:val="0"/>
        <w:widowControl w:val="0"/>
        <w:shd w:val="clear" w:color="auto" w:fill="auto"/>
        <w:bidi w:val="0"/>
        <w:spacing w:before="0" w:after="0" w:line="274" w:lineRule="exact"/>
        <w:ind w:left="0" w:right="0" w:firstLine="0"/>
        <w:jc w:val="both"/>
      </w:pPr>
      <w:r>
        <w:rPr>
          <w:color w:val="000000"/>
          <w:spacing w:val="0"/>
          <w:w w:val="100"/>
          <w:position w:val="0"/>
        </w:rPr>
        <w:t>编制合并财务报表时，子公司采用与母公司一致的会计期间和会计政策。本公司内部各公司之间的所有交 易产生的资产、负债、权益、收入、费用和现金流量于合并时全额抵销。</w:t>
      </w:r>
    </w:p>
    <w:p>
      <w:pPr>
        <w:pStyle w:val="Style41"/>
        <w:keepNext w:val="0"/>
        <w:keepLines w:val="0"/>
        <w:widowControl w:val="0"/>
        <w:shd w:val="clear" w:color="auto" w:fill="auto"/>
        <w:bidi w:val="0"/>
        <w:spacing w:before="0" w:after="280" w:line="274" w:lineRule="exact"/>
        <w:ind w:left="0" w:right="0" w:firstLine="0"/>
        <w:jc w:val="both"/>
      </w:pPr>
      <w:r>
        <w:rPr>
          <w:color w:val="000000"/>
          <w:spacing w:val="0"/>
          <w:w w:val="100"/>
          <w:position w:val="0"/>
        </w:rPr>
        <w:t>子公司少数股东分担的当期亏损超过了少数股东在该子公司期初股东权益中所享有的份额的，其余额仍冲 减少数股东权益。</w:t>
      </w:r>
    </w:p>
    <w:p>
      <w:pPr>
        <w:pStyle w:val="Style41"/>
        <w:keepNext w:val="0"/>
        <w:keepLines w:val="0"/>
        <w:widowControl w:val="0"/>
        <w:shd w:val="clear" w:color="auto" w:fill="auto"/>
        <w:bidi w:val="0"/>
        <w:spacing w:before="0" w:after="0" w:line="277" w:lineRule="exact"/>
        <w:ind w:left="0" w:right="0" w:firstLine="0"/>
        <w:jc w:val="left"/>
      </w:pPr>
      <w:r>
        <w:rPr>
          <w:color w:val="000000"/>
          <w:spacing w:val="0"/>
          <w:w w:val="100"/>
          <w:position w:val="0"/>
        </w:rPr>
        <w:t>对于通过非同一控制下企业合并取得的子公司，被购买方的经营成果和现金流量自公司取得控制权之日起 纳入合并财务报表，直至公司对其控制权终止。在编制合并财务报表时，以购买日确定的各项可辨认资产、 负债及或有负债的公允价值为基础对子公司的财务报表进行调整。</w:t>
      </w:r>
    </w:p>
    <w:p>
      <w:pPr>
        <w:pStyle w:val="Style41"/>
        <w:keepNext w:val="0"/>
        <w:keepLines w:val="0"/>
        <w:widowControl w:val="0"/>
        <w:shd w:val="clear" w:color="auto" w:fill="auto"/>
        <w:bidi w:val="0"/>
        <w:spacing w:before="0" w:after="0" w:line="277" w:lineRule="exact"/>
        <w:ind w:left="0" w:right="0" w:firstLine="0"/>
        <w:jc w:val="left"/>
      </w:pPr>
      <w:r>
        <w:rPr>
          <w:color w:val="000000"/>
          <w:spacing w:val="0"/>
          <w:w w:val="100"/>
          <w:position w:val="0"/>
        </w:rPr>
        <w:t>对于通过同一控制下企业合并取得的子公司，被合并方的经营成果和现金流量自合并当期期初纳入合并财 务报表。编制比较合并财务报表时，对前期财务报表的相关项目进行调整，视同合并后形成的报告主体自 最终控制方开始实施控制时一直存在。</w:t>
      </w:r>
    </w:p>
    <w:p>
      <w:pPr>
        <w:pStyle w:val="Style41"/>
        <w:keepNext w:val="0"/>
        <w:keepLines w:val="0"/>
        <w:widowControl w:val="0"/>
        <w:shd w:val="clear" w:color="auto" w:fill="auto"/>
        <w:bidi w:val="0"/>
        <w:spacing w:before="0" w:after="340" w:line="277" w:lineRule="exact"/>
        <w:ind w:left="0" w:right="0" w:firstLine="0"/>
        <w:jc w:val="left"/>
      </w:pPr>
      <w:r>
        <w:rPr>
          <w:color w:val="000000"/>
          <w:spacing w:val="0"/>
          <w:w w:val="100"/>
          <w:position w:val="0"/>
        </w:rPr>
        <w:t>如果相关事实和情况的变化导致对控制要素中的一项或多项发生变化的，公司重新评估是否控制被投资方。</w:t>
      </w:r>
    </w:p>
    <w:p>
      <w:pPr>
        <w:pStyle w:val="Style32"/>
        <w:keepNext/>
        <w:keepLines/>
        <w:widowControl w:val="0"/>
        <w:shd w:val="clear" w:color="auto" w:fill="auto"/>
        <w:tabs>
          <w:tab w:pos="379" w:val="left"/>
        </w:tabs>
        <w:bidi w:val="0"/>
        <w:spacing w:before="0" w:after="240" w:line="29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7</w:t>
      </w:r>
      <w:bookmarkEnd w:id="916"/>
      <w:r>
        <w:rPr>
          <w:color w:val="000000"/>
          <w:spacing w:val="0"/>
          <w:w w:val="100"/>
          <w:position w:val="0"/>
        </w:rPr>
        <w:t>、</w:t>
        <w:tab/>
        <w:t>现金及现金等价物的确定标准</w:t>
      </w:r>
      <w:bookmarkEnd w:id="914"/>
      <w:bookmarkEnd w:id="915"/>
      <w:bookmarkEnd w:id="917"/>
    </w:p>
    <w:p>
      <w:pPr>
        <w:pStyle w:val="Style41"/>
        <w:keepNext w:val="0"/>
        <w:keepLines w:val="0"/>
        <w:widowControl w:val="0"/>
        <w:shd w:val="clear" w:color="auto" w:fill="auto"/>
        <w:bidi w:val="0"/>
        <w:spacing w:before="0" w:after="340" w:line="274" w:lineRule="exact"/>
        <w:ind w:left="0" w:right="0" w:firstLine="0"/>
        <w:jc w:val="left"/>
      </w:pPr>
      <w:r>
        <w:rPr>
          <w:color w:val="000000"/>
          <w:spacing w:val="0"/>
          <w:w w:val="100"/>
          <w:position w:val="0"/>
        </w:rPr>
        <w:t>现金，是指本公司的库存现金以及可以随时用于支付的存款；现金等价物，是指本公司持有的期限短、流 动性强、易于转换为已知金额的现金、价值变动风险很小的投资。</w:t>
      </w:r>
    </w:p>
    <w:p>
      <w:pPr>
        <w:pStyle w:val="Style32"/>
        <w:keepNext/>
        <w:keepLines/>
        <w:widowControl w:val="0"/>
        <w:shd w:val="clear" w:color="auto" w:fill="auto"/>
        <w:tabs>
          <w:tab w:pos="379" w:val="left"/>
        </w:tabs>
        <w:bidi w:val="0"/>
        <w:spacing w:before="0" w:after="240" w:line="29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8</w:t>
      </w:r>
      <w:bookmarkEnd w:id="920"/>
      <w:r>
        <w:rPr>
          <w:color w:val="000000"/>
          <w:spacing w:val="0"/>
          <w:w w:val="100"/>
          <w:position w:val="0"/>
        </w:rPr>
        <w:t>、</w:t>
        <w:tab/>
        <w:t>外币业务和外币报表折算</w:t>
      </w:r>
      <w:bookmarkEnd w:id="918"/>
      <w:bookmarkEnd w:id="919"/>
      <w:bookmarkEnd w:id="921"/>
    </w:p>
    <w:p>
      <w:pPr>
        <w:pStyle w:val="Style41"/>
        <w:keepNext w:val="0"/>
        <w:keepLines w:val="0"/>
        <w:widowControl w:val="0"/>
        <w:shd w:val="clear" w:color="auto" w:fill="auto"/>
        <w:bidi w:val="0"/>
        <w:spacing w:before="0" w:after="0" w:line="275" w:lineRule="exact"/>
        <w:ind w:left="0" w:right="0" w:firstLine="0"/>
        <w:jc w:val="left"/>
      </w:pPr>
      <w:r>
        <w:rPr>
          <w:color w:val="000000"/>
          <w:spacing w:val="0"/>
          <w:w w:val="100"/>
          <w:position w:val="0"/>
        </w:rPr>
        <w:t>本公司对于发生的外币交易，将外币金额折算为记账本位币金额。</w:t>
      </w:r>
    </w:p>
    <w:p>
      <w:pPr>
        <w:pStyle w:val="Style41"/>
        <w:keepNext w:val="0"/>
        <w:keepLines w:val="0"/>
        <w:widowControl w:val="0"/>
        <w:shd w:val="clear" w:color="auto" w:fill="auto"/>
        <w:bidi w:val="0"/>
        <w:spacing w:before="0" w:after="0" w:line="275" w:lineRule="exact"/>
        <w:ind w:left="0" w:right="0" w:firstLine="0"/>
        <w:jc w:val="left"/>
      </w:pPr>
      <w:r>
        <w:rPr>
          <w:color w:val="000000"/>
          <w:spacing w:val="0"/>
          <w:w w:val="100"/>
          <w:position w:val="0"/>
        </w:rPr>
        <w:t>外币交易在初始确认时，采用交易发生日的即期汇率将外币金额折算为记账本位币金额。于资产负债表日， 对于外币货币性项目采用资产负债表日即期汇率折算。由此产生的结算和货币性项目折算差额，除属于与 购建符合资本化条件的资产相关的外币专门借款产生的差额按照借款费用资本化的原则处理之外，均计入 当期损益。以历史成本计量的外币非货币性项目，仍采用交易发生日的即期汇率折算，不改变其记账本位 币金额。以公允价值计量的外币非货币性项目，采用公允价值确定日的即期汇率折算，由此产生的差额根 据非货币性项目的性质计入当期损益或其他综合收益。</w:t>
      </w:r>
    </w:p>
    <w:p>
      <w:pPr>
        <w:pStyle w:val="Style41"/>
        <w:keepNext w:val="0"/>
        <w:keepLines w:val="0"/>
        <w:widowControl w:val="0"/>
        <w:shd w:val="clear" w:color="auto" w:fill="auto"/>
        <w:bidi w:val="0"/>
        <w:spacing w:before="0" w:after="0" w:line="275" w:lineRule="exact"/>
        <w:ind w:left="0" w:right="0" w:firstLine="0"/>
        <w:jc w:val="left"/>
      </w:pPr>
      <w:r>
        <w:rPr>
          <w:color w:val="000000"/>
          <w:spacing w:val="0"/>
          <w:w w:val="100"/>
          <w:position w:val="0"/>
        </w:rPr>
        <w:t>对于境外经营，本公司在编制财务报表时将其记账本位币折算为人民币：对资产负债表中的资产和负债项 目，采用资产负债表日的即期汇率折算，股东权益项目除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 期汇率折算；利润表中的收入和费用项目，采用按照系统合理的方法确定的、与交易发生日即期汇率近似 的汇率折算。按照上述折算产生的外币财务报表折算差额，确认为其他综合收益。处置境外经营时，将与 该境外经营相关的其他综合收益转入处置当期损益，部分处置的按处置比例计算。</w:t>
      </w:r>
    </w:p>
    <w:p>
      <w:pPr>
        <w:pStyle w:val="Style41"/>
        <w:keepNext w:val="0"/>
        <w:keepLines w:val="0"/>
        <w:widowControl w:val="0"/>
        <w:shd w:val="clear" w:color="auto" w:fill="auto"/>
        <w:bidi w:val="0"/>
        <w:spacing w:before="0" w:after="340" w:line="275" w:lineRule="exact"/>
        <w:ind w:left="0" w:right="0" w:firstLine="0"/>
        <w:jc w:val="left"/>
      </w:pPr>
      <w:r>
        <w:rPr>
          <w:color w:val="000000"/>
          <w:spacing w:val="0"/>
          <w:w w:val="100"/>
          <w:position w:val="0"/>
        </w:rPr>
        <w:t>外币现金流量以及境外子公司的现金流量，采用现金流量发生当期平均汇率折算。汇率变动对现金的影响 额作为调节项目，在现金流量表中单独列报。</w:t>
      </w:r>
    </w:p>
    <w:p>
      <w:pPr>
        <w:pStyle w:val="Style32"/>
        <w:keepNext/>
        <w:keepLines/>
        <w:widowControl w:val="0"/>
        <w:shd w:val="clear" w:color="auto" w:fill="auto"/>
        <w:tabs>
          <w:tab w:pos="379" w:val="left"/>
        </w:tabs>
        <w:bidi w:val="0"/>
        <w:spacing w:before="0" w:after="240" w:line="29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9</w:t>
      </w:r>
      <w:bookmarkEnd w:id="924"/>
      <w:r>
        <w:rPr>
          <w:color w:val="000000"/>
          <w:spacing w:val="0"/>
          <w:w w:val="100"/>
          <w:position w:val="0"/>
        </w:rPr>
        <w:t>、</w:t>
        <w:tab/>
        <w:t>金融工具</w:t>
      </w:r>
      <w:bookmarkEnd w:id="922"/>
      <w:bookmarkEnd w:id="923"/>
      <w:bookmarkEnd w:id="925"/>
    </w:p>
    <w:p>
      <w:pPr>
        <w:pStyle w:val="Style41"/>
        <w:keepNext w:val="0"/>
        <w:keepLines w:val="0"/>
        <w:widowControl w:val="0"/>
        <w:shd w:val="clear" w:color="auto" w:fill="auto"/>
        <w:bidi w:val="0"/>
        <w:spacing w:before="0" w:after="100" w:line="277" w:lineRule="exact"/>
        <w:ind w:left="0" w:right="0" w:firstLine="0"/>
        <w:jc w:val="left"/>
      </w:pPr>
      <w:r>
        <w:rPr>
          <w:color w:val="000000"/>
          <w:spacing w:val="0"/>
          <w:w w:val="100"/>
          <w:position w:val="0"/>
        </w:rPr>
        <w:t>金融工具，是指形成一个企业的金融资产，并形成其他单位的金融负债或权益工具的合同。</w:t>
      </w:r>
    </w:p>
    <w:p>
      <w:pPr>
        <w:pStyle w:val="Style41"/>
        <w:keepNext w:val="0"/>
        <w:keepLines w:val="0"/>
        <w:widowControl w:val="0"/>
        <w:shd w:val="clear" w:color="auto" w:fill="auto"/>
        <w:bidi w:val="0"/>
        <w:spacing w:before="0" w:after="100" w:line="277" w:lineRule="exact"/>
        <w:ind w:left="0" w:right="0" w:firstLine="0"/>
        <w:jc w:val="left"/>
      </w:pPr>
      <w:r>
        <w:rPr>
          <w:b/>
          <w:bCs/>
          <w:color w:val="000000"/>
          <w:spacing w:val="0"/>
          <w:w w:val="100"/>
          <w:position w:val="0"/>
        </w:rPr>
        <w:t>金融工具的确认和终止确认</w:t>
      </w:r>
    </w:p>
    <w:p>
      <w:pPr>
        <w:pStyle w:val="Style41"/>
        <w:keepNext w:val="0"/>
        <w:keepLines w:val="0"/>
        <w:widowControl w:val="0"/>
        <w:shd w:val="clear" w:color="auto" w:fill="auto"/>
        <w:bidi w:val="0"/>
        <w:spacing w:before="0" w:after="0" w:line="277" w:lineRule="exact"/>
        <w:ind w:left="0" w:right="0" w:firstLine="0"/>
        <w:jc w:val="left"/>
      </w:pPr>
      <w:r>
        <w:rPr>
          <w:color w:val="000000"/>
          <w:spacing w:val="0"/>
          <w:w w:val="100"/>
          <w:position w:val="0"/>
        </w:rPr>
        <w:t>本公司于成为金融工具合同的一方时确认一项金融资产或金融负债。</w:t>
      </w:r>
    </w:p>
    <w:p>
      <w:pPr>
        <w:pStyle w:val="Style41"/>
        <w:keepNext w:val="0"/>
        <w:keepLines w:val="0"/>
        <w:widowControl w:val="0"/>
        <w:shd w:val="clear" w:color="auto" w:fill="auto"/>
        <w:bidi w:val="0"/>
        <w:spacing w:before="0" w:after="40" w:line="277" w:lineRule="exact"/>
        <w:ind w:left="0" w:right="0" w:firstLine="0"/>
        <w:jc w:val="left"/>
      </w:pPr>
      <w:r>
        <w:rPr>
          <w:color w:val="000000"/>
          <w:spacing w:val="0"/>
          <w:w w:val="100"/>
          <w:position w:val="0"/>
        </w:rPr>
        <w:t>满足下列条件的，终止确认金融资产(或金融资产的一部分，或一组类似金融资产的一部分)，即从其账 户和资产负债表内予以转销：</w:t>
      </w:r>
    </w:p>
    <w:p>
      <w:pPr>
        <w:pStyle w:val="Style41"/>
        <w:keepNext w:val="0"/>
        <w:keepLines w:val="0"/>
        <w:widowControl w:val="0"/>
        <w:numPr>
          <w:ilvl w:val="0"/>
          <w:numId w:val="9"/>
        </w:numPr>
        <w:shd w:val="clear" w:color="auto" w:fill="auto"/>
        <w:tabs>
          <w:tab w:pos="410" w:val="left"/>
        </w:tabs>
        <w:bidi w:val="0"/>
        <w:spacing w:before="0" w:after="0" w:line="290" w:lineRule="auto"/>
        <w:ind w:left="0" w:right="0" w:firstLine="0"/>
        <w:jc w:val="left"/>
      </w:pPr>
      <w:bookmarkStart w:id="926" w:name="bookmark926"/>
      <w:bookmarkEnd w:id="926"/>
      <w:r>
        <w:rPr>
          <w:color w:val="000000"/>
          <w:spacing w:val="0"/>
          <w:w w:val="100"/>
          <w:position w:val="0"/>
        </w:rPr>
        <w:t>收取金融资产现金流量的权利届满；</w:t>
      </w:r>
    </w:p>
    <w:p>
      <w:pPr>
        <w:pStyle w:val="Style41"/>
        <w:keepNext w:val="0"/>
        <w:keepLines w:val="0"/>
        <w:widowControl w:val="0"/>
        <w:numPr>
          <w:ilvl w:val="0"/>
          <w:numId w:val="9"/>
        </w:numPr>
        <w:shd w:val="clear" w:color="auto" w:fill="auto"/>
        <w:tabs>
          <w:tab w:pos="410" w:val="left"/>
        </w:tabs>
        <w:bidi w:val="0"/>
        <w:spacing w:before="0" w:after="0" w:line="277" w:lineRule="exact"/>
        <w:ind w:left="0" w:right="0" w:firstLine="0"/>
        <w:jc w:val="left"/>
      </w:pPr>
      <w:bookmarkStart w:id="927" w:name="bookmark927"/>
      <w:bookmarkEnd w:id="927"/>
      <w:r>
        <w:rPr>
          <w:color w:val="000000"/>
          <w:spacing w:val="0"/>
          <w:w w:val="100"/>
          <w:position w:val="0"/>
        </w:rPr>
        <w:t>转移了收取金融资产现金流量的权利，或在</w:t>
      </w:r>
      <w:r>
        <w:rPr>
          <w:rFonts w:ascii="Times New Roman" w:eastAsia="Times New Roman" w:hAnsi="Times New Roman" w:cs="Times New Roman"/>
          <w:color w:val="000000"/>
          <w:spacing w:val="0"/>
          <w:w w:val="100"/>
          <w:position w:val="0"/>
        </w:rPr>
        <w:t>“</w:t>
      </w:r>
      <w:r>
        <w:rPr>
          <w:color w:val="000000"/>
          <w:spacing w:val="0"/>
          <w:w w:val="100"/>
          <w:position w:val="0"/>
        </w:rPr>
        <w:t>过手协议</w:t>
      </w:r>
      <w:r>
        <w:rPr>
          <w:rFonts w:ascii="Times New Roman" w:eastAsia="Times New Roman" w:hAnsi="Times New Roman" w:cs="Times New Roman"/>
          <w:color w:val="000000"/>
          <w:spacing w:val="0"/>
          <w:w w:val="100"/>
          <w:position w:val="0"/>
        </w:rPr>
        <w:t>”</w:t>
      </w:r>
      <w:r>
        <w:rPr>
          <w:color w:val="000000"/>
          <w:spacing w:val="0"/>
          <w:w w:val="100"/>
          <w:position w:val="0"/>
        </w:rPr>
        <w:t>下承担了及时将收取的现金流量全额支付给第 三方的义务；并且</w:t>
      </w:r>
      <w:r>
        <w:rPr>
          <w:rFonts w:ascii="Times New Roman" w:eastAsia="Times New Roman" w:hAnsi="Times New Roman" w:cs="Times New Roman"/>
          <w:color w:val="000000"/>
          <w:spacing w:val="0"/>
          <w:w w:val="100"/>
          <w:position w:val="0"/>
        </w:rPr>
        <w:t>(a)</w:t>
      </w:r>
      <w:r>
        <w:rPr>
          <w:color w:val="000000"/>
          <w:spacing w:val="0"/>
          <w:w w:val="100"/>
          <w:position w:val="0"/>
        </w:rPr>
        <w:t>实质上转让了金融资产所有权上几乎所有的风险和报酬，或</w:t>
      </w:r>
      <w:r>
        <w:rPr>
          <w:rFonts w:ascii="Times New Roman" w:eastAsia="Times New Roman" w:hAnsi="Times New Roman" w:cs="Times New Roman"/>
          <w:color w:val="000000"/>
          <w:spacing w:val="0"/>
          <w:w w:val="100"/>
          <w:position w:val="0"/>
        </w:rPr>
        <w:t>(b)</w:t>
      </w:r>
      <w:r>
        <w:rPr>
          <w:color w:val="000000"/>
          <w:spacing w:val="0"/>
          <w:w w:val="100"/>
          <w:position w:val="0"/>
        </w:rPr>
        <w:t>虽然实质上既没有转移 也没有保留金融资产所有权上几乎所有的风险和报酬，但放弃了对该金融资产的控制。</w:t>
      </w:r>
    </w:p>
    <w:p>
      <w:pPr>
        <w:pStyle w:val="Style41"/>
        <w:keepNext w:val="0"/>
        <w:keepLines w:val="0"/>
        <w:widowControl w:val="0"/>
        <w:shd w:val="clear" w:color="auto" w:fill="auto"/>
        <w:bidi w:val="0"/>
        <w:spacing w:before="0" w:after="240" w:line="277" w:lineRule="exact"/>
        <w:ind w:left="0" w:right="0" w:firstLine="0"/>
        <w:jc w:val="left"/>
      </w:pPr>
      <w:r>
        <w:rPr>
          <w:color w:val="000000"/>
          <w:spacing w:val="0"/>
          <w:w w:val="100"/>
          <w:position w:val="0"/>
        </w:rPr>
        <w:t>如果金融负债的责任已履行、撤销或届满，则对金融负债进行终止确认。如果现有金融负债被同一债权人 以实质上几乎完全不同条款的另一金融负债所取代，或现有负债的条款几乎全部被实质性修改，则此类替 换或修改作为终止确认原负债和确认新负债处理，差额计入当期损益。</w:t>
      </w:r>
    </w:p>
    <w:p>
      <w:pPr>
        <w:pStyle w:val="Style41"/>
        <w:keepNext w:val="0"/>
        <w:keepLines w:val="0"/>
        <w:widowControl w:val="0"/>
        <w:shd w:val="clear" w:color="auto" w:fill="auto"/>
        <w:bidi w:val="0"/>
        <w:spacing w:before="0" w:after="240" w:line="278" w:lineRule="exact"/>
        <w:ind w:left="0" w:right="0" w:firstLine="0"/>
        <w:jc w:val="left"/>
      </w:pPr>
      <w:r>
        <w:rPr>
          <w:color w:val="000000"/>
          <w:spacing w:val="0"/>
          <w:w w:val="100"/>
          <w:position w:val="0"/>
        </w:rPr>
        <w:t>以常规方式买卖金融资产，按交易日会计进行确认和终止确认。常规方式买卖金融资产，是指按照合同条 款的约定，在法规或通行惯例规定的期限内收取或交付金融资产。交易日，是指本公司承诺买入或卖出金 融资产的日期。</w:t>
      </w:r>
    </w:p>
    <w:p>
      <w:pPr>
        <w:pStyle w:val="Style32"/>
        <w:keepNext/>
        <w:keepLines/>
        <w:widowControl w:val="0"/>
        <w:shd w:val="clear" w:color="auto" w:fill="auto"/>
        <w:bidi w:val="0"/>
        <w:spacing w:before="0" w:after="0" w:line="273" w:lineRule="exact"/>
        <w:ind w:left="0" w:right="0" w:firstLine="0"/>
        <w:jc w:val="both"/>
      </w:pPr>
      <w:bookmarkStart w:id="928" w:name="bookmark928"/>
      <w:bookmarkStart w:id="929" w:name="bookmark929"/>
      <w:bookmarkStart w:id="930" w:name="bookmark930"/>
      <w:r>
        <w:rPr>
          <w:color w:val="000000"/>
          <w:spacing w:val="0"/>
          <w:w w:val="100"/>
          <w:position w:val="0"/>
        </w:rPr>
        <w:t>金融资产分类和计量</w:t>
      </w:r>
      <w:bookmarkEnd w:id="928"/>
      <w:bookmarkEnd w:id="929"/>
      <w:bookmarkEnd w:id="930"/>
    </w:p>
    <w:p>
      <w:pPr>
        <w:pStyle w:val="Style41"/>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本公司的金融资产于初始确认时根据本公司企业管理金融资产的业务模式和金融资产的合同现金流量特 征分类为：以公允价值计量且其变动计入当期损益的金融资产、以摊余成本计量的金融资产、以公允价值 计量且其变动计入其他综合收益的金融资产。当且仅当本公司改变管理金融资产的业务模式时，才对所有 受影响的相关金融资产进行重分类。</w:t>
      </w:r>
    </w:p>
    <w:p>
      <w:pPr>
        <w:pStyle w:val="Style41"/>
        <w:keepNext w:val="0"/>
        <w:keepLines w:val="0"/>
        <w:widowControl w:val="0"/>
        <w:shd w:val="clear" w:color="auto" w:fill="auto"/>
        <w:bidi w:val="0"/>
        <w:spacing w:before="0" w:after="0" w:line="273" w:lineRule="exact"/>
        <w:ind w:left="0" w:right="0" w:firstLine="0"/>
        <w:jc w:val="both"/>
      </w:pPr>
      <w:r>
        <w:rPr>
          <w:color w:val="000000"/>
          <w:spacing w:val="0"/>
          <w:w w:val="100"/>
          <w:position w:val="0"/>
        </w:rPr>
        <w:t>金融资产在初始确认时以公允价值计量，但是因销售商品或提供服务等产生的应收账款或应收票据未包含 重大融资成分或不考虑不超过一年的融资成分的，按照交易价格进行初始计量。</w:t>
      </w:r>
    </w:p>
    <w:p>
      <w:pPr>
        <w:pStyle w:val="Style41"/>
        <w:keepNext w:val="0"/>
        <w:keepLines w:val="0"/>
        <w:widowControl w:val="0"/>
        <w:shd w:val="clear" w:color="auto" w:fill="auto"/>
        <w:bidi w:val="0"/>
        <w:spacing w:before="0" w:after="0" w:line="273" w:lineRule="exact"/>
        <w:ind w:left="0" w:right="0" w:firstLine="0"/>
        <w:jc w:val="both"/>
      </w:pPr>
      <w:r>
        <w:rPr>
          <w:color w:val="000000"/>
          <w:spacing w:val="0"/>
          <w:w w:val="100"/>
          <w:position w:val="0"/>
        </w:rPr>
        <w:t>对于以公允价值计量且其变动计入当期损益的金融资产，相关交易费用直接计入当期损益，其他类别的金 融资产相关交易费用计入其初始确认金额。</w:t>
      </w:r>
    </w:p>
    <w:p>
      <w:pPr>
        <w:pStyle w:val="Style41"/>
        <w:keepNext w:val="0"/>
        <w:keepLines w:val="0"/>
        <w:widowControl w:val="0"/>
        <w:shd w:val="clear" w:color="auto" w:fill="auto"/>
        <w:bidi w:val="0"/>
        <w:spacing w:before="0" w:after="220" w:line="273" w:lineRule="exact"/>
        <w:ind w:left="0" w:right="0" w:firstLine="0"/>
        <w:jc w:val="both"/>
      </w:pPr>
      <w:r>
        <w:rPr>
          <w:color w:val="000000"/>
          <w:spacing w:val="0"/>
          <w:w w:val="100"/>
          <w:position w:val="0"/>
        </w:rPr>
        <w:t>金融资产的后续计量取决于其分类：</w:t>
      </w:r>
    </w:p>
    <w:p>
      <w:pPr>
        <w:pStyle w:val="Style41"/>
        <w:keepNext w:val="0"/>
        <w:keepLines w:val="0"/>
        <w:widowControl w:val="0"/>
        <w:shd w:val="clear" w:color="auto" w:fill="auto"/>
        <w:bidi w:val="0"/>
        <w:spacing w:before="0" w:after="0" w:line="275" w:lineRule="exact"/>
        <w:ind w:left="0" w:right="0" w:firstLine="0"/>
        <w:jc w:val="both"/>
      </w:pPr>
      <w:r>
        <w:rPr>
          <w:color w:val="000000"/>
          <w:spacing w:val="0"/>
          <w:w w:val="100"/>
          <w:position w:val="0"/>
        </w:rPr>
        <w:t>以摊余成本计量的债务工具投资</w:t>
      </w:r>
    </w:p>
    <w:p>
      <w:pPr>
        <w:pStyle w:val="Style41"/>
        <w:keepNext w:val="0"/>
        <w:keepLines w:val="0"/>
        <w:widowControl w:val="0"/>
        <w:shd w:val="clear" w:color="auto" w:fill="auto"/>
        <w:bidi w:val="0"/>
        <w:spacing w:before="0" w:after="220" w:line="275" w:lineRule="exact"/>
        <w:ind w:left="0" w:right="0" w:firstLine="0"/>
        <w:jc w:val="both"/>
      </w:pPr>
      <w:r>
        <w:rPr>
          <w:color w:val="000000"/>
          <w:spacing w:val="0"/>
          <w:w w:val="100"/>
          <w:position w:val="0"/>
        </w:rPr>
        <w:t>金融资产同时符合下列条件的，分类为以摊余成本计量的金融资产：管理该金融资产的业务模式是以收取 合同现金流量为目标；该金融资产的合同条款规定，在特定日期产生的现金流量仅为对本金和以未偿付本 金金额为基础的利息的支付。此类金融资产采用实际利率法确认利息收入，其终止确认、修改或减值产生 的利得或损失，均计入当期损益。</w:t>
      </w:r>
    </w:p>
    <w:p>
      <w:pPr>
        <w:pStyle w:val="Style41"/>
        <w:keepNext w:val="0"/>
        <w:keepLines w:val="0"/>
        <w:widowControl w:val="0"/>
        <w:shd w:val="clear" w:color="auto" w:fill="auto"/>
        <w:bidi w:val="0"/>
        <w:spacing w:before="0" w:after="0" w:line="276" w:lineRule="exact"/>
        <w:ind w:left="0" w:right="0" w:firstLine="0"/>
        <w:jc w:val="both"/>
      </w:pPr>
      <w:r>
        <w:rPr>
          <w:color w:val="000000"/>
          <w:spacing w:val="0"/>
          <w:w w:val="100"/>
          <w:position w:val="0"/>
        </w:rPr>
        <w:t>以公允价值计量且其变动计入其他综合收益的债务工具投资</w:t>
      </w:r>
    </w:p>
    <w:p>
      <w:pPr>
        <w:pStyle w:val="Style41"/>
        <w:keepNext w:val="0"/>
        <w:keepLines w:val="0"/>
        <w:widowControl w:val="0"/>
        <w:shd w:val="clear" w:color="auto" w:fill="auto"/>
        <w:bidi w:val="0"/>
        <w:spacing w:before="0" w:after="220" w:line="276" w:lineRule="exact"/>
        <w:ind w:left="0" w:right="0" w:firstLine="0"/>
        <w:jc w:val="both"/>
      </w:pPr>
      <w:r>
        <w:rPr>
          <w:color w:val="000000"/>
          <w:spacing w:val="0"/>
          <w:w w:val="100"/>
          <w:position w:val="0"/>
        </w:rPr>
        <w:t>金融资产同时符合下列条件的，分类为以公允价值计量且其变动计入其他综合收益的金融资产：本公司管 理该金融资产的业务模式是既以收取合同现金流量为目标又以出售金融资产为目标；该金融资产的合同条 款规定，在特定日期产生的现金流量仅为对本金和以未偿付本金金额为基础的利息的支付。此类金融资产 采用实际利率法确认利息收入。除利息收入、减值损失及汇兑差额确认为当期损益外，其余公允价值变动 计入其他综合收益。当金融资产终止确认时，之前计入其他综合收益的累计利得或损失从其他综合收益转 出，计入当期损益。</w:t>
      </w:r>
    </w:p>
    <w:p>
      <w:pPr>
        <w:pStyle w:val="Style41"/>
        <w:keepNext w:val="0"/>
        <w:keepLines w:val="0"/>
        <w:widowControl w:val="0"/>
        <w:shd w:val="clear" w:color="auto" w:fill="auto"/>
        <w:bidi w:val="0"/>
        <w:spacing w:before="0" w:after="0" w:line="278" w:lineRule="exact"/>
        <w:ind w:left="0" w:right="0" w:firstLine="0"/>
        <w:jc w:val="both"/>
      </w:pPr>
      <w:r>
        <w:rPr>
          <w:color w:val="000000"/>
          <w:spacing w:val="0"/>
          <w:w w:val="100"/>
          <w:position w:val="0"/>
        </w:rPr>
        <w:t>以公允价值计量且其变动计入当期损益的金融资产</w:t>
      </w:r>
    </w:p>
    <w:p>
      <w:pPr>
        <w:pStyle w:val="Style41"/>
        <w:keepNext w:val="0"/>
        <w:keepLines w:val="0"/>
        <w:widowControl w:val="0"/>
        <w:shd w:val="clear" w:color="auto" w:fill="auto"/>
        <w:bidi w:val="0"/>
        <w:spacing w:before="0" w:after="220" w:line="278" w:lineRule="exact"/>
        <w:ind w:left="0" w:right="0" w:firstLine="0"/>
        <w:jc w:val="both"/>
      </w:pPr>
      <w:r>
        <w:rPr>
          <w:color w:val="000000"/>
          <w:spacing w:val="0"/>
          <w:w w:val="100"/>
          <w:position w:val="0"/>
        </w:rPr>
        <w:t>上述以摊余成本计量的金融资产和以公允价值计量且其变动计入其他综合收益的金融资产之外的金融资 产，分类为以公允价值计量且其变动计入当期损益的金融资产。对于此类金融资产，采用公允价值进行后 续计量，所有公允价值变动计入当期损益。</w:t>
      </w:r>
    </w:p>
    <w:p>
      <w:pPr>
        <w:pStyle w:val="Style32"/>
        <w:keepNext/>
        <w:keepLines/>
        <w:widowControl w:val="0"/>
        <w:shd w:val="clear" w:color="auto" w:fill="auto"/>
        <w:bidi w:val="0"/>
        <w:spacing w:before="0" w:after="0" w:line="276" w:lineRule="exact"/>
        <w:ind w:left="0" w:right="0" w:firstLine="0"/>
        <w:jc w:val="both"/>
      </w:pPr>
      <w:bookmarkStart w:id="931" w:name="bookmark931"/>
      <w:bookmarkStart w:id="932" w:name="bookmark932"/>
      <w:bookmarkStart w:id="933" w:name="bookmark933"/>
      <w:r>
        <w:rPr>
          <w:color w:val="000000"/>
          <w:spacing w:val="0"/>
          <w:w w:val="100"/>
          <w:position w:val="0"/>
        </w:rPr>
        <w:t>金融负债分类和计量</w:t>
      </w:r>
      <w:bookmarkEnd w:id="931"/>
      <w:bookmarkEnd w:id="932"/>
      <w:bookmarkEnd w:id="933"/>
    </w:p>
    <w:p>
      <w:pPr>
        <w:pStyle w:val="Style41"/>
        <w:keepNext w:val="0"/>
        <w:keepLines w:val="0"/>
        <w:widowControl w:val="0"/>
        <w:shd w:val="clear" w:color="auto" w:fill="auto"/>
        <w:bidi w:val="0"/>
        <w:spacing w:before="0" w:after="0" w:line="276" w:lineRule="exact"/>
        <w:ind w:left="0" w:right="0" w:firstLine="0"/>
        <w:jc w:val="both"/>
      </w:pPr>
      <w:r>
        <w:rPr>
          <w:color w:val="000000"/>
          <w:spacing w:val="0"/>
          <w:w w:val="100"/>
          <w:position w:val="0"/>
        </w:rPr>
        <w:t>本公司的金融负债于初始确认时分类为：以公允价值计量且其变动计入当期损益的金融负债、其他金融负 债。对于以公允价值计量且其变动计入当期损益的金融负债，相关交易费用直接计入当期损益，其他金融 负债的相关交易费用计入其初始确认金额。</w:t>
      </w:r>
    </w:p>
    <w:p>
      <w:pPr>
        <w:pStyle w:val="Style41"/>
        <w:keepNext w:val="0"/>
        <w:keepLines w:val="0"/>
        <w:widowControl w:val="0"/>
        <w:shd w:val="clear" w:color="auto" w:fill="auto"/>
        <w:bidi w:val="0"/>
        <w:spacing w:before="0" w:after="220" w:line="240" w:lineRule="auto"/>
        <w:ind w:left="0" w:right="0" w:firstLine="0"/>
        <w:jc w:val="both"/>
      </w:pPr>
      <w:r>
        <w:rPr>
          <w:color w:val="000000"/>
          <w:spacing w:val="0"/>
          <w:w w:val="100"/>
          <w:position w:val="0"/>
        </w:rPr>
        <w:t>金融负债的后续计量取决于其分类：</w:t>
      </w:r>
    </w:p>
    <w:p>
      <w:pPr>
        <w:pStyle w:val="Style41"/>
        <w:keepNext w:val="0"/>
        <w:keepLines w:val="0"/>
        <w:widowControl w:val="0"/>
        <w:shd w:val="clear" w:color="auto" w:fill="auto"/>
        <w:bidi w:val="0"/>
        <w:spacing w:before="0" w:after="0" w:line="274" w:lineRule="exact"/>
        <w:ind w:left="0" w:right="0" w:firstLine="0"/>
        <w:jc w:val="both"/>
      </w:pPr>
      <w:r>
        <w:rPr>
          <w:color w:val="000000"/>
          <w:spacing w:val="0"/>
          <w:w w:val="100"/>
          <w:position w:val="0"/>
        </w:rPr>
        <w:t>以公允价值计量且其变动计入当期损益的金融负债</w:t>
      </w:r>
    </w:p>
    <w:p>
      <w:pPr>
        <w:pStyle w:val="Style41"/>
        <w:keepNext w:val="0"/>
        <w:keepLines w:val="0"/>
        <w:widowControl w:val="0"/>
        <w:shd w:val="clear" w:color="auto" w:fill="auto"/>
        <w:bidi w:val="0"/>
        <w:spacing w:before="0" w:after="0" w:line="274" w:lineRule="exact"/>
        <w:ind w:left="0" w:right="0" w:firstLine="0"/>
        <w:jc w:val="both"/>
      </w:pPr>
      <w:r>
        <w:rPr>
          <w:color w:val="000000"/>
          <w:spacing w:val="0"/>
          <w:w w:val="100"/>
          <w:position w:val="0"/>
        </w:rPr>
        <w:t>以公允价值计量且其变动计入当期损益的金融负债，包括交易性金融负债（含属于金融负债的衍生工具） 和初始确认时指定为以公允价值计量且其变动计入当期损益的金融负债。交易性金融负债（含属于金融负 债的衍生工具），按照公允价值进行后续计量，所有公允价值变动均计入当期损益。对于指定为以公允价 值计量且其变动计入当期损益的金融负债，按照公允价值进行后续计量，除由本公司自身信用风险变动引 起的公允价值变动计入其他综合收益之外，其他公允价值变动计入当期损益；如果由本公司自身信用风险 变动引起的公允价值变动计入其他综合收益会造成或扩大损益中的会计错配，本公司将所有公允价值变动 （包括自身信用风险变动的影响金额）计入当期损益。</w:t>
      </w:r>
    </w:p>
    <w:p>
      <w:pPr>
        <w:pStyle w:val="Style41"/>
        <w:keepNext w:val="0"/>
        <w:keepLines w:val="0"/>
        <w:widowControl w:val="0"/>
        <w:shd w:val="clear" w:color="auto" w:fill="auto"/>
        <w:bidi w:val="0"/>
        <w:spacing w:before="0" w:after="0" w:line="274" w:lineRule="exact"/>
        <w:ind w:left="0" w:right="0" w:firstLine="0"/>
        <w:jc w:val="both"/>
      </w:pPr>
      <w:r>
        <w:rPr>
          <w:color w:val="000000"/>
          <w:spacing w:val="0"/>
          <w:w w:val="100"/>
          <w:position w:val="0"/>
        </w:rPr>
        <w:t>只有符合以下条件之一，金融负债才可在初始计量时指定为以公允价值计量且其变动计入当期损益的金融 负债：</w:t>
      </w:r>
    </w:p>
    <w:p>
      <w:pPr>
        <w:pStyle w:val="Style41"/>
        <w:keepNext w:val="0"/>
        <w:keepLines w:val="0"/>
        <w:widowControl w:val="0"/>
        <w:shd w:val="clear" w:color="auto" w:fill="auto"/>
        <w:tabs>
          <w:tab w:pos="459" w:val="left"/>
        </w:tabs>
        <w:bidi w:val="0"/>
        <w:spacing w:before="0" w:after="0" w:line="274" w:lineRule="exact"/>
        <w:ind w:left="0" w:right="0" w:firstLine="0"/>
        <w:jc w:val="both"/>
      </w:pPr>
      <w:bookmarkStart w:id="934" w:name="bookmark934"/>
      <w:r>
        <w:rPr>
          <w:color w:val="000000"/>
          <w:spacing w:val="0"/>
          <w:w w:val="100"/>
          <w:position w:val="0"/>
        </w:rPr>
        <w:t>（</w:t>
      </w:r>
      <w:bookmarkEnd w:id="934"/>
      <w:r>
        <w:rPr>
          <w:rFonts w:ascii="Times New Roman" w:eastAsia="Times New Roman" w:hAnsi="Times New Roman" w:cs="Times New Roman"/>
          <w:color w:val="000000"/>
          <w:spacing w:val="0"/>
          <w:w w:val="100"/>
          <w:position w:val="0"/>
        </w:rPr>
        <w:t>1</w:t>
      </w:r>
      <w:r>
        <w:rPr>
          <w:color w:val="000000"/>
          <w:spacing w:val="0"/>
          <w:w w:val="100"/>
          <w:position w:val="0"/>
        </w:rPr>
        <w:t>）</w:t>
        <w:tab/>
        <w:t>能够消除或显著减少会计错配；</w:t>
      </w:r>
    </w:p>
    <w:p>
      <w:pPr>
        <w:pStyle w:val="Style41"/>
        <w:keepNext w:val="0"/>
        <w:keepLines w:val="0"/>
        <w:widowControl w:val="0"/>
        <w:shd w:val="clear" w:color="auto" w:fill="auto"/>
        <w:tabs>
          <w:tab w:pos="570" w:val="left"/>
        </w:tabs>
        <w:bidi w:val="0"/>
        <w:spacing w:before="0" w:after="0" w:line="274" w:lineRule="exact"/>
        <w:ind w:left="0" w:right="0" w:firstLine="0"/>
        <w:jc w:val="both"/>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rPr>
        <w:t>2</w:t>
      </w:r>
      <w:r>
        <w:rPr>
          <w:color w:val="000000"/>
          <w:spacing w:val="0"/>
          <w:w w:val="100"/>
          <w:position w:val="0"/>
        </w:rPr>
        <w:t>）</w:t>
        <w:tab/>
        <w:t>风险管理或投资策略的正式书面文件已载明，该金融工具组合以公允价值为基础进行管理、评价并向 关键管理人员报告；</w:t>
      </w:r>
    </w:p>
    <w:p>
      <w:pPr>
        <w:pStyle w:val="Style41"/>
        <w:keepNext w:val="0"/>
        <w:keepLines w:val="0"/>
        <w:widowControl w:val="0"/>
        <w:shd w:val="clear" w:color="auto" w:fill="auto"/>
        <w:tabs>
          <w:tab w:pos="459" w:val="left"/>
        </w:tabs>
        <w:bidi w:val="0"/>
        <w:spacing w:before="0" w:after="0" w:line="274" w:lineRule="exact"/>
        <w:ind w:left="0" w:right="0" w:firstLine="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rPr>
        <w:t>3</w:t>
      </w:r>
      <w:r>
        <w:rPr>
          <w:color w:val="000000"/>
          <w:spacing w:val="0"/>
          <w:w w:val="100"/>
          <w:position w:val="0"/>
        </w:rPr>
        <w:t>）</w:t>
        <w:tab/>
        <w:t xml:space="preserve">包含一项或多项嵌入衍生工具的混合工具，除非嵌入衍生工具对混合工具的现金流量没有重大改变， </w:t>
      </w:r>
      <w:r>
        <w:rPr>
          <w:color w:val="000000"/>
          <w:spacing w:val="0"/>
          <w:w w:val="100"/>
          <w:position w:val="0"/>
        </w:rPr>
        <w:t>或所嵌入的衍生工具明显不应当从相关混合工具中分拆；</w:t>
      </w:r>
    </w:p>
    <w:p>
      <w:pPr>
        <w:pStyle w:val="Style41"/>
        <w:keepNext w:val="0"/>
        <w:keepLines w:val="0"/>
        <w:widowControl w:val="0"/>
        <w:numPr>
          <w:ilvl w:val="0"/>
          <w:numId w:val="11"/>
        </w:numPr>
        <w:shd w:val="clear" w:color="auto" w:fill="auto"/>
        <w:bidi w:val="0"/>
        <w:spacing w:before="0" w:after="220" w:line="280" w:lineRule="exact"/>
        <w:ind w:left="0" w:right="0" w:firstLine="0"/>
        <w:jc w:val="both"/>
      </w:pPr>
      <w:bookmarkStart w:id="937" w:name="bookmark937"/>
      <w:bookmarkEnd w:id="937"/>
      <w:r>
        <w:rPr>
          <w:color w:val="000000"/>
          <w:spacing w:val="0"/>
          <w:w w:val="100"/>
          <w:position w:val="0"/>
        </w:rPr>
        <w:t>包含需要分拆但无法在取得时或后续的资产负债表日对其进行单独计量的嵌入衍生工具的混合工具。 企业在初始确认时将某金融负债指定为以公允价值计量且其变动计入当期损益的金融负债后，不能重分类 为其他金融负债；其他金融负债也不能在初始确认后重新指定为以公允价值计量且其变动计入当期损益的 金融负债。</w:t>
      </w:r>
    </w:p>
    <w:p>
      <w:pPr>
        <w:pStyle w:val="Style41"/>
        <w:keepNext w:val="0"/>
        <w:keepLines w:val="0"/>
        <w:widowControl w:val="0"/>
        <w:shd w:val="clear" w:color="auto" w:fill="auto"/>
        <w:bidi w:val="0"/>
        <w:spacing w:before="0" w:after="0" w:line="275" w:lineRule="exact"/>
        <w:ind w:left="0" w:right="0" w:firstLine="0"/>
        <w:jc w:val="both"/>
      </w:pPr>
      <w:r>
        <w:rPr>
          <w:color w:val="000000"/>
          <w:spacing w:val="0"/>
          <w:w w:val="100"/>
          <w:position w:val="0"/>
        </w:rPr>
        <w:t>其他金融负债</w:t>
      </w:r>
    </w:p>
    <w:p>
      <w:pPr>
        <w:pStyle w:val="Style41"/>
        <w:keepNext w:val="0"/>
        <w:keepLines w:val="0"/>
        <w:widowControl w:val="0"/>
        <w:shd w:val="clear" w:color="auto" w:fill="auto"/>
        <w:bidi w:val="0"/>
        <w:spacing w:before="0" w:after="220" w:line="275" w:lineRule="exact"/>
        <w:ind w:left="0" w:right="0" w:firstLine="0"/>
        <w:jc w:val="both"/>
      </w:pPr>
      <w:r>
        <w:rPr>
          <w:color w:val="000000"/>
          <w:spacing w:val="0"/>
          <w:w w:val="100"/>
          <w:position w:val="0"/>
        </w:rPr>
        <w:t>对于此类金融负债，采用实际利率法，按照摊余成本进行后续计量。</w:t>
      </w:r>
    </w:p>
    <w:p>
      <w:pPr>
        <w:pStyle w:val="Style32"/>
        <w:keepNext/>
        <w:keepLines/>
        <w:widowControl w:val="0"/>
        <w:shd w:val="clear" w:color="auto" w:fill="auto"/>
        <w:bidi w:val="0"/>
        <w:spacing w:before="0" w:after="0" w:line="275" w:lineRule="exact"/>
        <w:ind w:left="0" w:right="0" w:firstLine="0"/>
        <w:jc w:val="both"/>
      </w:pPr>
      <w:bookmarkStart w:id="938" w:name="bookmark938"/>
      <w:bookmarkStart w:id="939" w:name="bookmark939"/>
      <w:bookmarkStart w:id="940" w:name="bookmark940"/>
      <w:r>
        <w:rPr>
          <w:color w:val="000000"/>
          <w:spacing w:val="0"/>
          <w:w w:val="100"/>
          <w:position w:val="0"/>
        </w:rPr>
        <w:t>金融工具减值</w:t>
      </w:r>
      <w:bookmarkEnd w:id="938"/>
      <w:bookmarkEnd w:id="939"/>
      <w:bookmarkEnd w:id="940"/>
    </w:p>
    <w:p>
      <w:pPr>
        <w:pStyle w:val="Style41"/>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本公司以预期信用损失为基础，对以摊余成本计量的金融资产、以公允价值计量且其变动计入其他综合收 益的债务工具投资等进行减值处理并确认损失准备。</w:t>
      </w:r>
    </w:p>
    <w:p>
      <w:pPr>
        <w:pStyle w:val="Style41"/>
        <w:keepNext w:val="0"/>
        <w:keepLines w:val="0"/>
        <w:widowControl w:val="0"/>
        <w:shd w:val="clear" w:color="auto" w:fill="auto"/>
        <w:bidi w:val="0"/>
        <w:spacing w:before="0" w:after="0" w:line="275" w:lineRule="exact"/>
        <w:ind w:left="0" w:right="0" w:firstLine="0"/>
        <w:jc w:val="both"/>
      </w:pPr>
      <w:r>
        <w:rPr>
          <w:color w:val="000000"/>
          <w:spacing w:val="0"/>
          <w:w w:val="100"/>
          <w:position w:val="0"/>
        </w:rPr>
        <w:t>对于不含重大融资成分的应收款项以及合同资产，本公司运用简化计量方法，按照相当于整个存续期内的 预期信用损失金额计量损失准备。</w:t>
      </w:r>
    </w:p>
    <w:p>
      <w:pPr>
        <w:pStyle w:val="Style41"/>
        <w:keepNext w:val="0"/>
        <w:keepLines w:val="0"/>
        <w:widowControl w:val="0"/>
        <w:shd w:val="clear" w:color="auto" w:fill="auto"/>
        <w:bidi w:val="0"/>
        <w:spacing w:before="0" w:after="0" w:line="275" w:lineRule="exact"/>
        <w:ind w:left="0" w:right="0" w:firstLine="0"/>
        <w:jc w:val="both"/>
      </w:pPr>
      <w:r>
        <w:rPr>
          <w:color w:val="000000"/>
          <w:spacing w:val="0"/>
          <w:w w:val="100"/>
          <w:position w:val="0"/>
        </w:rPr>
        <w:t>除上述采用简化计量方法以外的金融资产，本公司在每个资产负债表日评估其信用风险自初始确认后是否 已经显著增加，如果信用风险自初始确认后未显著增加，处于第一阶段，本公司按照相当于未来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 预期信用损失的金额计量损失准备，并按照账面余额和实际利率计算利息收入；如果信用风险自初始确认 后已显著增加但尚未发生信用减值的，处于第二阶段，本公司按照相当于整个存续期内预期信用损失的金 额计量损失准备，并按照账面余额和实际利率计算利息收入；如果初始确认后发生信用减值的，处于第三 阶段，本公司按照相当于整个存续期内预期信用损失的金额计量损失准备，并按照摊余成本和实际利率计 算利息收入。对于资产负债表日只具有较低信用风险的金融工具，本公司假设其信用风险自初始确认后未 显著增加。</w:t>
      </w:r>
    </w:p>
    <w:p>
      <w:pPr>
        <w:pStyle w:val="Style41"/>
        <w:keepNext w:val="0"/>
        <w:keepLines w:val="0"/>
        <w:widowControl w:val="0"/>
        <w:shd w:val="clear" w:color="auto" w:fill="auto"/>
        <w:bidi w:val="0"/>
        <w:spacing w:before="0" w:after="0" w:line="275" w:lineRule="exact"/>
        <w:ind w:left="0" w:right="0" w:firstLine="0"/>
        <w:jc w:val="both"/>
      </w:pPr>
      <w:r>
        <w:rPr>
          <w:color w:val="000000"/>
          <w:spacing w:val="0"/>
          <w:w w:val="100"/>
          <w:position w:val="0"/>
        </w:rPr>
        <w:t>本公司基于单项和组合评估金融工具的预期信用损失。</w:t>
      </w:r>
    </w:p>
    <w:p>
      <w:pPr>
        <w:pStyle w:val="Style41"/>
        <w:keepNext w:val="0"/>
        <w:keepLines w:val="0"/>
        <w:widowControl w:val="0"/>
        <w:shd w:val="clear" w:color="auto" w:fill="auto"/>
        <w:bidi w:val="0"/>
        <w:spacing w:before="0" w:after="0" w:line="275" w:lineRule="exact"/>
        <w:ind w:left="0" w:right="0" w:firstLine="0"/>
        <w:jc w:val="both"/>
      </w:pPr>
      <w:r>
        <w:rPr>
          <w:color w:val="000000"/>
          <w:spacing w:val="0"/>
          <w:w w:val="100"/>
          <w:position w:val="0"/>
        </w:rPr>
        <w:t>关于本公司对信用风险显著增加判断标准、已发生信用减值资产的定义、预期信用损失计量的假设等披露 参见相关附注。</w:t>
      </w:r>
    </w:p>
    <w:p>
      <w:pPr>
        <w:pStyle w:val="Style41"/>
        <w:keepNext w:val="0"/>
        <w:keepLines w:val="0"/>
        <w:widowControl w:val="0"/>
        <w:shd w:val="clear" w:color="auto" w:fill="auto"/>
        <w:bidi w:val="0"/>
        <w:spacing w:before="0" w:after="220" w:line="298" w:lineRule="exact"/>
        <w:ind w:left="0" w:right="0" w:firstLine="0"/>
        <w:jc w:val="both"/>
      </w:pPr>
      <w:r>
        <w:rPr>
          <w:color w:val="000000"/>
          <w:spacing w:val="0"/>
          <w:w w:val="100"/>
          <w:position w:val="0"/>
        </w:rPr>
        <w:t>当本公司不再合理预期能够全部或部分收回金融资产合同现金流量时，本公司直接减记该金融资产的账面 余额。</w:t>
      </w:r>
    </w:p>
    <w:p>
      <w:pPr>
        <w:pStyle w:val="Style32"/>
        <w:keepNext/>
        <w:keepLines/>
        <w:widowControl w:val="0"/>
        <w:shd w:val="clear" w:color="auto" w:fill="auto"/>
        <w:bidi w:val="0"/>
        <w:spacing w:before="0" w:after="0" w:line="278" w:lineRule="exact"/>
        <w:ind w:left="0" w:right="0" w:firstLine="0"/>
        <w:jc w:val="both"/>
      </w:pPr>
      <w:bookmarkStart w:id="941" w:name="bookmark941"/>
      <w:bookmarkStart w:id="942" w:name="bookmark942"/>
      <w:bookmarkStart w:id="943" w:name="bookmark943"/>
      <w:r>
        <w:rPr>
          <w:color w:val="000000"/>
          <w:spacing w:val="0"/>
          <w:w w:val="100"/>
          <w:position w:val="0"/>
        </w:rPr>
        <w:t>金融工具抵销</w:t>
      </w:r>
      <w:bookmarkEnd w:id="941"/>
      <w:bookmarkEnd w:id="942"/>
      <w:bookmarkEnd w:id="943"/>
    </w:p>
    <w:p>
      <w:pPr>
        <w:pStyle w:val="Style41"/>
        <w:keepNext w:val="0"/>
        <w:keepLines w:val="0"/>
        <w:widowControl w:val="0"/>
        <w:shd w:val="clear" w:color="auto" w:fill="auto"/>
        <w:bidi w:val="0"/>
        <w:spacing w:before="0" w:after="220" w:line="278" w:lineRule="exact"/>
        <w:ind w:left="0" w:right="0" w:firstLine="0"/>
        <w:jc w:val="both"/>
      </w:pPr>
      <w:r>
        <w:rPr>
          <w:color w:val="000000"/>
          <w:spacing w:val="0"/>
          <w:w w:val="100"/>
          <w:position w:val="0"/>
        </w:rPr>
        <w:t>同时满足下列条件的，金融资产和金融负债以相互抵销后的净额在资产负债表内列示：具有抵销已确认金 额的法定权利，且该种法定权利是当前可执行的；计划以净额结算，或同时变现该金融资产和清偿该金融 负债。</w:t>
      </w:r>
    </w:p>
    <w:p>
      <w:pPr>
        <w:pStyle w:val="Style32"/>
        <w:keepNext/>
        <w:keepLines/>
        <w:widowControl w:val="0"/>
        <w:shd w:val="clear" w:color="auto" w:fill="auto"/>
        <w:bidi w:val="0"/>
        <w:spacing w:before="0" w:after="0" w:line="274" w:lineRule="exact"/>
        <w:ind w:left="0" w:right="0" w:firstLine="0"/>
        <w:jc w:val="both"/>
      </w:pPr>
      <w:bookmarkStart w:id="944" w:name="bookmark944"/>
      <w:bookmarkStart w:id="945" w:name="bookmark945"/>
      <w:bookmarkStart w:id="946" w:name="bookmark946"/>
      <w:r>
        <w:rPr>
          <w:color w:val="000000"/>
          <w:spacing w:val="0"/>
          <w:w w:val="100"/>
          <w:position w:val="0"/>
        </w:rPr>
        <w:t>衍生金融工具</w:t>
      </w:r>
      <w:bookmarkEnd w:id="944"/>
      <w:bookmarkEnd w:id="945"/>
      <w:bookmarkEnd w:id="946"/>
    </w:p>
    <w:p>
      <w:pPr>
        <w:pStyle w:val="Style41"/>
        <w:keepNext w:val="0"/>
        <w:keepLines w:val="0"/>
        <w:widowControl w:val="0"/>
        <w:shd w:val="clear" w:color="auto" w:fill="auto"/>
        <w:bidi w:val="0"/>
        <w:spacing w:before="0" w:after="0" w:line="274" w:lineRule="exact"/>
        <w:ind w:left="0" w:right="0" w:firstLine="0"/>
        <w:jc w:val="both"/>
      </w:pPr>
      <w:r>
        <w:rPr>
          <w:color w:val="000000"/>
          <w:spacing w:val="0"/>
          <w:w w:val="100"/>
          <w:position w:val="0"/>
        </w:rPr>
        <w:t>衍生金融工具初始以衍生交易合同签订当日的公允价值进行计量，并以其公允价值进行后续计量。公允价 值为正数的衍生金融工具确认为一项资产，公允价值为负数的确认为一项负债。</w:t>
      </w:r>
    </w:p>
    <w:p>
      <w:pPr>
        <w:pStyle w:val="Style41"/>
        <w:keepNext w:val="0"/>
        <w:keepLines w:val="0"/>
        <w:widowControl w:val="0"/>
        <w:shd w:val="clear" w:color="auto" w:fill="auto"/>
        <w:bidi w:val="0"/>
        <w:spacing w:before="0" w:after="220" w:line="274" w:lineRule="exact"/>
        <w:ind w:left="0" w:right="0" w:firstLine="0"/>
        <w:jc w:val="both"/>
      </w:pPr>
      <w:r>
        <w:rPr>
          <w:color w:val="000000"/>
          <w:spacing w:val="0"/>
          <w:w w:val="100"/>
          <w:position w:val="0"/>
        </w:rPr>
        <w:t>除与套期会计有关外，衍生工具公允价值变动产生的利得或损失直接计入当期损益。</w:t>
      </w:r>
    </w:p>
    <w:p>
      <w:pPr>
        <w:pStyle w:val="Style32"/>
        <w:keepNext/>
        <w:keepLines/>
        <w:widowControl w:val="0"/>
        <w:shd w:val="clear" w:color="auto" w:fill="auto"/>
        <w:bidi w:val="0"/>
        <w:spacing w:before="0" w:after="0" w:line="273" w:lineRule="exact"/>
        <w:ind w:left="0" w:right="0" w:firstLine="0"/>
        <w:jc w:val="both"/>
      </w:pPr>
      <w:bookmarkStart w:id="947" w:name="bookmark947"/>
      <w:bookmarkStart w:id="948" w:name="bookmark948"/>
      <w:bookmarkStart w:id="949" w:name="bookmark949"/>
      <w:r>
        <w:rPr>
          <w:color w:val="000000"/>
          <w:spacing w:val="0"/>
          <w:w w:val="100"/>
          <w:position w:val="0"/>
        </w:rPr>
        <w:t>可转换债券</w:t>
      </w:r>
      <w:bookmarkEnd w:id="947"/>
      <w:bookmarkEnd w:id="948"/>
      <w:bookmarkEnd w:id="949"/>
    </w:p>
    <w:p>
      <w:pPr>
        <w:pStyle w:val="Style41"/>
        <w:keepNext w:val="0"/>
        <w:keepLines w:val="0"/>
        <w:widowControl w:val="0"/>
        <w:shd w:val="clear" w:color="auto" w:fill="auto"/>
        <w:bidi w:val="0"/>
        <w:spacing w:before="0" w:after="220" w:line="273" w:lineRule="exact"/>
        <w:ind w:left="0" w:right="0" w:firstLine="0"/>
        <w:jc w:val="both"/>
      </w:pPr>
      <w:r>
        <w:rPr>
          <w:color w:val="000000"/>
          <w:spacing w:val="0"/>
          <w:w w:val="100"/>
          <w:position w:val="0"/>
        </w:rPr>
        <w:t>本公司发行可转换债券时依据条款确定其是否同时包含负债和权益成份。发行的可转换债券既包含负债也 包含权益成份的，在初始确认时将负债和权益成份进行分拆，并分别进行处理。在进行分拆时，先确定负 债成份的公允价值并以此作为其初始确认金额，再按照可转换债券整体的发行价格扣除负债成份初始确认 金额后的金额确定权益成份的初始确认金额。交易费用在负债成份和权益成份之间按照各自的相对公允价 值进行分摊。负债成份作为负债列示，以摊余成本进行后续计量，直至被撤销、转换或赎回。权益成份作 为权益列示，不进行后续计量。发行的可转换债券仅包含负债成份和嵌入衍生工具，即股份转换权具备嵌 入衍生工具特征的，则将其从可转换债券整体中分拆，作为衍生金融工具单独处理，按其公允价值进行初 始确认。发行价格超过初始确认为衍生金融工具的部分被确认为债务工具。交易费用根据初始确认时债务 工具和衍生金融工具分配的发行价格为基础按比例分摊。与债务工具有关的交易费用确认为负债，与衍生 金融工具有关的交易费用确认为当期损益。</w:t>
      </w:r>
    </w:p>
    <w:p>
      <w:pPr>
        <w:pStyle w:val="Style32"/>
        <w:keepNext/>
        <w:keepLines/>
        <w:widowControl w:val="0"/>
        <w:shd w:val="clear" w:color="auto" w:fill="auto"/>
        <w:bidi w:val="0"/>
        <w:spacing w:before="0" w:after="0" w:line="276" w:lineRule="exact"/>
        <w:ind w:left="0" w:right="0" w:firstLine="0"/>
        <w:jc w:val="left"/>
      </w:pPr>
      <w:bookmarkStart w:id="950" w:name="bookmark950"/>
      <w:bookmarkStart w:id="951" w:name="bookmark951"/>
      <w:bookmarkStart w:id="952" w:name="bookmark952"/>
      <w:r>
        <w:rPr>
          <w:color w:val="000000"/>
          <w:spacing w:val="0"/>
          <w:w w:val="100"/>
          <w:position w:val="0"/>
        </w:rPr>
        <w:t>金融资产转移</w:t>
      </w:r>
      <w:bookmarkEnd w:id="950"/>
      <w:bookmarkEnd w:id="951"/>
      <w:bookmarkEnd w:id="952"/>
    </w:p>
    <w:p>
      <w:pPr>
        <w:pStyle w:val="Style41"/>
        <w:keepNext w:val="0"/>
        <w:keepLines w:val="0"/>
        <w:widowControl w:val="0"/>
        <w:shd w:val="clear" w:color="auto" w:fill="auto"/>
        <w:bidi w:val="0"/>
        <w:spacing w:before="0" w:after="0" w:line="276" w:lineRule="exact"/>
        <w:ind w:left="0" w:right="0" w:firstLine="0"/>
        <w:jc w:val="left"/>
      </w:pPr>
      <w:r>
        <w:rPr>
          <w:color w:val="000000"/>
          <w:spacing w:val="0"/>
          <w:w w:val="100"/>
          <w:position w:val="0"/>
        </w:rPr>
        <w:t>本公司已将金融资产所有权上几乎所有的风险和报酬转移给转入方的，终止确认该金融资产；保留了金融 资产所有权上几乎所有的风险和报酬的，不终止确认该金融资产。</w:t>
      </w:r>
    </w:p>
    <w:p>
      <w:pPr>
        <w:pStyle w:val="Style41"/>
        <w:keepNext w:val="0"/>
        <w:keepLines w:val="0"/>
        <w:widowControl w:val="0"/>
        <w:shd w:val="clear" w:color="auto" w:fill="auto"/>
        <w:bidi w:val="0"/>
        <w:spacing w:before="0" w:after="0" w:line="276" w:lineRule="exact"/>
        <w:ind w:left="0" w:right="0" w:firstLine="0"/>
        <w:jc w:val="left"/>
      </w:pPr>
      <w:r>
        <w:rPr>
          <w:color w:val="000000"/>
          <w:spacing w:val="0"/>
          <w:w w:val="100"/>
          <w:position w:val="0"/>
        </w:rPr>
        <w:t>本公司既没有转移也没有保留金融资产所有权上几乎所有的风险和报酬的，分别下列情况处理：放弃了对 该金融资产控制的，终止确认该金融资产并确认产生的资产和负债；未放弃对该金融资产控制的，按照其 继续涉入所转移金融资产的程度确认有关金融资产，并相应确认有关负债。</w:t>
      </w:r>
    </w:p>
    <w:p>
      <w:pPr>
        <w:pStyle w:val="Style41"/>
        <w:keepNext w:val="0"/>
        <w:keepLines w:val="0"/>
        <w:widowControl w:val="0"/>
        <w:shd w:val="clear" w:color="auto" w:fill="auto"/>
        <w:bidi w:val="0"/>
        <w:spacing w:before="0" w:after="280" w:line="276" w:lineRule="exact"/>
        <w:ind w:left="0" w:right="0" w:firstLine="0"/>
        <w:jc w:val="left"/>
      </w:pPr>
      <w:r>
        <w:rPr>
          <w:color w:val="000000"/>
          <w:spacing w:val="0"/>
          <w:w w:val="100"/>
          <w:position w:val="0"/>
        </w:rPr>
        <w:t>通过对所转移金融资产提供财务担保方式继续涉入的，按照金融资产的账面价值和财务担保金额两者之中 的较低者，确认继续涉入形成的资产。财务担保金额，是指所收到的对价中，将被要求偿还的最高金额。</w:t>
      </w:r>
    </w:p>
    <w:p>
      <w:pPr>
        <w:pStyle w:val="Style32"/>
        <w:keepNext/>
        <w:keepLines/>
        <w:widowControl w:val="0"/>
        <w:shd w:val="clear" w:color="auto" w:fill="auto"/>
        <w:tabs>
          <w:tab w:pos="498" w:val="left"/>
        </w:tabs>
        <w:bidi w:val="0"/>
        <w:spacing w:before="0" w:after="280" w:line="276" w:lineRule="exact"/>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1</w:t>
      </w:r>
      <w:bookmarkEnd w:id="955"/>
      <w:r>
        <w:rPr>
          <w:rFonts w:ascii="Times New Roman" w:eastAsia="Times New Roman" w:hAnsi="Times New Roman" w:cs="Times New Roman"/>
          <w:color w:val="000000"/>
          <w:spacing w:val="0"/>
          <w:w w:val="100"/>
          <w:position w:val="0"/>
        </w:rPr>
        <w:t>0</w:t>
      </w:r>
      <w:r>
        <w:rPr>
          <w:color w:val="000000"/>
          <w:spacing w:val="0"/>
          <w:w w:val="100"/>
          <w:position w:val="0"/>
        </w:rPr>
        <w:t>、</w:t>
        <w:tab/>
        <w:t>合同资产</w:t>
      </w:r>
      <w:bookmarkEnd w:id="953"/>
      <w:bookmarkEnd w:id="954"/>
      <w:bookmarkEnd w:id="956"/>
    </w:p>
    <w:p>
      <w:pPr>
        <w:pStyle w:val="Style41"/>
        <w:keepNext w:val="0"/>
        <w:keepLines w:val="0"/>
        <w:widowControl w:val="0"/>
        <w:shd w:val="clear" w:color="auto" w:fill="auto"/>
        <w:bidi w:val="0"/>
        <w:spacing w:before="0" w:after="0" w:line="275" w:lineRule="exact"/>
        <w:ind w:left="0" w:right="0" w:firstLine="0"/>
        <w:jc w:val="left"/>
      </w:pPr>
      <w:r>
        <w:rPr>
          <w:color w:val="000000"/>
          <w:spacing w:val="0"/>
          <w:w w:val="100"/>
          <w:position w:val="0"/>
        </w:rPr>
        <w:t>本公司根据履行履约义务与客户付款之间的关系在资产负债表中列示合同资产或合同负债。本公司将同一 合同下的合同资产和合同负债相互抵销后以净额列示。</w:t>
      </w:r>
    </w:p>
    <w:p>
      <w:pPr>
        <w:pStyle w:val="Style41"/>
        <w:keepNext w:val="0"/>
        <w:keepLines w:val="0"/>
        <w:widowControl w:val="0"/>
        <w:shd w:val="clear" w:color="auto" w:fill="auto"/>
        <w:bidi w:val="0"/>
        <w:spacing w:before="0" w:after="280" w:line="275" w:lineRule="exact"/>
        <w:ind w:left="0" w:right="0" w:firstLine="0"/>
        <w:jc w:val="left"/>
      </w:pPr>
      <w:r>
        <w:rPr>
          <w:color w:val="000000"/>
          <w:spacing w:val="0"/>
          <w:w w:val="100"/>
          <w:position w:val="0"/>
        </w:rPr>
        <w:t>合同资产是指已向客户转让商品或服务而有权收取对价的权利，且该权利取决于时间流逝之外的其他因素。 合同资产的预期信用损失的确定方法及会计处理方法详见本附注之金融资产减值的测试方法及会计处理 方法。</w:t>
      </w:r>
    </w:p>
    <w:p>
      <w:pPr>
        <w:pStyle w:val="Style32"/>
        <w:keepNext/>
        <w:keepLines/>
        <w:widowControl w:val="0"/>
        <w:shd w:val="clear" w:color="auto" w:fill="auto"/>
        <w:tabs>
          <w:tab w:pos="498" w:val="left"/>
        </w:tabs>
        <w:bidi w:val="0"/>
        <w:spacing w:before="0" w:after="280" w:line="276" w:lineRule="exact"/>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1</w:t>
      </w:r>
      <w:bookmarkEnd w:id="959"/>
      <w:r>
        <w:rPr>
          <w:rFonts w:ascii="Times New Roman" w:eastAsia="Times New Roman" w:hAnsi="Times New Roman" w:cs="Times New Roman"/>
          <w:color w:val="000000"/>
          <w:spacing w:val="0"/>
          <w:w w:val="100"/>
          <w:position w:val="0"/>
        </w:rPr>
        <w:t>1</w:t>
      </w:r>
      <w:r>
        <w:rPr>
          <w:color w:val="000000"/>
          <w:spacing w:val="0"/>
          <w:w w:val="100"/>
          <w:position w:val="0"/>
        </w:rPr>
        <w:t>、</w:t>
        <w:tab/>
        <w:t>合同成本</w:t>
      </w:r>
      <w:bookmarkEnd w:id="957"/>
      <w:bookmarkEnd w:id="958"/>
      <w:bookmarkEnd w:id="960"/>
    </w:p>
    <w:p>
      <w:pPr>
        <w:pStyle w:val="Style41"/>
        <w:keepNext w:val="0"/>
        <w:keepLines w:val="0"/>
        <w:widowControl w:val="0"/>
        <w:shd w:val="clear" w:color="auto" w:fill="auto"/>
        <w:bidi w:val="0"/>
        <w:spacing w:before="0" w:after="0" w:line="276" w:lineRule="exact"/>
        <w:ind w:left="0" w:right="0" w:firstLine="0"/>
        <w:jc w:val="left"/>
      </w:pPr>
      <w:r>
        <w:rPr>
          <w:color w:val="000000"/>
          <w:spacing w:val="0"/>
          <w:w w:val="100"/>
          <w:position w:val="0"/>
        </w:rPr>
        <w:t>本公司与合同成本有关的资产包括合同取得成本和合同履约成本。根据其流动性，分别列报在存货、其他 流动资产和其他非流动资产中。</w:t>
      </w:r>
    </w:p>
    <w:p>
      <w:pPr>
        <w:pStyle w:val="Style41"/>
        <w:keepNext w:val="0"/>
        <w:keepLines w:val="0"/>
        <w:widowControl w:val="0"/>
        <w:shd w:val="clear" w:color="auto" w:fill="auto"/>
        <w:bidi w:val="0"/>
        <w:spacing w:before="0" w:after="0" w:line="276" w:lineRule="exact"/>
        <w:ind w:left="0" w:right="0" w:firstLine="0"/>
        <w:jc w:val="left"/>
      </w:pPr>
      <w:r>
        <w:rPr>
          <w:color w:val="000000"/>
          <w:spacing w:val="0"/>
          <w:w w:val="100"/>
          <w:position w:val="0"/>
        </w:rPr>
        <w:t>本公司为取得合同发生的增量成本预期能够收回的，作为合同取得成本确认为一项资产，除非该资产摊销 期限不超过一年。</w:t>
      </w:r>
    </w:p>
    <w:p>
      <w:pPr>
        <w:pStyle w:val="Style41"/>
        <w:keepNext w:val="0"/>
        <w:keepLines w:val="0"/>
        <w:widowControl w:val="0"/>
        <w:shd w:val="clear" w:color="auto" w:fill="auto"/>
        <w:bidi w:val="0"/>
        <w:spacing w:before="0" w:after="0" w:line="276" w:lineRule="exact"/>
        <w:ind w:left="0" w:right="0" w:firstLine="0"/>
        <w:jc w:val="left"/>
      </w:pPr>
      <w:r>
        <w:rPr>
          <w:color w:val="000000"/>
          <w:spacing w:val="0"/>
          <w:w w:val="100"/>
          <w:position w:val="0"/>
        </w:rPr>
        <w:t>本公司为履行合同发生的成本，不适用存货、固定资产或无形资产等相关准则的规范范围的，且同时满足 下列条件的，作为合同履约成本确认为一项资产：</w:t>
      </w:r>
    </w:p>
    <w:p>
      <w:pPr>
        <w:pStyle w:val="Style41"/>
        <w:keepNext w:val="0"/>
        <w:keepLines w:val="0"/>
        <w:widowControl w:val="0"/>
        <w:shd w:val="clear" w:color="auto" w:fill="auto"/>
        <w:bidi w:val="0"/>
        <w:spacing w:before="0" w:after="0" w:line="276" w:lineRule="exact"/>
        <w:ind w:left="0" w:right="0" w:firstLine="0"/>
        <w:jc w:val="left"/>
      </w:pPr>
      <w:r>
        <w:rPr>
          <w:color w:val="000000"/>
          <w:spacing w:val="0"/>
          <w:w w:val="100"/>
          <w:position w:val="0"/>
        </w:rPr>
        <w:t>⑴ 该成本与一份当前或预期取得的合同直接相关，包括直接人工、直接材料、制造费用（或类似费用）、 明确由客户承担的成本以及仅因该合同而发生的其他成本；</w:t>
      </w:r>
    </w:p>
    <w:p>
      <w:pPr>
        <w:pStyle w:val="Style41"/>
        <w:keepNext w:val="0"/>
        <w:keepLines w:val="0"/>
        <w:widowControl w:val="0"/>
        <w:shd w:val="clear" w:color="auto" w:fill="auto"/>
        <w:tabs>
          <w:tab w:pos="436" w:val="left"/>
        </w:tabs>
        <w:bidi w:val="0"/>
        <w:spacing w:before="0" w:after="0" w:line="276" w:lineRule="exact"/>
        <w:ind w:left="0" w:right="0" w:firstLine="0"/>
        <w:jc w:val="left"/>
      </w:pPr>
      <w:bookmarkStart w:id="961" w:name="bookmark961"/>
      <w:r>
        <w:rPr>
          <w:rFonts w:ascii="Times New Roman" w:eastAsia="Times New Roman" w:hAnsi="Times New Roman" w:cs="Times New Roman"/>
          <w:color w:val="000000"/>
          <w:spacing w:val="0"/>
          <w:w w:val="100"/>
          <w:position w:val="0"/>
        </w:rPr>
        <w:t>（</w:t>
      </w:r>
      <w:bookmarkEnd w:id="961"/>
      <w:r>
        <w:rPr>
          <w:rFonts w:ascii="Times New Roman" w:eastAsia="Times New Roman" w:hAnsi="Times New Roman" w:cs="Times New Roman"/>
          <w:color w:val="000000"/>
          <w:spacing w:val="0"/>
          <w:w w:val="100"/>
          <w:position w:val="0"/>
        </w:rPr>
        <w:t>2）</w:t>
        <w:tab/>
      </w:r>
      <w:r>
        <w:rPr>
          <w:color w:val="000000"/>
          <w:spacing w:val="0"/>
          <w:w w:val="100"/>
          <w:position w:val="0"/>
        </w:rPr>
        <w:t>该成本增加了企业未来用于履行履约义务的资源；</w:t>
      </w:r>
    </w:p>
    <w:p>
      <w:pPr>
        <w:pStyle w:val="Style41"/>
        <w:keepNext w:val="0"/>
        <w:keepLines w:val="0"/>
        <w:widowControl w:val="0"/>
        <w:shd w:val="clear" w:color="auto" w:fill="auto"/>
        <w:tabs>
          <w:tab w:pos="436" w:val="left"/>
        </w:tabs>
        <w:bidi w:val="0"/>
        <w:spacing w:before="0" w:after="0" w:line="276" w:lineRule="exact"/>
        <w:ind w:left="0" w:right="0" w:firstLine="0"/>
        <w:jc w:val="left"/>
      </w:pPr>
      <w:bookmarkStart w:id="962" w:name="bookmark962"/>
      <w:r>
        <w:rPr>
          <w:rFonts w:ascii="Times New Roman" w:eastAsia="Times New Roman" w:hAnsi="Times New Roman" w:cs="Times New Roman"/>
          <w:color w:val="000000"/>
          <w:spacing w:val="0"/>
          <w:w w:val="100"/>
          <w:position w:val="0"/>
        </w:rPr>
        <w:t>（</w:t>
      </w:r>
      <w:bookmarkEnd w:id="962"/>
      <w:r>
        <w:rPr>
          <w:rFonts w:ascii="Times New Roman" w:eastAsia="Times New Roman" w:hAnsi="Times New Roman" w:cs="Times New Roman"/>
          <w:color w:val="000000"/>
          <w:spacing w:val="0"/>
          <w:w w:val="100"/>
          <w:position w:val="0"/>
        </w:rPr>
        <w:t>3）</w:t>
        <w:tab/>
      </w:r>
      <w:r>
        <w:rPr>
          <w:color w:val="000000"/>
          <w:spacing w:val="0"/>
          <w:w w:val="100"/>
          <w:position w:val="0"/>
        </w:rPr>
        <w:t>该成本预期能够收回。</w:t>
      </w:r>
    </w:p>
    <w:p>
      <w:pPr>
        <w:pStyle w:val="Style41"/>
        <w:keepNext w:val="0"/>
        <w:keepLines w:val="0"/>
        <w:widowControl w:val="0"/>
        <w:shd w:val="clear" w:color="auto" w:fill="auto"/>
        <w:bidi w:val="0"/>
        <w:spacing w:before="0" w:after="0" w:line="276" w:lineRule="exact"/>
        <w:ind w:left="0" w:right="0" w:firstLine="0"/>
        <w:jc w:val="left"/>
      </w:pPr>
      <w:r>
        <w:rPr>
          <w:color w:val="000000"/>
          <w:spacing w:val="0"/>
          <w:w w:val="100"/>
          <w:position w:val="0"/>
        </w:rPr>
        <w:t>本公司对与合同成本有关的资产采用与该资产相关的收入确认相同的基础进行摊销，计入当期损益。</w:t>
      </w:r>
    </w:p>
    <w:p>
      <w:pPr>
        <w:pStyle w:val="Style41"/>
        <w:keepNext w:val="0"/>
        <w:keepLines w:val="0"/>
        <w:widowControl w:val="0"/>
        <w:shd w:val="clear" w:color="auto" w:fill="auto"/>
        <w:bidi w:val="0"/>
        <w:spacing w:before="0" w:after="0" w:line="254" w:lineRule="exact"/>
        <w:ind w:left="0" w:right="0" w:firstLine="0"/>
        <w:jc w:val="left"/>
      </w:pPr>
      <w:r>
        <w:rPr>
          <w:color w:val="000000"/>
          <w:spacing w:val="0"/>
          <w:w w:val="100"/>
          <w:position w:val="0"/>
        </w:rPr>
        <w:t>与合同成本有关的资产，其账面价值高于下列两项差额的，本公司将超出部分计提减值准备，并确认为资 产减值损失：</w:t>
      </w:r>
    </w:p>
    <w:p>
      <w:pPr>
        <w:pStyle w:val="Style41"/>
        <w:keepNext w:val="0"/>
        <w:keepLines w:val="0"/>
        <w:widowControl w:val="0"/>
        <w:shd w:val="clear" w:color="auto" w:fill="auto"/>
        <w:tabs>
          <w:tab w:pos="436" w:val="left"/>
        </w:tabs>
        <w:bidi w:val="0"/>
        <w:spacing w:before="0" w:after="0" w:line="278" w:lineRule="exact"/>
        <w:ind w:left="0" w:right="0" w:firstLine="0"/>
        <w:jc w:val="left"/>
      </w:pPr>
      <w:bookmarkStart w:id="963" w:name="bookmark963"/>
      <w:r>
        <w:rPr>
          <w:rFonts w:ascii="Times New Roman" w:eastAsia="Times New Roman" w:hAnsi="Times New Roman" w:cs="Times New Roman"/>
          <w:color w:val="000000"/>
          <w:spacing w:val="0"/>
          <w:w w:val="100"/>
          <w:position w:val="0"/>
        </w:rPr>
        <w:t>（</w:t>
      </w:r>
      <w:bookmarkEnd w:id="963"/>
      <w:r>
        <w:rPr>
          <w:rFonts w:ascii="Times New Roman" w:eastAsia="Times New Roman" w:hAnsi="Times New Roman" w:cs="Times New Roman"/>
          <w:color w:val="000000"/>
          <w:spacing w:val="0"/>
          <w:w w:val="100"/>
          <w:position w:val="0"/>
        </w:rPr>
        <w:t>1）</w:t>
        <w:tab/>
      </w:r>
      <w:r>
        <w:rPr>
          <w:color w:val="000000"/>
          <w:spacing w:val="0"/>
          <w:w w:val="100"/>
          <w:position w:val="0"/>
        </w:rPr>
        <w:t>企业因转让与该资产相关的商品或服务预期能够取得的剩余对价；</w:t>
      </w:r>
    </w:p>
    <w:p>
      <w:pPr>
        <w:pStyle w:val="Style41"/>
        <w:keepNext w:val="0"/>
        <w:keepLines w:val="0"/>
        <w:widowControl w:val="0"/>
        <w:shd w:val="clear" w:color="auto" w:fill="auto"/>
        <w:tabs>
          <w:tab w:pos="436" w:val="left"/>
        </w:tabs>
        <w:bidi w:val="0"/>
        <w:spacing w:before="0" w:after="0" w:line="278" w:lineRule="exact"/>
        <w:ind w:left="0" w:right="0" w:firstLine="0"/>
        <w:jc w:val="left"/>
      </w:pPr>
      <w:bookmarkStart w:id="964" w:name="bookmark964"/>
      <w:r>
        <w:rPr>
          <w:rFonts w:ascii="Times New Roman" w:eastAsia="Times New Roman" w:hAnsi="Times New Roman" w:cs="Times New Roman"/>
          <w:color w:val="000000"/>
          <w:spacing w:val="0"/>
          <w:w w:val="100"/>
          <w:position w:val="0"/>
        </w:rPr>
        <w:t>（</w:t>
      </w:r>
      <w:bookmarkEnd w:id="964"/>
      <w:r>
        <w:rPr>
          <w:rFonts w:ascii="Times New Roman" w:eastAsia="Times New Roman" w:hAnsi="Times New Roman" w:cs="Times New Roman"/>
          <w:color w:val="000000"/>
          <w:spacing w:val="0"/>
          <w:w w:val="100"/>
          <w:position w:val="0"/>
        </w:rPr>
        <w:t>2）</w:t>
        <w:tab/>
      </w:r>
      <w:r>
        <w:rPr>
          <w:color w:val="000000"/>
          <w:spacing w:val="0"/>
          <w:w w:val="100"/>
          <w:position w:val="0"/>
        </w:rPr>
        <w:t>为转让该相关商品或服务估计将要发生的成本。</w:t>
      </w:r>
    </w:p>
    <w:p>
      <w:pPr>
        <w:pStyle w:val="Style41"/>
        <w:keepNext w:val="0"/>
        <w:keepLines w:val="0"/>
        <w:widowControl w:val="0"/>
        <w:shd w:val="clear" w:color="auto" w:fill="auto"/>
        <w:bidi w:val="0"/>
        <w:spacing w:before="0" w:after="280" w:line="278" w:lineRule="exact"/>
        <w:ind w:left="0" w:right="0" w:firstLine="0"/>
        <w:jc w:val="left"/>
      </w:pPr>
      <w:r>
        <w:rPr>
          <w:color w:val="000000"/>
          <w:spacing w:val="0"/>
          <w:w w:val="100"/>
          <w:position w:val="0"/>
        </w:rPr>
        <w:t>以前期间减值的因素之后发生变化，使得（</w:t>
      </w:r>
      <w:r>
        <w:rPr>
          <w:rFonts w:ascii="Times New Roman" w:eastAsia="Times New Roman" w:hAnsi="Times New Roman" w:cs="Times New Roman"/>
          <w:color w:val="000000"/>
          <w:spacing w:val="0"/>
          <w:w w:val="100"/>
          <w:position w:val="0"/>
        </w:rPr>
        <w:t>1</w:t>
      </w:r>
      <w:r>
        <w:rPr>
          <w:color w:val="000000"/>
          <w:spacing w:val="0"/>
          <w:w w:val="100"/>
          <w:position w:val="0"/>
        </w:rPr>
        <w:t>）减（</w:t>
      </w:r>
      <w:r>
        <w:rPr>
          <w:rFonts w:ascii="Times New Roman" w:eastAsia="Times New Roman" w:hAnsi="Times New Roman" w:cs="Times New Roman"/>
          <w:color w:val="000000"/>
          <w:spacing w:val="0"/>
          <w:w w:val="100"/>
          <w:position w:val="0"/>
        </w:rPr>
        <w:t>2</w:t>
      </w:r>
      <w:r>
        <w:rPr>
          <w:color w:val="000000"/>
          <w:spacing w:val="0"/>
          <w:w w:val="100"/>
          <w:position w:val="0"/>
        </w:rPr>
        <w:t>）的差额高于该资产账面价值的，应当转回原已计提 的资产减值准备，并计入当期损益，但转回后的资产账面价值不应超过假定不计提减值准备情况下该资产 在转回日的账面价值。</w:t>
      </w:r>
    </w:p>
    <w:p>
      <w:pPr>
        <w:pStyle w:val="Style32"/>
        <w:keepNext/>
        <w:keepLines/>
        <w:widowControl w:val="0"/>
        <w:shd w:val="clear" w:color="auto" w:fill="auto"/>
        <w:tabs>
          <w:tab w:pos="498" w:val="left"/>
        </w:tabs>
        <w:bidi w:val="0"/>
        <w:spacing w:before="0" w:after="280" w:line="276" w:lineRule="exact"/>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1</w:t>
      </w:r>
      <w:bookmarkEnd w:id="967"/>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65"/>
      <w:bookmarkEnd w:id="966"/>
      <w:bookmarkEnd w:id="968"/>
    </w:p>
    <w:p>
      <w:pPr>
        <w:pStyle w:val="Style41"/>
        <w:keepNext w:val="0"/>
        <w:keepLines w:val="0"/>
        <w:widowControl w:val="0"/>
        <w:shd w:val="clear" w:color="auto" w:fill="auto"/>
        <w:bidi w:val="0"/>
        <w:spacing w:before="0" w:after="280" w:line="276" w:lineRule="exact"/>
        <w:ind w:left="0" w:right="0" w:firstLine="0"/>
        <w:jc w:val="both"/>
      </w:pPr>
      <w:r>
        <w:rPr>
          <w:color w:val="000000"/>
          <w:spacing w:val="0"/>
          <w:w w:val="100"/>
          <w:position w:val="0"/>
        </w:rPr>
        <w:t>长期股权投资包括对子公司、合营企业和联营企业的权益性投资。</w:t>
      </w:r>
    </w:p>
    <w:p>
      <w:pPr>
        <w:pStyle w:val="Style41"/>
        <w:keepNext w:val="0"/>
        <w:keepLines w:val="0"/>
        <w:widowControl w:val="0"/>
        <w:shd w:val="clear" w:color="auto" w:fill="auto"/>
        <w:bidi w:val="0"/>
        <w:spacing w:before="0" w:after="0" w:line="274" w:lineRule="exact"/>
        <w:ind w:left="0" w:right="0" w:firstLine="0"/>
        <w:jc w:val="both"/>
      </w:pPr>
      <w:r>
        <w:rPr>
          <w:color w:val="000000"/>
          <w:spacing w:val="0"/>
          <w:w w:val="100"/>
          <w:position w:val="0"/>
        </w:rPr>
        <w:t>长期股权投资在取得时以初始投资成本进行初始计量。通过同一控制下企业合并取得的长期股权投资，以 合并日取得被合并方所有者权益在最终控制方合并财务报表中的账面价值的份额作为初始投资成本；初始 投资成本与合并对价账面价值之间差额，调整资本公积（不足冲减的，冲减留存收益）；合并日之前的其 他综合收益，在处置该项投资时采用与被投资单位直接处置相关资产或负债相同的基础进行会计处理，因 被投资方除净损益、其他综合收益和利润分配以外的其他股东权益变动而确认的股东权益，在处置该项投 资时转入当期损益；其中，处置后仍为长期股权投资的按比例结转，处置后转换为金融工具的则全额结转。</w:t>
      </w:r>
    </w:p>
    <w:p>
      <w:pPr>
        <w:pStyle w:val="Style41"/>
        <w:keepNext w:val="0"/>
        <w:keepLines w:val="0"/>
        <w:widowControl w:val="0"/>
        <w:shd w:val="clear" w:color="auto" w:fill="auto"/>
        <w:bidi w:val="0"/>
        <w:spacing w:before="0" w:after="220" w:line="274" w:lineRule="exact"/>
        <w:ind w:left="0" w:right="0" w:firstLine="0"/>
        <w:jc w:val="both"/>
      </w:pPr>
      <w:r>
        <w:rPr>
          <w:color w:val="000000"/>
          <w:spacing w:val="0"/>
          <w:w w:val="100"/>
          <w:position w:val="0"/>
        </w:rPr>
        <w:t xml:space="preserve">通过非同一控制下企业合并取得的长期股权投资，以合并成本作为初始投资成本（通过多次交易分步实现 </w:t>
      </w:r>
      <w:r>
        <w:rPr>
          <w:color w:val="000000"/>
          <w:spacing w:val="0"/>
          <w:w w:val="100"/>
          <w:position w:val="0"/>
        </w:rPr>
        <w:t>非同一控制下企业合并的，以购买日之前所持被购买方的股权投资的账面价值与购买日新增投资成本之和 作为初始投资成本），合并成本包括购买方付出的资产、发生或承担的负债、发行的权益性证券的公允价 值之和；购买日之前持有的因采用权益法核算而确认的其他综合收益，在处置该项投资时采用与被投资单 位直接处置相关资产或负债相同的基础进行会计处理，因被投资方除净损益、其他综合收益和利润分配以 外的其他股东权益变动而确认的股东权益，在处置该项投资时转入当期损益；其中，处置后仍为长期股权 投资的按比例结转，处置后转换为金融工具的则全额结转。除企业合并形成的长期股权投资以外方式取得 的长期股权投资，按照下列方法确定初始投资成本：支付现金取得的，以实际支付的购买价款及与取得长 期股权投资直接相关的费用、税金及其他必要支出作为初始投资成本；发行权益性证券取得的，以发行权 益性证券的公允价值作为初始投资成本。</w:t>
      </w:r>
    </w:p>
    <w:p>
      <w:pPr>
        <w:pStyle w:val="Style41"/>
        <w:keepNext w:val="0"/>
        <w:keepLines w:val="0"/>
        <w:widowControl w:val="0"/>
        <w:shd w:val="clear" w:color="auto" w:fill="auto"/>
        <w:bidi w:val="0"/>
        <w:spacing w:before="0" w:after="0" w:line="275" w:lineRule="exact"/>
        <w:ind w:left="0" w:right="0" w:firstLine="0"/>
        <w:jc w:val="both"/>
      </w:pPr>
      <w:r>
        <w:rPr>
          <w:color w:val="000000"/>
          <w:spacing w:val="0"/>
          <w:w w:val="100"/>
          <w:position w:val="0"/>
        </w:rPr>
        <w:t>母公司能够对被投资单位实施控制的长期股权投资，在母公司个别财务报表中采用成本法核算。控制，是 指拥有对被投资方的权力，通过参与被投资方的相关活动而享有可变回报，并且有能力运用对被投资方的 权力影响回报金额。</w:t>
      </w:r>
    </w:p>
    <w:p>
      <w:pPr>
        <w:pStyle w:val="Style41"/>
        <w:keepNext w:val="0"/>
        <w:keepLines w:val="0"/>
        <w:widowControl w:val="0"/>
        <w:shd w:val="clear" w:color="auto" w:fill="auto"/>
        <w:bidi w:val="0"/>
        <w:spacing w:before="0" w:after="220" w:line="275" w:lineRule="exact"/>
        <w:ind w:left="0" w:right="0" w:firstLine="0"/>
        <w:jc w:val="both"/>
      </w:pPr>
      <w:r>
        <w:rPr>
          <w:color w:val="000000"/>
          <w:spacing w:val="0"/>
          <w:w w:val="100"/>
          <w:position w:val="0"/>
        </w:rPr>
        <w:t>采用成本法时，长期股权投资按初始投资成本计价。追加或收回投资的，调整长期股权投资的成本。被投 资单位宣告分派的现金股利或利润，确认为当期投资收益。</w:t>
      </w:r>
    </w:p>
    <w:p>
      <w:pPr>
        <w:pStyle w:val="Style41"/>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本公司对被投资单位具有共同控制或重大影响的，长期股权投资采用权益法核算。共同控制，是指按照相 关约定对某项安排所共有的控制，并且该安排的相关活动必须经过分享控制权的参与方一致同意后才能决 策。重大影响，是指对被投资单位的财务和经营政策有参与决策的权力，但并不能够控制或者与其他方一 起共同控制这些政策的制定。</w:t>
      </w:r>
    </w:p>
    <w:p>
      <w:pPr>
        <w:pStyle w:val="Style41"/>
        <w:keepNext w:val="0"/>
        <w:keepLines w:val="0"/>
        <w:widowControl w:val="0"/>
        <w:shd w:val="clear" w:color="auto" w:fill="auto"/>
        <w:bidi w:val="0"/>
        <w:spacing w:before="0" w:after="0" w:line="273" w:lineRule="exact"/>
        <w:ind w:left="0" w:right="0" w:firstLine="0"/>
        <w:jc w:val="both"/>
      </w:pPr>
      <w:r>
        <w:rPr>
          <w:color w:val="000000"/>
          <w:spacing w:val="0"/>
          <w:w w:val="100"/>
          <w:position w:val="0"/>
        </w:rPr>
        <w:t>采用权益法时，长期股权投资的初始投资成本大于投资时应享有被投资单位可辨认净资产公允价值份额的， 归入长期股权投资的初始投资成本；长期股权投资的初始投资成本小于投资时应享有被投资单位可辨认净 资产公允价值份额的，其差额计入当期损益，同时调整长期股权投资的成本。</w:t>
      </w:r>
    </w:p>
    <w:p>
      <w:pPr>
        <w:pStyle w:val="Style41"/>
        <w:keepNext w:val="0"/>
        <w:keepLines w:val="0"/>
        <w:widowControl w:val="0"/>
        <w:shd w:val="clear" w:color="auto" w:fill="auto"/>
        <w:bidi w:val="0"/>
        <w:spacing w:before="0" w:after="0" w:line="273" w:lineRule="exact"/>
        <w:ind w:left="0" w:right="0" w:firstLine="0"/>
        <w:jc w:val="both"/>
      </w:pPr>
      <w:r>
        <w:rPr>
          <w:color w:val="000000"/>
          <w:spacing w:val="0"/>
          <w:w w:val="100"/>
          <w:position w:val="0"/>
        </w:rPr>
        <w:t>采用权益法时，取得长期股权投资后，按照应享有或应分担的被投资单位实现的净损益和其他综合收益的 份额，分别确认投资损益和其他综合收益并调整长期股权投资的账面价值。在确认应享有被投资单位净损 益的份额时，以取得投资时被投资单位可辨认资产等的公允价值为基础，按照本公司的会计政策及会计期 间，并抵销与联营企业及合营企业之间发生的内部交易损益按照应享有的比例计算归属于投资方的部分 （但内部交易损失属于资产减值损失的，应全额确认），对被投资单位的净利润进行调整后确认，但投出 或出售的资产构成业务的除外。按照被投资单位宣告分派的利润或现金股利计算应享有的部分，相应减少 长期股权投资的账面价值。本公司确认被投资单位发生的净亏损，以长期股权投资的账面价值以及其他实 质上构成对被投资单位净投资的长期权益减记至零为限，本公司负有承担额外损失义务的除外。对于被投 资单位除净损益、其他综合收益和利润分配以外股东权益的其他变动，调整长期股权投资的账面价值并计 入股东权益。</w:t>
      </w:r>
    </w:p>
    <w:p>
      <w:pPr>
        <w:pStyle w:val="Style41"/>
        <w:keepNext w:val="0"/>
        <w:keepLines w:val="0"/>
        <w:widowControl w:val="0"/>
        <w:shd w:val="clear" w:color="auto" w:fill="auto"/>
        <w:bidi w:val="0"/>
        <w:spacing w:before="0" w:after="500" w:line="273" w:lineRule="exact"/>
        <w:ind w:left="0" w:right="0" w:firstLine="0"/>
        <w:jc w:val="both"/>
      </w:pPr>
      <w:r>
        <w:rPr>
          <w:color w:val="000000"/>
          <w:spacing w:val="0"/>
          <w:w w:val="100"/>
          <w:position w:val="0"/>
        </w:rPr>
        <w:t>处置长期股权投资，其账面价值与实际取得价款的差额，计入当期损益。采用权益法核算的长期股权投资， 因处置终止采用权益法的，原权益法核算的相关其他综合收益采用与被投资单位直接处置相关资产或负债 相同的基础进行会计处理，因被投资方除净损益、其他综合收益和利润分配以外的其他股东权益变动而确 认的股东权益，全部转入当期损益；仍采用权益法的，原权益法核算的相关其他综合收益采用与被投资单 位直接处置相关资产或负债相同的基础进行会计处理并按比例转入当期损益，因被投资方除净损益、其他 综合收益和利润分配以外的其他股东权益变动而确认的股东权益，按相应的比例转入当期损益。</w:t>
      </w:r>
    </w:p>
    <w:p>
      <w:pPr>
        <w:pStyle w:val="Style32"/>
        <w:keepNext/>
        <w:keepLines/>
        <w:widowControl w:val="0"/>
        <w:shd w:val="clear" w:color="auto" w:fill="auto"/>
        <w:bidi w:val="0"/>
        <w:spacing w:before="0" w:after="300" w:line="271" w:lineRule="exact"/>
        <w:ind w:left="0" w:right="0" w:firstLine="0"/>
        <w:jc w:val="both"/>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1</w:t>
      </w:r>
      <w:bookmarkEnd w:id="971"/>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969"/>
      <w:bookmarkEnd w:id="970"/>
      <w:bookmarkEnd w:id="972"/>
    </w:p>
    <w:p>
      <w:pPr>
        <w:pStyle w:val="Style32"/>
        <w:keepNext/>
        <w:keepLines/>
        <w:widowControl w:val="0"/>
        <w:shd w:val="clear" w:color="auto" w:fill="auto"/>
        <w:bidi w:val="0"/>
        <w:spacing w:before="0" w:after="300" w:line="271" w:lineRule="exact"/>
        <w:ind w:left="0" w:right="0" w:firstLine="0"/>
        <w:jc w:val="both"/>
      </w:pPr>
      <w:bookmarkStart w:id="969" w:name="bookmark969"/>
      <w:bookmarkStart w:id="970" w:name="bookmark970"/>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69"/>
      <w:bookmarkEnd w:id="970"/>
      <w:bookmarkEnd w:id="974"/>
    </w:p>
    <w:p>
      <w:pPr>
        <w:pStyle w:val="Style41"/>
        <w:keepNext w:val="0"/>
        <w:keepLines w:val="0"/>
        <w:widowControl w:val="0"/>
        <w:shd w:val="clear" w:color="auto" w:fill="auto"/>
        <w:bidi w:val="0"/>
        <w:spacing w:before="0" w:after="40" w:line="271" w:lineRule="exact"/>
        <w:ind w:left="0" w:right="0" w:firstLine="0"/>
        <w:jc w:val="both"/>
      </w:pPr>
      <w:r>
        <w:rPr>
          <w:color w:val="000000"/>
          <w:spacing w:val="0"/>
          <w:w w:val="100"/>
          <w:position w:val="0"/>
        </w:rPr>
        <w:t>固定资产仅在与其有关的经济利益很可能流入本公司，且其成本能够可靠地计量时才予以确认。与固定 资产有关的后续支出，符合该确认条件的，计入固定资产成本，并终止确认被替换部分的账面价值；否 则，在发生时计入当期损益。</w:t>
      </w:r>
    </w:p>
    <w:p>
      <w:pPr>
        <w:pStyle w:val="Style41"/>
        <w:keepNext w:val="0"/>
        <w:keepLines w:val="0"/>
        <w:widowControl w:val="0"/>
        <w:shd w:val="clear" w:color="auto" w:fill="auto"/>
        <w:bidi w:val="0"/>
        <w:spacing w:before="0" w:after="320" w:line="271" w:lineRule="exact"/>
        <w:ind w:left="0" w:right="0" w:firstLine="0"/>
        <w:jc w:val="both"/>
      </w:pPr>
      <w:r>
        <w:rPr>
          <w:color w:val="000000"/>
          <w:spacing w:val="0"/>
          <w:w w:val="100"/>
          <w:position w:val="0"/>
        </w:rPr>
        <w:t xml:space="preserve">固定资产按照成本进行初始计量。购置固定资产的成本包括购买价款、相关税费、使固定资产达到预定 </w:t>
      </w:r>
      <w:r>
        <w:rPr>
          <w:color w:val="000000"/>
          <w:spacing w:val="0"/>
          <w:w w:val="100"/>
          <w:position w:val="0"/>
        </w:rPr>
        <w:t>可使用状态前所发生的可直接归属于该项资产的其他支出。</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5"/>
        <w:gridCol w:w="1920"/>
        <w:gridCol w:w="1915"/>
        <w:gridCol w:w="1920"/>
        <w:gridCol w:w="1925"/>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4.75%</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5-6</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3.0%-5.0%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16.17%-19.40%</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3.0%-5.0%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8.64%-32.33%</w:t>
            </w: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通用设备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3.0%-5.0%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19.00%-19.40%</w:t>
            </w:r>
          </w:p>
        </w:tc>
      </w:tr>
    </w:tbl>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固定资产的各组成部分具有不同使用寿命或以不同方式为企业提供经济利益的，适用不同折旧率。</w:t>
      </w:r>
    </w:p>
    <w:p>
      <w:pPr>
        <w:widowControl w:val="0"/>
        <w:spacing w:after="79" w:line="1" w:lineRule="exact"/>
      </w:pPr>
    </w:p>
    <w:p>
      <w:pPr>
        <w:pStyle w:val="Style41"/>
        <w:keepNext w:val="0"/>
        <w:keepLines w:val="0"/>
        <w:widowControl w:val="0"/>
        <w:shd w:val="clear" w:color="auto" w:fill="auto"/>
        <w:bidi w:val="0"/>
        <w:spacing w:before="0" w:after="320" w:line="275" w:lineRule="exact"/>
        <w:ind w:left="0" w:right="0" w:firstLine="0"/>
        <w:jc w:val="left"/>
      </w:pPr>
      <w:r>
        <w:rPr>
          <w:color w:val="000000"/>
          <w:spacing w:val="0"/>
          <w:w w:val="100"/>
          <w:position w:val="0"/>
        </w:rPr>
        <w:t>本公司至少于每年年度终了，对固定资产的使用寿命、预计净残值和折旧方法进行复核，必要时进行调整。</w:t>
      </w:r>
    </w:p>
    <w:p>
      <w:pPr>
        <w:pStyle w:val="Style32"/>
        <w:keepNext/>
        <w:keepLines/>
        <w:widowControl w:val="0"/>
        <w:shd w:val="clear" w:color="auto" w:fill="auto"/>
        <w:tabs>
          <w:tab w:pos="498" w:val="left"/>
        </w:tabs>
        <w:bidi w:val="0"/>
        <w:spacing w:before="0" w:after="240" w:line="288"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1</w:t>
      </w:r>
      <w:bookmarkEnd w:id="977"/>
      <w:r>
        <w:rPr>
          <w:rFonts w:ascii="Times New Roman" w:eastAsia="Times New Roman" w:hAnsi="Times New Roman" w:cs="Times New Roman"/>
          <w:color w:val="000000"/>
          <w:spacing w:val="0"/>
          <w:w w:val="100"/>
          <w:position w:val="0"/>
        </w:rPr>
        <w:t>4</w:t>
      </w:r>
      <w:r>
        <w:rPr>
          <w:color w:val="000000"/>
          <w:spacing w:val="0"/>
          <w:w w:val="100"/>
          <w:position w:val="0"/>
        </w:rPr>
        <w:t>、</w:t>
        <w:tab/>
        <w:t>在建工程</w:t>
      </w:r>
      <w:bookmarkEnd w:id="975"/>
      <w:bookmarkEnd w:id="976"/>
      <w:bookmarkEnd w:id="978"/>
    </w:p>
    <w:p>
      <w:pPr>
        <w:pStyle w:val="Style41"/>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在建工程成本按实际工程支出确定，包括在建期间发生的各项必要工程支出、工程达到预定可使用状态 前的应予资本化的借款费用以及其他相关费用等。</w:t>
      </w:r>
    </w:p>
    <w:p>
      <w:pPr>
        <w:pStyle w:val="Style41"/>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在建工程在达到预定可使用状态时转入固定资产等科目。</w:t>
      </w:r>
    </w:p>
    <w:p>
      <w:pPr>
        <w:pStyle w:val="Style32"/>
        <w:keepNext/>
        <w:keepLines/>
        <w:widowControl w:val="0"/>
        <w:shd w:val="clear" w:color="auto" w:fill="auto"/>
        <w:tabs>
          <w:tab w:pos="498" w:val="left"/>
        </w:tabs>
        <w:bidi w:val="0"/>
        <w:spacing w:before="0" w:after="240" w:line="288" w:lineRule="auto"/>
        <w:ind w:left="0" w:right="0" w:firstLine="0"/>
        <w:jc w:val="both"/>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1</w:t>
      </w:r>
      <w:bookmarkEnd w:id="981"/>
      <w:r>
        <w:rPr>
          <w:rFonts w:ascii="Times New Roman" w:eastAsia="Times New Roman" w:hAnsi="Times New Roman" w:cs="Times New Roman"/>
          <w:color w:val="000000"/>
          <w:spacing w:val="0"/>
          <w:w w:val="100"/>
          <w:position w:val="0"/>
        </w:rPr>
        <w:t>5</w:t>
      </w:r>
      <w:r>
        <w:rPr>
          <w:color w:val="000000"/>
          <w:spacing w:val="0"/>
          <w:w w:val="100"/>
          <w:position w:val="0"/>
        </w:rPr>
        <w:t>、</w:t>
        <w:tab/>
        <w:t>借款费用</w:t>
      </w:r>
      <w:bookmarkEnd w:id="979"/>
      <w:bookmarkEnd w:id="980"/>
      <w:bookmarkEnd w:id="982"/>
    </w:p>
    <w:p>
      <w:pPr>
        <w:pStyle w:val="Style41"/>
        <w:keepNext w:val="0"/>
        <w:keepLines w:val="0"/>
        <w:widowControl w:val="0"/>
        <w:shd w:val="clear" w:color="auto" w:fill="auto"/>
        <w:bidi w:val="0"/>
        <w:spacing w:before="0" w:after="0" w:line="275" w:lineRule="exact"/>
        <w:ind w:left="0" w:right="0" w:firstLine="0"/>
        <w:jc w:val="both"/>
      </w:pPr>
      <w:r>
        <w:rPr>
          <w:color w:val="000000"/>
          <w:spacing w:val="0"/>
          <w:w w:val="100"/>
          <w:position w:val="0"/>
        </w:rPr>
        <w:t>借款费用，是指本公司因借款而发生的利息及其他相关成本，包括借款利息、折价或者溢价的摊销、辅助 费用以及因外币借款而发生的汇兑差额等。</w:t>
      </w:r>
    </w:p>
    <w:p>
      <w:pPr>
        <w:pStyle w:val="Style41"/>
        <w:keepNext w:val="0"/>
        <w:keepLines w:val="0"/>
        <w:widowControl w:val="0"/>
        <w:shd w:val="clear" w:color="auto" w:fill="auto"/>
        <w:bidi w:val="0"/>
        <w:spacing w:before="0" w:after="0" w:line="275" w:lineRule="exact"/>
        <w:ind w:left="0" w:right="0" w:firstLine="0"/>
        <w:jc w:val="both"/>
      </w:pPr>
      <w:r>
        <w:rPr>
          <w:color w:val="000000"/>
          <w:spacing w:val="0"/>
          <w:w w:val="100"/>
          <w:position w:val="0"/>
        </w:rPr>
        <w:t>可直接归属于符合资本化条件的资产的购建或者生产的借款费用，予以资本化，其他借款费用计入当期损 益。符合资本化条件的资产，是指需要经过相当长时间的购建或者生产活动才能达到预定可使用或者可销 售状态的固定资产、投资性房地产和存货等资产。</w:t>
      </w:r>
    </w:p>
    <w:p>
      <w:pPr>
        <w:pStyle w:val="Style41"/>
        <w:keepNext w:val="0"/>
        <w:keepLines w:val="0"/>
        <w:widowControl w:val="0"/>
        <w:shd w:val="clear" w:color="auto" w:fill="auto"/>
        <w:bidi w:val="0"/>
        <w:spacing w:before="0" w:after="0" w:line="275" w:lineRule="exact"/>
        <w:ind w:left="0" w:right="0" w:firstLine="0"/>
        <w:jc w:val="both"/>
      </w:pPr>
      <w:r>
        <w:rPr>
          <w:color w:val="000000"/>
          <w:spacing w:val="0"/>
          <w:w w:val="100"/>
          <w:position w:val="0"/>
        </w:rPr>
        <w:t>借款费用同时满足下列条件的，才能开始资本化：</w:t>
      </w:r>
    </w:p>
    <w:p>
      <w:pPr>
        <w:pStyle w:val="Style41"/>
        <w:keepNext w:val="0"/>
        <w:keepLines w:val="0"/>
        <w:widowControl w:val="0"/>
        <w:numPr>
          <w:ilvl w:val="0"/>
          <w:numId w:val="13"/>
        </w:numPr>
        <w:shd w:val="clear" w:color="auto" w:fill="auto"/>
        <w:tabs>
          <w:tab w:pos="437" w:val="left"/>
        </w:tabs>
        <w:bidi w:val="0"/>
        <w:spacing w:before="0" w:after="0" w:line="288" w:lineRule="auto"/>
        <w:ind w:left="0" w:right="0" w:firstLine="0"/>
        <w:jc w:val="both"/>
      </w:pPr>
      <w:bookmarkStart w:id="983" w:name="bookmark983"/>
      <w:bookmarkEnd w:id="983"/>
      <w:r>
        <w:rPr>
          <w:color w:val="000000"/>
          <w:spacing w:val="0"/>
          <w:w w:val="100"/>
          <w:position w:val="0"/>
        </w:rPr>
        <w:t>资产支出已经发生；</w:t>
      </w:r>
    </w:p>
    <w:p>
      <w:pPr>
        <w:pStyle w:val="Style41"/>
        <w:keepNext w:val="0"/>
        <w:keepLines w:val="0"/>
        <w:widowControl w:val="0"/>
        <w:numPr>
          <w:ilvl w:val="0"/>
          <w:numId w:val="13"/>
        </w:numPr>
        <w:shd w:val="clear" w:color="auto" w:fill="auto"/>
        <w:tabs>
          <w:tab w:pos="437" w:val="left"/>
        </w:tabs>
        <w:bidi w:val="0"/>
        <w:spacing w:before="0" w:after="0" w:line="288" w:lineRule="auto"/>
        <w:ind w:left="0" w:right="0" w:firstLine="0"/>
        <w:jc w:val="both"/>
      </w:pPr>
      <w:bookmarkStart w:id="984" w:name="bookmark984"/>
      <w:bookmarkEnd w:id="984"/>
      <w:r>
        <w:rPr>
          <w:color w:val="000000"/>
          <w:spacing w:val="0"/>
          <w:w w:val="100"/>
          <w:position w:val="0"/>
        </w:rPr>
        <w:t>借款费用已经发生；</w:t>
      </w:r>
    </w:p>
    <w:p>
      <w:pPr>
        <w:pStyle w:val="Style41"/>
        <w:keepNext w:val="0"/>
        <w:keepLines w:val="0"/>
        <w:widowControl w:val="0"/>
        <w:numPr>
          <w:ilvl w:val="0"/>
          <w:numId w:val="13"/>
        </w:numPr>
        <w:shd w:val="clear" w:color="auto" w:fill="auto"/>
        <w:tabs>
          <w:tab w:pos="437" w:val="left"/>
        </w:tabs>
        <w:bidi w:val="0"/>
        <w:spacing w:before="0" w:after="0" w:line="288" w:lineRule="auto"/>
        <w:ind w:left="0" w:right="0" w:firstLine="0"/>
        <w:jc w:val="both"/>
      </w:pPr>
      <w:bookmarkStart w:id="985" w:name="bookmark985"/>
      <w:bookmarkEnd w:id="985"/>
      <w:r>
        <w:rPr>
          <w:color w:val="000000"/>
          <w:spacing w:val="0"/>
          <w:w w:val="100"/>
          <w:position w:val="0"/>
        </w:rPr>
        <w:t>为使资产达到预定可使用或者可销售状态所必要的购建或者生产活动已经开始</w:t>
      </w:r>
    </w:p>
    <w:p>
      <w:pPr>
        <w:pStyle w:val="Style41"/>
        <w:keepNext w:val="0"/>
        <w:keepLines w:val="0"/>
        <w:widowControl w:val="0"/>
        <w:shd w:val="clear" w:color="auto" w:fill="auto"/>
        <w:bidi w:val="0"/>
        <w:spacing w:before="0" w:after="0" w:line="275" w:lineRule="exact"/>
        <w:ind w:left="0" w:right="0" w:firstLine="0"/>
        <w:jc w:val="both"/>
      </w:pPr>
      <w:r>
        <w:rPr>
          <w:color w:val="000000"/>
          <w:spacing w:val="0"/>
          <w:w w:val="100"/>
          <w:position w:val="0"/>
        </w:rPr>
        <w:t>购建或者生产符合资本化条件的资产达到预定可使用或者可销售状态时，借款费用停止资本化。之后发生 的借款费用计入当期损益。</w:t>
      </w:r>
    </w:p>
    <w:p>
      <w:pPr>
        <w:pStyle w:val="Style41"/>
        <w:keepNext w:val="0"/>
        <w:keepLines w:val="0"/>
        <w:widowControl w:val="0"/>
        <w:shd w:val="clear" w:color="auto" w:fill="auto"/>
        <w:bidi w:val="0"/>
        <w:spacing w:before="0" w:after="0" w:line="275" w:lineRule="exact"/>
        <w:ind w:left="0" w:right="0" w:firstLine="0"/>
        <w:jc w:val="both"/>
      </w:pPr>
      <w:r>
        <w:rPr>
          <w:color w:val="000000"/>
          <w:spacing w:val="0"/>
          <w:w w:val="100"/>
          <w:position w:val="0"/>
        </w:rPr>
        <w:t>在资本化期间内，每一会计期间的利息资本化金额，按照下列方法确定：</w:t>
      </w:r>
    </w:p>
    <w:p>
      <w:pPr>
        <w:pStyle w:val="Style41"/>
        <w:keepNext w:val="0"/>
        <w:keepLines w:val="0"/>
        <w:widowControl w:val="0"/>
        <w:numPr>
          <w:ilvl w:val="0"/>
          <w:numId w:val="15"/>
        </w:numPr>
        <w:shd w:val="clear" w:color="auto" w:fill="auto"/>
        <w:tabs>
          <w:tab w:pos="437" w:val="left"/>
        </w:tabs>
        <w:bidi w:val="0"/>
        <w:spacing w:before="0" w:after="0" w:line="288" w:lineRule="auto"/>
        <w:ind w:left="0" w:right="0" w:firstLine="0"/>
        <w:jc w:val="both"/>
      </w:pPr>
      <w:bookmarkStart w:id="986" w:name="bookmark986"/>
      <w:bookmarkEnd w:id="986"/>
      <w:r>
        <w:rPr>
          <w:color w:val="000000"/>
          <w:spacing w:val="0"/>
          <w:w w:val="100"/>
          <w:position w:val="0"/>
        </w:rPr>
        <w:t>专门借款以当期实际发生的利息费用，减去暂时性的存款利息收入或投资收益后的金额确定；</w:t>
      </w:r>
    </w:p>
    <w:p>
      <w:pPr>
        <w:pStyle w:val="Style41"/>
        <w:keepNext w:val="0"/>
        <w:keepLines w:val="0"/>
        <w:widowControl w:val="0"/>
        <w:numPr>
          <w:ilvl w:val="0"/>
          <w:numId w:val="15"/>
        </w:numPr>
        <w:shd w:val="clear" w:color="auto" w:fill="auto"/>
        <w:tabs>
          <w:tab w:pos="437" w:val="left"/>
        </w:tabs>
        <w:bidi w:val="0"/>
        <w:spacing w:before="0" w:after="0" w:line="275" w:lineRule="exact"/>
        <w:ind w:left="0" w:right="0" w:firstLine="0"/>
        <w:jc w:val="both"/>
      </w:pPr>
      <w:bookmarkStart w:id="987" w:name="bookmark987"/>
      <w:bookmarkEnd w:id="987"/>
      <w:r>
        <w:rPr>
          <w:color w:val="000000"/>
          <w:spacing w:val="0"/>
          <w:w w:val="100"/>
          <w:position w:val="0"/>
        </w:rPr>
        <w:t>占用的一般借款，根据累计资产支出超过专门借款部分的资产支出加权平均数乘以所占用一般借款的 加权平均利率计算确定。</w:t>
      </w:r>
    </w:p>
    <w:p>
      <w:pPr>
        <w:pStyle w:val="Style41"/>
        <w:keepNext w:val="0"/>
        <w:keepLines w:val="0"/>
        <w:widowControl w:val="0"/>
        <w:shd w:val="clear" w:color="auto" w:fill="auto"/>
        <w:bidi w:val="0"/>
        <w:spacing w:before="0" w:after="320" w:line="275" w:lineRule="exact"/>
        <w:ind w:left="0" w:right="0" w:firstLine="0"/>
        <w:jc w:val="both"/>
      </w:pPr>
      <w:r>
        <w:rPr>
          <w:color w:val="000000"/>
          <w:spacing w:val="0"/>
          <w:w w:val="100"/>
          <w:position w:val="0"/>
        </w:rPr>
        <w:t>符合资本化条件的资产在购建或者生产过程中，发生除达到预定可使用或者可销售状态必要的程序之外的 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个月的，暂停借款费用的资本化。在中断期间发生的借款费用确认为费 用，计入当期损益，直至资产的购建或者生产活动重新开始。</w:t>
      </w:r>
    </w:p>
    <w:p>
      <w:pPr>
        <w:pStyle w:val="Style32"/>
        <w:keepNext/>
        <w:keepLines/>
        <w:widowControl w:val="0"/>
        <w:shd w:val="clear" w:color="auto" w:fill="auto"/>
        <w:tabs>
          <w:tab w:pos="498" w:val="left"/>
        </w:tabs>
        <w:bidi w:val="0"/>
        <w:spacing w:before="0" w:after="240" w:line="288" w:lineRule="auto"/>
        <w:ind w:left="0" w:right="0" w:firstLine="0"/>
        <w:jc w:val="both"/>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1</w:t>
      </w:r>
      <w:bookmarkEnd w:id="990"/>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988"/>
      <w:bookmarkEnd w:id="989"/>
      <w:bookmarkEnd w:id="991"/>
    </w:p>
    <w:p>
      <w:pPr>
        <w:pStyle w:val="Style32"/>
        <w:keepNext/>
        <w:keepLines/>
        <w:widowControl w:val="0"/>
        <w:numPr>
          <w:ilvl w:val="0"/>
          <w:numId w:val="17"/>
        </w:numPr>
        <w:shd w:val="clear" w:color="auto" w:fill="auto"/>
        <w:bidi w:val="0"/>
        <w:spacing w:before="0" w:line="275" w:lineRule="exact"/>
        <w:ind w:left="0" w:right="0" w:firstLine="0"/>
        <w:jc w:val="both"/>
      </w:pPr>
      <w:bookmarkStart w:id="988" w:name="bookmark988"/>
      <w:bookmarkStart w:id="989" w:name="bookmark989"/>
      <w:bookmarkStart w:id="992" w:name="bookmark992"/>
      <w:bookmarkStart w:id="993" w:name="bookmark993"/>
      <w:bookmarkEnd w:id="992"/>
      <w:r>
        <w:rPr>
          <w:color w:val="000000"/>
          <w:spacing w:val="0"/>
          <w:w w:val="100"/>
          <w:position w:val="0"/>
        </w:rPr>
        <w:t>计价方法、使用寿命、减值测试</w:t>
      </w:r>
      <w:bookmarkEnd w:id="988"/>
      <w:bookmarkEnd w:id="989"/>
      <w:bookmarkEnd w:id="993"/>
    </w:p>
    <w:p>
      <w:pPr>
        <w:pStyle w:val="Style41"/>
        <w:keepNext w:val="0"/>
        <w:keepLines w:val="0"/>
        <w:widowControl w:val="0"/>
        <w:shd w:val="clear" w:color="auto" w:fill="auto"/>
        <w:bidi w:val="0"/>
        <w:spacing w:before="0" w:after="240" w:line="274" w:lineRule="exact"/>
        <w:ind w:left="0" w:right="0" w:firstLine="0"/>
        <w:jc w:val="both"/>
      </w:pPr>
      <w:r>
        <w:rPr>
          <w:color w:val="000000"/>
          <w:spacing w:val="0"/>
          <w:w w:val="100"/>
          <w:position w:val="0"/>
        </w:rPr>
        <w:t>无形资产仅在与其有关的经济利益很可能流入本公司，且其成本能够可靠地计量时才予以确认，并以成本 进行初始计量。但非同一控制下企业合并中取得的无形资产，其公允价值能够可靠地计量的，即单独确认 为无形资产并按照公允价值计量。</w:t>
      </w:r>
    </w:p>
    <w:p>
      <w:pPr>
        <w:pStyle w:val="Style41"/>
        <w:keepNext w:val="0"/>
        <w:keepLines w:val="0"/>
        <w:widowControl w:val="0"/>
        <w:shd w:val="clear" w:color="auto" w:fill="auto"/>
        <w:bidi w:val="0"/>
        <w:spacing w:before="0" w:after="0" w:line="278" w:lineRule="exact"/>
        <w:ind w:left="0" w:right="0" w:firstLine="0"/>
        <w:jc w:val="both"/>
      </w:pPr>
      <w:r>
        <w:rPr>
          <w:color w:val="000000"/>
          <w:spacing w:val="0"/>
          <w:w w:val="100"/>
          <w:position w:val="0"/>
        </w:rPr>
        <w:t>无形资产按照其能为本公司带来经济利益的期限确定使用寿命，无法预见其为本公司带来经济利益期限的 作为使用寿命不确定的无形资产。</w:t>
      </w:r>
    </w:p>
    <w:p>
      <w:pPr>
        <w:pStyle w:val="Style41"/>
        <w:keepNext w:val="0"/>
        <w:keepLines w:val="0"/>
        <w:widowControl w:val="0"/>
        <w:shd w:val="clear" w:color="auto" w:fill="auto"/>
        <w:bidi w:val="0"/>
        <w:spacing w:before="0" w:after="220" w:line="278" w:lineRule="exact"/>
        <w:ind w:left="0" w:right="0" w:firstLine="0"/>
        <w:jc w:val="both"/>
      </w:pPr>
      <w:r>
        <w:rPr>
          <w:color w:val="000000"/>
          <w:spacing w:val="0"/>
          <w:w w:val="100"/>
          <w:position w:val="0"/>
        </w:rPr>
        <w:t>各项无形资产的使用寿命如下：</w:t>
      </w:r>
    </w:p>
    <w:tbl>
      <w:tblPr>
        <w:tblOverlap w:val="never"/>
        <w:jc w:val="center"/>
        <w:tblLayout w:type="fixed"/>
      </w:tblPr>
      <w:tblGrid>
        <w:gridCol w:w="4968"/>
        <w:gridCol w:w="4766"/>
      </w:tblGrid>
      <w:tr>
        <w:trPr>
          <w:trHeight w:val="283" w:hRule="exact"/>
        </w:trPr>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无形资产项目</w:t>
            </w:r>
          </w:p>
        </w:tc>
        <w:tc>
          <w:tcPr>
            <w:tcBorders>
              <w:top w:val="single" w:sz="4"/>
              <w:left w:val="single" w:sz="4"/>
              <w:righ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预计使用寿命</w:t>
            </w:r>
          </w:p>
        </w:tc>
      </w:tr>
      <w:tr>
        <w:trPr>
          <w:trHeight w:val="25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4380" w:right="0" w:firstLine="0"/>
              <w:jc w:val="left"/>
            </w:pPr>
            <w:r>
              <w:rPr>
                <w:color w:val="000000"/>
                <w:spacing w:val="0"/>
                <w:w w:val="100"/>
                <w:position w:val="0"/>
              </w:rPr>
              <w:t>40</w:t>
            </w:r>
            <w:r>
              <w:rPr>
                <w:rFonts w:ascii="SimSun" w:eastAsia="SimSun" w:hAnsi="SimSun" w:cs="SimSun"/>
                <w:color w:val="000000"/>
                <w:spacing w:val="0"/>
                <w:w w:val="100"/>
                <w:position w:val="0"/>
              </w:rPr>
              <w:t>年</w:t>
            </w:r>
          </w:p>
        </w:tc>
      </w:tr>
      <w:tr>
        <w:trPr>
          <w:trHeight w:val="2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计算机软件</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r>
              <w:rPr>
                <w:rFonts w:ascii="SimSun" w:eastAsia="SimSun" w:hAnsi="SimSun" w:cs="SimSun"/>
                <w:color w:val="000000"/>
                <w:spacing w:val="0"/>
                <w:w w:val="100"/>
                <w:position w:val="0"/>
              </w:rPr>
              <w:t>年</w:t>
            </w:r>
          </w:p>
        </w:tc>
      </w:tr>
      <w:tr>
        <w:trPr>
          <w:trHeight w:val="27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交易席位费</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4380" w:right="0" w:firstLine="0"/>
              <w:jc w:val="left"/>
            </w:pPr>
            <w:r>
              <w:rPr>
                <w:color w:val="000000"/>
                <w:spacing w:val="0"/>
                <w:w w:val="100"/>
                <w:position w:val="0"/>
              </w:rPr>
              <w:t>10</w:t>
            </w:r>
            <w:r>
              <w:rPr>
                <w:rFonts w:ascii="SimSun" w:eastAsia="SimSun" w:hAnsi="SimSun" w:cs="SimSun"/>
                <w:color w:val="000000"/>
                <w:spacing w:val="0"/>
                <w:w w:val="100"/>
                <w:position w:val="0"/>
              </w:rPr>
              <w:t>年</w:t>
            </w:r>
          </w:p>
        </w:tc>
      </w:tr>
      <w:tr>
        <w:trPr>
          <w:trHeight w:val="259"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期货经营权</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4380" w:right="0" w:firstLine="0"/>
              <w:jc w:val="left"/>
            </w:pPr>
            <w:r>
              <w:rPr>
                <w:color w:val="000000"/>
                <w:spacing w:val="0"/>
                <w:w w:val="100"/>
                <w:position w:val="0"/>
              </w:rPr>
              <w:t>10</w:t>
            </w:r>
            <w:r>
              <w:rPr>
                <w:rFonts w:ascii="SimSun" w:eastAsia="SimSun" w:hAnsi="SimSun" w:cs="SimSun"/>
                <w:color w:val="000000"/>
                <w:spacing w:val="0"/>
                <w:w w:val="100"/>
                <w:position w:val="0"/>
              </w:rPr>
              <w:t>年</w:t>
            </w:r>
          </w:p>
        </w:tc>
      </w:tr>
      <w:tr>
        <w:trPr>
          <w:trHeight w:val="283"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专利权</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r>
              <w:rPr>
                <w:rFonts w:ascii="SimSun" w:eastAsia="SimSun" w:hAnsi="SimSun" w:cs="SimSun"/>
                <w:color w:val="000000"/>
                <w:spacing w:val="0"/>
                <w:w w:val="100"/>
                <w:position w:val="0"/>
              </w:rPr>
              <w:t>年</w:t>
            </w:r>
          </w:p>
        </w:tc>
      </w:tr>
    </w:tbl>
    <w:p>
      <w:pPr>
        <w:widowControl w:val="0"/>
        <w:spacing w:after="219" w:line="1" w:lineRule="exact"/>
      </w:pPr>
    </w:p>
    <w:p>
      <w:pPr>
        <w:pStyle w:val="Style4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本公司取得的土地使用权，通常作为无形资产核算。</w:t>
      </w:r>
    </w:p>
    <w:p>
      <w:pPr>
        <w:pStyle w:val="Style41"/>
        <w:keepNext w:val="0"/>
        <w:keepLines w:val="0"/>
        <w:widowControl w:val="0"/>
        <w:shd w:val="clear" w:color="auto" w:fill="auto"/>
        <w:bidi w:val="0"/>
        <w:spacing w:before="0" w:after="0" w:line="274" w:lineRule="exact"/>
        <w:ind w:left="0" w:right="0" w:firstLine="0"/>
        <w:jc w:val="both"/>
      </w:pPr>
      <w:r>
        <w:rPr>
          <w:color w:val="000000"/>
          <w:spacing w:val="0"/>
          <w:w w:val="100"/>
          <w:position w:val="0"/>
        </w:rPr>
        <w:t>使用寿命有限的无形资产，在其使用寿命内采用直线法摊销。本公司至少于每年年度终了，对使用寿命有 限的无形资产的使用寿命及摊销方法进行复核，必要时进行调整。</w:t>
      </w:r>
    </w:p>
    <w:p>
      <w:pPr>
        <w:pStyle w:val="Style41"/>
        <w:keepNext w:val="0"/>
        <w:keepLines w:val="0"/>
        <w:widowControl w:val="0"/>
        <w:shd w:val="clear" w:color="auto" w:fill="auto"/>
        <w:bidi w:val="0"/>
        <w:spacing w:before="0" w:after="300" w:line="274" w:lineRule="exact"/>
        <w:ind w:left="0" w:right="0" w:firstLine="0"/>
        <w:jc w:val="both"/>
      </w:pPr>
      <w:r>
        <w:rPr>
          <w:color w:val="000000"/>
          <w:spacing w:val="0"/>
          <w:w w:val="100"/>
          <w:position w:val="0"/>
        </w:rPr>
        <w:t>对使用寿命不确定的无形资产，无论是否存在减值迹象，每年均进行减值测试。此类无形资产不予摊销， 在每个会计期间对其使用寿命进行复核。如果有证据表明使用寿命是有限的，则按上述使用寿命有限的无 形资产的政策进行会计处理。</w:t>
      </w:r>
    </w:p>
    <w:p>
      <w:pPr>
        <w:pStyle w:val="Style32"/>
        <w:keepNext/>
        <w:keepLines/>
        <w:widowControl w:val="0"/>
        <w:shd w:val="clear" w:color="auto" w:fill="auto"/>
        <w:bidi w:val="0"/>
        <w:spacing w:before="0" w:after="300" w:line="272" w:lineRule="exact"/>
        <w:ind w:left="0" w:right="0" w:firstLine="0"/>
        <w:jc w:val="both"/>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94"/>
      <w:bookmarkEnd w:id="995"/>
      <w:bookmarkEnd w:id="997"/>
    </w:p>
    <w:p>
      <w:pPr>
        <w:pStyle w:val="Style41"/>
        <w:keepNext w:val="0"/>
        <w:keepLines w:val="0"/>
        <w:widowControl w:val="0"/>
        <w:shd w:val="clear" w:color="auto" w:fill="auto"/>
        <w:bidi w:val="0"/>
        <w:spacing w:before="0" w:after="340" w:line="271" w:lineRule="exact"/>
        <w:ind w:left="0" w:right="0" w:firstLine="0"/>
        <w:jc w:val="both"/>
      </w:pPr>
      <w:r>
        <w:rPr>
          <w:color w:val="000000"/>
          <w:spacing w:val="0"/>
          <w:w w:val="100"/>
          <w:position w:val="0"/>
        </w:rPr>
        <w:t>本公司将内部研究开发项目的支出，区分为研究阶段支出和开发阶段支出。研究阶段的支出，于发生时计 入当期损益。开发阶段的支出，只有在同时满足下列条件时，才能予以资本化，即：完成该无形资产以使 其能够使用或出售在技术上具有可行性；具有完成该无形资产并使用或出售的意图；无形资产产生经济利 益的方式，包括能够证明运用该无形资产生产的产品存在市场或无形资产自身存在市场，无形资产将在内 部使用的，能够证明其有用性；有足够的技术、财务资源和其他资源支持，以完成该无形资产的开发，并 有能力使用或出售该无形资产；归属于该无形资产开发阶段的支出能够可靠地计量。不满足上述条件的开 发支出，于发生时计入当期损益。</w:t>
      </w:r>
    </w:p>
    <w:p>
      <w:pPr>
        <w:pStyle w:val="Style32"/>
        <w:keepNext/>
        <w:keepLines/>
        <w:widowControl w:val="0"/>
        <w:shd w:val="clear" w:color="auto" w:fill="auto"/>
        <w:bidi w:val="0"/>
        <w:spacing w:before="0" w:after="220" w:line="283" w:lineRule="auto"/>
        <w:ind w:left="0" w:right="0" w:firstLine="0"/>
        <w:jc w:val="both"/>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1</w:t>
      </w:r>
      <w:bookmarkEnd w:id="1000"/>
      <w:r>
        <w:rPr>
          <w:rFonts w:ascii="Times New Roman" w:eastAsia="Times New Roman" w:hAnsi="Times New Roman" w:cs="Times New Roman"/>
          <w:color w:val="000000"/>
          <w:spacing w:val="0"/>
          <w:w w:val="100"/>
          <w:position w:val="0"/>
        </w:rPr>
        <w:t>7</w:t>
      </w:r>
      <w:r>
        <w:rPr>
          <w:color w:val="000000"/>
          <w:spacing w:val="0"/>
          <w:w w:val="100"/>
          <w:position w:val="0"/>
        </w:rPr>
        <w:t>、长期资产减值</w:t>
      </w:r>
      <w:bookmarkEnd w:id="1001"/>
      <w:bookmarkEnd w:id="998"/>
      <w:bookmarkEnd w:id="999"/>
    </w:p>
    <w:p>
      <w:pPr>
        <w:pStyle w:val="Style41"/>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本公司对除合同资产及与合同成本有关的资产、递延所得税、金融资产外的资产减值，按以下方法确定: 本公司于资产负债表日判断资产是否存在可能发生减值的迹象，存在减值迹象的，本公司将估计其可收回 金额，进行减值测试。对因企业合并所形成的商誉和使用寿命不确定的无形资产，无论是否存在减值迹象， 至少于每年末进行减值测试。对于尚未达到可使用状态的无形资产，也每年进行减值测试。</w:t>
      </w:r>
    </w:p>
    <w:p>
      <w:pPr>
        <w:pStyle w:val="Style41"/>
        <w:keepNext w:val="0"/>
        <w:keepLines w:val="0"/>
        <w:widowControl w:val="0"/>
        <w:shd w:val="clear" w:color="auto" w:fill="auto"/>
        <w:bidi w:val="0"/>
        <w:spacing w:before="0" w:after="0" w:line="272" w:lineRule="exact"/>
        <w:ind w:left="0" w:right="0" w:firstLine="0"/>
        <w:jc w:val="both"/>
      </w:pPr>
      <w:r>
        <w:rPr>
          <w:color w:val="000000"/>
          <w:spacing w:val="0"/>
          <w:w w:val="100"/>
          <w:position w:val="0"/>
        </w:rPr>
        <w:t>可收回金额根据资产的公允价值减去处置费用后的净额与资产预计未来现金流量的现值两者之间较高者 确定。本公司以单项资产为基础估计其可收回金额；难以对单项资产的可收回金额进行估计的，以该资产 所属的资产组为基础确定资产组的可收回金额。资产组的认定，以资产组产生的主要现金流入是否独立于 其他资产或者资产组的现金流入为依据。</w:t>
      </w:r>
    </w:p>
    <w:p>
      <w:pPr>
        <w:pStyle w:val="Style41"/>
        <w:keepNext w:val="0"/>
        <w:keepLines w:val="0"/>
        <w:widowControl w:val="0"/>
        <w:shd w:val="clear" w:color="auto" w:fill="auto"/>
        <w:bidi w:val="0"/>
        <w:spacing w:before="0" w:after="0" w:line="272" w:lineRule="exact"/>
        <w:ind w:left="0" w:right="0" w:firstLine="0"/>
        <w:jc w:val="both"/>
      </w:pPr>
      <w:r>
        <w:rPr>
          <w:color w:val="000000"/>
          <w:spacing w:val="0"/>
          <w:w w:val="100"/>
          <w:position w:val="0"/>
        </w:rPr>
        <w:t>当资产或者资产组的可收回金额低于其账面价值时，本公司将其账面价值减记至可收回金额，减记的金额 计入当期损益，同时计提相应的资产减值准备。</w:t>
      </w:r>
    </w:p>
    <w:p>
      <w:pPr>
        <w:pStyle w:val="Style41"/>
        <w:keepNext w:val="0"/>
        <w:keepLines w:val="0"/>
        <w:widowControl w:val="0"/>
        <w:shd w:val="clear" w:color="auto" w:fill="auto"/>
        <w:bidi w:val="0"/>
        <w:spacing w:before="0" w:after="0" w:line="272" w:lineRule="exact"/>
        <w:ind w:left="0" w:right="0" w:firstLine="0"/>
        <w:jc w:val="both"/>
      </w:pPr>
      <w:r>
        <w:rPr>
          <w:color w:val="000000"/>
          <w:spacing w:val="0"/>
          <w:w w:val="100"/>
          <w:position w:val="0"/>
        </w:rPr>
        <w:t>就商誉的减值测试而言，对于因企业合并形成的商誉的账面价值，自购买日起按照合理的方法分摊至相关 的资产组；难以分摊至相关的资产组的，将其分摊至相关的资产组组合。相关的资产组或者资产组组合， 是能够从企业合并的协同效应中受益的资产组或者资产组组合，且不大于本公司确定的报告分部。</w:t>
      </w:r>
    </w:p>
    <w:p>
      <w:pPr>
        <w:pStyle w:val="Style41"/>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对包含商誉的相关资产组或者资产组组合进行减值测试时，如与商誉相关的资产组或者资产组组合存在减 值迹象的，首先对不包含商誉的资产组或者资产组组合进行减值测试，计算可收回金额，确认相应的减值 损失。然后对包含商誉的资产组或者资产组组合进行减值测试，比较其账面价值与可收回金额，如可收回 金额低于账面价值的，减值损失金额首先抵减分摊至资产组或者资产组组合中商誉的账面价值，再根据资 产组或者资产组组合中除商誉之外的其他各项资产的账面价值所占比重，按比例抵减其他各项资产的账面 价值。</w:t>
      </w:r>
    </w:p>
    <w:p>
      <w:pPr>
        <w:pStyle w:val="Style41"/>
        <w:keepNext w:val="0"/>
        <w:keepLines w:val="0"/>
        <w:widowControl w:val="0"/>
        <w:shd w:val="clear" w:color="auto" w:fill="auto"/>
        <w:bidi w:val="0"/>
        <w:spacing w:before="0" w:after="340" w:line="240" w:lineRule="auto"/>
        <w:ind w:left="0" w:right="0" w:firstLine="0"/>
        <w:jc w:val="both"/>
      </w:pPr>
      <w:r>
        <w:rPr>
          <w:color w:val="000000"/>
          <w:spacing w:val="0"/>
          <w:w w:val="100"/>
          <w:position w:val="0"/>
        </w:rPr>
        <w:t>上述资产减值损失一经确认，在以后会计期间不再转回。</w:t>
      </w:r>
    </w:p>
    <w:p>
      <w:pPr>
        <w:pStyle w:val="Style32"/>
        <w:keepNext/>
        <w:keepLines/>
        <w:widowControl w:val="0"/>
        <w:shd w:val="clear" w:color="auto" w:fill="auto"/>
        <w:bidi w:val="0"/>
        <w:spacing w:before="0" w:after="340" w:line="240" w:lineRule="auto"/>
        <w:ind w:left="0" w:right="0" w:firstLine="0"/>
        <w:jc w:val="both"/>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1</w:t>
      </w:r>
      <w:bookmarkEnd w:id="1004"/>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002"/>
      <w:bookmarkEnd w:id="1003"/>
      <w:bookmarkEnd w:id="1005"/>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长期待摊费用采用直线法摊销，摊销期如下:</w:t>
      </w:r>
    </w:p>
    <w:tbl>
      <w:tblPr>
        <w:tblOverlap w:val="never"/>
        <w:jc w:val="center"/>
        <w:tblLayout w:type="fixed"/>
      </w:tblPr>
      <w:tblGrid>
        <w:gridCol w:w="4872"/>
        <w:gridCol w:w="4862"/>
      </w:tblGrid>
      <w:tr>
        <w:trPr>
          <w:trHeight w:val="283" w:hRule="exact"/>
        </w:trPr>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摊销期</w:t>
            </w:r>
          </w:p>
        </w:tc>
      </w:tr>
      <w:tr>
        <w:trPr>
          <w:trHeight w:val="283"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预计租赁期限与</w:t>
            </w:r>
            <w:r>
              <w:rPr>
                <w:color w:val="000000"/>
                <w:spacing w:val="0"/>
                <w:w w:val="100"/>
                <w:position w:val="0"/>
              </w:rPr>
              <w:t>5</w:t>
            </w:r>
            <w:r>
              <w:rPr>
                <w:rFonts w:ascii="SimSun" w:eastAsia="SimSun" w:hAnsi="SimSun" w:cs="SimSun"/>
                <w:color w:val="000000"/>
                <w:spacing w:val="0"/>
                <w:w w:val="100"/>
                <w:position w:val="0"/>
              </w:rPr>
              <w:t>年孰短</w:t>
            </w:r>
          </w:p>
        </w:tc>
      </w:tr>
    </w:tbl>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19</w:t>
      </w:r>
      <w:r>
        <w:rPr>
          <w:b/>
          <w:bCs/>
          <w:color w:val="000000"/>
          <w:spacing w:val="0"/>
          <w:w w:val="100"/>
          <w:position w:val="0"/>
          <w:sz w:val="20"/>
          <w:szCs w:val="20"/>
        </w:rPr>
        <w:t>、合同负债</w:t>
      </w:r>
    </w:p>
    <w:p>
      <w:pPr>
        <w:widowControl w:val="0"/>
        <w:spacing w:after="279" w:line="1" w:lineRule="exact"/>
      </w:pPr>
    </w:p>
    <w:p>
      <w:pPr>
        <w:pStyle w:val="Style41"/>
        <w:keepNext w:val="0"/>
        <w:keepLines w:val="0"/>
        <w:widowControl w:val="0"/>
        <w:shd w:val="clear" w:color="auto" w:fill="auto"/>
        <w:bidi w:val="0"/>
        <w:spacing w:before="0" w:after="340" w:line="264" w:lineRule="exact"/>
        <w:ind w:left="0" w:right="0" w:firstLine="0"/>
        <w:jc w:val="both"/>
      </w:pPr>
      <w:bookmarkStart w:id="1006" w:name="bookmark1006"/>
      <w:r>
        <w:rPr>
          <w:color w:val="000000"/>
          <w:spacing w:val="0"/>
          <w:w w:val="100"/>
          <w:position w:val="0"/>
        </w:rPr>
        <w:t>合</w:t>
      </w:r>
      <w:bookmarkEnd w:id="1006"/>
      <w:r>
        <w:rPr>
          <w:color w:val="000000"/>
          <w:spacing w:val="0"/>
          <w:w w:val="100"/>
          <w:position w:val="0"/>
        </w:rPr>
        <w:t>同负债是指已收或应收客户对价而应向客户转让商品或服务的义务，如企业在转让承诺的商品或服务之 前已收取的款项。</w:t>
      </w:r>
    </w:p>
    <w:p>
      <w:pPr>
        <w:pStyle w:val="Style32"/>
        <w:keepNext/>
        <w:keepLines/>
        <w:widowControl w:val="0"/>
        <w:shd w:val="clear" w:color="auto" w:fill="auto"/>
        <w:tabs>
          <w:tab w:pos="507" w:val="left"/>
        </w:tabs>
        <w:bidi w:val="0"/>
        <w:spacing w:before="0" w:after="280" w:line="276" w:lineRule="auto"/>
        <w:ind w:left="0" w:right="0" w:firstLine="0"/>
        <w:jc w:val="both"/>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2</w:t>
      </w:r>
      <w:bookmarkEnd w:id="1009"/>
      <w:r>
        <w:rPr>
          <w:rFonts w:ascii="Times New Roman" w:eastAsia="Times New Roman" w:hAnsi="Times New Roman" w:cs="Times New Roman"/>
          <w:color w:val="000000"/>
          <w:spacing w:val="0"/>
          <w:w w:val="100"/>
          <w:position w:val="0"/>
        </w:rPr>
        <w:t>0</w:t>
      </w:r>
      <w:r>
        <w:rPr>
          <w:color w:val="000000"/>
          <w:spacing w:val="0"/>
          <w:w w:val="100"/>
          <w:position w:val="0"/>
        </w:rPr>
        <w:t>、</w:t>
        <w:tab/>
        <w:t>职工薪酬</w:t>
      </w:r>
      <w:bookmarkEnd w:id="1007"/>
      <w:bookmarkEnd w:id="1008"/>
      <w:bookmarkEnd w:id="1010"/>
    </w:p>
    <w:p>
      <w:pPr>
        <w:pStyle w:val="Style41"/>
        <w:keepNext w:val="0"/>
        <w:keepLines w:val="0"/>
        <w:widowControl w:val="0"/>
        <w:shd w:val="clear" w:color="auto" w:fill="auto"/>
        <w:bidi w:val="0"/>
        <w:spacing w:before="0" w:after="280" w:line="274" w:lineRule="exact"/>
        <w:ind w:left="0" w:right="0" w:firstLine="0"/>
        <w:jc w:val="both"/>
      </w:pPr>
      <w:r>
        <w:rPr>
          <w:color w:val="000000"/>
          <w:spacing w:val="0"/>
          <w:w w:val="100"/>
          <w:position w:val="0"/>
        </w:rPr>
        <w:t>职工薪酬，是指本公司为获得职工提供的服务或解除劳动关系而给予的除股份支付以外各种形式的报酬或 补偿。职工薪酬包括短期薪酬、离职后福利和辞退福利。本公司提供给职工配偶、子女、受赡养人、已故 员工遗属及其他受益人等的福利，也属于职工薪酬。</w:t>
      </w:r>
    </w:p>
    <w:p>
      <w:pPr>
        <w:pStyle w:val="Style32"/>
        <w:keepNext/>
        <w:keepLines/>
        <w:widowControl w:val="0"/>
        <w:shd w:val="clear" w:color="auto" w:fill="auto"/>
        <w:tabs>
          <w:tab w:pos="522" w:val="left"/>
        </w:tabs>
        <w:bidi w:val="0"/>
        <w:spacing w:before="0" w:after="280" w:line="266" w:lineRule="exact"/>
        <w:ind w:left="0" w:right="0" w:firstLine="0"/>
        <w:jc w:val="both"/>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11"/>
      <w:bookmarkEnd w:id="1012"/>
      <w:bookmarkEnd w:id="1014"/>
    </w:p>
    <w:p>
      <w:pPr>
        <w:pStyle w:val="Style41"/>
        <w:keepNext w:val="0"/>
        <w:keepLines w:val="0"/>
        <w:widowControl w:val="0"/>
        <w:shd w:val="clear" w:color="auto" w:fill="auto"/>
        <w:bidi w:val="0"/>
        <w:spacing w:before="0" w:after="280" w:line="266" w:lineRule="exact"/>
        <w:ind w:left="0" w:right="0" w:firstLine="0"/>
        <w:jc w:val="both"/>
      </w:pPr>
      <w:r>
        <w:rPr>
          <w:color w:val="000000"/>
          <w:spacing w:val="0"/>
          <w:w w:val="100"/>
          <w:position w:val="0"/>
        </w:rPr>
        <w:t>在职工提供服务的会计期间，将实际发生的短期薪酬确认为负债，并计入当期损益或相关资产成本。</w:t>
      </w:r>
    </w:p>
    <w:p>
      <w:pPr>
        <w:pStyle w:val="Style32"/>
        <w:keepNext/>
        <w:keepLines/>
        <w:widowControl w:val="0"/>
        <w:shd w:val="clear" w:color="auto" w:fill="auto"/>
        <w:tabs>
          <w:tab w:pos="522" w:val="left"/>
        </w:tabs>
        <w:bidi w:val="0"/>
        <w:spacing w:before="0" w:after="340" w:line="266" w:lineRule="exact"/>
        <w:ind w:left="0" w:right="0" w:firstLine="0"/>
        <w:jc w:val="both"/>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15"/>
      <w:bookmarkEnd w:id="1016"/>
      <w:bookmarkEnd w:id="1018"/>
    </w:p>
    <w:p>
      <w:pPr>
        <w:pStyle w:val="Style41"/>
        <w:keepNext w:val="0"/>
        <w:keepLines w:val="0"/>
        <w:widowControl w:val="0"/>
        <w:shd w:val="clear" w:color="auto" w:fill="auto"/>
        <w:bidi w:val="0"/>
        <w:spacing w:before="0" w:after="280" w:line="134" w:lineRule="exact"/>
        <w:ind w:left="0" w:right="0" w:firstLine="0"/>
        <w:jc w:val="both"/>
      </w:pPr>
      <w:r>
        <w:rPr>
          <w:color w:val="000000"/>
          <w:spacing w:val="0"/>
          <w:w w:val="100"/>
          <w:position w:val="0"/>
        </w:rPr>
        <w:t xml:space="preserve">本公司的职工参加由当地政府管理的养老保险和失业保险，相应支出在发生时计入相关资产成本或当期损 </w:t>
      </w:r>
      <w:r>
        <w:rPr>
          <w:rFonts w:ascii="Times New Roman" w:eastAsia="Times New Roman" w:hAnsi="Times New Roman" w:cs="Times New Roman"/>
          <w:color w:val="000000"/>
          <w:spacing w:val="0"/>
          <w:w w:val="100"/>
          <w:position w:val="0"/>
        </w:rPr>
        <w:t xml:space="preserve">X </w:t>
      </w:r>
      <w:r>
        <w:rPr>
          <w:color w:val="000000"/>
          <w:spacing w:val="0"/>
          <w:w w:val="100"/>
          <w:position w:val="0"/>
          <w:u w:val="single"/>
        </w:rPr>
        <w:t>益</w:t>
      </w:r>
      <w:r>
        <w:rPr>
          <w:rFonts w:ascii="Times New Roman" w:eastAsia="Times New Roman" w:hAnsi="Times New Roman" w:cs="Times New Roman"/>
          <w:color w:val="000000"/>
          <w:spacing w:val="0"/>
          <w:w w:val="100"/>
          <w:position w:val="0"/>
        </w:rPr>
        <w:t>o</w:t>
      </w:r>
    </w:p>
    <w:p>
      <w:pPr>
        <w:pStyle w:val="Style32"/>
        <w:keepNext/>
        <w:keepLines/>
        <w:widowControl w:val="0"/>
        <w:shd w:val="clear" w:color="auto" w:fill="auto"/>
        <w:tabs>
          <w:tab w:pos="522" w:val="left"/>
        </w:tabs>
        <w:bidi w:val="0"/>
        <w:spacing w:before="0" w:after="280" w:line="266" w:lineRule="exact"/>
        <w:ind w:left="0" w:right="0" w:firstLine="0"/>
        <w:jc w:val="both"/>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19"/>
      <w:bookmarkEnd w:id="1020"/>
      <w:bookmarkEnd w:id="1022"/>
    </w:p>
    <w:p>
      <w:pPr>
        <w:pStyle w:val="Style41"/>
        <w:keepNext w:val="0"/>
        <w:keepLines w:val="0"/>
        <w:widowControl w:val="0"/>
        <w:shd w:val="clear" w:color="auto" w:fill="auto"/>
        <w:bidi w:val="0"/>
        <w:spacing w:before="0" w:after="340" w:line="269" w:lineRule="exact"/>
        <w:ind w:left="0" w:right="0" w:firstLine="0"/>
        <w:jc w:val="both"/>
      </w:pPr>
      <w:r>
        <w:rPr>
          <w:color w:val="000000"/>
          <w:spacing w:val="0"/>
          <w:w w:val="100"/>
          <w:position w:val="0"/>
        </w:rPr>
        <w:t>本公司向职工提供辞退福利的，在下列两者孰早日确认辞退福利产生的职工薪酬负债，并计入当期损益： 企业不能单方面撤回因解除劳动关系计划或裁减建议所提供的辞退福利时；企业确认与涉及支付辞退福利 的重组相关的成本或费用时。</w:t>
      </w:r>
    </w:p>
    <w:p>
      <w:pPr>
        <w:pStyle w:val="Style32"/>
        <w:keepNext/>
        <w:keepLines/>
        <w:widowControl w:val="0"/>
        <w:shd w:val="clear" w:color="auto" w:fill="auto"/>
        <w:tabs>
          <w:tab w:pos="507" w:val="left"/>
        </w:tabs>
        <w:bidi w:val="0"/>
        <w:spacing w:before="0" w:after="280" w:line="276"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2</w:t>
      </w:r>
      <w:bookmarkEnd w:id="1025"/>
      <w:r>
        <w:rPr>
          <w:rFonts w:ascii="Times New Roman" w:eastAsia="Times New Roman" w:hAnsi="Times New Roman" w:cs="Times New Roman"/>
          <w:color w:val="000000"/>
          <w:spacing w:val="0"/>
          <w:w w:val="100"/>
          <w:position w:val="0"/>
        </w:rPr>
        <w:t>1</w:t>
      </w:r>
      <w:r>
        <w:rPr>
          <w:color w:val="000000"/>
          <w:spacing w:val="0"/>
          <w:w w:val="100"/>
          <w:position w:val="0"/>
        </w:rPr>
        <w:t>、</w:t>
        <w:tab/>
        <w:t>预计负债</w:t>
      </w:r>
      <w:bookmarkEnd w:id="1023"/>
      <w:bookmarkEnd w:id="1024"/>
      <w:bookmarkEnd w:id="1026"/>
    </w:p>
    <w:p>
      <w:pPr>
        <w:pStyle w:val="Style41"/>
        <w:keepNext w:val="0"/>
        <w:keepLines w:val="0"/>
        <w:widowControl w:val="0"/>
        <w:shd w:val="clear" w:color="auto" w:fill="auto"/>
        <w:bidi w:val="0"/>
        <w:spacing w:before="0" w:after="0" w:line="235" w:lineRule="exact"/>
        <w:ind w:left="0" w:right="0" w:firstLine="0"/>
        <w:jc w:val="left"/>
      </w:pPr>
      <w:r>
        <w:rPr>
          <w:color w:val="000000"/>
          <w:spacing w:val="0"/>
          <w:w w:val="100"/>
          <w:position w:val="0"/>
        </w:rPr>
        <w:t>除了非同一控制下企业合并中的或有对价及承担的或有负债之外，当与或有事项相关的义务同时符合以下 条件，本公司将其确认为预计负债：</w:t>
      </w:r>
    </w:p>
    <w:p>
      <w:pPr>
        <w:pStyle w:val="Style41"/>
        <w:keepNext w:val="0"/>
        <w:keepLines w:val="0"/>
        <w:widowControl w:val="0"/>
        <w:shd w:val="clear" w:color="auto" w:fill="auto"/>
        <w:tabs>
          <w:tab w:pos="483" w:val="left"/>
        </w:tabs>
        <w:bidi w:val="0"/>
        <w:spacing w:before="0" w:after="0" w:line="266" w:lineRule="exact"/>
        <w:ind w:left="0" w:right="0" w:firstLine="0"/>
        <w:jc w:val="left"/>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41"/>
        <w:keepNext w:val="0"/>
        <w:keepLines w:val="0"/>
        <w:widowControl w:val="0"/>
        <w:shd w:val="clear" w:color="auto" w:fill="auto"/>
        <w:tabs>
          <w:tab w:pos="483" w:val="left"/>
        </w:tabs>
        <w:bidi w:val="0"/>
        <w:spacing w:before="0" w:after="0" w:line="266" w:lineRule="exact"/>
        <w:ind w:left="0" w:right="0" w:firstLine="0"/>
        <w:jc w:val="left"/>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rPr>
        <w:t>2</w:t>
      </w:r>
      <w:r>
        <w:rPr>
          <w:color w:val="000000"/>
          <w:spacing w:val="0"/>
          <w:w w:val="100"/>
          <w:position w:val="0"/>
        </w:rPr>
        <w:t>）</w:t>
        <w:tab/>
        <w:t>该义务的履行很可能导致经济利益流出本公司；</w:t>
      </w:r>
    </w:p>
    <w:p>
      <w:pPr>
        <w:pStyle w:val="Style41"/>
        <w:keepNext w:val="0"/>
        <w:keepLines w:val="0"/>
        <w:widowControl w:val="0"/>
        <w:shd w:val="clear" w:color="auto" w:fill="auto"/>
        <w:tabs>
          <w:tab w:pos="483" w:val="left"/>
        </w:tabs>
        <w:bidi w:val="0"/>
        <w:spacing w:before="0" w:after="0" w:line="266" w:lineRule="exact"/>
        <w:ind w:left="0" w:right="0" w:firstLine="0"/>
        <w:jc w:val="left"/>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41"/>
        <w:keepNext w:val="0"/>
        <w:keepLines w:val="0"/>
        <w:widowControl w:val="0"/>
        <w:shd w:val="clear" w:color="auto" w:fill="auto"/>
        <w:bidi w:val="0"/>
        <w:spacing w:before="0" w:after="340" w:line="266" w:lineRule="exact"/>
        <w:ind w:left="0" w:right="0" w:firstLine="0"/>
        <w:jc w:val="left"/>
      </w:pPr>
      <w:r>
        <w:rPr>
          <w:color w:val="000000"/>
          <w:spacing w:val="0"/>
          <w:w w:val="100"/>
          <w:position w:val="0"/>
        </w:rPr>
        <w:t>预计负债按照履行相关现时义务所需支出的最佳估计数进行初始计量，并综合考虑与或有事项有关的风险、 不确定性和货币时间价值等因素。每个资产负债表日对预计负债的账面价值进行复核。有确凿证据表明该 账面价值不能反映当前最佳估计数的，按照当前最佳估计数对该账面价值进行调整。</w:t>
      </w:r>
    </w:p>
    <w:p>
      <w:pPr>
        <w:pStyle w:val="Style32"/>
        <w:keepNext/>
        <w:keepLines/>
        <w:widowControl w:val="0"/>
        <w:shd w:val="clear" w:color="auto" w:fill="auto"/>
        <w:tabs>
          <w:tab w:pos="507" w:val="left"/>
        </w:tabs>
        <w:bidi w:val="0"/>
        <w:spacing w:before="0" w:after="280" w:line="276"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2</w:t>
      </w:r>
      <w:bookmarkEnd w:id="1032"/>
      <w:r>
        <w:rPr>
          <w:rFonts w:ascii="Times New Roman" w:eastAsia="Times New Roman" w:hAnsi="Times New Roman" w:cs="Times New Roman"/>
          <w:color w:val="000000"/>
          <w:spacing w:val="0"/>
          <w:w w:val="100"/>
          <w:position w:val="0"/>
        </w:rPr>
        <w:t>2</w:t>
      </w:r>
      <w:r>
        <w:rPr>
          <w:color w:val="000000"/>
          <w:spacing w:val="0"/>
          <w:w w:val="100"/>
          <w:position w:val="0"/>
        </w:rPr>
        <w:t>、</w:t>
        <w:tab/>
        <w:t>股份支付</w:t>
      </w:r>
      <w:bookmarkEnd w:id="1030"/>
      <w:bookmarkEnd w:id="1031"/>
      <w:bookmarkEnd w:id="1033"/>
    </w:p>
    <w:p>
      <w:pPr>
        <w:pStyle w:val="Style41"/>
        <w:keepNext w:val="0"/>
        <w:keepLines w:val="0"/>
        <w:widowControl w:val="0"/>
        <w:shd w:val="clear" w:color="auto" w:fill="auto"/>
        <w:bidi w:val="0"/>
        <w:spacing w:before="0" w:after="0" w:line="266" w:lineRule="exact"/>
        <w:ind w:left="0" w:right="0" w:firstLine="0"/>
        <w:jc w:val="left"/>
      </w:pPr>
      <w:r>
        <w:rPr>
          <w:color w:val="000000"/>
          <w:spacing w:val="0"/>
          <w:w w:val="100"/>
          <w:position w:val="0"/>
        </w:rPr>
        <w:t xml:space="preserve">股份支付，分为以权益结算的股份支付和以现金结算的股份支付。以权益结算的股份支付，是指本公司为 </w:t>
      </w:r>
      <w:r>
        <w:rPr>
          <w:color w:val="000000"/>
          <w:spacing w:val="0"/>
          <w:w w:val="100"/>
          <w:position w:val="0"/>
        </w:rPr>
        <w:t>获取服务以股份或其他权益工具作为对价进行结算的交易。</w:t>
      </w:r>
    </w:p>
    <w:p>
      <w:pPr>
        <w:pStyle w:val="Style41"/>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以权益结算的股份支付换取职工提供服务的，以授予职工权益工具的公允价值计量。授予后立即可行权的， 在授予日按照公允价值计入相关成本或费用，相应增加资本公积；完成等待期内的服务或达到规定业绩条 件才可行权的，在等待期内每个资产负债表日，以对可行权权益工具数量的最佳估计为基础，按照授予日 的公允价值，将当期取得的服务计入相关成本或费用，相应增加资本公积。权益工具的公允价值采用布莱 克</w:t>
      </w:r>
      <w:r>
        <w:rPr>
          <w:rFonts w:ascii="Times New Roman" w:eastAsia="Times New Roman" w:hAnsi="Times New Roman" w:cs="Times New Roman"/>
          <w:color w:val="000000"/>
          <w:spacing w:val="0"/>
          <w:w w:val="100"/>
          <w:position w:val="0"/>
        </w:rPr>
        <w:t>-</w:t>
      </w:r>
      <w:r>
        <w:rPr>
          <w:color w:val="000000"/>
          <w:spacing w:val="0"/>
          <w:w w:val="100"/>
          <w:position w:val="0"/>
        </w:rPr>
        <w:t>舒尔斯模型</w:t>
      </w:r>
      <w:r>
        <w:rPr>
          <w:color w:val="000000"/>
          <w:spacing w:val="0"/>
          <w:w w:val="100"/>
          <w:position w:val="0"/>
        </w:rPr>
        <w:t>（</w:t>
      </w:r>
      <w:r>
        <w:rPr>
          <w:rFonts w:ascii="Times New Roman" w:eastAsia="Times New Roman" w:hAnsi="Times New Roman" w:cs="Times New Roman"/>
          <w:color w:val="000000"/>
          <w:spacing w:val="0"/>
          <w:w w:val="100"/>
          <w:position w:val="0"/>
        </w:rPr>
        <w:t>"BS</w:t>
      </w:r>
      <w:r>
        <w:rPr>
          <w:color w:val="000000"/>
          <w:spacing w:val="0"/>
          <w:w w:val="100"/>
          <w:position w:val="0"/>
        </w:rPr>
        <w:t>模型</w:t>
      </w:r>
      <w:r>
        <w:rPr>
          <w:rFonts w:ascii="Times New Roman" w:eastAsia="Times New Roman" w:hAnsi="Times New Roman" w:cs="Times New Roman"/>
          <w:color w:val="000000"/>
          <w:spacing w:val="0"/>
          <w:w w:val="100"/>
          <w:position w:val="0"/>
        </w:rPr>
        <w:t>”</w:t>
      </w:r>
      <w:r>
        <w:rPr>
          <w:color w:val="000000"/>
          <w:spacing w:val="0"/>
          <w:w w:val="100"/>
          <w:position w:val="0"/>
        </w:rPr>
        <w:t>）确定。</w:t>
      </w:r>
    </w:p>
    <w:p>
      <w:pPr>
        <w:pStyle w:val="Style41"/>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对由于未满足非市场条件和服务期限条件而最终未能行权的股份支付，不确认成本或费用。股份支付协议 中规定了市场条件或非可行权条件的，无论是否满足市场条件或非可行权条件，只要满足所有其他业绩条 件和服务期限条件，即视为可行权。</w:t>
      </w:r>
    </w:p>
    <w:p>
      <w:pPr>
        <w:pStyle w:val="Style41"/>
        <w:keepNext w:val="0"/>
        <w:keepLines w:val="0"/>
        <w:widowControl w:val="0"/>
        <w:shd w:val="clear" w:color="auto" w:fill="auto"/>
        <w:bidi w:val="0"/>
        <w:spacing w:before="0" w:after="0" w:line="274" w:lineRule="exact"/>
        <w:ind w:left="0" w:right="0" w:firstLine="0"/>
        <w:jc w:val="left"/>
      </w:pPr>
      <w:r>
        <w:rPr>
          <w:color w:val="000000"/>
          <w:spacing w:val="0"/>
          <w:w w:val="100"/>
          <w:position w:val="0"/>
        </w:rPr>
        <w:t>如果修改了以权益结算的股份支付的条款，至少按照未修改条款的情况确认取得的服务。此外，增加所授 予权益工具公允价值的修改，或在修改日对职工有利的变更，均确认取得服务的增加。</w:t>
      </w:r>
    </w:p>
    <w:p>
      <w:pPr>
        <w:pStyle w:val="Style41"/>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如果取消了以权益结算的股份支付，则于取消日作为加速行权处理，立即确认尚未确认的金额。职工或其 他方能够选择满足非可行权条件但在等待期内未满足的，作为取消以权益结算的股份支付处理。但是，如 果授予新的权益工具，并在新权益工具授予日认定所授予的新权益工具是用于替代被取消的权益工具的， 则以与处理原权益工具条款和条件修改相同的方式，对所授予的替代权益工具进行处理。</w:t>
      </w:r>
    </w:p>
    <w:p>
      <w:pPr>
        <w:pStyle w:val="Style32"/>
        <w:keepNext/>
        <w:keepLines/>
        <w:widowControl w:val="0"/>
        <w:shd w:val="clear" w:color="auto" w:fill="auto"/>
        <w:bidi w:val="0"/>
        <w:spacing w:before="0" w:after="240" w:line="286"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2</w:t>
      </w:r>
      <w:bookmarkEnd w:id="1036"/>
      <w:r>
        <w:rPr>
          <w:rFonts w:ascii="Times New Roman" w:eastAsia="Times New Roman" w:hAnsi="Times New Roman" w:cs="Times New Roman"/>
          <w:color w:val="000000"/>
          <w:spacing w:val="0"/>
          <w:w w:val="100"/>
          <w:position w:val="0"/>
        </w:rPr>
        <w:t>3</w:t>
      </w:r>
      <w:r>
        <w:rPr>
          <w:color w:val="000000"/>
          <w:spacing w:val="0"/>
          <w:w w:val="100"/>
          <w:position w:val="0"/>
        </w:rPr>
        <w:t>、收入</w:t>
      </w:r>
      <w:bookmarkEnd w:id="1034"/>
      <w:bookmarkEnd w:id="1035"/>
      <w:bookmarkEnd w:id="1037"/>
    </w:p>
    <w:p>
      <w:pPr>
        <w:pStyle w:val="Style32"/>
        <w:keepNext/>
        <w:keepLines/>
        <w:widowControl w:val="0"/>
        <w:shd w:val="clear" w:color="auto" w:fill="auto"/>
        <w:bidi w:val="0"/>
        <w:spacing w:before="0" w:after="0" w:line="269" w:lineRule="exact"/>
        <w:ind w:left="0" w:right="0" w:firstLine="0"/>
        <w:jc w:val="left"/>
      </w:pPr>
      <w:bookmarkStart w:id="1034" w:name="bookmark1034"/>
      <w:bookmarkStart w:id="1035" w:name="bookmark1035"/>
      <w:bookmarkStart w:id="1038" w:name="bookmark1038"/>
      <w:r>
        <w:rPr>
          <w:color w:val="000000"/>
          <w:spacing w:val="0"/>
          <w:w w:val="100"/>
          <w:position w:val="0"/>
        </w:rPr>
        <w:t>收入确认和计量所采用的会计政策</w:t>
      </w:r>
      <w:bookmarkEnd w:id="1034"/>
      <w:bookmarkEnd w:id="1035"/>
      <w:bookmarkEnd w:id="1038"/>
    </w:p>
    <w:p>
      <w:pPr>
        <w:pStyle w:val="Style41"/>
        <w:keepNext w:val="0"/>
        <w:keepLines w:val="0"/>
        <w:widowControl w:val="0"/>
        <w:shd w:val="clear" w:color="auto" w:fill="auto"/>
        <w:bidi w:val="0"/>
        <w:spacing w:before="0" w:after="240" w:line="269" w:lineRule="exact"/>
        <w:ind w:left="0" w:right="0" w:firstLine="0"/>
        <w:jc w:val="left"/>
      </w:pPr>
      <w:r>
        <w:rPr>
          <w:color w:val="000000"/>
          <w:spacing w:val="0"/>
          <w:w w:val="100"/>
          <w:position w:val="0"/>
        </w:rPr>
        <w:t>本公司在履行了合同中的履约义务，即在客户取得相关商品或服务控制权时确认收入。取得相关商品或服 务的控制权，是指能够主导该商品的使用或该服务的提供并从中获得几乎全部的经济利益。</w:t>
      </w:r>
    </w:p>
    <w:p>
      <w:pPr>
        <w:pStyle w:val="Style32"/>
        <w:keepNext/>
        <w:keepLines/>
        <w:widowControl w:val="0"/>
        <w:shd w:val="clear" w:color="auto" w:fill="auto"/>
        <w:bidi w:val="0"/>
        <w:spacing w:before="0" w:after="0" w:line="274" w:lineRule="exact"/>
        <w:ind w:left="0" w:right="0" w:firstLine="0"/>
        <w:jc w:val="left"/>
      </w:pPr>
      <w:bookmarkStart w:id="1039" w:name="bookmark1039"/>
      <w:bookmarkStart w:id="1040" w:name="bookmark1040"/>
      <w:bookmarkStart w:id="1041" w:name="bookmark1041"/>
      <w:r>
        <w:rPr>
          <w:color w:val="000000"/>
          <w:spacing w:val="0"/>
          <w:w w:val="100"/>
          <w:position w:val="0"/>
        </w:rPr>
        <w:t>信息技术服务业务收入确认具体原则</w:t>
      </w:r>
      <w:bookmarkEnd w:id="1039"/>
      <w:bookmarkEnd w:id="1040"/>
      <w:bookmarkEnd w:id="1041"/>
    </w:p>
    <w:p>
      <w:pPr>
        <w:pStyle w:val="Style41"/>
        <w:keepNext w:val="0"/>
        <w:keepLines w:val="0"/>
        <w:widowControl w:val="0"/>
        <w:shd w:val="clear" w:color="auto" w:fill="auto"/>
        <w:tabs>
          <w:tab w:pos="483" w:val="left"/>
        </w:tabs>
        <w:bidi w:val="0"/>
        <w:spacing w:before="0" w:after="0" w:line="274" w:lineRule="exact"/>
        <w:ind w:left="0" w:right="0" w:firstLine="0"/>
        <w:jc w:val="left"/>
      </w:pPr>
      <w:bookmarkStart w:id="1042" w:name="bookmark1042"/>
      <w:r>
        <w:rPr>
          <w:color w:val="000000"/>
          <w:spacing w:val="0"/>
          <w:w w:val="100"/>
          <w:position w:val="0"/>
        </w:rPr>
        <w:t>（</w:t>
      </w:r>
      <w:bookmarkEnd w:id="1042"/>
      <w:r>
        <w:rPr>
          <w:rFonts w:ascii="Times New Roman" w:eastAsia="Times New Roman" w:hAnsi="Times New Roman" w:cs="Times New Roman"/>
          <w:color w:val="000000"/>
          <w:spacing w:val="0"/>
          <w:w w:val="100"/>
          <w:position w:val="0"/>
        </w:rPr>
        <w:t>1</w:t>
      </w:r>
      <w:r>
        <w:rPr>
          <w:color w:val="000000"/>
          <w:spacing w:val="0"/>
          <w:w w:val="100"/>
          <w:position w:val="0"/>
        </w:rPr>
        <w:t>）</w:t>
        <w:tab/>
        <w:t>金融电子商务服务收入</w:t>
      </w:r>
    </w:p>
    <w:p>
      <w:pPr>
        <w:pStyle w:val="Style41"/>
        <w:keepNext w:val="0"/>
        <w:keepLines w:val="0"/>
        <w:widowControl w:val="0"/>
        <w:shd w:val="clear" w:color="auto" w:fill="auto"/>
        <w:bidi w:val="0"/>
        <w:spacing w:before="0" w:after="0" w:line="274" w:lineRule="exact"/>
        <w:ind w:left="0" w:right="0" w:firstLine="0"/>
        <w:jc w:val="left"/>
      </w:pPr>
      <w:r>
        <w:rPr>
          <w:color w:val="000000"/>
          <w:spacing w:val="0"/>
          <w:w w:val="100"/>
          <w:position w:val="0"/>
        </w:rPr>
        <w:t>服务合同或协议已经签订，已经通过代理买卖平台提供服务和相关信息，根据合同约定的比例，在完成代 理交易事项的时点确认收入。</w:t>
      </w:r>
    </w:p>
    <w:p>
      <w:pPr>
        <w:pStyle w:val="Style41"/>
        <w:keepNext w:val="0"/>
        <w:keepLines w:val="0"/>
        <w:widowControl w:val="0"/>
        <w:shd w:val="clear" w:color="auto" w:fill="auto"/>
        <w:tabs>
          <w:tab w:pos="483" w:val="left"/>
        </w:tabs>
        <w:bidi w:val="0"/>
        <w:spacing w:before="0" w:after="0" w:line="278" w:lineRule="exact"/>
        <w:ind w:left="0" w:right="0" w:firstLine="0"/>
        <w:jc w:val="left"/>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rPr>
        <w:t>2</w:t>
      </w:r>
      <w:r>
        <w:rPr>
          <w:color w:val="000000"/>
          <w:spacing w:val="0"/>
          <w:w w:val="100"/>
          <w:position w:val="0"/>
        </w:rPr>
        <w:t>）</w:t>
        <w:tab/>
        <w:t>金融数据服务收入</w:t>
      </w:r>
    </w:p>
    <w:p>
      <w:pPr>
        <w:pStyle w:val="Style41"/>
        <w:keepNext w:val="0"/>
        <w:keepLines w:val="0"/>
        <w:widowControl w:val="0"/>
        <w:shd w:val="clear" w:color="auto" w:fill="auto"/>
        <w:bidi w:val="0"/>
        <w:spacing w:before="0" w:after="0" w:line="278" w:lineRule="exact"/>
        <w:ind w:left="0" w:right="0" w:firstLine="0"/>
        <w:jc w:val="left"/>
      </w:pPr>
      <w:r>
        <w:rPr>
          <w:color w:val="000000"/>
          <w:spacing w:val="0"/>
          <w:w w:val="100"/>
          <w:position w:val="0"/>
        </w:rPr>
        <w:t>服务订单或合同已经签订，已经收到服务款或取得收款凭证，自服务开始提供月份起在约定服务期限内按 直线法分期确认收入。</w:t>
      </w:r>
    </w:p>
    <w:p>
      <w:pPr>
        <w:pStyle w:val="Style41"/>
        <w:keepNext w:val="0"/>
        <w:keepLines w:val="0"/>
        <w:widowControl w:val="0"/>
        <w:shd w:val="clear" w:color="auto" w:fill="auto"/>
        <w:tabs>
          <w:tab w:pos="483" w:val="left"/>
        </w:tabs>
        <w:bidi w:val="0"/>
        <w:spacing w:before="0" w:after="0" w:line="278" w:lineRule="exact"/>
        <w:ind w:left="0" w:right="0" w:firstLine="0"/>
        <w:jc w:val="left"/>
      </w:pPr>
      <w:bookmarkStart w:id="1044" w:name="bookmark1044"/>
      <w:r>
        <w:rPr>
          <w:color w:val="000000"/>
          <w:spacing w:val="0"/>
          <w:w w:val="100"/>
          <w:position w:val="0"/>
        </w:rPr>
        <w:t>（</w:t>
      </w:r>
      <w:bookmarkEnd w:id="1044"/>
      <w:r>
        <w:rPr>
          <w:rFonts w:ascii="Times New Roman" w:eastAsia="Times New Roman" w:hAnsi="Times New Roman" w:cs="Times New Roman"/>
          <w:color w:val="000000"/>
          <w:spacing w:val="0"/>
          <w:w w:val="100"/>
          <w:position w:val="0"/>
        </w:rPr>
        <w:t>3</w:t>
      </w:r>
      <w:r>
        <w:rPr>
          <w:color w:val="000000"/>
          <w:spacing w:val="0"/>
          <w:w w:val="100"/>
          <w:position w:val="0"/>
        </w:rPr>
        <w:t>）</w:t>
        <w:tab/>
        <w:t>互联网广告服务业务收入</w:t>
      </w:r>
    </w:p>
    <w:p>
      <w:pPr>
        <w:pStyle w:val="Style41"/>
        <w:keepNext w:val="0"/>
        <w:keepLines w:val="0"/>
        <w:widowControl w:val="0"/>
        <w:shd w:val="clear" w:color="auto" w:fill="auto"/>
        <w:bidi w:val="0"/>
        <w:spacing w:before="0" w:after="240" w:line="278" w:lineRule="exact"/>
        <w:ind w:left="0" w:right="0" w:firstLine="0"/>
        <w:jc w:val="left"/>
      </w:pPr>
      <w:r>
        <w:rPr>
          <w:color w:val="000000"/>
          <w:spacing w:val="0"/>
          <w:w w:val="100"/>
          <w:position w:val="0"/>
        </w:rPr>
        <w:t>广告合同已经签订或广告执行单（广告排期）已经客户确认，广告已经发布，在提供服务时按照合同金额 与广告发布执行单计算确认收入。</w:t>
      </w:r>
    </w:p>
    <w:p>
      <w:pPr>
        <w:pStyle w:val="Style32"/>
        <w:keepNext/>
        <w:keepLines/>
        <w:widowControl w:val="0"/>
        <w:shd w:val="clear" w:color="auto" w:fill="auto"/>
        <w:bidi w:val="0"/>
        <w:spacing w:before="0" w:after="0" w:line="264" w:lineRule="exact"/>
        <w:ind w:left="0" w:right="0" w:firstLine="0"/>
        <w:jc w:val="left"/>
      </w:pPr>
      <w:bookmarkStart w:id="1045" w:name="bookmark1045"/>
      <w:bookmarkStart w:id="1046" w:name="bookmark1046"/>
      <w:bookmarkStart w:id="1047" w:name="bookmark1047"/>
      <w:r>
        <w:rPr>
          <w:color w:val="000000"/>
          <w:spacing w:val="0"/>
          <w:w w:val="100"/>
          <w:position w:val="0"/>
        </w:rPr>
        <w:t>手续费及佣金收入确认具体原则</w:t>
      </w:r>
      <w:bookmarkEnd w:id="1045"/>
      <w:bookmarkEnd w:id="1046"/>
      <w:bookmarkEnd w:id="1047"/>
    </w:p>
    <w:p>
      <w:pPr>
        <w:pStyle w:val="Style41"/>
        <w:keepNext w:val="0"/>
        <w:keepLines w:val="0"/>
        <w:widowControl w:val="0"/>
        <w:shd w:val="clear" w:color="auto" w:fill="auto"/>
        <w:tabs>
          <w:tab w:pos="483" w:val="left"/>
        </w:tabs>
        <w:bidi w:val="0"/>
        <w:spacing w:before="0" w:after="0" w:line="264" w:lineRule="exact"/>
        <w:ind w:left="0" w:right="0" w:firstLine="0"/>
        <w:jc w:val="left"/>
      </w:pPr>
      <w:bookmarkStart w:id="1048" w:name="bookmark1048"/>
      <w:r>
        <w:rPr>
          <w:color w:val="000000"/>
          <w:spacing w:val="0"/>
          <w:w w:val="100"/>
          <w:position w:val="0"/>
        </w:rPr>
        <w:t>（</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w:t>
        <w:tab/>
        <w:t>经纪业务及投资咨询业务</w:t>
      </w:r>
    </w:p>
    <w:p>
      <w:pPr>
        <w:pStyle w:val="Style41"/>
        <w:keepNext w:val="0"/>
        <w:keepLines w:val="0"/>
        <w:widowControl w:val="0"/>
        <w:shd w:val="clear" w:color="auto" w:fill="auto"/>
        <w:bidi w:val="0"/>
        <w:spacing w:before="0" w:after="0" w:line="264" w:lineRule="exact"/>
        <w:ind w:left="0" w:right="0" w:firstLine="0"/>
        <w:jc w:val="left"/>
      </w:pPr>
      <w:r>
        <w:rPr>
          <w:color w:val="000000"/>
          <w:spacing w:val="0"/>
          <w:w w:val="100"/>
          <w:position w:val="0"/>
        </w:rPr>
        <w:t>经纪佣金收入于交易日在达成有关交易后确认。经纪业务的处理及结算手续费收入于提供有关服务后确认。 投资咨询收入在安排有关交易或提供有关服务后确认。</w:t>
      </w:r>
    </w:p>
    <w:p>
      <w:pPr>
        <w:pStyle w:val="Style41"/>
        <w:keepNext w:val="0"/>
        <w:keepLines w:val="0"/>
        <w:widowControl w:val="0"/>
        <w:shd w:val="clear" w:color="auto" w:fill="auto"/>
        <w:tabs>
          <w:tab w:pos="483" w:val="left"/>
        </w:tabs>
        <w:bidi w:val="0"/>
        <w:spacing w:before="0" w:after="0" w:line="264" w:lineRule="exact"/>
        <w:ind w:left="0" w:right="0" w:firstLine="0"/>
        <w:jc w:val="left"/>
      </w:pPr>
      <w:bookmarkStart w:id="1049" w:name="bookmark1049"/>
      <w:r>
        <w:rPr>
          <w:color w:val="000000"/>
          <w:spacing w:val="0"/>
          <w:w w:val="100"/>
          <w:position w:val="0"/>
        </w:rPr>
        <w:t>（</w:t>
      </w:r>
      <w:bookmarkEnd w:id="1049"/>
      <w:r>
        <w:rPr>
          <w:rFonts w:ascii="Times New Roman" w:eastAsia="Times New Roman" w:hAnsi="Times New Roman" w:cs="Times New Roman"/>
          <w:color w:val="000000"/>
          <w:spacing w:val="0"/>
          <w:w w:val="100"/>
          <w:position w:val="0"/>
        </w:rPr>
        <w:t>2</w:t>
      </w:r>
      <w:r>
        <w:rPr>
          <w:color w:val="000000"/>
          <w:spacing w:val="0"/>
          <w:w w:val="100"/>
          <w:position w:val="0"/>
        </w:rPr>
        <w:t>）</w:t>
        <w:tab/>
        <w:t>承销及保荐业务</w:t>
      </w:r>
    </w:p>
    <w:p>
      <w:pPr>
        <w:pStyle w:val="Style41"/>
        <w:keepNext w:val="0"/>
        <w:keepLines w:val="0"/>
        <w:widowControl w:val="0"/>
        <w:shd w:val="clear" w:color="auto" w:fill="auto"/>
        <w:bidi w:val="0"/>
        <w:spacing w:before="0" w:after="0" w:line="274" w:lineRule="exact"/>
        <w:ind w:left="0" w:right="0" w:firstLine="0"/>
        <w:jc w:val="left"/>
      </w:pPr>
      <w:r>
        <w:rPr>
          <w:color w:val="000000"/>
          <w:spacing w:val="0"/>
          <w:w w:val="100"/>
          <w:position w:val="0"/>
        </w:rPr>
        <w:t>承销及保荐费于承销或保荐责任完成时确认。</w:t>
      </w:r>
    </w:p>
    <w:p>
      <w:pPr>
        <w:pStyle w:val="Style41"/>
        <w:keepNext w:val="0"/>
        <w:keepLines w:val="0"/>
        <w:widowControl w:val="0"/>
        <w:shd w:val="clear" w:color="auto" w:fill="auto"/>
        <w:tabs>
          <w:tab w:pos="483" w:val="left"/>
        </w:tabs>
        <w:bidi w:val="0"/>
        <w:spacing w:before="0" w:after="0" w:line="283" w:lineRule="exact"/>
        <w:ind w:left="0" w:right="0" w:firstLine="0"/>
        <w:jc w:val="left"/>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rPr>
        <w:t>3</w:t>
      </w:r>
      <w:r>
        <w:rPr>
          <w:color w:val="000000"/>
          <w:spacing w:val="0"/>
          <w:w w:val="100"/>
          <w:position w:val="0"/>
        </w:rPr>
        <w:t>）</w:t>
        <w:tab/>
        <w:t>资产管理业务</w:t>
      </w:r>
    </w:p>
    <w:p>
      <w:pPr>
        <w:pStyle w:val="Style41"/>
        <w:keepNext w:val="0"/>
        <w:keepLines w:val="0"/>
        <w:widowControl w:val="0"/>
        <w:shd w:val="clear" w:color="auto" w:fill="auto"/>
        <w:bidi w:val="0"/>
        <w:spacing w:before="0" w:after="0" w:line="283" w:lineRule="exact"/>
        <w:ind w:left="0" w:right="0" w:firstLine="0"/>
        <w:jc w:val="left"/>
      </w:pPr>
      <w:r>
        <w:rPr>
          <w:color w:val="000000"/>
          <w:spacing w:val="0"/>
          <w:w w:val="100"/>
          <w:position w:val="0"/>
        </w:rPr>
        <w:t>资产管理业务手续费于本公司有权收取资产管理协议收入且已确认的累计收入金额很可能不会发生重大 转回时确认。</w:t>
      </w:r>
    </w:p>
    <w:p>
      <w:pPr>
        <w:pStyle w:val="Style41"/>
        <w:keepNext w:val="0"/>
        <w:keepLines w:val="0"/>
        <w:widowControl w:val="0"/>
        <w:shd w:val="clear" w:color="auto" w:fill="auto"/>
        <w:tabs>
          <w:tab w:pos="483" w:val="left"/>
        </w:tabs>
        <w:bidi w:val="0"/>
        <w:spacing w:before="0" w:after="0" w:line="274" w:lineRule="exact"/>
        <w:ind w:left="0" w:right="0" w:firstLine="0"/>
        <w:jc w:val="left"/>
      </w:pPr>
      <w:bookmarkStart w:id="1051" w:name="bookmark1051"/>
      <w:r>
        <w:rPr>
          <w:color w:val="000000"/>
          <w:spacing w:val="0"/>
          <w:w w:val="100"/>
          <w:position w:val="0"/>
        </w:rPr>
        <w:t>（</w:t>
      </w:r>
      <w:bookmarkEnd w:id="1051"/>
      <w:r>
        <w:rPr>
          <w:rFonts w:ascii="Times New Roman" w:eastAsia="Times New Roman" w:hAnsi="Times New Roman" w:cs="Times New Roman"/>
          <w:color w:val="000000"/>
          <w:spacing w:val="0"/>
          <w:w w:val="100"/>
          <w:position w:val="0"/>
        </w:rPr>
        <w:t>4</w:t>
      </w:r>
      <w:r>
        <w:rPr>
          <w:color w:val="000000"/>
          <w:spacing w:val="0"/>
          <w:w w:val="100"/>
          <w:position w:val="0"/>
        </w:rPr>
        <w:t>）</w:t>
        <w:tab/>
        <w:t>其他收入</w:t>
      </w:r>
    </w:p>
    <w:p>
      <w:pPr>
        <w:pStyle w:val="Style41"/>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其他收入在相关商品或服务控制权转移给客户时确认。</w:t>
      </w:r>
    </w:p>
    <w:p>
      <w:pPr>
        <w:pStyle w:val="Style32"/>
        <w:keepNext/>
        <w:keepLines/>
        <w:widowControl w:val="0"/>
        <w:shd w:val="clear" w:color="auto" w:fill="auto"/>
        <w:bidi w:val="0"/>
        <w:spacing w:before="0" w:after="0" w:line="274" w:lineRule="exact"/>
        <w:ind w:left="0" w:right="0" w:firstLine="0"/>
        <w:jc w:val="left"/>
      </w:pPr>
      <w:bookmarkStart w:id="1052" w:name="bookmark1052"/>
      <w:bookmarkStart w:id="1053" w:name="bookmark1053"/>
      <w:bookmarkStart w:id="1054" w:name="bookmark1054"/>
      <w:r>
        <w:rPr>
          <w:color w:val="000000"/>
          <w:spacing w:val="0"/>
          <w:w w:val="100"/>
          <w:position w:val="0"/>
        </w:rPr>
        <w:t>利息收入</w:t>
      </w:r>
      <w:bookmarkEnd w:id="1052"/>
      <w:bookmarkEnd w:id="1053"/>
      <w:bookmarkEnd w:id="1054"/>
    </w:p>
    <w:p>
      <w:pPr>
        <w:pStyle w:val="Style41"/>
        <w:keepNext w:val="0"/>
        <w:keepLines w:val="0"/>
        <w:widowControl w:val="0"/>
        <w:shd w:val="clear" w:color="auto" w:fill="auto"/>
        <w:bidi w:val="0"/>
        <w:spacing w:before="0" w:after="0" w:line="276" w:lineRule="exact"/>
        <w:ind w:left="0" w:right="0" w:firstLine="0"/>
        <w:jc w:val="left"/>
      </w:pPr>
      <w:r>
        <w:rPr>
          <w:color w:val="000000"/>
          <w:spacing w:val="0"/>
          <w:w w:val="100"/>
          <w:position w:val="0"/>
        </w:rPr>
        <w:t>本公司的利息收入主要是东方财富证券、哈富证券有限公司、上海东方财富期货有限公司、西藏东财基金 管理有限公司等作为主营业务产生的利息收入，其他公司的利息收入计入财务费用，以下会计政策适用于 利息收入作为主营业务的公司。</w:t>
      </w:r>
    </w:p>
    <w:p>
      <w:pPr>
        <w:pStyle w:val="Style41"/>
        <w:keepNext w:val="0"/>
        <w:keepLines w:val="0"/>
        <w:widowControl w:val="0"/>
        <w:shd w:val="clear" w:color="auto" w:fill="auto"/>
        <w:bidi w:val="0"/>
        <w:spacing w:before="0" w:after="340" w:line="275" w:lineRule="exact"/>
        <w:ind w:left="0" w:right="0" w:firstLine="0"/>
        <w:jc w:val="both"/>
      </w:pPr>
      <w:r>
        <w:rPr>
          <w:color w:val="000000"/>
          <w:spacing w:val="0"/>
          <w:w w:val="100"/>
          <w:position w:val="0"/>
        </w:rPr>
        <w:t>在与交易相关的经济利益能够流入企业，收入的金额能够可靠地计量时，按资金使用时间和实际利率确认 利息收入；融资融券业务根据与客户合约的约定，按出借资金或证券的时间和约定利率确认收入；买入返 售证券收入在当期到期返售的，按返售价格与买入成本之间的实际差额确认为当期收入，在当期没有到期 的，期末按权责发生制原则计提利息，确认为当期收入。</w:t>
      </w:r>
    </w:p>
    <w:p>
      <w:pPr>
        <w:pStyle w:val="Style32"/>
        <w:keepNext/>
        <w:keepLines/>
        <w:widowControl w:val="0"/>
        <w:shd w:val="clear" w:color="auto" w:fill="auto"/>
        <w:tabs>
          <w:tab w:pos="473" w:val="left"/>
        </w:tabs>
        <w:bidi w:val="0"/>
        <w:spacing w:before="0" w:after="240" w:line="286" w:lineRule="auto"/>
        <w:ind w:left="0" w:right="0" w:firstLine="0"/>
        <w:jc w:val="both"/>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2</w:t>
      </w:r>
      <w:bookmarkEnd w:id="1057"/>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055"/>
      <w:bookmarkEnd w:id="1056"/>
      <w:bookmarkEnd w:id="1058"/>
    </w:p>
    <w:p>
      <w:pPr>
        <w:pStyle w:val="Style41"/>
        <w:keepNext w:val="0"/>
        <w:keepLines w:val="0"/>
        <w:widowControl w:val="0"/>
        <w:shd w:val="clear" w:color="auto" w:fill="auto"/>
        <w:bidi w:val="0"/>
        <w:spacing w:before="0" w:after="0" w:line="272" w:lineRule="exact"/>
        <w:ind w:left="0" w:right="0" w:firstLine="0"/>
        <w:jc w:val="both"/>
      </w:pPr>
      <w:r>
        <w:rPr>
          <w:color w:val="000000"/>
          <w:spacing w:val="0"/>
          <w:w w:val="100"/>
          <w:position w:val="0"/>
        </w:rPr>
        <w:t>政府补助在能够满足其所附的条件并且能够收到时，予以确认。政府补助为货币性资产的，按照收到或应 收的金额计量。政府补助为非货币性资产的，按照公允价值计量；公允价值不能可靠取得的，按照名义金 额计量。</w:t>
      </w:r>
    </w:p>
    <w:p>
      <w:pPr>
        <w:pStyle w:val="Style41"/>
        <w:keepNext w:val="0"/>
        <w:keepLines w:val="0"/>
        <w:widowControl w:val="0"/>
        <w:shd w:val="clear" w:color="auto" w:fill="auto"/>
        <w:bidi w:val="0"/>
        <w:spacing w:before="0" w:after="0" w:line="272" w:lineRule="exact"/>
        <w:ind w:left="0" w:right="0" w:firstLine="0"/>
        <w:jc w:val="both"/>
      </w:pPr>
      <w:r>
        <w:rPr>
          <w:color w:val="000000"/>
          <w:spacing w:val="0"/>
          <w:w w:val="100"/>
          <w:position w:val="0"/>
        </w:rPr>
        <w:t>政府文件规定用于购建或以其他方式形成长期资产的，作为与资产相关的政府补助；政府文件不明确的， 以取得该补助必须具备的基本条件为基础进行判断，以购建或其他方式形成长期资产为基本条件的作为与 资产相关的政府补助，除此之外的作为与收益相关的政府补助。</w:t>
      </w:r>
    </w:p>
    <w:p>
      <w:pPr>
        <w:pStyle w:val="Style4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与收益相关的政府补助，用于补偿以后期间的相关成本费用或损失的，确认为递延收益，并在确认相关成 本费用或损失的期间计入当期损益或冲减相关成本；用于补偿已发生的相关成本费用或损失的，直接计入 当期损益或冲减相关成本。</w:t>
      </w:r>
    </w:p>
    <w:p>
      <w:pPr>
        <w:pStyle w:val="Style41"/>
        <w:keepNext w:val="0"/>
        <w:keepLines w:val="0"/>
        <w:widowControl w:val="0"/>
        <w:shd w:val="clear" w:color="auto" w:fill="auto"/>
        <w:bidi w:val="0"/>
        <w:spacing w:before="0" w:after="340" w:line="272" w:lineRule="exact"/>
        <w:ind w:left="0" w:right="0" w:firstLine="0"/>
        <w:jc w:val="both"/>
      </w:pPr>
      <w:r>
        <w:rPr>
          <w:color w:val="000000"/>
          <w:spacing w:val="0"/>
          <w:w w:val="100"/>
          <w:position w:val="0"/>
        </w:rPr>
        <w:t>与资产相关的政府补助，冲减相关资产的账面价值；或确认为递延收益，在相关资产使用寿命内按照合理、 系统的方法分期计入损益(但按照名义金额计量的政府补助，直接计入当期损益)，相关资产在使用寿命 结束前被出售、转让、报废或发生毁损的，尚未分配的相关递延收益余额转入资产处置当期的损益。</w:t>
      </w:r>
    </w:p>
    <w:p>
      <w:pPr>
        <w:pStyle w:val="Style32"/>
        <w:keepNext/>
        <w:keepLines/>
        <w:widowControl w:val="0"/>
        <w:shd w:val="clear" w:color="auto" w:fill="auto"/>
        <w:tabs>
          <w:tab w:pos="473" w:val="left"/>
        </w:tabs>
        <w:bidi w:val="0"/>
        <w:spacing w:before="0" w:after="240" w:line="286" w:lineRule="auto"/>
        <w:ind w:left="0" w:right="0" w:firstLine="0"/>
        <w:jc w:val="both"/>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2</w:t>
      </w:r>
      <w:bookmarkEnd w:id="1061"/>
      <w:r>
        <w:rPr>
          <w:rFonts w:ascii="Times New Roman" w:eastAsia="Times New Roman" w:hAnsi="Times New Roman" w:cs="Times New Roman"/>
          <w:color w:val="000000"/>
          <w:spacing w:val="0"/>
          <w:w w:val="100"/>
          <w:position w:val="0"/>
        </w:rPr>
        <w:t>5</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59"/>
      <w:bookmarkEnd w:id="1060"/>
      <w:bookmarkEnd w:id="1062"/>
    </w:p>
    <w:p>
      <w:pPr>
        <w:pStyle w:val="Style41"/>
        <w:keepNext w:val="0"/>
        <w:keepLines w:val="0"/>
        <w:widowControl w:val="0"/>
        <w:shd w:val="clear" w:color="auto" w:fill="auto"/>
        <w:bidi w:val="0"/>
        <w:spacing w:before="0" w:after="0" w:line="276" w:lineRule="exact"/>
        <w:ind w:left="0" w:right="0" w:firstLine="0"/>
        <w:jc w:val="both"/>
      </w:pPr>
      <w:r>
        <w:rPr>
          <w:color w:val="000000"/>
          <w:spacing w:val="0"/>
          <w:w w:val="100"/>
          <w:position w:val="0"/>
        </w:rPr>
        <w:t>所得税包括当期所得税和递延所得税。除由于企业合并产生的调整商誉，或与直接计入所有者权益的交易 或者事项相关的计入所有者权益外，均作为所得税费用或收益计入当期损益。</w:t>
      </w:r>
    </w:p>
    <w:p>
      <w:pPr>
        <w:pStyle w:val="Style41"/>
        <w:keepNext w:val="0"/>
        <w:keepLines w:val="0"/>
        <w:widowControl w:val="0"/>
        <w:shd w:val="clear" w:color="auto" w:fill="auto"/>
        <w:bidi w:val="0"/>
        <w:spacing w:before="0" w:after="0" w:line="276" w:lineRule="exact"/>
        <w:ind w:left="0" w:right="0" w:firstLine="0"/>
        <w:jc w:val="both"/>
      </w:pPr>
      <w:r>
        <w:rPr>
          <w:color w:val="000000"/>
          <w:spacing w:val="0"/>
          <w:w w:val="100"/>
          <w:position w:val="0"/>
        </w:rPr>
        <w:t>本公司对于当期和以前期间形成的当期所得税负债或资产，按照税法规定计算的预期应交纳或返还的所得 税金额计量。</w:t>
      </w:r>
    </w:p>
    <w:p>
      <w:pPr>
        <w:pStyle w:val="Style41"/>
        <w:keepNext w:val="0"/>
        <w:keepLines w:val="0"/>
        <w:widowControl w:val="0"/>
        <w:shd w:val="clear" w:color="auto" w:fill="auto"/>
        <w:bidi w:val="0"/>
        <w:spacing w:before="0" w:after="0" w:line="276" w:lineRule="exact"/>
        <w:ind w:left="0" w:right="0" w:firstLine="0"/>
        <w:jc w:val="both"/>
      </w:pPr>
      <w:r>
        <w:rPr>
          <w:color w:val="000000"/>
          <w:spacing w:val="0"/>
          <w:w w:val="100"/>
          <w:position w:val="0"/>
        </w:rPr>
        <w:t>本公司根据资产与负债于资产负债表日的账面价值与计税基础之间的暂时性差异，以及未作为资产和负债 确认但按照税法规定可以确定其计税基础的项目的账面价值与计税基础之间的差额产生的暂时性差异，采 用资产负债表债务法计提递延所得税。</w:t>
      </w:r>
    </w:p>
    <w:p>
      <w:pPr>
        <w:pStyle w:val="Style41"/>
        <w:keepNext w:val="0"/>
        <w:keepLines w:val="0"/>
        <w:widowControl w:val="0"/>
        <w:shd w:val="clear" w:color="auto" w:fill="auto"/>
        <w:bidi w:val="0"/>
        <w:spacing w:before="0" w:after="0" w:line="276" w:lineRule="exact"/>
        <w:ind w:left="0" w:right="0" w:firstLine="0"/>
        <w:jc w:val="both"/>
      </w:pPr>
      <w:r>
        <w:rPr>
          <w:color w:val="000000"/>
          <w:spacing w:val="0"/>
          <w:w w:val="100"/>
          <w:position w:val="0"/>
        </w:rPr>
        <w:t>各种应纳税暂时性差异均据以确认递延所得税负债。除非：</w:t>
      </w:r>
    </w:p>
    <w:p>
      <w:pPr>
        <w:pStyle w:val="Style41"/>
        <w:keepNext w:val="0"/>
        <w:keepLines w:val="0"/>
        <w:widowControl w:val="0"/>
        <w:numPr>
          <w:ilvl w:val="0"/>
          <w:numId w:val="19"/>
        </w:numPr>
        <w:shd w:val="clear" w:color="auto" w:fill="auto"/>
        <w:tabs>
          <w:tab w:pos="434" w:val="left"/>
        </w:tabs>
        <w:bidi w:val="0"/>
        <w:spacing w:before="0" w:after="0" w:line="276" w:lineRule="exact"/>
        <w:ind w:left="0" w:right="0" w:firstLine="0"/>
        <w:jc w:val="both"/>
      </w:pPr>
      <w:bookmarkStart w:id="1063" w:name="bookmark1063"/>
      <w:bookmarkEnd w:id="1063"/>
      <w:r>
        <w:rPr>
          <w:color w:val="000000"/>
          <w:spacing w:val="0"/>
          <w:w w:val="100"/>
          <w:position w:val="0"/>
        </w:rPr>
        <w:t>应纳税暂时性差异是在以下交易中产生的：商誉的初始确认，或者具有以下特征的交易中产生的资产 或负债的初始确认：该交易不是企业合并，并且交易发生时既不影响会计利润也不影响应纳税所得额或可 抵扣亏损；</w:t>
      </w:r>
    </w:p>
    <w:p>
      <w:pPr>
        <w:pStyle w:val="Style41"/>
        <w:keepNext w:val="0"/>
        <w:keepLines w:val="0"/>
        <w:widowControl w:val="0"/>
        <w:numPr>
          <w:ilvl w:val="0"/>
          <w:numId w:val="19"/>
        </w:numPr>
        <w:shd w:val="clear" w:color="auto" w:fill="auto"/>
        <w:tabs>
          <w:tab w:pos="434" w:val="left"/>
        </w:tabs>
        <w:bidi w:val="0"/>
        <w:spacing w:before="0" w:after="240" w:line="276" w:lineRule="exact"/>
        <w:ind w:left="0" w:right="0" w:firstLine="0"/>
        <w:jc w:val="both"/>
      </w:pPr>
      <w:bookmarkStart w:id="1064" w:name="bookmark1064"/>
      <w:bookmarkEnd w:id="1064"/>
      <w:r>
        <w:rPr>
          <w:color w:val="000000"/>
          <w:spacing w:val="0"/>
          <w:w w:val="100"/>
          <w:position w:val="0"/>
        </w:rPr>
        <w:t>对于与子公司及联营企业投资相关的应纳税暂时性差异，该暂时性差异转回的时间能够控制并且该暂 时性差异在可预见的未来很可能不会转回。</w:t>
      </w:r>
    </w:p>
    <w:p>
      <w:pPr>
        <w:pStyle w:val="Style41"/>
        <w:keepNext w:val="0"/>
        <w:keepLines w:val="0"/>
        <w:widowControl w:val="0"/>
        <w:shd w:val="clear" w:color="auto" w:fill="auto"/>
        <w:bidi w:val="0"/>
        <w:spacing w:before="0" w:after="0" w:line="272" w:lineRule="exact"/>
        <w:ind w:left="0" w:right="0" w:firstLine="0"/>
        <w:jc w:val="both"/>
      </w:pPr>
      <w:r>
        <w:rPr>
          <w:color w:val="000000"/>
          <w:spacing w:val="0"/>
          <w:w w:val="100"/>
          <w:position w:val="0"/>
        </w:rPr>
        <w:t>对于可抵扣暂时性差异、能够结转以后年度的可抵扣亏损和税款抵减，本公司以很可能取得用来抵扣可抵 扣暂时性差异、可抵扣亏损和税款抵减的未来应纳税所得额为限，确认由此产生的递延所得税资产，除非：</w:t>
      </w:r>
    </w:p>
    <w:p>
      <w:pPr>
        <w:pStyle w:val="Style41"/>
        <w:keepNext w:val="0"/>
        <w:keepLines w:val="0"/>
        <w:widowControl w:val="0"/>
        <w:numPr>
          <w:ilvl w:val="0"/>
          <w:numId w:val="21"/>
        </w:numPr>
        <w:shd w:val="clear" w:color="auto" w:fill="auto"/>
        <w:tabs>
          <w:tab w:pos="434" w:val="left"/>
        </w:tabs>
        <w:bidi w:val="0"/>
        <w:spacing w:before="0" w:after="0" w:line="272" w:lineRule="exact"/>
        <w:ind w:left="0" w:right="0" w:firstLine="0"/>
        <w:jc w:val="both"/>
      </w:pPr>
      <w:bookmarkStart w:id="1065" w:name="bookmark1065"/>
      <w:bookmarkEnd w:id="1065"/>
      <w:r>
        <w:rPr>
          <w:color w:val="000000"/>
          <w:spacing w:val="0"/>
          <w:w w:val="100"/>
          <w:position w:val="0"/>
        </w:rPr>
        <w:t>可抵扣暂时性差异是在以下交易中产生的：该交易不是企业合并，并且交易发生时既不影响会计利润 也不影响应纳税所得额或可抵扣亏损；</w:t>
      </w:r>
    </w:p>
    <w:p>
      <w:pPr>
        <w:pStyle w:val="Style41"/>
        <w:keepNext w:val="0"/>
        <w:keepLines w:val="0"/>
        <w:widowControl w:val="0"/>
        <w:numPr>
          <w:ilvl w:val="0"/>
          <w:numId w:val="21"/>
        </w:numPr>
        <w:shd w:val="clear" w:color="auto" w:fill="auto"/>
        <w:tabs>
          <w:tab w:pos="434" w:val="left"/>
        </w:tabs>
        <w:bidi w:val="0"/>
        <w:spacing w:before="0" w:after="240" w:line="272" w:lineRule="exact"/>
        <w:ind w:left="0" w:right="0" w:firstLine="0"/>
        <w:jc w:val="both"/>
      </w:pPr>
      <w:bookmarkStart w:id="1066" w:name="bookmark1066"/>
      <w:bookmarkEnd w:id="1066"/>
      <w:r>
        <w:rPr>
          <w:color w:val="000000"/>
          <w:spacing w:val="0"/>
          <w:w w:val="100"/>
          <w:position w:val="0"/>
        </w:rPr>
        <w:t>对于与子公司及联营企业投资相关的可抵扣暂时性差异，同时满足下列条件的，确认相应的递延所得 税资产：暂时性差异在可预见的未来很可能转回，且未来很可能获得用来抵扣可抵扣暂时性差异的应纳税 所得额。</w:t>
      </w:r>
    </w:p>
    <w:p>
      <w:pPr>
        <w:pStyle w:val="Style4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本公司于资产负债表日，对于递延所得税资产和递延所得税负债，依据税法规定，按照预期收回该资产或 清偿该负债期间的适用税率计量，并反映资产负债表日预期收回资产或清偿负债方式的所得税影响。</w:t>
      </w:r>
    </w:p>
    <w:p>
      <w:pPr>
        <w:pStyle w:val="Style41"/>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于资产负债表日，本公司对递延所得税资产的账面价值进行复核，如果未来期间很可能无法获得足够的应 纳税所得额用以抵扣递延所得税资产的利益，减记递延所得税资产的账面价值。于资产负债表日，本公司 重新评估未确认的递延所得税资产，在很可能获得足够的应纳税所得额可供所有或部分递延所得税资产转 </w:t>
      </w:r>
      <w:r>
        <w:rPr>
          <w:color w:val="000000"/>
          <w:spacing w:val="0"/>
          <w:w w:val="100"/>
          <w:position w:val="0"/>
        </w:rPr>
        <w:t>回的限度内，确认递延所得税资产。</w:t>
      </w:r>
    </w:p>
    <w:p>
      <w:pPr>
        <w:pStyle w:val="Style41"/>
        <w:keepNext w:val="0"/>
        <w:keepLines w:val="0"/>
        <w:widowControl w:val="0"/>
        <w:shd w:val="clear" w:color="auto" w:fill="auto"/>
        <w:bidi w:val="0"/>
        <w:spacing w:before="0" w:after="320" w:line="276" w:lineRule="exact"/>
        <w:ind w:left="0" w:right="0" w:firstLine="0"/>
        <w:jc w:val="both"/>
      </w:pPr>
      <w:r>
        <w:rPr>
          <w:color w:val="000000"/>
          <w:spacing w:val="0"/>
          <w:w w:val="100"/>
          <w:position w:val="0"/>
        </w:rPr>
        <w:t>同时满足下列条件时，递延所得税资产和递延所得税负债以抵销后的净额列示：拥有以净额结算当期所得 税资产及当期所得税负债的法定权利；递延所得税资产和递延所得税负债是与同一税收征管部门对同一应 纳税主体征收的所得税相关或者对不同的纳税主体相关，但在未来每一具有重要性的递延所得税资产和递 延所得税负债转回的期间内，涉及的纳税主体意图以净额结算当期所得税资产及当期所得税负债或是同时 取得资产、清偿债务。</w:t>
      </w:r>
    </w:p>
    <w:p>
      <w:pPr>
        <w:pStyle w:val="Style41"/>
        <w:keepNext w:val="0"/>
        <w:keepLines w:val="0"/>
        <w:widowControl w:val="0"/>
        <w:shd w:val="clear" w:color="auto" w:fill="auto"/>
        <w:bidi w:val="0"/>
        <w:spacing w:before="0" w:after="240" w:line="283" w:lineRule="auto"/>
        <w:ind w:left="0" w:right="0" w:firstLine="0"/>
        <w:jc w:val="both"/>
      </w:pPr>
      <w:bookmarkStart w:id="1067" w:name="bookmark1067"/>
      <w:r>
        <w:rPr>
          <w:rFonts w:ascii="Times New Roman" w:eastAsia="Times New Roman" w:hAnsi="Times New Roman" w:cs="Times New Roman"/>
          <w:b/>
          <w:bCs/>
          <w:color w:val="000000"/>
          <w:spacing w:val="0"/>
          <w:w w:val="100"/>
          <w:position w:val="0"/>
        </w:rPr>
        <w:t>2</w:t>
      </w:r>
      <w:bookmarkEnd w:id="1067"/>
      <w:r>
        <w:rPr>
          <w:rFonts w:ascii="Times New Roman" w:eastAsia="Times New Roman" w:hAnsi="Times New Roman" w:cs="Times New Roman"/>
          <w:b/>
          <w:bCs/>
          <w:color w:val="000000"/>
          <w:spacing w:val="0"/>
          <w:w w:val="100"/>
          <w:position w:val="0"/>
        </w:rPr>
        <w:t>6</w:t>
      </w:r>
      <w:r>
        <w:rPr>
          <w:b/>
          <w:bCs/>
          <w:color w:val="000000"/>
          <w:spacing w:val="0"/>
          <w:w w:val="100"/>
          <w:position w:val="0"/>
        </w:rPr>
        <w:t>、租赁</w:t>
      </w:r>
    </w:p>
    <w:p>
      <w:pPr>
        <w:pStyle w:val="Style41"/>
        <w:keepNext w:val="0"/>
        <w:keepLines w:val="0"/>
        <w:widowControl w:val="0"/>
        <w:numPr>
          <w:ilvl w:val="0"/>
          <w:numId w:val="23"/>
        </w:numPr>
        <w:shd w:val="clear" w:color="auto" w:fill="auto"/>
        <w:bidi w:val="0"/>
        <w:spacing w:before="0" w:after="240" w:line="272" w:lineRule="exact"/>
        <w:ind w:left="0" w:right="0" w:firstLine="0"/>
        <w:jc w:val="both"/>
      </w:pPr>
      <w:bookmarkStart w:id="1068" w:name="bookmark1068"/>
      <w:bookmarkEnd w:id="1068"/>
      <w:r>
        <w:rPr>
          <w:b/>
          <w:bCs/>
          <w:color w:val="000000"/>
          <w:spacing w:val="0"/>
          <w:w w:val="100"/>
          <w:position w:val="0"/>
        </w:rPr>
        <w:t>经营租赁的会计处理方法</w:t>
      </w:r>
    </w:p>
    <w:p>
      <w:pPr>
        <w:pStyle w:val="Style41"/>
        <w:keepNext w:val="0"/>
        <w:keepLines w:val="0"/>
        <w:widowControl w:val="0"/>
        <w:shd w:val="clear" w:color="auto" w:fill="auto"/>
        <w:bidi w:val="0"/>
        <w:spacing w:before="0" w:after="240" w:line="272" w:lineRule="exact"/>
        <w:ind w:left="0" w:right="0" w:firstLine="0"/>
        <w:jc w:val="both"/>
      </w:pPr>
      <w:r>
        <w:rPr>
          <w:b/>
          <w:bCs/>
          <w:color w:val="000000"/>
          <w:spacing w:val="0"/>
          <w:w w:val="100"/>
          <w:position w:val="0"/>
        </w:rPr>
        <w:t>租赁(自</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日起适用)</w:t>
      </w:r>
    </w:p>
    <w:p>
      <w:pPr>
        <w:pStyle w:val="Style41"/>
        <w:keepNext w:val="0"/>
        <w:keepLines w:val="0"/>
        <w:widowControl w:val="0"/>
        <w:shd w:val="clear" w:color="auto" w:fill="auto"/>
        <w:bidi w:val="0"/>
        <w:spacing w:before="0" w:after="0" w:line="270" w:lineRule="exact"/>
        <w:ind w:left="0" w:right="0" w:firstLine="0"/>
        <w:jc w:val="both"/>
      </w:pPr>
      <w:r>
        <w:rPr>
          <w:b/>
          <w:bCs/>
          <w:color w:val="000000"/>
          <w:spacing w:val="0"/>
          <w:w w:val="100"/>
          <w:position w:val="0"/>
        </w:rPr>
        <w:t>租赁的识别</w:t>
      </w:r>
    </w:p>
    <w:p>
      <w:pPr>
        <w:pStyle w:val="Style41"/>
        <w:keepNext w:val="0"/>
        <w:keepLines w:val="0"/>
        <w:widowControl w:val="0"/>
        <w:shd w:val="clear" w:color="auto" w:fill="auto"/>
        <w:bidi w:val="0"/>
        <w:spacing w:before="0" w:after="240" w:line="270" w:lineRule="exact"/>
        <w:ind w:left="0" w:right="0" w:firstLine="0"/>
        <w:jc w:val="both"/>
      </w:pPr>
      <w:r>
        <w:rPr>
          <w:color w:val="000000"/>
          <w:spacing w:val="0"/>
          <w:w w:val="100"/>
          <w:position w:val="0"/>
        </w:rPr>
        <w:t>在合同开始日，本公司评估合同是否为租赁或者包含租赁，如果合同中一方让渡了在一定期间内控制一项 或多项已识别资产使用的权利以换取对价，则该合同为租赁或者包含租赁。为确定合同是否让渡了在一定 期间内控制已识别资产使用的权利，本公司评估合同中的客户是否有权获得在使用期间内因使用已识别资 产所产生的几乎全部经济利益，并有权在该使用期间主导已识别资产的使用。</w:t>
      </w:r>
    </w:p>
    <w:p>
      <w:pPr>
        <w:pStyle w:val="Style32"/>
        <w:keepNext/>
        <w:keepLines/>
        <w:widowControl w:val="0"/>
        <w:shd w:val="clear" w:color="auto" w:fill="auto"/>
        <w:bidi w:val="0"/>
        <w:spacing w:before="0" w:after="0" w:line="278" w:lineRule="exact"/>
        <w:ind w:left="0" w:right="0" w:firstLine="0"/>
        <w:jc w:val="both"/>
      </w:pPr>
      <w:bookmarkStart w:id="1069" w:name="bookmark1069"/>
      <w:bookmarkStart w:id="1070" w:name="bookmark1070"/>
      <w:bookmarkStart w:id="1071" w:name="bookmark1071"/>
      <w:r>
        <w:rPr>
          <w:color w:val="000000"/>
          <w:spacing w:val="0"/>
          <w:w w:val="100"/>
          <w:position w:val="0"/>
        </w:rPr>
        <w:t>单独租赁的识别</w:t>
      </w:r>
      <w:bookmarkEnd w:id="1069"/>
      <w:bookmarkEnd w:id="1070"/>
      <w:bookmarkEnd w:id="1071"/>
    </w:p>
    <w:p>
      <w:pPr>
        <w:pStyle w:val="Style41"/>
        <w:keepNext w:val="0"/>
        <w:keepLines w:val="0"/>
        <w:widowControl w:val="0"/>
        <w:shd w:val="clear" w:color="auto" w:fill="auto"/>
        <w:bidi w:val="0"/>
        <w:spacing w:before="0" w:after="0" w:line="278" w:lineRule="exact"/>
        <w:ind w:left="0" w:right="0" w:firstLine="0"/>
        <w:jc w:val="both"/>
      </w:pPr>
      <w:r>
        <w:rPr>
          <w:color w:val="000000"/>
          <w:spacing w:val="0"/>
          <w:w w:val="100"/>
          <w:position w:val="0"/>
        </w:rPr>
        <w:t>合同中同时包含多项单独租赁的，本公司将合同予以分拆，并分别各项单独租赁进行会计处理。同时符合 下列条件的，使用已识别资产的权利构成合同中的一项单独租赁：</w:t>
      </w:r>
    </w:p>
    <w:p>
      <w:pPr>
        <w:pStyle w:val="Style41"/>
        <w:keepNext w:val="0"/>
        <w:keepLines w:val="0"/>
        <w:widowControl w:val="0"/>
        <w:numPr>
          <w:ilvl w:val="0"/>
          <w:numId w:val="25"/>
        </w:numPr>
        <w:shd w:val="clear" w:color="auto" w:fill="auto"/>
        <w:tabs>
          <w:tab w:pos="426" w:val="left"/>
        </w:tabs>
        <w:bidi w:val="0"/>
        <w:spacing w:before="0" w:after="0" w:line="290" w:lineRule="auto"/>
        <w:ind w:left="0" w:right="0" w:firstLine="0"/>
        <w:jc w:val="both"/>
      </w:pPr>
      <w:bookmarkStart w:id="1072" w:name="bookmark1072"/>
      <w:bookmarkEnd w:id="1072"/>
      <w:r>
        <w:rPr>
          <w:color w:val="000000"/>
          <w:spacing w:val="0"/>
          <w:w w:val="100"/>
          <w:position w:val="0"/>
        </w:rPr>
        <w:t>承租人可从单独使用该资产或将其与易于获得的其他资源一起使用中获利；</w:t>
      </w:r>
    </w:p>
    <w:p>
      <w:pPr>
        <w:pStyle w:val="Style41"/>
        <w:keepNext w:val="0"/>
        <w:keepLines w:val="0"/>
        <w:widowControl w:val="0"/>
        <w:numPr>
          <w:ilvl w:val="0"/>
          <w:numId w:val="25"/>
        </w:numPr>
        <w:shd w:val="clear" w:color="auto" w:fill="auto"/>
        <w:tabs>
          <w:tab w:pos="426" w:val="left"/>
        </w:tabs>
        <w:bidi w:val="0"/>
        <w:spacing w:before="0" w:after="180" w:line="290" w:lineRule="auto"/>
        <w:ind w:left="0" w:right="0" w:firstLine="0"/>
        <w:jc w:val="both"/>
      </w:pPr>
      <w:bookmarkStart w:id="1073" w:name="bookmark1073"/>
      <w:bookmarkEnd w:id="1073"/>
      <w:r>
        <w:rPr>
          <w:color w:val="000000"/>
          <w:spacing w:val="0"/>
          <w:w w:val="100"/>
          <w:position w:val="0"/>
        </w:rPr>
        <w:t>该资产与合同中的其他资产不存在高度依赖或高度关联关系。</w:t>
      </w:r>
    </w:p>
    <w:p>
      <w:pPr>
        <w:pStyle w:val="Style32"/>
        <w:keepNext/>
        <w:keepLines/>
        <w:widowControl w:val="0"/>
        <w:shd w:val="clear" w:color="auto" w:fill="auto"/>
        <w:bidi w:val="0"/>
        <w:spacing w:before="0" w:after="0" w:line="269" w:lineRule="exact"/>
        <w:ind w:left="0" w:right="0" w:firstLine="0"/>
        <w:jc w:val="both"/>
      </w:pPr>
      <w:bookmarkStart w:id="1074" w:name="bookmark1074"/>
      <w:bookmarkStart w:id="1075" w:name="bookmark1075"/>
      <w:bookmarkStart w:id="1076" w:name="bookmark1076"/>
      <w:r>
        <w:rPr>
          <w:color w:val="000000"/>
          <w:spacing w:val="0"/>
          <w:w w:val="100"/>
          <w:position w:val="0"/>
        </w:rPr>
        <w:t>租赁和非租赁部分的分拆</w:t>
      </w:r>
      <w:bookmarkEnd w:id="1074"/>
      <w:bookmarkEnd w:id="1075"/>
      <w:bookmarkEnd w:id="1076"/>
    </w:p>
    <w:p>
      <w:pPr>
        <w:pStyle w:val="Style41"/>
        <w:keepNext w:val="0"/>
        <w:keepLines w:val="0"/>
        <w:widowControl w:val="0"/>
        <w:shd w:val="clear" w:color="auto" w:fill="auto"/>
        <w:bidi w:val="0"/>
        <w:spacing w:before="0" w:after="240" w:line="269" w:lineRule="exact"/>
        <w:ind w:left="0" w:right="0" w:firstLine="0"/>
        <w:jc w:val="both"/>
      </w:pPr>
      <w:r>
        <w:rPr>
          <w:color w:val="000000"/>
          <w:spacing w:val="0"/>
          <w:w w:val="100"/>
          <w:position w:val="0"/>
        </w:rPr>
        <w:t>合同中同时包含租赁和非租赁部分的，本公司作为出租人和承租人时，将租赁和非租赁部分分拆后进行会 计处理。</w:t>
      </w:r>
    </w:p>
    <w:p>
      <w:pPr>
        <w:pStyle w:val="Style32"/>
        <w:keepNext/>
        <w:keepLines/>
        <w:widowControl w:val="0"/>
        <w:shd w:val="clear" w:color="auto" w:fill="auto"/>
        <w:bidi w:val="0"/>
        <w:spacing w:before="0" w:after="0" w:line="270" w:lineRule="exact"/>
        <w:ind w:left="0" w:right="0" w:firstLine="0"/>
        <w:jc w:val="both"/>
      </w:pPr>
      <w:bookmarkStart w:id="1077" w:name="bookmark1077"/>
      <w:bookmarkStart w:id="1078" w:name="bookmark1078"/>
      <w:bookmarkStart w:id="1079" w:name="bookmark1079"/>
      <w:r>
        <w:rPr>
          <w:color w:val="000000"/>
          <w:spacing w:val="0"/>
          <w:w w:val="100"/>
          <w:position w:val="0"/>
        </w:rPr>
        <w:t>租赁期的评估</w:t>
      </w:r>
      <w:bookmarkEnd w:id="1077"/>
      <w:bookmarkEnd w:id="1078"/>
      <w:bookmarkEnd w:id="1079"/>
    </w:p>
    <w:p>
      <w:pPr>
        <w:pStyle w:val="Style41"/>
        <w:keepNext w:val="0"/>
        <w:keepLines w:val="0"/>
        <w:widowControl w:val="0"/>
        <w:shd w:val="clear" w:color="auto" w:fill="auto"/>
        <w:bidi w:val="0"/>
        <w:spacing w:before="0" w:after="240" w:line="270" w:lineRule="exact"/>
        <w:ind w:left="0" w:right="0" w:firstLine="0"/>
        <w:jc w:val="both"/>
      </w:pPr>
      <w:r>
        <w:rPr>
          <w:color w:val="000000"/>
          <w:spacing w:val="0"/>
          <w:w w:val="100"/>
          <w:position w:val="0"/>
        </w:rPr>
        <w:t>租赁期是本公司有权使用租赁资产且不可撤销的期间。本公司有续租选择权，即有权选择续租该资产，且 合理确定将行使该选择权的，租赁期还包含续租选择权涵盖的期间。本公司有终止租赁选择权，即有权选 择终止租赁该资产，但合理确定将不会行使该选择权的，租赁期包含终止租赁选择权涵盖的期间。发生本 公司可控范围内的重大事件或变化，且影响本公司是否合理确定将行使相应选择权的，本公司对其是否合 理确定将行使续租选择权、购买选择权或不行使终止租赁选择权进行重新评估。</w:t>
      </w:r>
    </w:p>
    <w:p>
      <w:pPr>
        <w:pStyle w:val="Style32"/>
        <w:keepNext/>
        <w:keepLines/>
        <w:widowControl w:val="0"/>
        <w:shd w:val="clear" w:color="auto" w:fill="auto"/>
        <w:bidi w:val="0"/>
        <w:spacing w:before="0" w:after="0" w:line="272" w:lineRule="exact"/>
        <w:ind w:left="0" w:right="0" w:firstLine="0"/>
        <w:jc w:val="both"/>
      </w:pPr>
      <w:bookmarkStart w:id="1080" w:name="bookmark1080"/>
      <w:bookmarkStart w:id="1081" w:name="bookmark1081"/>
      <w:bookmarkStart w:id="1082" w:name="bookmark1082"/>
      <w:r>
        <w:rPr>
          <w:color w:val="000000"/>
          <w:spacing w:val="0"/>
          <w:w w:val="100"/>
          <w:position w:val="0"/>
        </w:rPr>
        <w:t>作为承租人</w:t>
      </w:r>
      <w:bookmarkEnd w:id="1080"/>
      <w:bookmarkEnd w:id="1081"/>
      <w:bookmarkEnd w:id="1082"/>
    </w:p>
    <w:p>
      <w:pPr>
        <w:pStyle w:val="Style32"/>
        <w:keepNext/>
        <w:keepLines/>
        <w:widowControl w:val="0"/>
        <w:shd w:val="clear" w:color="auto" w:fill="auto"/>
        <w:bidi w:val="0"/>
        <w:spacing w:before="0" w:after="0" w:line="272" w:lineRule="exact"/>
        <w:ind w:left="0" w:right="0" w:firstLine="0"/>
        <w:jc w:val="both"/>
      </w:pPr>
      <w:bookmarkStart w:id="1080" w:name="bookmark1080"/>
      <w:bookmarkStart w:id="1081" w:name="bookmark1081"/>
      <w:bookmarkStart w:id="1083" w:name="bookmark1083"/>
      <w:r>
        <w:rPr>
          <w:color w:val="000000"/>
          <w:spacing w:val="0"/>
          <w:w w:val="100"/>
          <w:position w:val="0"/>
        </w:rPr>
        <w:t>使用权资产</w:t>
      </w:r>
      <w:bookmarkEnd w:id="1080"/>
      <w:bookmarkEnd w:id="1081"/>
      <w:bookmarkEnd w:id="1083"/>
    </w:p>
    <w:p>
      <w:pPr>
        <w:pStyle w:val="Style41"/>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本公司使用权资产类别主要包括房屋建筑物。</w:t>
      </w:r>
    </w:p>
    <w:p>
      <w:pPr>
        <w:pStyle w:val="Style41"/>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在租赁期开始日，本公司将其可在租赁期内使用租赁资产的权利确认为使用权资产，包括：租赁负债的初 始计量金额；在租赁期开始日或之前支付的租赁付款额，存在租赁激励的，扣除已享受的租赁激励相关金 额；承租人发生的初始直接费用；承租人为拆卸及移除租赁资产、复原租赁资产所在场地或将租赁资产恢 复至租赁条款约定状态预计将发生的成本。本公司后续采用年限平均法对使用权资产计提折旧。能够合理 确定租赁期届满时取得租赁资产所有权的，本公司在租赁资产剩余使用寿命内计提折旧。无法合理确定租 赁期届满时能够取得租赁资产所有权的，本公司在租赁期与租赁资产剩余使用寿命两者孰短的期间内计提 折旧。</w:t>
      </w:r>
    </w:p>
    <w:p>
      <w:pPr>
        <w:pStyle w:val="Style41"/>
        <w:keepNext w:val="0"/>
        <w:keepLines w:val="0"/>
        <w:widowControl w:val="0"/>
        <w:shd w:val="clear" w:color="auto" w:fill="auto"/>
        <w:bidi w:val="0"/>
        <w:spacing w:before="0" w:after="240" w:line="272" w:lineRule="exact"/>
        <w:ind w:left="0" w:right="0" w:firstLine="0"/>
        <w:jc w:val="both"/>
      </w:pPr>
      <w:r>
        <w:rPr>
          <w:color w:val="000000"/>
          <w:spacing w:val="0"/>
          <w:w w:val="100"/>
          <w:position w:val="0"/>
        </w:rPr>
        <w:t>本公司按照变动后的租赁付款额的现值重新计量租赁负债，并相应调整使用权资产的账面价值时，如使用 权资产账面价值已调减至零，但租赁负债仍需进一步调减的，本公司将剩余金额计入当期损益。</w:t>
      </w:r>
    </w:p>
    <w:p>
      <w:pPr>
        <w:pStyle w:val="Style41"/>
        <w:keepNext w:val="0"/>
        <w:keepLines w:val="0"/>
        <w:widowControl w:val="0"/>
        <w:shd w:val="clear" w:color="auto" w:fill="auto"/>
        <w:bidi w:val="0"/>
        <w:spacing w:before="0" w:after="240" w:line="272" w:lineRule="exact"/>
        <w:ind w:left="0" w:right="0" w:firstLine="0"/>
        <w:jc w:val="both"/>
      </w:pPr>
      <w:r>
        <w:rPr>
          <w:b/>
          <w:bCs/>
          <w:color w:val="000000"/>
          <w:spacing w:val="0"/>
          <w:w w:val="100"/>
          <w:position w:val="0"/>
        </w:rPr>
        <w:t>租赁负债</w:t>
      </w:r>
    </w:p>
    <w:p>
      <w:pPr>
        <w:pStyle w:val="Style41"/>
        <w:keepNext w:val="0"/>
        <w:keepLines w:val="0"/>
        <w:widowControl w:val="0"/>
        <w:shd w:val="clear" w:color="auto" w:fill="auto"/>
        <w:bidi w:val="0"/>
        <w:spacing w:before="0" w:after="0" w:line="272" w:lineRule="exact"/>
        <w:ind w:left="0" w:right="0" w:firstLine="0"/>
        <w:jc w:val="both"/>
      </w:pPr>
      <w:r>
        <w:rPr>
          <w:color w:val="000000"/>
          <w:spacing w:val="0"/>
          <w:w w:val="100"/>
          <w:position w:val="0"/>
        </w:rPr>
        <w:t>在租赁期开始日，本公司将尚未支付的租赁付款额的现值确认为租赁负债，短期租赁和低价值资产租赁除 外。在计算租赁付款额的现值时，本公司采用租赁内含利率作为折现率；无法确定租赁内含利率的，采用 承租人增量借款利率作为折现率。本公司按照固定的周期性利率计算租赁负债在租赁期内各期间的利息费 用，并计入当期损益，但另有规定计入相关资产成本的除外。未纳入租赁负债计量的可变租赁付款额于实 际发生时计入当期损益，但另有规定计入相关资产成本的除外。</w:t>
      </w:r>
    </w:p>
    <w:p>
      <w:pPr>
        <w:pStyle w:val="Style41"/>
        <w:keepNext w:val="0"/>
        <w:keepLines w:val="0"/>
        <w:widowControl w:val="0"/>
        <w:shd w:val="clear" w:color="auto" w:fill="auto"/>
        <w:bidi w:val="0"/>
        <w:spacing w:before="0" w:after="0" w:line="272" w:lineRule="exact"/>
        <w:ind w:left="0" w:right="0" w:firstLine="0"/>
        <w:jc w:val="both"/>
      </w:pPr>
      <w:r>
        <w:rPr>
          <w:color w:val="000000"/>
          <w:spacing w:val="0"/>
          <w:w w:val="100"/>
          <w:position w:val="0"/>
        </w:rPr>
        <w:t>租赁期开始日后，当实质固定付款额发生变动、担保余值预计的应付金额发生变化、用于确定租赁付款额 的指数或比率发生变动、购买选择权、续租选择权或终止选择权的评估结果或实际行权情况发生变化时， 本公司按照变动后的租赁付款额的现值重新计量租赁负债。租赁变更</w:t>
      </w:r>
    </w:p>
    <w:p>
      <w:pPr>
        <w:pStyle w:val="Style41"/>
        <w:keepNext w:val="0"/>
        <w:keepLines w:val="0"/>
        <w:widowControl w:val="0"/>
        <w:shd w:val="clear" w:color="auto" w:fill="auto"/>
        <w:bidi w:val="0"/>
        <w:spacing w:before="0" w:after="0" w:line="272" w:lineRule="exact"/>
        <w:ind w:left="0" w:right="0" w:firstLine="0"/>
        <w:jc w:val="both"/>
      </w:pPr>
      <w:r>
        <w:rPr>
          <w:color w:val="000000"/>
          <w:spacing w:val="0"/>
          <w:w w:val="100"/>
          <w:position w:val="0"/>
        </w:rPr>
        <w:t>租赁变更是原合同条款之外的租赁范围、租赁对价、租赁期限的变更，包括增加或终止一项或多项租赁资 产的使用权，延长或缩短合同规定的租赁期等。</w:t>
      </w:r>
    </w:p>
    <w:p>
      <w:pPr>
        <w:pStyle w:val="Style41"/>
        <w:keepNext w:val="0"/>
        <w:keepLines w:val="0"/>
        <w:widowControl w:val="0"/>
        <w:shd w:val="clear" w:color="auto" w:fill="auto"/>
        <w:bidi w:val="0"/>
        <w:spacing w:before="0" w:after="0" w:line="272" w:lineRule="exact"/>
        <w:ind w:left="0" w:right="0" w:firstLine="0"/>
        <w:jc w:val="both"/>
      </w:pPr>
      <w:r>
        <w:rPr>
          <w:color w:val="000000"/>
          <w:spacing w:val="0"/>
          <w:w w:val="100"/>
          <w:position w:val="0"/>
        </w:rPr>
        <w:t>租赁发生变更且同时符合下列条件的，本公司将该租赁变更作为一项单独租赁进行会计处理：</w:t>
      </w:r>
    </w:p>
    <w:p>
      <w:pPr>
        <w:pStyle w:val="Style41"/>
        <w:keepNext w:val="0"/>
        <w:keepLines w:val="0"/>
        <w:widowControl w:val="0"/>
        <w:numPr>
          <w:ilvl w:val="0"/>
          <w:numId w:val="27"/>
        </w:numPr>
        <w:shd w:val="clear" w:color="auto" w:fill="auto"/>
        <w:tabs>
          <w:tab w:pos="426" w:val="left"/>
        </w:tabs>
        <w:bidi w:val="0"/>
        <w:spacing w:before="0" w:after="0" w:line="283" w:lineRule="auto"/>
        <w:ind w:left="0" w:right="0" w:firstLine="0"/>
        <w:jc w:val="both"/>
      </w:pPr>
      <w:bookmarkStart w:id="1084" w:name="bookmark1084"/>
      <w:bookmarkEnd w:id="1084"/>
      <w:r>
        <w:rPr>
          <w:color w:val="000000"/>
          <w:spacing w:val="0"/>
          <w:w w:val="100"/>
          <w:position w:val="0"/>
        </w:rPr>
        <w:t>该租赁变更通过增加一项或多项租赁资产的使用权而扩大了租赁范围；</w:t>
      </w:r>
    </w:p>
    <w:p>
      <w:pPr>
        <w:pStyle w:val="Style41"/>
        <w:keepNext w:val="0"/>
        <w:keepLines w:val="0"/>
        <w:widowControl w:val="0"/>
        <w:numPr>
          <w:ilvl w:val="0"/>
          <w:numId w:val="27"/>
        </w:numPr>
        <w:shd w:val="clear" w:color="auto" w:fill="auto"/>
        <w:tabs>
          <w:tab w:pos="426" w:val="left"/>
        </w:tabs>
        <w:bidi w:val="0"/>
        <w:spacing w:before="0" w:after="0" w:line="283" w:lineRule="auto"/>
        <w:ind w:left="0" w:right="0" w:firstLine="0"/>
        <w:jc w:val="both"/>
      </w:pPr>
      <w:bookmarkStart w:id="1085" w:name="bookmark1085"/>
      <w:bookmarkEnd w:id="1085"/>
      <w:r>
        <w:rPr>
          <w:color w:val="000000"/>
          <w:spacing w:val="0"/>
          <w:w w:val="100"/>
          <w:position w:val="0"/>
        </w:rPr>
        <w:t>增加的对价与租赁范围扩大部分的单独价格按该合同情况调整后的金额相当。</w:t>
      </w:r>
    </w:p>
    <w:p>
      <w:pPr>
        <w:pStyle w:val="Style41"/>
        <w:keepNext w:val="0"/>
        <w:keepLines w:val="0"/>
        <w:widowControl w:val="0"/>
        <w:shd w:val="clear" w:color="auto" w:fill="auto"/>
        <w:bidi w:val="0"/>
        <w:spacing w:before="0" w:after="0" w:line="272" w:lineRule="exact"/>
        <w:ind w:left="0" w:right="0" w:firstLine="0"/>
        <w:jc w:val="both"/>
      </w:pPr>
      <w:r>
        <w:rPr>
          <w:color w:val="000000"/>
          <w:spacing w:val="0"/>
          <w:w w:val="100"/>
          <w:position w:val="0"/>
        </w:rPr>
        <w:t>租赁变更未作为一项单独租赁进行会计处理的，在租赁变更生效日，本公司重新确定租赁期，并采用修订 后的折现率对变更后的租赁付款额进行折现，以重新计量租赁负债。在计算变更后租赁付款额的现值时， 本公司采用剩余租赁期间的租赁内含利率作为折现率；无法确定剩余租赁期间的租赁内含利率的，采用租 赁变更生效日的本公司增量借款利率作为折现率。</w:t>
      </w:r>
    </w:p>
    <w:p>
      <w:pPr>
        <w:pStyle w:val="Style41"/>
        <w:keepNext w:val="0"/>
        <w:keepLines w:val="0"/>
        <w:widowControl w:val="0"/>
        <w:shd w:val="clear" w:color="auto" w:fill="auto"/>
        <w:bidi w:val="0"/>
        <w:spacing w:before="0" w:after="0" w:line="272" w:lineRule="exact"/>
        <w:ind w:left="0" w:right="0" w:firstLine="0"/>
        <w:jc w:val="both"/>
      </w:pPr>
      <w:r>
        <w:rPr>
          <w:color w:val="000000"/>
          <w:spacing w:val="0"/>
          <w:w w:val="100"/>
          <w:position w:val="0"/>
        </w:rPr>
        <w:t>就上述租赁负债调整的影响，本公司区分以下情形进行会计处理：</w:t>
      </w:r>
    </w:p>
    <w:p>
      <w:pPr>
        <w:pStyle w:val="Style41"/>
        <w:keepNext w:val="0"/>
        <w:keepLines w:val="0"/>
        <w:widowControl w:val="0"/>
        <w:numPr>
          <w:ilvl w:val="0"/>
          <w:numId w:val="29"/>
        </w:numPr>
        <w:shd w:val="clear" w:color="auto" w:fill="auto"/>
        <w:tabs>
          <w:tab w:pos="426" w:val="left"/>
        </w:tabs>
        <w:bidi w:val="0"/>
        <w:spacing w:before="0" w:after="0" w:line="272" w:lineRule="exact"/>
        <w:ind w:left="0" w:right="0" w:firstLine="0"/>
        <w:jc w:val="both"/>
      </w:pPr>
      <w:bookmarkStart w:id="1086" w:name="bookmark1086"/>
      <w:bookmarkEnd w:id="1086"/>
      <w:r>
        <w:rPr>
          <w:color w:val="000000"/>
          <w:spacing w:val="0"/>
          <w:w w:val="100"/>
          <w:position w:val="0"/>
        </w:rPr>
        <w:t>租赁变更导致租赁范围缩小或租赁期缩短的，本公司调减使用权资产的账面价值，以反映租赁的部分终 止或完全终止，部分终止或完全终止租赁的相关利得或损失计入当期损益；</w:t>
      </w:r>
    </w:p>
    <w:p>
      <w:pPr>
        <w:pStyle w:val="Style41"/>
        <w:keepNext w:val="0"/>
        <w:keepLines w:val="0"/>
        <w:widowControl w:val="0"/>
        <w:numPr>
          <w:ilvl w:val="0"/>
          <w:numId w:val="29"/>
        </w:numPr>
        <w:shd w:val="clear" w:color="auto" w:fill="auto"/>
        <w:tabs>
          <w:tab w:pos="426" w:val="left"/>
        </w:tabs>
        <w:bidi w:val="0"/>
        <w:spacing w:before="0" w:after="220" w:line="283" w:lineRule="auto"/>
        <w:ind w:left="0" w:right="0" w:firstLine="0"/>
        <w:jc w:val="both"/>
      </w:pPr>
      <w:bookmarkStart w:id="1087" w:name="bookmark1087"/>
      <w:bookmarkEnd w:id="1087"/>
      <w:r>
        <w:rPr>
          <w:color w:val="000000"/>
          <w:spacing w:val="0"/>
          <w:w w:val="100"/>
          <w:position w:val="0"/>
        </w:rPr>
        <w:t>其他租赁变更，本公司相应调整使用权资产的账面价值。</w:t>
      </w:r>
    </w:p>
    <w:p>
      <w:pPr>
        <w:pStyle w:val="Style32"/>
        <w:keepNext/>
        <w:keepLines/>
        <w:widowControl w:val="0"/>
        <w:shd w:val="clear" w:color="auto" w:fill="auto"/>
        <w:bidi w:val="0"/>
        <w:spacing w:before="0" w:after="0" w:line="278" w:lineRule="exact"/>
        <w:ind w:left="0" w:right="0" w:firstLine="0"/>
        <w:jc w:val="both"/>
      </w:pPr>
      <w:bookmarkStart w:id="1088" w:name="bookmark1088"/>
      <w:bookmarkStart w:id="1089" w:name="bookmark1089"/>
      <w:bookmarkStart w:id="1090" w:name="bookmark1090"/>
      <w:r>
        <w:rPr>
          <w:color w:val="000000"/>
          <w:spacing w:val="0"/>
          <w:w w:val="100"/>
          <w:position w:val="0"/>
        </w:rPr>
        <w:t>短期租赁和低价值资产租赁</w:t>
      </w:r>
      <w:bookmarkEnd w:id="1088"/>
      <w:bookmarkEnd w:id="1089"/>
      <w:bookmarkEnd w:id="1090"/>
    </w:p>
    <w:p>
      <w:pPr>
        <w:pStyle w:val="Style41"/>
        <w:keepNext w:val="0"/>
        <w:keepLines w:val="0"/>
        <w:widowControl w:val="0"/>
        <w:shd w:val="clear" w:color="auto" w:fill="auto"/>
        <w:bidi w:val="0"/>
        <w:spacing w:before="0" w:after="220" w:line="278" w:lineRule="exact"/>
        <w:ind w:left="0" w:right="0" w:firstLine="0"/>
        <w:jc w:val="both"/>
      </w:pPr>
      <w:r>
        <w:rPr>
          <w:color w:val="000000"/>
          <w:spacing w:val="0"/>
          <w:w w:val="100"/>
          <w:position w:val="0"/>
        </w:rPr>
        <w:t>本公司将在租赁期开始日，租赁期不超过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个月，且不包含购买选择权的租赁认定为短期租赁；将单项租 赁资产为全新资产时价值较低的租赁认定为低价值资产租赁。本公司转租或预期转租租赁资产的，原租赁 不认定为低价值资产租赁。本公司对短期租赁和低价值资产租赁选择不确认使用权资产和租赁负债。在租 赁期内各个期间按照直线法计入相关的资产成本或当期损益。</w:t>
      </w:r>
    </w:p>
    <w:p>
      <w:pPr>
        <w:pStyle w:val="Style32"/>
        <w:keepNext/>
        <w:keepLines/>
        <w:widowControl w:val="0"/>
        <w:shd w:val="clear" w:color="auto" w:fill="auto"/>
        <w:bidi w:val="0"/>
        <w:spacing w:before="0" w:after="0" w:line="275" w:lineRule="exact"/>
        <w:ind w:left="0" w:right="0" w:firstLine="0"/>
        <w:jc w:val="both"/>
      </w:pPr>
      <w:bookmarkStart w:id="1091" w:name="bookmark1091"/>
      <w:bookmarkStart w:id="1092" w:name="bookmark1092"/>
      <w:bookmarkStart w:id="1093" w:name="bookmark1093"/>
      <w:r>
        <w:rPr>
          <w:color w:val="000000"/>
          <w:spacing w:val="0"/>
          <w:w w:val="100"/>
          <w:position w:val="0"/>
        </w:rPr>
        <w:t>作为出租人</w:t>
      </w:r>
      <w:bookmarkEnd w:id="1091"/>
      <w:bookmarkEnd w:id="1092"/>
      <w:bookmarkEnd w:id="1093"/>
    </w:p>
    <w:p>
      <w:pPr>
        <w:pStyle w:val="Style41"/>
        <w:keepNext w:val="0"/>
        <w:keepLines w:val="0"/>
        <w:widowControl w:val="0"/>
        <w:shd w:val="clear" w:color="auto" w:fill="auto"/>
        <w:bidi w:val="0"/>
        <w:spacing w:before="0" w:after="0" w:line="275" w:lineRule="exact"/>
        <w:ind w:left="0" w:right="0" w:firstLine="0"/>
        <w:jc w:val="both"/>
      </w:pPr>
      <w:r>
        <w:rPr>
          <w:color w:val="000000"/>
          <w:spacing w:val="0"/>
          <w:w w:val="100"/>
          <w:position w:val="0"/>
        </w:rPr>
        <w:t>租赁开始日实质上转移了与租赁资产所有权有关的几乎全部风险和报酬的租赁为融资租赁，除此之外的均 为经营租赁。本公司作为转租出租人时，基于原租赁产生的使用权资产对转租赁进行分类。</w:t>
      </w:r>
    </w:p>
    <w:p>
      <w:pPr>
        <w:pStyle w:val="Style41"/>
        <w:keepNext w:val="0"/>
        <w:keepLines w:val="0"/>
        <w:widowControl w:val="0"/>
        <w:shd w:val="clear" w:color="auto" w:fill="auto"/>
        <w:bidi w:val="0"/>
        <w:spacing w:before="0" w:after="0" w:line="275" w:lineRule="exact"/>
        <w:ind w:left="0" w:right="0" w:firstLine="0"/>
        <w:jc w:val="both"/>
      </w:pPr>
      <w:r>
        <w:rPr>
          <w:color w:val="000000"/>
          <w:spacing w:val="0"/>
          <w:w w:val="100"/>
          <w:position w:val="0"/>
        </w:rPr>
        <w:t>作为经营租赁出租人</w:t>
      </w:r>
    </w:p>
    <w:p>
      <w:pPr>
        <w:pStyle w:val="Style41"/>
        <w:keepNext w:val="0"/>
        <w:keepLines w:val="0"/>
        <w:widowControl w:val="0"/>
        <w:shd w:val="clear" w:color="auto" w:fill="auto"/>
        <w:bidi w:val="0"/>
        <w:spacing w:before="0" w:after="0" w:line="275" w:lineRule="exact"/>
        <w:ind w:left="0" w:right="0" w:firstLine="0"/>
        <w:jc w:val="both"/>
      </w:pPr>
      <w:r>
        <w:rPr>
          <w:color w:val="000000"/>
          <w:spacing w:val="0"/>
          <w:w w:val="100"/>
          <w:position w:val="0"/>
        </w:rPr>
        <w:t>经营租赁的租金收入在租赁期内各个期间按直线法确认为当期损益，未计入租赁收款额的可变租赁付款额 在实际发生时计入当期损益。</w:t>
      </w:r>
    </w:p>
    <w:p>
      <w:pPr>
        <w:pStyle w:val="Style41"/>
        <w:keepNext w:val="0"/>
        <w:keepLines w:val="0"/>
        <w:widowControl w:val="0"/>
        <w:shd w:val="clear" w:color="auto" w:fill="auto"/>
        <w:bidi w:val="0"/>
        <w:spacing w:before="0" w:after="220" w:line="275" w:lineRule="exact"/>
        <w:ind w:left="0" w:right="0" w:firstLine="0"/>
        <w:jc w:val="both"/>
      </w:pPr>
      <w:r>
        <w:rPr>
          <w:color w:val="000000"/>
          <w:spacing w:val="0"/>
          <w:w w:val="100"/>
          <w:position w:val="0"/>
        </w:rPr>
        <w:t>经营租赁发生变更的，本公司自变更生效日起将其作为一项新租赁进行会计处理，与变更前租赁有关的预 收或应收租赁收款额视为新租赁的收款额。</w:t>
      </w:r>
    </w:p>
    <w:p>
      <w:pPr>
        <w:pStyle w:val="Style32"/>
        <w:keepNext/>
        <w:keepLines/>
        <w:widowControl w:val="0"/>
        <w:shd w:val="clear" w:color="auto" w:fill="auto"/>
        <w:bidi w:val="0"/>
        <w:spacing w:before="0" w:after="120" w:line="272" w:lineRule="exact"/>
        <w:ind w:left="0" w:right="0" w:firstLine="0"/>
        <w:jc w:val="both"/>
      </w:pPr>
      <w:bookmarkStart w:id="1094" w:name="bookmark1094"/>
      <w:bookmarkStart w:id="1095" w:name="bookmark1095"/>
      <w:bookmarkStart w:id="1096" w:name="bookmark1096"/>
      <w:r>
        <w:rPr>
          <w:color w:val="000000"/>
          <w:spacing w:val="0"/>
          <w:w w:val="100"/>
          <w:position w:val="0"/>
        </w:rPr>
        <w:t>租赁(适用于</w:t>
      </w:r>
      <w:r>
        <w:rPr>
          <w:rFonts w:ascii="Times New Roman" w:eastAsia="Times New Roman" w:hAnsi="Times New Roman" w:cs="Times New Roman"/>
          <w:color w:val="000000"/>
          <w:spacing w:val="0"/>
          <w:w w:val="100"/>
          <w:position w:val="0"/>
        </w:rPr>
        <w:t>2020</w:t>
      </w:r>
      <w:r>
        <w:rPr>
          <w:color w:val="000000"/>
          <w:spacing w:val="0"/>
          <w:w w:val="100"/>
          <w:position w:val="0"/>
        </w:rPr>
        <w:t>年度)</w:t>
      </w:r>
      <w:bookmarkEnd w:id="1094"/>
      <w:bookmarkEnd w:id="1095"/>
      <w:bookmarkEnd w:id="1096"/>
    </w:p>
    <w:p>
      <w:pPr>
        <w:pStyle w:val="Style41"/>
        <w:keepNext w:val="0"/>
        <w:keepLines w:val="0"/>
        <w:widowControl w:val="0"/>
        <w:shd w:val="clear" w:color="auto" w:fill="auto"/>
        <w:bidi w:val="0"/>
        <w:spacing w:before="0" w:after="220" w:line="272" w:lineRule="exact"/>
        <w:ind w:left="0" w:right="0" w:firstLine="0"/>
        <w:jc w:val="both"/>
      </w:pPr>
      <w:r>
        <w:rPr>
          <w:color w:val="000000"/>
          <w:spacing w:val="0"/>
          <w:w w:val="100"/>
          <w:position w:val="0"/>
        </w:rPr>
        <w:t>实质上转移了与资产所有权有关的全部风险和报酬的租赁为融资租赁，除此之外的均为经营租赁。</w:t>
      </w:r>
    </w:p>
    <w:p>
      <w:pPr>
        <w:pStyle w:val="Style32"/>
        <w:keepNext/>
        <w:keepLines/>
        <w:widowControl w:val="0"/>
        <w:shd w:val="clear" w:color="auto" w:fill="auto"/>
        <w:bidi w:val="0"/>
        <w:spacing w:before="0" w:after="0" w:line="269" w:lineRule="exact"/>
        <w:ind w:left="0" w:right="0" w:firstLine="0"/>
        <w:jc w:val="both"/>
      </w:pPr>
      <w:bookmarkStart w:id="1097" w:name="bookmark1097"/>
      <w:bookmarkStart w:id="1098" w:name="bookmark1098"/>
      <w:bookmarkStart w:id="1099" w:name="bookmark1099"/>
      <w:r>
        <w:rPr>
          <w:color w:val="000000"/>
          <w:spacing w:val="0"/>
          <w:w w:val="100"/>
          <w:position w:val="0"/>
        </w:rPr>
        <w:t>作为经营租赁承租</w:t>
      </w:r>
      <w:bookmarkEnd w:id="1097"/>
      <w:bookmarkEnd w:id="1098"/>
      <w:bookmarkEnd w:id="1099"/>
    </w:p>
    <w:p>
      <w:pPr>
        <w:pStyle w:val="Style41"/>
        <w:keepNext w:val="0"/>
        <w:keepLines w:val="0"/>
        <w:widowControl w:val="0"/>
        <w:shd w:val="clear" w:color="auto" w:fill="auto"/>
        <w:bidi w:val="0"/>
        <w:spacing w:before="0" w:after="220" w:line="269" w:lineRule="exact"/>
        <w:ind w:left="0" w:right="0" w:firstLine="0"/>
        <w:jc w:val="both"/>
      </w:pPr>
      <w:r>
        <w:rPr>
          <w:color w:val="000000"/>
          <w:spacing w:val="0"/>
          <w:w w:val="100"/>
          <w:position w:val="0"/>
        </w:rPr>
        <w:t>经营租赁的租金支出，在租赁期内各个期间按照直线法计入相关的资产成本或当期损益。或有租金在实际 发生时计入当期损益。</w:t>
      </w:r>
    </w:p>
    <w:p>
      <w:pPr>
        <w:pStyle w:val="Style32"/>
        <w:keepNext/>
        <w:keepLines/>
        <w:widowControl w:val="0"/>
        <w:shd w:val="clear" w:color="auto" w:fill="auto"/>
        <w:bidi w:val="0"/>
        <w:spacing w:before="0" w:after="0" w:line="272" w:lineRule="exact"/>
        <w:ind w:left="0" w:right="0" w:firstLine="0"/>
        <w:jc w:val="both"/>
      </w:pPr>
      <w:bookmarkStart w:id="1100" w:name="bookmark1100"/>
      <w:bookmarkStart w:id="1101" w:name="bookmark1101"/>
      <w:bookmarkStart w:id="1102" w:name="bookmark1102"/>
      <w:r>
        <w:rPr>
          <w:color w:val="000000"/>
          <w:spacing w:val="0"/>
          <w:w w:val="100"/>
          <w:position w:val="0"/>
        </w:rPr>
        <w:t>作为经营租赁出租人</w:t>
      </w:r>
      <w:bookmarkEnd w:id="1100"/>
      <w:bookmarkEnd w:id="1101"/>
      <w:bookmarkEnd w:id="1102"/>
    </w:p>
    <w:p>
      <w:pPr>
        <w:pStyle w:val="Style41"/>
        <w:keepNext w:val="0"/>
        <w:keepLines w:val="0"/>
        <w:widowControl w:val="0"/>
        <w:shd w:val="clear" w:color="auto" w:fill="auto"/>
        <w:bidi w:val="0"/>
        <w:spacing w:before="0" w:after="180" w:line="272" w:lineRule="exact"/>
        <w:ind w:left="0" w:right="0" w:firstLine="0"/>
        <w:jc w:val="both"/>
      </w:pPr>
      <w:r>
        <w:rPr>
          <w:color w:val="000000"/>
          <w:spacing w:val="0"/>
          <w:w w:val="100"/>
          <w:position w:val="0"/>
        </w:rPr>
        <w:t>经营租赁的租金收入在租赁期内各个期间按直线法确认为当期损益。或有租金在实际发生时计入当期损益。</w:t>
      </w:r>
    </w:p>
    <w:p>
      <w:pPr>
        <w:pStyle w:val="Style32"/>
        <w:keepNext/>
        <w:keepLines/>
        <w:widowControl w:val="0"/>
        <w:shd w:val="clear" w:color="auto" w:fill="auto"/>
        <w:tabs>
          <w:tab w:pos="507" w:val="left"/>
        </w:tabs>
        <w:bidi w:val="0"/>
        <w:spacing w:before="0" w:after="300" w:line="274" w:lineRule="exact"/>
        <w:ind w:left="0" w:right="0" w:firstLine="0"/>
        <w:jc w:val="both"/>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2</w:t>
      </w:r>
      <w:bookmarkEnd w:id="1105"/>
      <w:r>
        <w:rPr>
          <w:rFonts w:ascii="Times New Roman" w:eastAsia="Times New Roman" w:hAnsi="Times New Roman" w:cs="Times New Roman"/>
          <w:color w:val="000000"/>
          <w:spacing w:val="0"/>
          <w:w w:val="100"/>
          <w:position w:val="0"/>
        </w:rPr>
        <w:t>7</w:t>
      </w:r>
      <w:r>
        <w:rPr>
          <w:color w:val="000000"/>
          <w:spacing w:val="0"/>
          <w:w w:val="100"/>
          <w:position w:val="0"/>
        </w:rPr>
        <w:t>、</w:t>
        <w:tab/>
        <w:t>融资融券会计核算</w:t>
      </w:r>
      <w:bookmarkEnd w:id="1103"/>
      <w:bookmarkEnd w:id="1104"/>
      <w:bookmarkEnd w:id="1106"/>
    </w:p>
    <w:p>
      <w:pPr>
        <w:pStyle w:val="Style41"/>
        <w:keepNext w:val="0"/>
        <w:keepLines w:val="0"/>
        <w:widowControl w:val="0"/>
        <w:shd w:val="clear" w:color="auto" w:fill="auto"/>
        <w:bidi w:val="0"/>
        <w:spacing w:before="0" w:after="240" w:line="269" w:lineRule="exact"/>
        <w:ind w:left="0" w:right="0" w:firstLine="0"/>
        <w:jc w:val="both"/>
      </w:pPr>
      <w:r>
        <w:rPr>
          <w:color w:val="000000"/>
          <w:spacing w:val="0"/>
          <w:w w:val="100"/>
          <w:position w:val="0"/>
        </w:rPr>
        <w:t>本公司从事融资融券业务，即向客户出借资金供其买入证券或者出借证券供其卖出，并由客户交存相应抵 押物的经营活动。</w:t>
      </w:r>
    </w:p>
    <w:p>
      <w:pPr>
        <w:pStyle w:val="Style32"/>
        <w:keepNext/>
        <w:keepLines/>
        <w:widowControl w:val="0"/>
        <w:shd w:val="clear" w:color="auto" w:fill="auto"/>
        <w:bidi w:val="0"/>
        <w:spacing w:before="0" w:after="0" w:line="269" w:lineRule="exact"/>
        <w:ind w:left="0" w:right="0" w:firstLine="0"/>
        <w:jc w:val="both"/>
      </w:pPr>
      <w:bookmarkStart w:id="1107" w:name="bookmark1107"/>
      <w:bookmarkStart w:id="1108" w:name="bookmark1108"/>
      <w:bookmarkStart w:id="1109" w:name="bookmark1109"/>
      <w:r>
        <w:rPr>
          <w:color w:val="000000"/>
          <w:spacing w:val="0"/>
          <w:w w:val="100"/>
          <w:position w:val="0"/>
        </w:rPr>
        <w:t>融出资金</w:t>
      </w:r>
      <w:bookmarkEnd w:id="1107"/>
      <w:bookmarkEnd w:id="1108"/>
      <w:bookmarkEnd w:id="1109"/>
    </w:p>
    <w:p>
      <w:pPr>
        <w:pStyle w:val="Style41"/>
        <w:keepNext w:val="0"/>
        <w:keepLines w:val="0"/>
        <w:widowControl w:val="0"/>
        <w:shd w:val="clear" w:color="auto" w:fill="auto"/>
        <w:bidi w:val="0"/>
        <w:spacing w:before="0" w:after="240" w:line="269" w:lineRule="exact"/>
        <w:ind w:left="0" w:right="0" w:firstLine="0"/>
        <w:jc w:val="both"/>
      </w:pPr>
      <w:r>
        <w:rPr>
          <w:color w:val="000000"/>
          <w:spacing w:val="0"/>
          <w:w w:val="100"/>
          <w:position w:val="0"/>
        </w:rPr>
        <w:t>本公司将资金出借客户，形成一项应收客户的债权，并根据融资融券协议将收取的手续费确认为利息收入。 本公司融出资金风险准备参照金融资产减值中以摊余成本计量的金融资产确认。</w:t>
      </w:r>
    </w:p>
    <w:p>
      <w:pPr>
        <w:pStyle w:val="Style32"/>
        <w:keepNext/>
        <w:keepLines/>
        <w:widowControl w:val="0"/>
        <w:shd w:val="clear" w:color="auto" w:fill="auto"/>
        <w:bidi w:val="0"/>
        <w:spacing w:before="0" w:after="0" w:line="278" w:lineRule="exact"/>
        <w:ind w:left="0" w:right="0" w:firstLine="0"/>
        <w:jc w:val="both"/>
      </w:pPr>
      <w:bookmarkStart w:id="1110" w:name="bookmark1110"/>
      <w:bookmarkStart w:id="1111" w:name="bookmark1111"/>
      <w:bookmarkStart w:id="1112" w:name="bookmark1112"/>
      <w:r>
        <w:rPr>
          <w:color w:val="000000"/>
          <w:spacing w:val="0"/>
          <w:w w:val="100"/>
          <w:position w:val="0"/>
        </w:rPr>
        <w:t>融出证券</w:t>
      </w:r>
      <w:bookmarkEnd w:id="1110"/>
      <w:bookmarkEnd w:id="1111"/>
      <w:bookmarkEnd w:id="1112"/>
    </w:p>
    <w:p>
      <w:pPr>
        <w:pStyle w:val="Style41"/>
        <w:keepNext w:val="0"/>
        <w:keepLines w:val="0"/>
        <w:widowControl w:val="0"/>
        <w:shd w:val="clear" w:color="auto" w:fill="auto"/>
        <w:bidi w:val="0"/>
        <w:spacing w:before="0" w:after="300" w:line="278" w:lineRule="exact"/>
        <w:ind w:left="0" w:right="0" w:firstLine="0"/>
        <w:jc w:val="both"/>
      </w:pPr>
      <w:r>
        <w:rPr>
          <w:color w:val="000000"/>
          <w:spacing w:val="0"/>
          <w:w w:val="100"/>
          <w:position w:val="0"/>
        </w:rPr>
        <w:t>本公司将自身持有的证券出借客户，并约定期限和利率，到期收取相同数量的同种证券，并根据融资融券 协议将收取的手续费确认为利息收入。此项业务融出的证券不满足终止确认条件，继续确认该金融资产。</w:t>
      </w:r>
    </w:p>
    <w:p>
      <w:pPr>
        <w:pStyle w:val="Style32"/>
        <w:keepNext/>
        <w:keepLines/>
        <w:widowControl w:val="0"/>
        <w:shd w:val="clear" w:color="auto" w:fill="auto"/>
        <w:tabs>
          <w:tab w:pos="507" w:val="left"/>
        </w:tabs>
        <w:bidi w:val="0"/>
        <w:spacing w:before="0" w:after="300" w:line="274" w:lineRule="exact"/>
        <w:ind w:left="0" w:right="0" w:firstLine="0"/>
        <w:jc w:val="both"/>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2</w:t>
      </w:r>
      <w:bookmarkEnd w:id="1115"/>
      <w:r>
        <w:rPr>
          <w:rFonts w:ascii="Times New Roman" w:eastAsia="Times New Roman" w:hAnsi="Times New Roman" w:cs="Times New Roman"/>
          <w:color w:val="000000"/>
          <w:spacing w:val="0"/>
          <w:w w:val="100"/>
          <w:position w:val="0"/>
        </w:rPr>
        <w:t>8</w:t>
      </w:r>
      <w:r>
        <w:rPr>
          <w:color w:val="000000"/>
          <w:spacing w:val="0"/>
          <w:w w:val="100"/>
          <w:position w:val="0"/>
        </w:rPr>
        <w:t>、</w:t>
        <w:tab/>
        <w:t>其他重要的会计政策和会计估计</w:t>
      </w:r>
      <w:bookmarkEnd w:id="1113"/>
      <w:bookmarkEnd w:id="1114"/>
      <w:bookmarkEnd w:id="1116"/>
    </w:p>
    <w:p>
      <w:pPr>
        <w:pStyle w:val="Style32"/>
        <w:keepNext/>
        <w:keepLines/>
        <w:widowControl w:val="0"/>
        <w:shd w:val="clear" w:color="auto" w:fill="auto"/>
        <w:tabs>
          <w:tab w:pos="522" w:val="left"/>
        </w:tabs>
        <w:bidi w:val="0"/>
        <w:spacing w:before="0" w:after="0" w:line="274" w:lineRule="exact"/>
        <w:ind w:left="0" w:right="0" w:firstLine="0"/>
        <w:jc w:val="both"/>
      </w:pPr>
      <w:bookmarkStart w:id="1113" w:name="bookmark1113"/>
      <w:bookmarkStart w:id="1114" w:name="bookmark1114"/>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1</w:t>
      </w:r>
      <w:r>
        <w:rPr>
          <w:color w:val="000000"/>
          <w:spacing w:val="0"/>
          <w:w w:val="100"/>
          <w:position w:val="0"/>
        </w:rPr>
        <w:t>）</w:t>
        <w:tab/>
        <w:t>利润分配</w:t>
      </w:r>
      <w:bookmarkEnd w:id="1113"/>
      <w:bookmarkEnd w:id="1114"/>
      <w:bookmarkEnd w:id="1118"/>
    </w:p>
    <w:p>
      <w:pPr>
        <w:pStyle w:val="Style41"/>
        <w:keepNext w:val="0"/>
        <w:keepLines w:val="0"/>
        <w:widowControl w:val="0"/>
        <w:shd w:val="clear" w:color="auto" w:fill="auto"/>
        <w:bidi w:val="0"/>
        <w:spacing w:before="0" w:after="240" w:line="274" w:lineRule="exact"/>
        <w:ind w:left="0" w:right="0" w:firstLine="0"/>
        <w:jc w:val="both"/>
      </w:pPr>
      <w:r>
        <w:rPr>
          <w:color w:val="000000"/>
          <w:spacing w:val="0"/>
          <w:w w:val="100"/>
          <w:position w:val="0"/>
        </w:rPr>
        <w:t>本公司的现金股利，于股东大会批准后确认为负债。</w:t>
      </w:r>
    </w:p>
    <w:p>
      <w:pPr>
        <w:pStyle w:val="Style32"/>
        <w:keepNext/>
        <w:keepLines/>
        <w:widowControl w:val="0"/>
        <w:shd w:val="clear" w:color="auto" w:fill="auto"/>
        <w:tabs>
          <w:tab w:pos="522" w:val="left"/>
        </w:tabs>
        <w:bidi w:val="0"/>
        <w:spacing w:before="0" w:after="0" w:line="274" w:lineRule="exact"/>
        <w:ind w:left="0" w:right="0" w:firstLine="0"/>
        <w:jc w:val="both"/>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2</w:t>
      </w:r>
      <w:r>
        <w:rPr>
          <w:color w:val="000000"/>
          <w:spacing w:val="0"/>
          <w:w w:val="100"/>
          <w:position w:val="0"/>
        </w:rPr>
        <w:t>）</w:t>
        <w:tab/>
        <w:t>公允价值计量</w:t>
      </w:r>
      <w:bookmarkEnd w:id="1119"/>
      <w:bookmarkEnd w:id="1120"/>
      <w:bookmarkEnd w:id="1122"/>
    </w:p>
    <w:p>
      <w:pPr>
        <w:pStyle w:val="Style4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本公司于每个资产负债表日以公允价值计量衍生金融工具和权益工具投资。公允价值，是指市场参与者在 计量日发生的有序交易中，出售一项资产所能收到或者转移一项负债所需支付的价格。本公司以公允价值 计量相关资产或负债，假定出售资产或者转移负债的有序交易在相关资产或负债的主要市场进行；不存在 主要市场的，本公司假定该交易在相关资产或负债的最有利市场进行。主要市场（或最有利市场）是本公 司在计量日能够进入的交易市场。本公司采用市场参与者在对该资产或负债定价时为实现其经济利益最大 化所使用的假设。</w:t>
      </w:r>
    </w:p>
    <w:p>
      <w:pPr>
        <w:pStyle w:val="Style41"/>
        <w:keepNext w:val="0"/>
        <w:keepLines w:val="0"/>
        <w:widowControl w:val="0"/>
        <w:shd w:val="clear" w:color="auto" w:fill="auto"/>
        <w:bidi w:val="0"/>
        <w:spacing w:before="0" w:after="0" w:line="274" w:lineRule="exact"/>
        <w:ind w:left="0" w:right="0" w:firstLine="0"/>
        <w:jc w:val="both"/>
      </w:pPr>
      <w:r>
        <w:rPr>
          <w:color w:val="000000"/>
          <w:spacing w:val="0"/>
          <w:w w:val="100"/>
          <w:position w:val="0"/>
        </w:rPr>
        <w:t>以公允价值计量非金融资产的，考虑市场参与者将该资产用于最佳用途产生经济利益的能力，或者将该资 产出售给能够用于最佳用途的其他市场参与者产生经济利益的能力。</w:t>
      </w:r>
    </w:p>
    <w:p>
      <w:pPr>
        <w:pStyle w:val="Style41"/>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本公司采用在当前情况下适用并且有足够可利用数据和其他信息支持的估值技术，优先使用相关可观察输 入值，只有在可观察输入值无法取得或取得不切实可行的情况下，才使用不可观察输入值。</w:t>
      </w:r>
    </w:p>
    <w:p>
      <w:pPr>
        <w:pStyle w:val="Style41"/>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在财务报表中以公允价值计量或披露的资产和负债，根据对公允价值计量整体而言具有重要意义的最低层 次输入值，确定所属的公允价值层次：第一层次输入值，在计量日能够取得的相同资产或负债在活跃市场 上未经调整的报价；第二层次输入值，除第一层次输入值外相关资产或负债直接或间接可观察的输入值; 第三层次输入值，相关资产或负债的不可观察输入值。</w:t>
      </w:r>
    </w:p>
    <w:p>
      <w:pPr>
        <w:pStyle w:val="Style41"/>
        <w:keepNext w:val="0"/>
        <w:keepLines w:val="0"/>
        <w:widowControl w:val="0"/>
        <w:shd w:val="clear" w:color="auto" w:fill="auto"/>
        <w:bidi w:val="0"/>
        <w:spacing w:before="0" w:after="240" w:line="274" w:lineRule="exact"/>
        <w:ind w:left="0" w:right="0" w:firstLine="0"/>
        <w:jc w:val="both"/>
      </w:pPr>
      <w:r>
        <w:rPr>
          <w:color w:val="000000"/>
          <w:spacing w:val="0"/>
          <w:w w:val="100"/>
          <w:position w:val="0"/>
        </w:rPr>
        <w:t>每个资产负债表日，本公司对在财务报表中确认的持续以公允价值计量的资产和负债进行重新评估，以确 定是否在公允价值计量层次之间发生转换。</w:t>
      </w:r>
    </w:p>
    <w:p>
      <w:pPr>
        <w:pStyle w:val="Style32"/>
        <w:keepNext/>
        <w:keepLines/>
        <w:widowControl w:val="0"/>
        <w:shd w:val="clear" w:color="auto" w:fill="auto"/>
        <w:tabs>
          <w:tab w:pos="440" w:val="left"/>
        </w:tabs>
        <w:bidi w:val="0"/>
        <w:spacing w:before="0" w:after="0" w:line="290" w:lineRule="auto"/>
        <w:ind w:left="0" w:right="0" w:firstLine="0"/>
        <w:jc w:val="both"/>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w:t>
      </w:r>
      <w:bookmarkEnd w:id="1125"/>
      <w:r>
        <w:rPr>
          <w:rFonts w:ascii="Times New Roman" w:eastAsia="Times New Roman" w:hAnsi="Times New Roman" w:cs="Times New Roman"/>
          <w:color w:val="000000"/>
          <w:spacing w:val="0"/>
          <w:w w:val="100"/>
          <w:position w:val="0"/>
        </w:rPr>
        <w:t>3）</w:t>
        <w:tab/>
      </w:r>
      <w:r>
        <w:rPr>
          <w:color w:val="000000"/>
          <w:spacing w:val="0"/>
          <w:w w:val="100"/>
          <w:position w:val="0"/>
        </w:rPr>
        <w:t>分部报告</w:t>
      </w:r>
      <w:bookmarkEnd w:id="1123"/>
      <w:bookmarkEnd w:id="1124"/>
      <w:bookmarkEnd w:id="1126"/>
    </w:p>
    <w:p>
      <w:pPr>
        <w:pStyle w:val="Style41"/>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本公司以内部组织结构、管理要求、内部报告制度为依据确定经营分部，以经营分部为基础确定报告分部 并披露分部信息。</w:t>
      </w:r>
    </w:p>
    <w:p>
      <w:pPr>
        <w:pStyle w:val="Style41"/>
        <w:keepNext w:val="0"/>
        <w:keepLines w:val="0"/>
        <w:widowControl w:val="0"/>
        <w:shd w:val="clear" w:color="auto" w:fill="auto"/>
        <w:bidi w:val="0"/>
        <w:spacing w:before="0" w:after="0" w:line="278" w:lineRule="exact"/>
        <w:ind w:left="0" w:right="0" w:firstLine="0"/>
        <w:jc w:val="both"/>
      </w:pPr>
      <w:r>
        <w:rPr>
          <w:color w:val="000000"/>
          <w:spacing w:val="0"/>
          <w:w w:val="100"/>
          <w:position w:val="0"/>
        </w:rPr>
        <w:t>经营分部是指本公司内同时满足下列条件的组成部分：</w:t>
      </w:r>
    </w:p>
    <w:p>
      <w:pPr>
        <w:pStyle w:val="Style41"/>
        <w:keepNext w:val="0"/>
        <w:keepLines w:val="0"/>
        <w:widowControl w:val="0"/>
        <w:shd w:val="clear" w:color="auto" w:fill="auto"/>
        <w:tabs>
          <w:tab w:pos="417" w:val="left"/>
        </w:tabs>
        <w:bidi w:val="0"/>
        <w:spacing w:before="0" w:after="0" w:line="278" w:lineRule="exact"/>
        <w:ind w:left="0" w:right="0" w:firstLine="0"/>
        <w:jc w:val="both"/>
      </w:pPr>
      <w:bookmarkStart w:id="1127" w:name="bookmark1127"/>
      <w:r>
        <w:rPr>
          <w:rFonts w:ascii="Times New Roman" w:eastAsia="Times New Roman" w:hAnsi="Times New Roman" w:cs="Times New Roman"/>
          <w:color w:val="000000"/>
          <w:spacing w:val="0"/>
          <w:w w:val="100"/>
          <w:position w:val="0"/>
        </w:rPr>
        <w:t>1</w:t>
      </w:r>
      <w:bookmarkEnd w:id="1127"/>
      <w:r>
        <w:rPr>
          <w:rFonts w:ascii="Times New Roman" w:eastAsia="Times New Roman" w:hAnsi="Times New Roman" w:cs="Times New Roman"/>
          <w:color w:val="000000"/>
          <w:spacing w:val="0"/>
          <w:w w:val="100"/>
          <w:position w:val="0"/>
        </w:rPr>
        <w:t>）</w:t>
        <w:tab/>
      </w:r>
      <w:r>
        <w:rPr>
          <w:color w:val="000000"/>
          <w:spacing w:val="0"/>
          <w:w w:val="100"/>
          <w:position w:val="0"/>
        </w:rPr>
        <w:t>该组成部分能够在日常活动中产生收入、发生费用；</w:t>
      </w:r>
    </w:p>
    <w:p>
      <w:pPr>
        <w:pStyle w:val="Style41"/>
        <w:keepNext w:val="0"/>
        <w:keepLines w:val="0"/>
        <w:widowControl w:val="0"/>
        <w:shd w:val="clear" w:color="auto" w:fill="auto"/>
        <w:tabs>
          <w:tab w:pos="417" w:val="left"/>
        </w:tabs>
        <w:bidi w:val="0"/>
        <w:spacing w:before="0" w:after="0" w:line="278" w:lineRule="exact"/>
        <w:ind w:left="0" w:right="0" w:firstLine="0"/>
        <w:jc w:val="both"/>
      </w:pPr>
      <w:bookmarkStart w:id="1128" w:name="bookmark1128"/>
      <w:r>
        <w:rPr>
          <w:rFonts w:ascii="Times New Roman" w:eastAsia="Times New Roman" w:hAnsi="Times New Roman" w:cs="Times New Roman"/>
          <w:color w:val="000000"/>
          <w:spacing w:val="0"/>
          <w:w w:val="100"/>
          <w:position w:val="0"/>
        </w:rPr>
        <w:t>2</w:t>
      </w:r>
      <w:bookmarkEnd w:id="1128"/>
      <w:r>
        <w:rPr>
          <w:rFonts w:ascii="Times New Roman" w:eastAsia="Times New Roman" w:hAnsi="Times New Roman" w:cs="Times New Roman"/>
          <w:color w:val="000000"/>
          <w:spacing w:val="0"/>
          <w:w w:val="100"/>
          <w:position w:val="0"/>
        </w:rPr>
        <w:t>）</w:t>
        <w:tab/>
      </w:r>
      <w:r>
        <w:rPr>
          <w:color w:val="000000"/>
          <w:spacing w:val="0"/>
          <w:w w:val="100"/>
          <w:position w:val="0"/>
        </w:rPr>
        <w:t>本公司管理层能够定期评价该组成部分的经营成果，以决定向其配置资源、评价其业绩；</w:t>
      </w:r>
    </w:p>
    <w:p>
      <w:pPr>
        <w:pStyle w:val="Style41"/>
        <w:keepNext w:val="0"/>
        <w:keepLines w:val="0"/>
        <w:widowControl w:val="0"/>
        <w:shd w:val="clear" w:color="auto" w:fill="auto"/>
        <w:tabs>
          <w:tab w:pos="417" w:val="left"/>
        </w:tabs>
        <w:bidi w:val="0"/>
        <w:spacing w:before="0" w:after="0" w:line="278" w:lineRule="exact"/>
        <w:ind w:left="0" w:right="0" w:firstLine="0"/>
        <w:jc w:val="both"/>
      </w:pPr>
      <w:bookmarkStart w:id="1129" w:name="bookmark1129"/>
      <w:r>
        <w:rPr>
          <w:rFonts w:ascii="Times New Roman" w:eastAsia="Times New Roman" w:hAnsi="Times New Roman" w:cs="Times New Roman"/>
          <w:color w:val="000000"/>
          <w:spacing w:val="0"/>
          <w:w w:val="100"/>
          <w:position w:val="0"/>
        </w:rPr>
        <w:t>3</w:t>
      </w:r>
      <w:bookmarkEnd w:id="1129"/>
      <w:r>
        <w:rPr>
          <w:rFonts w:ascii="Times New Roman" w:eastAsia="Times New Roman" w:hAnsi="Times New Roman" w:cs="Times New Roman"/>
          <w:color w:val="000000"/>
          <w:spacing w:val="0"/>
          <w:w w:val="100"/>
          <w:position w:val="0"/>
        </w:rPr>
        <w:t>）</w:t>
        <w:tab/>
      </w:r>
      <w:r>
        <w:rPr>
          <w:color w:val="000000"/>
          <w:spacing w:val="0"/>
          <w:w w:val="100"/>
          <w:position w:val="0"/>
        </w:rPr>
        <w:t>本公司能够取得该组成部分的财务状况、经营成果和现金流量等有关会计信息。</w:t>
      </w:r>
    </w:p>
    <w:p>
      <w:pPr>
        <w:pStyle w:val="Style41"/>
        <w:keepNext w:val="0"/>
        <w:keepLines w:val="0"/>
        <w:widowControl w:val="0"/>
        <w:shd w:val="clear" w:color="auto" w:fill="auto"/>
        <w:bidi w:val="0"/>
        <w:spacing w:before="0" w:after="240" w:line="278" w:lineRule="exact"/>
        <w:ind w:left="0" w:right="0" w:firstLine="0"/>
        <w:jc w:val="both"/>
      </w:pPr>
      <w:r>
        <w:rPr>
          <w:color w:val="000000"/>
          <w:spacing w:val="0"/>
          <w:w w:val="100"/>
          <w:position w:val="0"/>
        </w:rPr>
        <w:t>两个或多个经营分部具有相似的经济特征，并且满足一定条件的，则可合并为一个经营分部。</w:t>
      </w:r>
    </w:p>
    <w:p>
      <w:pPr>
        <w:pStyle w:val="Style32"/>
        <w:keepNext/>
        <w:keepLines/>
        <w:widowControl w:val="0"/>
        <w:shd w:val="clear" w:color="auto" w:fill="auto"/>
        <w:tabs>
          <w:tab w:pos="440" w:val="left"/>
        </w:tabs>
        <w:bidi w:val="0"/>
        <w:spacing w:before="0" w:after="0" w:line="274" w:lineRule="exact"/>
        <w:ind w:left="0" w:right="0" w:firstLine="0"/>
        <w:jc w:val="both"/>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w:t>
      </w:r>
      <w:bookmarkEnd w:id="1132"/>
      <w:r>
        <w:rPr>
          <w:rFonts w:ascii="Times New Roman" w:eastAsia="Times New Roman" w:hAnsi="Times New Roman" w:cs="Times New Roman"/>
          <w:color w:val="000000"/>
          <w:spacing w:val="0"/>
          <w:w w:val="100"/>
          <w:position w:val="0"/>
        </w:rPr>
        <w:t>4）</w:t>
        <w:tab/>
      </w:r>
      <w:r>
        <w:rPr>
          <w:color w:val="000000"/>
          <w:spacing w:val="0"/>
          <w:w w:val="100"/>
          <w:position w:val="0"/>
        </w:rPr>
        <w:t>重大会计判断和估计</w:t>
      </w:r>
      <w:bookmarkEnd w:id="1130"/>
      <w:bookmarkEnd w:id="1131"/>
      <w:bookmarkEnd w:id="1133"/>
    </w:p>
    <w:p>
      <w:pPr>
        <w:pStyle w:val="Style41"/>
        <w:keepNext w:val="0"/>
        <w:keepLines w:val="0"/>
        <w:widowControl w:val="0"/>
        <w:shd w:val="clear" w:color="auto" w:fill="auto"/>
        <w:bidi w:val="0"/>
        <w:spacing w:before="0" w:after="240" w:line="274" w:lineRule="exact"/>
        <w:ind w:left="0" w:right="0" w:firstLine="0"/>
        <w:jc w:val="both"/>
      </w:pPr>
      <w:r>
        <w:rPr>
          <w:color w:val="000000"/>
          <w:spacing w:val="0"/>
          <w:w w:val="100"/>
          <w:position w:val="0"/>
        </w:rPr>
        <w:t>编制财务报表要求管理层作出判断、估计和假设，这些判断、估计和假设会影响收入、费用、资产和负债 的列报金额及其披露，以及资产负债表日或有负债的披露。这些假设和估计的不确定性所导致的结果可能 造成对未来受影响的资产或负债的账面金额进行重大调整。</w:t>
      </w:r>
    </w:p>
    <w:p>
      <w:pPr>
        <w:pStyle w:val="Style32"/>
        <w:keepNext/>
        <w:keepLines/>
        <w:widowControl w:val="0"/>
        <w:shd w:val="clear" w:color="auto" w:fill="auto"/>
        <w:bidi w:val="0"/>
        <w:spacing w:before="0" w:after="0" w:line="273" w:lineRule="exact"/>
        <w:ind w:left="0" w:right="0" w:firstLine="0"/>
        <w:jc w:val="both"/>
      </w:pPr>
      <w:bookmarkStart w:id="1134" w:name="bookmark1134"/>
      <w:bookmarkStart w:id="1135" w:name="bookmark1135"/>
      <w:bookmarkStart w:id="1136" w:name="bookmark1136"/>
      <w:r>
        <w:rPr>
          <w:color w:val="000000"/>
          <w:spacing w:val="0"/>
          <w:w w:val="100"/>
          <w:position w:val="0"/>
        </w:rPr>
        <w:t>判断</w:t>
      </w:r>
      <w:bookmarkEnd w:id="1134"/>
      <w:bookmarkEnd w:id="1135"/>
      <w:bookmarkEnd w:id="1136"/>
    </w:p>
    <w:p>
      <w:pPr>
        <w:pStyle w:val="Style41"/>
        <w:keepNext w:val="0"/>
        <w:keepLines w:val="0"/>
        <w:widowControl w:val="0"/>
        <w:shd w:val="clear" w:color="auto" w:fill="auto"/>
        <w:bidi w:val="0"/>
        <w:spacing w:before="0" w:after="0" w:line="273" w:lineRule="exact"/>
        <w:ind w:left="0" w:right="0" w:firstLine="0"/>
        <w:jc w:val="both"/>
      </w:pPr>
      <w:r>
        <w:rPr>
          <w:color w:val="000000"/>
          <w:spacing w:val="0"/>
          <w:w w:val="100"/>
          <w:position w:val="0"/>
        </w:rPr>
        <w:t>在应用本公司的会计政策的过程中，管理层作出了以下对财务报表所确认的金额具有重大影响的判断：</w:t>
      </w:r>
    </w:p>
    <w:p>
      <w:pPr>
        <w:pStyle w:val="Style41"/>
        <w:keepNext w:val="0"/>
        <w:keepLines w:val="0"/>
        <w:widowControl w:val="0"/>
        <w:shd w:val="clear" w:color="auto" w:fill="auto"/>
        <w:bidi w:val="0"/>
        <w:spacing w:before="0" w:after="0" w:line="273" w:lineRule="exact"/>
        <w:ind w:left="0" w:right="0" w:firstLine="0"/>
        <w:jc w:val="both"/>
      </w:pPr>
      <w:r>
        <w:rPr>
          <w:b/>
          <w:bCs/>
          <w:color w:val="000000"/>
          <w:spacing w:val="0"/>
          <w:w w:val="100"/>
          <w:position w:val="0"/>
        </w:rPr>
        <w:t>业务模式</w:t>
      </w:r>
    </w:p>
    <w:p>
      <w:pPr>
        <w:pStyle w:val="Style41"/>
        <w:keepNext w:val="0"/>
        <w:keepLines w:val="0"/>
        <w:widowControl w:val="0"/>
        <w:shd w:val="clear" w:color="auto" w:fill="auto"/>
        <w:bidi w:val="0"/>
        <w:spacing w:before="0" w:after="0" w:line="273" w:lineRule="exact"/>
        <w:ind w:left="0" w:right="0" w:firstLine="0"/>
        <w:jc w:val="both"/>
      </w:pPr>
      <w:r>
        <w:rPr>
          <w:color w:val="000000"/>
          <w:spacing w:val="0"/>
          <w:w w:val="100"/>
          <w:position w:val="0"/>
        </w:rPr>
        <w:t>金融资产于初始确认时的分类取决于本公司管理金融资产的业务模式，在判断业务模式时，本公司考虑包 括企业评价和向关键管理人员报告金融资产业绩的方式、影响金融资产业绩的风险及其管理方式以及相关 业务管理人员获得报酬的方式等。在评估是否以收取合同现金流量为目标时，本公司需要对金融资产到期 日前的出售原因、时间、频率和价值等进行分析判断。</w:t>
      </w:r>
    </w:p>
    <w:p>
      <w:pPr>
        <w:pStyle w:val="Style41"/>
        <w:keepNext w:val="0"/>
        <w:keepLines w:val="0"/>
        <w:widowControl w:val="0"/>
        <w:shd w:val="clear" w:color="auto" w:fill="auto"/>
        <w:bidi w:val="0"/>
        <w:spacing w:before="0" w:after="0" w:line="273" w:lineRule="exact"/>
        <w:ind w:left="0" w:right="0" w:firstLine="0"/>
        <w:jc w:val="both"/>
      </w:pPr>
      <w:r>
        <w:rPr>
          <w:b/>
          <w:bCs/>
          <w:color w:val="000000"/>
          <w:spacing w:val="0"/>
          <w:w w:val="100"/>
          <w:position w:val="0"/>
        </w:rPr>
        <w:t>合同现金流量特征</w:t>
      </w:r>
    </w:p>
    <w:p>
      <w:pPr>
        <w:pStyle w:val="Style41"/>
        <w:keepNext w:val="0"/>
        <w:keepLines w:val="0"/>
        <w:widowControl w:val="0"/>
        <w:shd w:val="clear" w:color="auto" w:fill="auto"/>
        <w:bidi w:val="0"/>
        <w:spacing w:before="0" w:after="0" w:line="273" w:lineRule="exact"/>
        <w:ind w:left="0" w:right="0" w:firstLine="0"/>
        <w:jc w:val="both"/>
      </w:pPr>
      <w:r>
        <w:rPr>
          <w:color w:val="000000"/>
          <w:spacing w:val="0"/>
          <w:w w:val="100"/>
          <w:position w:val="0"/>
        </w:rPr>
        <w:t>金融资产于初始确认时的分类取决于金融资产的合同现金流量特征，需要判断合同现金流量是否仅为对本 金和以未偿付本金为基础的利息的支付时，包含对货币时间价值的修正进行评估时，需要判断与基准现金 流量相比是否具有显著差异、对包含提前还款特征的金融资产，需要判断提前还款特征的公允价值是否非 常小等。</w:t>
      </w:r>
    </w:p>
    <w:p>
      <w:pPr>
        <w:pStyle w:val="Style41"/>
        <w:keepNext w:val="0"/>
        <w:keepLines w:val="0"/>
        <w:widowControl w:val="0"/>
        <w:shd w:val="clear" w:color="auto" w:fill="auto"/>
        <w:bidi w:val="0"/>
        <w:spacing w:before="0" w:after="0" w:line="273" w:lineRule="exact"/>
        <w:ind w:left="0" w:right="0" w:firstLine="0"/>
        <w:jc w:val="both"/>
      </w:pPr>
      <w:r>
        <w:rPr>
          <w:b/>
          <w:bCs/>
          <w:color w:val="000000"/>
          <w:spacing w:val="0"/>
          <w:w w:val="100"/>
          <w:position w:val="0"/>
        </w:rPr>
        <w:t>金融资产转移</w:t>
      </w:r>
    </w:p>
    <w:p>
      <w:pPr>
        <w:pStyle w:val="Style41"/>
        <w:keepNext w:val="0"/>
        <w:keepLines w:val="0"/>
        <w:widowControl w:val="0"/>
        <w:shd w:val="clear" w:color="auto" w:fill="auto"/>
        <w:bidi w:val="0"/>
        <w:spacing w:before="0" w:after="0" w:line="273" w:lineRule="exact"/>
        <w:ind w:left="0" w:right="0" w:firstLine="0"/>
        <w:jc w:val="both"/>
      </w:pPr>
      <w:r>
        <w:rPr>
          <w:color w:val="000000"/>
          <w:spacing w:val="0"/>
          <w:w w:val="100"/>
          <w:position w:val="0"/>
        </w:rPr>
        <w:t>管理层需要就金融资产的转移作出重大判断，确认与否会影响会计核算方法及母公司的财务状况和经营成 果。</w:t>
      </w:r>
    </w:p>
    <w:p>
      <w:pPr>
        <w:pStyle w:val="Style41"/>
        <w:keepNext w:val="0"/>
        <w:keepLines w:val="0"/>
        <w:widowControl w:val="0"/>
        <w:shd w:val="clear" w:color="auto" w:fill="auto"/>
        <w:bidi w:val="0"/>
        <w:spacing w:before="0" w:after="0" w:line="273" w:lineRule="exact"/>
        <w:ind w:left="0" w:right="0" w:firstLine="0"/>
        <w:jc w:val="both"/>
      </w:pPr>
      <w:r>
        <w:rPr>
          <w:b/>
          <w:bCs/>
          <w:color w:val="000000"/>
          <w:spacing w:val="0"/>
          <w:w w:val="100"/>
          <w:position w:val="0"/>
        </w:rPr>
        <w:t>结构化主体的合并</w:t>
      </w:r>
    </w:p>
    <w:p>
      <w:pPr>
        <w:pStyle w:val="Style41"/>
        <w:keepNext w:val="0"/>
        <w:keepLines w:val="0"/>
        <w:widowControl w:val="0"/>
        <w:shd w:val="clear" w:color="auto" w:fill="auto"/>
        <w:bidi w:val="0"/>
        <w:spacing w:before="0" w:after="0" w:line="273" w:lineRule="exact"/>
        <w:ind w:left="0" w:right="0" w:firstLine="0"/>
        <w:jc w:val="both"/>
      </w:pPr>
      <w:r>
        <w:rPr>
          <w:color w:val="000000"/>
          <w:spacing w:val="0"/>
          <w:w w:val="100"/>
          <w:position w:val="0"/>
        </w:rPr>
        <w:t>管理层需要对是否控制以及合并结构化主体作出重大判断，确认与否会影响会计核算方法及本公司的财务 状况和经营成果。</w:t>
      </w:r>
    </w:p>
    <w:p>
      <w:pPr>
        <w:pStyle w:val="Style41"/>
        <w:keepNext w:val="0"/>
        <w:keepLines w:val="0"/>
        <w:widowControl w:val="0"/>
        <w:shd w:val="clear" w:color="auto" w:fill="auto"/>
        <w:bidi w:val="0"/>
        <w:spacing w:before="0" w:after="0" w:line="277" w:lineRule="exact"/>
        <w:ind w:left="0" w:right="0" w:firstLine="0"/>
        <w:jc w:val="both"/>
      </w:pPr>
      <w:r>
        <w:rPr>
          <w:color w:val="000000"/>
          <w:spacing w:val="0"/>
          <w:w w:val="100"/>
          <w:position w:val="0"/>
        </w:rPr>
        <w:t>本公司在评估控制时，需要考虑：</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投资方对被投资方的权力；</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因参与被投资方的相关活动而享有的可 变回报；以及</w:t>
      </w:r>
      <w:r>
        <w:rPr>
          <w:rFonts w:ascii="Times New Roman" w:eastAsia="Times New Roman" w:hAnsi="Times New Roman" w:cs="Times New Roman"/>
          <w:color w:val="000000"/>
          <w:spacing w:val="0"/>
          <w:w w:val="100"/>
          <w:position w:val="0"/>
        </w:rPr>
        <w:t>（c）</w:t>
      </w:r>
      <w:r>
        <w:rPr>
          <w:color w:val="000000"/>
          <w:spacing w:val="0"/>
          <w:w w:val="100"/>
          <w:position w:val="0"/>
        </w:rPr>
        <w:t>有能力运用对被投资方的权力影响其回报的金额。</w:t>
      </w:r>
    </w:p>
    <w:p>
      <w:pPr>
        <w:pStyle w:val="Style41"/>
        <w:keepNext w:val="0"/>
        <w:keepLines w:val="0"/>
        <w:widowControl w:val="0"/>
        <w:shd w:val="clear" w:color="auto" w:fill="auto"/>
        <w:bidi w:val="0"/>
        <w:spacing w:before="0" w:after="0" w:line="277" w:lineRule="exact"/>
        <w:ind w:left="0" w:right="0" w:firstLine="0"/>
        <w:jc w:val="both"/>
      </w:pPr>
      <w:r>
        <w:rPr>
          <w:color w:val="000000"/>
          <w:spacing w:val="0"/>
          <w:w w:val="100"/>
          <w:position w:val="0"/>
        </w:rPr>
        <w:t>本公司在评估对结构化主体拥有的权力时，通常考虑下列四方面：</w:t>
      </w:r>
    </w:p>
    <w:p>
      <w:pPr>
        <w:pStyle w:val="Style41"/>
        <w:keepNext w:val="0"/>
        <w:keepLines w:val="0"/>
        <w:widowControl w:val="0"/>
        <w:shd w:val="clear" w:color="auto" w:fill="auto"/>
        <w:tabs>
          <w:tab w:pos="416" w:val="left"/>
        </w:tabs>
        <w:bidi w:val="0"/>
        <w:spacing w:before="0" w:after="0" w:line="277" w:lineRule="exact"/>
        <w:ind w:left="0" w:right="0" w:firstLine="0"/>
        <w:jc w:val="both"/>
      </w:pPr>
      <w:bookmarkStart w:id="1137" w:name="bookmark1137"/>
      <w:r>
        <w:rPr>
          <w:rFonts w:ascii="Times New Roman" w:eastAsia="Times New Roman" w:hAnsi="Times New Roman" w:cs="Times New Roman"/>
          <w:color w:val="000000"/>
          <w:spacing w:val="0"/>
          <w:w w:val="100"/>
          <w:position w:val="0"/>
        </w:rPr>
        <w:t>1</w:t>
      </w:r>
      <w:bookmarkEnd w:id="1137"/>
      <w:r>
        <w:rPr>
          <w:rFonts w:ascii="Times New Roman" w:eastAsia="Times New Roman" w:hAnsi="Times New Roman" w:cs="Times New Roman"/>
          <w:color w:val="000000"/>
          <w:spacing w:val="0"/>
          <w:w w:val="100"/>
          <w:position w:val="0"/>
        </w:rPr>
        <w:t>）</w:t>
        <w:tab/>
      </w:r>
      <w:r>
        <w:rPr>
          <w:color w:val="000000"/>
          <w:spacing w:val="0"/>
          <w:w w:val="100"/>
          <w:position w:val="0"/>
        </w:rPr>
        <w:t>在设立被投资方时的决策及本公司的参与度；</w:t>
      </w:r>
    </w:p>
    <w:p>
      <w:pPr>
        <w:pStyle w:val="Style41"/>
        <w:keepNext w:val="0"/>
        <w:keepLines w:val="0"/>
        <w:widowControl w:val="0"/>
        <w:shd w:val="clear" w:color="auto" w:fill="auto"/>
        <w:tabs>
          <w:tab w:pos="416" w:val="left"/>
        </w:tabs>
        <w:bidi w:val="0"/>
        <w:spacing w:before="0" w:after="0" w:line="277" w:lineRule="exact"/>
        <w:ind w:left="0" w:right="0" w:firstLine="0"/>
        <w:jc w:val="both"/>
      </w:pPr>
      <w:bookmarkStart w:id="1138" w:name="bookmark1138"/>
      <w:r>
        <w:rPr>
          <w:rFonts w:ascii="Times New Roman" w:eastAsia="Times New Roman" w:hAnsi="Times New Roman" w:cs="Times New Roman"/>
          <w:color w:val="000000"/>
          <w:spacing w:val="0"/>
          <w:w w:val="100"/>
          <w:position w:val="0"/>
        </w:rPr>
        <w:t>2</w:t>
      </w:r>
      <w:bookmarkEnd w:id="1138"/>
      <w:r>
        <w:rPr>
          <w:rFonts w:ascii="Times New Roman" w:eastAsia="Times New Roman" w:hAnsi="Times New Roman" w:cs="Times New Roman"/>
          <w:color w:val="000000"/>
          <w:spacing w:val="0"/>
          <w:w w:val="100"/>
          <w:position w:val="0"/>
        </w:rPr>
        <w:t>）</w:t>
        <w:tab/>
      </w:r>
      <w:r>
        <w:rPr>
          <w:color w:val="000000"/>
          <w:spacing w:val="0"/>
          <w:w w:val="100"/>
          <w:position w:val="0"/>
        </w:rPr>
        <w:t>相关合同安排；</w:t>
      </w:r>
    </w:p>
    <w:p>
      <w:pPr>
        <w:pStyle w:val="Style41"/>
        <w:keepNext w:val="0"/>
        <w:keepLines w:val="0"/>
        <w:widowControl w:val="0"/>
        <w:shd w:val="clear" w:color="auto" w:fill="auto"/>
        <w:tabs>
          <w:tab w:pos="416" w:val="left"/>
        </w:tabs>
        <w:bidi w:val="0"/>
        <w:spacing w:before="0" w:after="0" w:line="277" w:lineRule="exact"/>
        <w:ind w:left="0" w:right="0" w:firstLine="0"/>
        <w:jc w:val="both"/>
      </w:pPr>
      <w:bookmarkStart w:id="1139" w:name="bookmark1139"/>
      <w:r>
        <w:rPr>
          <w:rFonts w:ascii="Times New Roman" w:eastAsia="Times New Roman" w:hAnsi="Times New Roman" w:cs="Times New Roman"/>
          <w:color w:val="000000"/>
          <w:spacing w:val="0"/>
          <w:w w:val="100"/>
          <w:position w:val="0"/>
        </w:rPr>
        <w:t>3</w:t>
      </w:r>
      <w:bookmarkEnd w:id="1139"/>
      <w:r>
        <w:rPr>
          <w:rFonts w:ascii="Times New Roman" w:eastAsia="Times New Roman" w:hAnsi="Times New Roman" w:cs="Times New Roman"/>
          <w:color w:val="000000"/>
          <w:spacing w:val="0"/>
          <w:w w:val="100"/>
          <w:position w:val="0"/>
        </w:rPr>
        <w:t>）</w:t>
        <w:tab/>
      </w:r>
      <w:r>
        <w:rPr>
          <w:color w:val="000000"/>
          <w:spacing w:val="0"/>
          <w:w w:val="100"/>
          <w:position w:val="0"/>
        </w:rPr>
        <w:t>仅在特定情况或事项发生时开展的相关活动；</w:t>
      </w:r>
    </w:p>
    <w:p>
      <w:pPr>
        <w:pStyle w:val="Style41"/>
        <w:keepNext w:val="0"/>
        <w:keepLines w:val="0"/>
        <w:widowControl w:val="0"/>
        <w:shd w:val="clear" w:color="auto" w:fill="auto"/>
        <w:tabs>
          <w:tab w:pos="416" w:val="left"/>
        </w:tabs>
        <w:bidi w:val="0"/>
        <w:spacing w:before="0" w:after="0" w:line="277" w:lineRule="exact"/>
        <w:ind w:left="0" w:right="0" w:firstLine="0"/>
        <w:jc w:val="both"/>
      </w:pPr>
      <w:bookmarkStart w:id="1140" w:name="bookmark1140"/>
      <w:r>
        <w:rPr>
          <w:rFonts w:ascii="Times New Roman" w:eastAsia="Times New Roman" w:hAnsi="Times New Roman" w:cs="Times New Roman"/>
          <w:color w:val="000000"/>
          <w:spacing w:val="0"/>
          <w:w w:val="100"/>
          <w:position w:val="0"/>
        </w:rPr>
        <w:t>4</w:t>
      </w:r>
      <w:bookmarkEnd w:id="1140"/>
      <w:r>
        <w:rPr>
          <w:rFonts w:ascii="Times New Roman" w:eastAsia="Times New Roman" w:hAnsi="Times New Roman" w:cs="Times New Roman"/>
          <w:color w:val="000000"/>
          <w:spacing w:val="0"/>
          <w:w w:val="100"/>
          <w:position w:val="0"/>
        </w:rPr>
        <w:t>）</w:t>
        <w:tab/>
      </w:r>
      <w:r>
        <w:rPr>
          <w:color w:val="000000"/>
          <w:spacing w:val="0"/>
          <w:w w:val="100"/>
          <w:position w:val="0"/>
        </w:rPr>
        <w:t>本公司对被投资方做出的承诺。</w:t>
      </w:r>
    </w:p>
    <w:p>
      <w:pPr>
        <w:pStyle w:val="Style41"/>
        <w:keepNext w:val="0"/>
        <w:keepLines w:val="0"/>
        <w:widowControl w:val="0"/>
        <w:shd w:val="clear" w:color="auto" w:fill="auto"/>
        <w:bidi w:val="0"/>
        <w:spacing w:before="0" w:after="220" w:line="277" w:lineRule="exact"/>
        <w:ind w:left="0" w:right="0" w:firstLine="0"/>
        <w:jc w:val="both"/>
      </w:pPr>
      <w:r>
        <w:rPr>
          <w:color w:val="000000"/>
          <w:spacing w:val="0"/>
          <w:w w:val="100"/>
          <w:position w:val="0"/>
        </w:rPr>
        <w:t>本公司在判断是否控制结构化主体时，还需考虑本公司之决策行为是以主要责任人的身份进行还是以代理 人的身份进行的。考虑的因素通常包括本公司对结构化主体的决策权范围、其他方享有的实质性权利、本 公司的薪酬水平、以及本公司因持有结构化主体的其他利益而承担可变回报的风险等。</w:t>
      </w:r>
    </w:p>
    <w:p>
      <w:pPr>
        <w:pStyle w:val="Style32"/>
        <w:keepNext/>
        <w:keepLines/>
        <w:widowControl w:val="0"/>
        <w:shd w:val="clear" w:color="auto" w:fill="auto"/>
        <w:bidi w:val="0"/>
        <w:spacing w:before="0" w:after="0" w:line="273" w:lineRule="exact"/>
        <w:ind w:left="0" w:right="0" w:firstLine="0"/>
        <w:jc w:val="both"/>
      </w:pPr>
      <w:bookmarkStart w:id="1141" w:name="bookmark1141"/>
      <w:bookmarkStart w:id="1142" w:name="bookmark1142"/>
      <w:bookmarkStart w:id="1143" w:name="bookmark1143"/>
      <w:r>
        <w:rPr>
          <w:color w:val="000000"/>
          <w:spacing w:val="0"/>
          <w:w w:val="100"/>
          <w:position w:val="0"/>
        </w:rPr>
        <w:t>估计的不确定性</w:t>
      </w:r>
      <w:bookmarkEnd w:id="1141"/>
      <w:bookmarkEnd w:id="1142"/>
      <w:bookmarkEnd w:id="1143"/>
    </w:p>
    <w:p>
      <w:pPr>
        <w:pStyle w:val="Style41"/>
        <w:keepNext w:val="0"/>
        <w:keepLines w:val="0"/>
        <w:widowControl w:val="0"/>
        <w:shd w:val="clear" w:color="auto" w:fill="auto"/>
        <w:bidi w:val="0"/>
        <w:spacing w:before="0" w:after="0" w:line="273" w:lineRule="exact"/>
        <w:ind w:left="0" w:right="0" w:firstLine="0"/>
        <w:jc w:val="both"/>
      </w:pPr>
      <w:r>
        <w:rPr>
          <w:color w:val="000000"/>
          <w:spacing w:val="0"/>
          <w:w w:val="100"/>
          <w:position w:val="0"/>
        </w:rPr>
        <w:t>以下为于资产负债表日有关未来的关键假设以及估计不确定性的其他关键来源，可能会导致未来会计期间 资产和负债账面金额重大调整。</w:t>
      </w:r>
    </w:p>
    <w:p>
      <w:pPr>
        <w:pStyle w:val="Style41"/>
        <w:keepNext w:val="0"/>
        <w:keepLines w:val="0"/>
        <w:widowControl w:val="0"/>
        <w:shd w:val="clear" w:color="auto" w:fill="auto"/>
        <w:bidi w:val="0"/>
        <w:spacing w:before="0" w:after="0" w:line="273" w:lineRule="exact"/>
        <w:ind w:left="0" w:right="0" w:firstLine="0"/>
        <w:jc w:val="both"/>
      </w:pPr>
      <w:r>
        <w:rPr>
          <w:b/>
          <w:bCs/>
          <w:color w:val="000000"/>
          <w:spacing w:val="0"/>
          <w:w w:val="100"/>
          <w:position w:val="0"/>
        </w:rPr>
        <w:t>金融工具减值</w:t>
      </w:r>
    </w:p>
    <w:p>
      <w:pPr>
        <w:pStyle w:val="Style41"/>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本公司采用预期信用损失模型对金融工具的减值进行评估，应用预期信用损失模型需要做出重大判断和估 计，需考虑所有合理且有依据的信息，包括前瞻性信息。在做出这些判断和估计时，本公司根据历史还款 数据结合经济政策、宏观经济指标等因素推断债务人信用风险的预期变动。不同的估计可能会影响减值准 备的计提，已计提的减值准备可能并不等于未来实际的减值损失金额。</w:t>
      </w:r>
    </w:p>
    <w:p>
      <w:pPr>
        <w:pStyle w:val="Style41"/>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除金融资产之外的非流动资产减值（除商誉外）</w:t>
      </w:r>
    </w:p>
    <w:p>
      <w:pPr>
        <w:pStyle w:val="Style41"/>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本公司于资产负债表日对除金融资产之外的非流动资产判断是否存在可能发生减值的迹象。对使用寿命不 确定的无形资产，除每年进行的减值测试外，当其存在减值迹象时，也进行减值测试。其他除金融资产之 外的非流动资产，当存在迹象表明其账面金额不可收回时，进行减值测试。当资产或资产组的账面价值高 于可收回金额，即公允价值减去处置费用后的净额和预计未来现金流量的现值中的较高者，表明发生了减 值。公允价值减去处置费用后的净额，参考公平交易中类似资产的销售协议价格或可观察到的市场价格， 减去可直接归属于该资产处置的增量成本确定。预计未来现金流量现值时，管理层必须估计该项资产或资 产组的预计未来现金流量，并选择恰当的折现率确定未来现金流量的现值。</w:t>
      </w:r>
    </w:p>
    <w:p>
      <w:pPr>
        <w:pStyle w:val="Style41"/>
        <w:keepNext w:val="0"/>
        <w:keepLines w:val="0"/>
        <w:widowControl w:val="0"/>
        <w:shd w:val="clear" w:color="auto" w:fill="auto"/>
        <w:bidi w:val="0"/>
        <w:spacing w:before="0" w:after="0" w:line="273" w:lineRule="exact"/>
        <w:ind w:left="0" w:right="0" w:firstLine="0"/>
        <w:jc w:val="both"/>
      </w:pPr>
      <w:r>
        <w:rPr>
          <w:b/>
          <w:bCs/>
          <w:color w:val="000000"/>
          <w:spacing w:val="0"/>
          <w:w w:val="100"/>
          <w:position w:val="0"/>
        </w:rPr>
        <w:t>商誉减值</w:t>
      </w:r>
    </w:p>
    <w:p>
      <w:pPr>
        <w:pStyle w:val="Style41"/>
        <w:keepNext w:val="0"/>
        <w:keepLines w:val="0"/>
        <w:widowControl w:val="0"/>
        <w:shd w:val="clear" w:color="auto" w:fill="auto"/>
        <w:bidi w:val="0"/>
        <w:spacing w:before="0" w:after="0" w:line="273" w:lineRule="exact"/>
        <w:ind w:left="0" w:right="0" w:firstLine="0"/>
        <w:jc w:val="both"/>
      </w:pPr>
      <w:r>
        <w:rPr>
          <w:color w:val="000000"/>
          <w:spacing w:val="0"/>
          <w:w w:val="100"/>
          <w:position w:val="0"/>
        </w:rPr>
        <w:t>本公司至少每年测试商誉是否发生减值。这要求对分配了商誉的资产组或者资产组组合的未来现金流量的 现值进行预计。对未来现金流量的现值进行预计时，本公司需要预计未来资产组或者资产组组合产生的现 金流量，同时选择恰当的折现率确定未来现金流量的现值。</w:t>
      </w:r>
      <w:r>
        <w:br w:type="page"/>
      </w:r>
    </w:p>
    <w:p>
      <w:pPr>
        <w:pStyle w:val="Style32"/>
        <w:keepNext/>
        <w:keepLines/>
        <w:widowControl w:val="0"/>
        <w:shd w:val="clear" w:color="auto" w:fill="auto"/>
        <w:bidi w:val="0"/>
        <w:spacing w:before="0" w:after="0" w:line="275" w:lineRule="exact"/>
        <w:ind w:left="0" w:right="0" w:firstLine="0"/>
        <w:jc w:val="both"/>
      </w:pPr>
      <w:bookmarkStart w:id="1144" w:name="bookmark1144"/>
      <w:bookmarkStart w:id="1145" w:name="bookmark1145"/>
      <w:bookmarkStart w:id="1146" w:name="bookmark1146"/>
      <w:r>
        <w:rPr>
          <w:color w:val="000000"/>
          <w:spacing w:val="0"/>
          <w:w w:val="100"/>
          <w:position w:val="0"/>
        </w:rPr>
        <w:t>运用估值技术确定金融工具的公允价值</w:t>
      </w:r>
      <w:bookmarkEnd w:id="1144"/>
      <w:bookmarkEnd w:id="1145"/>
      <w:bookmarkEnd w:id="1146"/>
    </w:p>
    <w:p>
      <w:pPr>
        <w:pStyle w:val="Style41"/>
        <w:keepNext w:val="0"/>
        <w:keepLines w:val="0"/>
        <w:widowControl w:val="0"/>
        <w:shd w:val="clear" w:color="auto" w:fill="auto"/>
        <w:bidi w:val="0"/>
        <w:spacing w:before="0" w:after="0" w:line="275" w:lineRule="exact"/>
        <w:ind w:left="0" w:right="0" w:firstLine="0"/>
        <w:jc w:val="both"/>
      </w:pPr>
      <w:r>
        <w:rPr>
          <w:color w:val="000000"/>
          <w:spacing w:val="0"/>
          <w:w w:val="100"/>
          <w:position w:val="0"/>
        </w:rPr>
        <w:t>对于无法获得活跃市场报价的金融工具，本公司使用了估值模型计算其公允价值。估值模型包括参考市场 上另一类似金融工具的公允价值、现金流量折现模型等。在实际操作中，估值模型尽可能地只使用可观测 数据，但是管理层仍需要对如交易双方信用风险、市场利率波动性及相关性等因素进行估计。若上述因素 的假设发生变化，金融工具公允价值的评估将受到影响。</w:t>
      </w:r>
    </w:p>
    <w:p>
      <w:pPr>
        <w:pStyle w:val="Style41"/>
        <w:keepNext w:val="0"/>
        <w:keepLines w:val="0"/>
        <w:widowControl w:val="0"/>
        <w:shd w:val="clear" w:color="auto" w:fill="auto"/>
        <w:bidi w:val="0"/>
        <w:spacing w:before="0" w:after="0" w:line="275" w:lineRule="exact"/>
        <w:ind w:left="0" w:right="0" w:firstLine="0"/>
        <w:jc w:val="both"/>
      </w:pPr>
      <w:r>
        <w:rPr>
          <w:b/>
          <w:bCs/>
          <w:color w:val="000000"/>
          <w:spacing w:val="0"/>
          <w:w w:val="100"/>
          <w:position w:val="0"/>
        </w:rPr>
        <w:t>递延所得税资产</w:t>
      </w:r>
    </w:p>
    <w:p>
      <w:pPr>
        <w:pStyle w:val="Style41"/>
        <w:keepNext w:val="0"/>
        <w:keepLines w:val="0"/>
        <w:widowControl w:val="0"/>
        <w:shd w:val="clear" w:color="auto" w:fill="auto"/>
        <w:bidi w:val="0"/>
        <w:spacing w:before="0" w:after="320" w:line="276" w:lineRule="exact"/>
        <w:ind w:left="0" w:right="0" w:firstLine="0"/>
        <w:jc w:val="both"/>
      </w:pPr>
      <w:r>
        <w:rPr>
          <w:color w:val="000000"/>
          <w:spacing w:val="0"/>
          <w:w w:val="100"/>
          <w:position w:val="0"/>
        </w:rPr>
        <w:t>在很可能有足够的应纳税所得额用以抵扣可抵扣亏损的限度内，应就所有尚未利用的可抵扣亏损确认递延 所得税资产。这需要管理层运用大量的判断来估计未来取得应纳税所得额的时间和金额，结合纳税筹划策 略，以决定应确认的递延所得税资产的金额。</w:t>
      </w:r>
    </w:p>
    <w:p>
      <w:pPr>
        <w:pStyle w:val="Style32"/>
        <w:keepNext/>
        <w:keepLines/>
        <w:widowControl w:val="0"/>
        <w:shd w:val="clear" w:color="auto" w:fill="auto"/>
        <w:bidi w:val="0"/>
        <w:spacing w:before="0" w:after="240" w:line="288" w:lineRule="auto"/>
        <w:ind w:left="0" w:right="0" w:firstLine="0"/>
        <w:jc w:val="both"/>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2</w:t>
      </w:r>
      <w:bookmarkEnd w:id="1149"/>
      <w:r>
        <w:rPr>
          <w:rFonts w:ascii="Times New Roman" w:eastAsia="Times New Roman" w:hAnsi="Times New Roman" w:cs="Times New Roman"/>
          <w:color w:val="000000"/>
          <w:spacing w:val="0"/>
          <w:w w:val="100"/>
          <w:position w:val="0"/>
        </w:rPr>
        <w:t>9</w:t>
      </w:r>
      <w:r>
        <w:rPr>
          <w:color w:val="000000"/>
          <w:spacing w:val="0"/>
          <w:w w:val="100"/>
          <w:position w:val="0"/>
        </w:rPr>
        <w:t>、重要会计政策和会计估计变更</w:t>
      </w:r>
      <w:bookmarkEnd w:id="1147"/>
      <w:bookmarkEnd w:id="1148"/>
      <w:bookmarkEnd w:id="1150"/>
    </w:p>
    <w:p>
      <w:pPr>
        <w:pStyle w:val="Style32"/>
        <w:keepNext/>
        <w:keepLines/>
        <w:widowControl w:val="0"/>
        <w:shd w:val="clear" w:color="auto" w:fill="auto"/>
        <w:bidi w:val="0"/>
        <w:spacing w:before="0" w:after="120" w:line="275" w:lineRule="exact"/>
        <w:ind w:left="0" w:right="0" w:firstLine="0"/>
        <w:jc w:val="both"/>
      </w:pPr>
      <w:r>
        <mc:AlternateContent>
          <mc:Choice Requires="wps">
            <w:drawing>
              <wp:anchor distT="302895" distB="0" distL="135890" distR="114300" simplePos="0" relativeHeight="125829404" behindDoc="0" locked="0" layoutInCell="1" allowOverlap="1">
                <wp:simplePos x="0" y="0"/>
                <wp:positionH relativeFrom="page">
                  <wp:posOffset>721995</wp:posOffset>
                </wp:positionH>
                <wp:positionV relativeFrom="paragraph">
                  <wp:posOffset>569595</wp:posOffset>
                </wp:positionV>
                <wp:extent cx="6104890" cy="414655"/>
                <wp:wrapTopAndBottom/>
                <wp:docPr id="33" name="Shape 33"/>
                <a:graphic xmlns:a="http://schemas.openxmlformats.org/drawingml/2006/main">
                  <a:graphicData uri="http://schemas.microsoft.com/office/word/2010/wordprocessingShape">
                    <wps:wsp>
                      <wps:cNvSpPr txBox="1"/>
                      <wps:spPr>
                        <a:xfrm>
                          <a:ext cx="6104890" cy="414655"/>
                        </a:xfrm>
                        <a:prstGeom prst="rect"/>
                        <a:noFill/>
                      </wps:spPr>
                      <wps:txbx>
                        <w:txbxContent>
                          <w:tbl>
                            <w:tblPr>
                              <w:tblOverlap w:val="never"/>
                              <w:jc w:val="left"/>
                              <w:tblLayout w:type="fixed"/>
                            </w:tblPr>
                            <w:tblGrid>
                              <w:gridCol w:w="3211"/>
                              <w:gridCol w:w="3182"/>
                              <w:gridCol w:w="3221"/>
                            </w:tblGrid>
                            <w:tr>
                              <w:trPr>
                                <w:tblHeade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32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新租赁准则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公司董事会审议通过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本公司已按照准则要求进行相应调整</w:t>
                                  </w:r>
                                </w:p>
                              </w:tc>
                            </w:tr>
                          </w:tbl>
                          <w:p>
                            <w:pPr>
                              <w:widowControl w:val="0"/>
                              <w:spacing w:line="1" w:lineRule="exact"/>
                            </w:pPr>
                          </w:p>
                        </w:txbxContent>
                      </wps:txbx>
                      <wps:bodyPr lIns="0" tIns="0" rIns="0" bIns="0">
                        <a:noAutoFit/>
                      </wps:bodyPr>
                    </wps:wsp>
                  </a:graphicData>
                </a:graphic>
              </wp:anchor>
            </w:drawing>
          </mc:Choice>
          <mc:Fallback>
            <w:pict>
              <v:shape id="_x0000_s1059" type="#_x0000_t202" style="position:absolute;margin-left:56.850000000000001pt;margin-top:44.850000000000001pt;width:480.69999999999999pt;height:32.649999999999999pt;z-index:-125829349;mso-wrap-distance-left:10.700000000000001pt;mso-wrap-distance-top:23.850000000000001pt;mso-wrap-distance-right:9.pt;mso-position-horizontal-relative:page" filled="f" stroked="f">
                <v:textbox inset="0,0,0,0">
                  <w:txbxContent>
                    <w:tbl>
                      <w:tblPr>
                        <w:tblOverlap w:val="never"/>
                        <w:jc w:val="left"/>
                        <w:tblLayout w:type="fixed"/>
                      </w:tblPr>
                      <w:tblGrid>
                        <w:gridCol w:w="3211"/>
                        <w:gridCol w:w="3182"/>
                        <w:gridCol w:w="3221"/>
                      </w:tblGrid>
                      <w:tr>
                        <w:trPr>
                          <w:tblHeade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32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新租赁准则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公司董事会审议通过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本公司已按照准则要求进行相应调整</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700405</wp:posOffset>
                </wp:positionH>
                <wp:positionV relativeFrom="paragraph">
                  <wp:posOffset>368300</wp:posOffset>
                </wp:positionV>
                <wp:extent cx="914400" cy="170815"/>
                <wp:wrapNone/>
                <wp:docPr id="35" name="Shape 35"/>
                <a:graphic xmlns:a="http://schemas.openxmlformats.org/drawingml/2006/main">
                  <a:graphicData uri="http://schemas.microsoft.com/office/word/2010/wordprocessingShape">
                    <wps:wsp>
                      <wps:cNvSpPr txBox="1"/>
                      <wps:spPr>
                        <a:xfrm>
                          <a:ext cx="914400" cy="17081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txbxContent>
                      </wps:txbx>
                      <wps:bodyPr lIns="0" tIns="0" rIns="0" bIns="0">
                        <a:noAutoFit/>
                      </wps:bodyPr>
                    </wps:wsp>
                  </a:graphicData>
                </a:graphic>
              </wp:anchor>
            </w:drawing>
          </mc:Choice>
          <mc:Fallback>
            <w:pict>
              <v:shape id="_x0000_s1061" type="#_x0000_t202" style="position:absolute;margin-left:55.149999999999999pt;margin-top:29.pt;width:72.pt;height:13.450000000000001pt;z-index:251657729;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txbxContent>
                </v:textbox>
                <w10:wrap anchorx="page"/>
              </v:shape>
            </w:pict>
          </mc:Fallback>
        </mc:AlternateContent>
      </w:r>
      <w:bookmarkStart w:id="1147" w:name="bookmark1147"/>
      <w:bookmarkStart w:id="1148" w:name="bookmark1148"/>
      <w:bookmarkStart w:id="1151" w:name="bookmark11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47"/>
      <w:bookmarkEnd w:id="1148"/>
      <w:bookmarkEnd w:id="1151"/>
    </w:p>
    <w:p>
      <w:pPr>
        <w:pStyle w:val="Style41"/>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年，财政部颁布了修订的《企业会计准则第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），新租赁准则采用 与现行融资租赁会计处理类似的单一模型，要求承租人对除短期租赁和低价值资产租赁以外的所有租赁确 认使用权资产和租赁负债，并分别确认折旧和利息费用。本公司自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日开始按照新修订的租赁准 则进行会计处理，对首次执行日前已存在的合同，选择不重新评估其是否为租赁或者包含租赁，并根据衔 接规定，对可比期间信息不予调整，首次执行日新租赁准则与现行租赁准则的差异追溯调整</w:t>
      </w:r>
      <w:r>
        <w:rPr>
          <w:rFonts w:ascii="Times New Roman" w:eastAsia="Times New Roman" w:hAnsi="Times New Roman" w:cs="Times New Roman"/>
          <w:color w:val="000000"/>
          <w:spacing w:val="0"/>
          <w:w w:val="100"/>
          <w:position w:val="0"/>
        </w:rPr>
        <w:t>2021</w:t>
      </w:r>
      <w:r>
        <w:rPr>
          <w:color w:val="000000"/>
          <w:spacing w:val="0"/>
          <w:w w:val="100"/>
          <w:position w:val="0"/>
        </w:rPr>
        <w:t>年年初留 存收益：</w:t>
      </w:r>
    </w:p>
    <w:p>
      <w:pPr>
        <w:pStyle w:val="Style41"/>
        <w:keepNext w:val="0"/>
        <w:keepLines w:val="0"/>
        <w:widowControl w:val="0"/>
        <w:shd w:val="clear" w:color="auto" w:fill="auto"/>
        <w:tabs>
          <w:tab w:pos="425" w:val="left"/>
        </w:tabs>
        <w:bidi w:val="0"/>
        <w:spacing w:before="0" w:after="0" w:line="278" w:lineRule="exact"/>
        <w:ind w:left="440" w:right="0" w:hanging="440"/>
        <w:jc w:val="both"/>
      </w:pPr>
      <w:bookmarkStart w:id="1152" w:name="bookmark1152"/>
      <w:r>
        <w:rPr>
          <w:rFonts w:ascii="Times New Roman" w:eastAsia="Times New Roman" w:hAnsi="Times New Roman" w:cs="Times New Roman"/>
          <w:color w:val="000000"/>
          <w:spacing w:val="0"/>
          <w:w w:val="100"/>
          <w:position w:val="0"/>
        </w:rPr>
        <w:t>1</w:t>
      </w:r>
      <w:bookmarkEnd w:id="1152"/>
      <w:r>
        <w:rPr>
          <w:rFonts w:ascii="Times New Roman" w:eastAsia="Times New Roman" w:hAnsi="Times New Roman" w:cs="Times New Roman"/>
          <w:color w:val="000000"/>
          <w:spacing w:val="0"/>
          <w:w w:val="100"/>
          <w:position w:val="0"/>
        </w:rPr>
        <w:t>）</w:t>
        <w:tab/>
      </w:r>
      <w:r>
        <w:rPr>
          <w:color w:val="000000"/>
          <w:spacing w:val="0"/>
          <w:w w:val="100"/>
          <w:position w:val="0"/>
        </w:rPr>
        <w:t>对于首次执行日之前的经营租赁，本公司根据剩余租赁付款额按首次执行日的增量借款利率折现的现 值计量租赁负债，并根据每项租赁按照与租赁负债相等的金额，并根据预付租金进行必要调整计量使 用权资产；</w:t>
      </w:r>
    </w:p>
    <w:p>
      <w:pPr>
        <w:pStyle w:val="Style41"/>
        <w:keepNext w:val="0"/>
        <w:keepLines w:val="0"/>
        <w:widowControl w:val="0"/>
        <w:shd w:val="clear" w:color="auto" w:fill="auto"/>
        <w:tabs>
          <w:tab w:pos="425" w:val="left"/>
        </w:tabs>
        <w:bidi w:val="0"/>
        <w:spacing w:before="0" w:after="180" w:line="278" w:lineRule="exact"/>
        <w:ind w:left="0" w:right="0" w:firstLine="0"/>
        <w:jc w:val="both"/>
      </w:pPr>
      <w:bookmarkStart w:id="1153" w:name="bookmark1153"/>
      <w:r>
        <w:rPr>
          <w:rFonts w:ascii="Times New Roman" w:eastAsia="Times New Roman" w:hAnsi="Times New Roman" w:cs="Times New Roman"/>
          <w:color w:val="000000"/>
          <w:spacing w:val="0"/>
          <w:w w:val="100"/>
          <w:position w:val="0"/>
        </w:rPr>
        <w:t>2</w:t>
      </w:r>
      <w:bookmarkEnd w:id="1153"/>
      <w:r>
        <w:rPr>
          <w:rFonts w:ascii="Times New Roman" w:eastAsia="Times New Roman" w:hAnsi="Times New Roman" w:cs="Times New Roman"/>
          <w:color w:val="000000"/>
          <w:spacing w:val="0"/>
          <w:w w:val="100"/>
          <w:position w:val="0"/>
        </w:rPr>
        <w:t>）</w:t>
        <w:tab/>
      </w:r>
      <w:r>
        <w:rPr>
          <w:color w:val="000000"/>
          <w:spacing w:val="0"/>
          <w:w w:val="100"/>
          <w:position w:val="0"/>
        </w:rPr>
        <w:t>本公司对使用权资产进行减值测试并进行相应的会计处理。</w:t>
      </w:r>
    </w:p>
    <w:p>
      <w:pPr>
        <w:pStyle w:val="Style41"/>
        <w:keepNext w:val="0"/>
        <w:keepLines w:val="0"/>
        <w:widowControl w:val="0"/>
        <w:shd w:val="clear" w:color="auto" w:fill="auto"/>
        <w:bidi w:val="0"/>
        <w:spacing w:before="0" w:after="0" w:line="288" w:lineRule="exact"/>
        <w:ind w:left="0" w:right="0" w:firstLine="0"/>
        <w:jc w:val="both"/>
      </w:pPr>
      <w:r>
        <w:rPr>
          <w:color w:val="000000"/>
          <w:spacing w:val="0"/>
          <w:w w:val="100"/>
          <w:position w:val="0"/>
        </w:rPr>
        <w:t>公司对首次执行日之前租赁资产属于低价值资产的经营租赁或将于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个月内完成的经营租赁，采用简化处 理，未确认使用权资产和租赁负债。此外，公司对于首次执行日之前的经营租赁，采用了下列简化处理:</w:t>
      </w:r>
    </w:p>
    <w:p>
      <w:pPr>
        <w:pStyle w:val="Style41"/>
        <w:keepNext w:val="0"/>
        <w:keepLines w:val="0"/>
        <w:widowControl w:val="0"/>
        <w:shd w:val="clear" w:color="auto" w:fill="auto"/>
        <w:tabs>
          <w:tab w:pos="425" w:val="left"/>
        </w:tabs>
        <w:bidi w:val="0"/>
        <w:spacing w:before="0" w:after="0" w:line="288" w:lineRule="exact"/>
        <w:ind w:left="0" w:right="0" w:firstLine="0"/>
        <w:jc w:val="both"/>
      </w:pPr>
      <w:bookmarkStart w:id="1154" w:name="bookmark1154"/>
      <w:r>
        <w:rPr>
          <w:rFonts w:ascii="Times New Roman" w:eastAsia="Times New Roman" w:hAnsi="Times New Roman" w:cs="Times New Roman"/>
          <w:color w:val="000000"/>
          <w:spacing w:val="0"/>
          <w:w w:val="100"/>
          <w:position w:val="0"/>
        </w:rPr>
        <w:t>1</w:t>
      </w:r>
      <w:bookmarkEnd w:id="1154"/>
      <w:r>
        <w:rPr>
          <w:rFonts w:ascii="Times New Roman" w:eastAsia="Times New Roman" w:hAnsi="Times New Roman" w:cs="Times New Roman"/>
          <w:color w:val="000000"/>
          <w:spacing w:val="0"/>
          <w:w w:val="100"/>
          <w:position w:val="0"/>
        </w:rPr>
        <w:t>）</w:t>
        <w:tab/>
      </w:r>
      <w:r>
        <w:rPr>
          <w:color w:val="000000"/>
          <w:spacing w:val="0"/>
          <w:w w:val="100"/>
          <w:position w:val="0"/>
        </w:rPr>
        <w:t>计量租赁负债时，具有相似特征的租赁可采用同一折现率；使用权资产的计量可不包含初始直接费用；</w:t>
      </w:r>
    </w:p>
    <w:p>
      <w:pPr>
        <w:pStyle w:val="Style41"/>
        <w:keepNext w:val="0"/>
        <w:keepLines w:val="0"/>
        <w:widowControl w:val="0"/>
        <w:shd w:val="clear" w:color="auto" w:fill="auto"/>
        <w:tabs>
          <w:tab w:pos="425" w:val="left"/>
        </w:tabs>
        <w:bidi w:val="0"/>
        <w:spacing w:before="0" w:after="0" w:line="281" w:lineRule="exact"/>
        <w:ind w:left="440" w:right="0" w:hanging="440"/>
        <w:jc w:val="both"/>
      </w:pPr>
      <w:bookmarkStart w:id="1155" w:name="bookmark1155"/>
      <w:r>
        <w:rPr>
          <w:rFonts w:ascii="Times New Roman" w:eastAsia="Times New Roman" w:hAnsi="Times New Roman" w:cs="Times New Roman"/>
          <w:color w:val="000000"/>
          <w:spacing w:val="0"/>
          <w:w w:val="100"/>
          <w:position w:val="0"/>
        </w:rPr>
        <w:t>2</w:t>
      </w:r>
      <w:bookmarkEnd w:id="1155"/>
      <w:r>
        <w:rPr>
          <w:rFonts w:ascii="Times New Roman" w:eastAsia="Times New Roman" w:hAnsi="Times New Roman" w:cs="Times New Roman"/>
          <w:color w:val="000000"/>
          <w:spacing w:val="0"/>
          <w:w w:val="100"/>
          <w:position w:val="0"/>
        </w:rPr>
        <w:t>）</w:t>
        <w:tab/>
      </w:r>
      <w:r>
        <w:rPr>
          <w:color w:val="000000"/>
          <w:spacing w:val="0"/>
          <w:w w:val="100"/>
          <w:position w:val="0"/>
        </w:rPr>
        <w:t>存在续租选择权或终止租赁选择权的，母公司根据首次执行日前选择权的实际行使及其他最新情况确 定租赁期；</w:t>
      </w:r>
    </w:p>
    <w:p>
      <w:pPr>
        <w:pStyle w:val="Style41"/>
        <w:keepNext w:val="0"/>
        <w:keepLines w:val="0"/>
        <w:widowControl w:val="0"/>
        <w:shd w:val="clear" w:color="auto" w:fill="auto"/>
        <w:tabs>
          <w:tab w:pos="425" w:val="left"/>
        </w:tabs>
        <w:bidi w:val="0"/>
        <w:spacing w:before="0" w:after="0" w:line="281" w:lineRule="exact"/>
        <w:ind w:left="440" w:right="0" w:hanging="440"/>
        <w:jc w:val="both"/>
      </w:pPr>
      <w:bookmarkStart w:id="1156" w:name="bookmark1156"/>
      <w:r>
        <w:rPr>
          <w:rFonts w:ascii="Times New Roman" w:eastAsia="Times New Roman" w:hAnsi="Times New Roman" w:cs="Times New Roman"/>
          <w:color w:val="000000"/>
          <w:spacing w:val="0"/>
          <w:w w:val="100"/>
          <w:position w:val="0"/>
        </w:rPr>
        <w:t>3</w:t>
      </w:r>
      <w:bookmarkEnd w:id="1156"/>
      <w:r>
        <w:rPr>
          <w:rFonts w:ascii="Times New Roman" w:eastAsia="Times New Roman" w:hAnsi="Times New Roman" w:cs="Times New Roman"/>
          <w:color w:val="000000"/>
          <w:spacing w:val="0"/>
          <w:w w:val="100"/>
          <w:position w:val="0"/>
        </w:rPr>
        <w:t>）</w:t>
        <w:tab/>
      </w:r>
      <w:r>
        <w:rPr>
          <w:color w:val="000000"/>
          <w:spacing w:val="0"/>
          <w:w w:val="100"/>
          <w:position w:val="0"/>
        </w:rPr>
        <w:t>作为使用权资产减值测试的替代，母公司评估了包含租赁的合同在首次执行日前是否为亏损合同，并 根据首次执行日前计入资产负债表的亏损准备金额调整使用权资产；</w:t>
      </w:r>
    </w:p>
    <w:p>
      <w:pPr>
        <w:pStyle w:val="Style41"/>
        <w:keepNext w:val="0"/>
        <w:keepLines w:val="0"/>
        <w:widowControl w:val="0"/>
        <w:shd w:val="clear" w:color="auto" w:fill="auto"/>
        <w:tabs>
          <w:tab w:pos="425" w:val="left"/>
        </w:tabs>
        <w:bidi w:val="0"/>
        <w:spacing w:before="0" w:after="240" w:line="281" w:lineRule="exact"/>
        <w:ind w:left="0" w:right="0" w:firstLine="0"/>
        <w:jc w:val="both"/>
      </w:pPr>
      <w:bookmarkStart w:id="1157" w:name="bookmark1157"/>
      <w:r>
        <w:rPr>
          <w:rFonts w:ascii="Times New Roman" w:eastAsia="Times New Roman" w:hAnsi="Times New Roman" w:cs="Times New Roman"/>
          <w:color w:val="000000"/>
          <w:spacing w:val="0"/>
          <w:w w:val="100"/>
          <w:position w:val="0"/>
        </w:rPr>
        <w:t>4</w:t>
      </w:r>
      <w:bookmarkEnd w:id="1157"/>
      <w:r>
        <w:rPr>
          <w:rFonts w:ascii="Times New Roman" w:eastAsia="Times New Roman" w:hAnsi="Times New Roman" w:cs="Times New Roman"/>
          <w:color w:val="000000"/>
          <w:spacing w:val="0"/>
          <w:w w:val="100"/>
          <w:position w:val="0"/>
        </w:rPr>
        <w:t>）</w:t>
        <w:tab/>
      </w:r>
      <w:r>
        <w:rPr>
          <w:color w:val="000000"/>
          <w:spacing w:val="0"/>
          <w:w w:val="100"/>
          <w:position w:val="0"/>
        </w:rPr>
        <w:t>首次执行日前的租赁变更，母公司根据租赁变更的最终安排进行会计处理。</w:t>
      </w:r>
    </w:p>
    <w:p>
      <w:pPr>
        <w:pStyle w:val="Style32"/>
        <w:keepNext/>
        <w:keepLines/>
        <w:widowControl w:val="0"/>
        <w:shd w:val="clear" w:color="auto" w:fill="auto"/>
        <w:tabs>
          <w:tab w:pos="522" w:val="left"/>
        </w:tabs>
        <w:bidi w:val="0"/>
        <w:spacing w:before="0" w:line="278" w:lineRule="exact"/>
        <w:ind w:left="0" w:right="0" w:firstLine="0"/>
        <w:jc w:val="both"/>
      </w:pPr>
      <w:bookmarkStart w:id="1158" w:name="bookmark1158"/>
      <w:bookmarkStart w:id="1159" w:name="bookmark1159"/>
      <w:bookmarkStart w:id="1160" w:name="bookmark1160"/>
      <w:bookmarkStart w:id="1161" w:name="bookmark1161"/>
      <w:r>
        <w:rPr>
          <w:color w:val="000000"/>
          <w:spacing w:val="0"/>
          <w:w w:val="100"/>
          <w:position w:val="0"/>
        </w:rPr>
        <w:t>（</w:t>
      </w:r>
      <w:bookmarkEnd w:id="1160"/>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58"/>
      <w:bookmarkEnd w:id="1159"/>
      <w:bookmarkEnd w:id="1161"/>
    </w:p>
    <w:p>
      <w:pPr>
        <w:pStyle w:val="Style24"/>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2"/>
        <w:keepNext/>
        <w:keepLines/>
        <w:widowControl w:val="0"/>
        <w:shd w:val="clear" w:color="auto" w:fill="auto"/>
        <w:tabs>
          <w:tab w:pos="522" w:val="left"/>
        </w:tabs>
        <w:bidi w:val="0"/>
        <w:spacing w:before="0" w:line="278" w:lineRule="exact"/>
        <w:ind w:left="0" w:right="0" w:firstLine="0"/>
        <w:jc w:val="both"/>
      </w:pPr>
      <w:bookmarkStart w:id="1162" w:name="bookmark1162"/>
      <w:bookmarkStart w:id="1163" w:name="bookmark1163"/>
      <w:bookmarkStart w:id="1164" w:name="bookmark1164"/>
      <w:bookmarkStart w:id="1165" w:name="bookmark1165"/>
      <w:r>
        <w:rPr>
          <w:color w:val="000000"/>
          <w:spacing w:val="0"/>
          <w:w w:val="100"/>
          <w:position w:val="0"/>
        </w:rPr>
        <w:t>（</w:t>
      </w:r>
      <w:bookmarkEnd w:id="116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62"/>
      <w:bookmarkEnd w:id="1163"/>
      <w:bookmarkEnd w:id="1165"/>
    </w:p>
    <w:p>
      <w:pPr>
        <w:pStyle w:val="Style24"/>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是否需要调整年初资产负债表科目</w:t>
      </w:r>
    </w:p>
    <w:p>
      <w:pPr>
        <w:pStyle w:val="Style24"/>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合并资产负债表</w:t>
      </w:r>
    </w:p>
    <w:p>
      <w:pPr>
        <w:pStyle w:val="Style24"/>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13"/>
        <w:gridCol w:w="2467"/>
        <w:gridCol w:w="2448"/>
        <w:gridCol w:w="2477"/>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41,420,490,433.77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41,420,490,433.77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6,652,245,869.33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6,652,245,869.33</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融出资金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30,072,385,470.42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30,072,385,470.42</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12,831,853,398.85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12,831,853,398.85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726,021,922.60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726,021,922.60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106,959,684.71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color w:val="000000"/>
                <w:spacing w:val="0"/>
                <w:w w:val="100"/>
                <w:position w:val="0"/>
              </w:rPr>
              <w:t>94,094,296.47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-12,865,388.24</w:t>
            </w: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9,801,549,035.32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9,801,549,035.32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895,038,591.26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895,038,591.26</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存出保证金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2,070,467,729.03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2,070,467,729.03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35" w:lineRule="exact"/>
              <w:ind w:left="0" w:right="0" w:firstLine="400"/>
              <w:jc w:val="left"/>
            </w:pPr>
            <w:r>
              <w:rPr>
                <w:rFonts w:ascii="SimSun" w:eastAsia="SimSun" w:hAnsi="SimSun" w:cs="SimSun"/>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81,508,614.18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color w:val="000000"/>
                <w:spacing w:val="0"/>
                <w:w w:val="100"/>
                <w:position w:val="0"/>
              </w:rPr>
              <w:t>81,508,614.18</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104,658,520,749.47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104,645,655,361.23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-12,865,388.24</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37,138,141.39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37,138,141.39</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451,522,742.84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451,522,742.84</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123,926,074.02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123,926,074.02</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1,763,881,149.40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1,763,881,149.40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36,294,004.57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both"/>
            </w:pPr>
            <w:r>
              <w:rPr>
                <w:color w:val="000000"/>
                <w:spacing w:val="0"/>
                <w:w w:val="100"/>
                <w:position w:val="0"/>
              </w:rPr>
              <w:t>36,294,004.57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161,266,325.97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161,266,325.97</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174,332,788.65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174,332,788.65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67"/>
        <w:gridCol w:w="2448"/>
        <w:gridCol w:w="2477"/>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2,945,861,162.24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2,945,861,162.24</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55,709,096.26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55,709,096.26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81,549,857.49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81,549,857.49</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5,670,215,016.86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5,831,481,342.83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161,266,325.97</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110,328,735,766.33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110,477,136,704.06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148,400,937.73</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2,940,214,165.22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2,940,214,165.22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应付短期融资券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8,402,188,109.28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8,402,188,109.28</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1,012,222,222.22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1,012,222,222.22</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123,669,805.08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123,669,805.08</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430,968.80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430,968.80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211,046,973.13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211,046,973.13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1,033,242.19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1,033,242.19</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180,183,670.38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180,183,670.38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8,533,225,079.65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8,533,225,079.65</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49,797,784,255.00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49,797,784,255.00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347,111,853.77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347,111,853.77</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336,270,172.24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336,270,172.24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1,759,641,832.07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1,759,641,832.07</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1" w:lineRule="exact"/>
              <w:ind w:left="0" w:right="0" w:firstLine="40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2,239,377,911.52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2,305,463,883.42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66,085,971.90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4,175,801.76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4,175,801.76</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75,888,576,062.31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75,954,662,034.21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66,085,971.90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1,218,986,301.37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1,218,986,301.37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1120" w:right="0" w:firstLine="0"/>
              <w:jc w:val="both"/>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82,314,965.83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82,314,965.83</w:t>
            </w:r>
          </w:p>
        </w:tc>
      </w:tr>
      <w:tr>
        <w:trPr>
          <w:trHeight w:val="326" w:hRule="exact"/>
        </w:trPr>
        <w:tc>
          <w:tcPr>
            <w:tcBorders>
              <w:top w:val="single" w:sz="4"/>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67"/>
        <w:gridCol w:w="2448"/>
        <w:gridCol w:w="2477"/>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23,220,584.22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23,220,584.22</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40,035,597.18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40,035,597.18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1,283,692,482.77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1,366,007,448.60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82,314,965.83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77,172,268,545.08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77,320,669,482.81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148,400,937.73</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8,613,136,491.00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8,613,136,491.00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14,451,069,974.79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14,451,069,974.79</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-41,050,280.77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-41,050,280.77</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594,148,886.07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594,148,886.07</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9,539,162,150.16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9,539,162,150.16</w:t>
            </w: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33,156,467,221.25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33,156,467,221.25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33,156,467,221.25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33,156,467,221.25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110,328,735,766.33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110,477,136,704.06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148,400,937.73</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母公司资产负债表</w:t>
      </w:r>
    </w:p>
    <w:p>
      <w:pPr>
        <w:widowControl w:val="0"/>
        <w:spacing w:line="1" w:lineRule="exact"/>
      </w:pP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67"/>
        <w:gridCol w:w="2448"/>
        <w:gridCol w:w="2477"/>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690,708,967.36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690,708,967.36</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213,443.63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213,443.63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102,706,476.71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102,706,476.71</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292,760,368.50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292,760,368.50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48,604,726.10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46,066,126.56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-2,538,599.54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39,036,019.57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39,036,019.57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67"/>
        <w:gridCol w:w="2448"/>
        <w:gridCol w:w="2477"/>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exact"/>
              <w:ind w:left="0" w:right="0" w:firstLine="400"/>
              <w:jc w:val="both"/>
            </w:pPr>
            <w:r>
              <w:rPr>
                <w:rFonts w:ascii="SimSun" w:eastAsia="SimSun" w:hAnsi="SimSun" w:cs="SimSun"/>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1,174,030,001.87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1,171,491,402.33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-2,538,599.54</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24,699,803,732.39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24,699,803,732.39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123,926,074.02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123,926,074.02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1,291,695,016.76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1,291,695,016.76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50,811,159.83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50,811,159.83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11,983,804.52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11,983,804.52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355,080.25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355,080.25</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2,425,435.55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2,425,435.55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27,430,189,143.49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27,481,000,303.32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50,811,159.83</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28,604,219,145.36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28,652,491,705.65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48,272,560.29</w:t>
            </w: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253,017,819.18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253,017,819.18</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88,166,825.18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88,166,825.18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66,425,231.87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66,425,231.87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124,081,793.67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124,081,793.67</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161,209,042.49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161,209,042.49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115,581,916.83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115,581,916.83</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83" w:lineRule="exact"/>
              <w:ind w:left="0" w:right="0" w:firstLine="400"/>
              <w:jc w:val="both"/>
            </w:pPr>
            <w:r>
              <w:rPr>
                <w:rFonts w:ascii="SimSun" w:eastAsia="SimSun" w:hAnsi="SimSun" w:cs="SimSun"/>
                <w:color w:val="000000"/>
                <w:spacing w:val="0"/>
                <w:w w:val="100"/>
                <w:position w:val="0"/>
              </w:rPr>
              <w:t>一年内到期的非流动 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15,500,148.21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15,500,148.21</w:t>
            </w:r>
          </w:p>
        </w:tc>
      </w:tr>
    </w:tbl>
    <w:p>
      <w:pPr>
        <w:widowControl w:val="0"/>
        <w:spacing w:line="1" w:lineRule="exact"/>
      </w:pPr>
      <w:r>
        <w:br w:type="page"/>
      </w:r>
    </w:p>
    <w:tbl>
      <w:tblPr>
        <w:tblOverlap w:val="never"/>
        <w:jc w:val="center"/>
        <w:tblLayout w:type="fixed"/>
      </w:tblPr>
      <w:tblGrid>
        <w:gridCol w:w="2213"/>
        <w:gridCol w:w="2467"/>
        <w:gridCol w:w="2448"/>
        <w:gridCol w:w="2477"/>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both"/>
            </w:pPr>
            <w:r>
              <w:rPr>
                <w:color w:val="000000"/>
                <w:spacing w:val="0"/>
                <w:w w:val="100"/>
                <w:position w:val="0"/>
              </w:rPr>
              <w:t>2,586,338.00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2,586,338.00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811,068,967.22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826,569,115.43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15,500,148.21</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32,772,412.08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32,772,412.08</w:t>
            </w: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1,450,000.00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both"/>
            </w:pPr>
            <w:r>
              <w:rPr>
                <w:color w:val="000000"/>
                <w:spacing w:val="0"/>
                <w:w w:val="100"/>
                <w:position w:val="0"/>
              </w:rPr>
              <w:t>7,731,577.99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7,731,577.99</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both"/>
            </w:pPr>
            <w:r>
              <w:rPr>
                <w:color w:val="000000"/>
                <w:spacing w:val="0"/>
                <w:w w:val="100"/>
                <w:position w:val="0"/>
              </w:rPr>
              <w:t>4,049,668.50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4,049,668.50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13,231,246.49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46,003,658.57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32,772,412.08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824,300,213.71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872,572,774.00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48,272,560.29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8,613,136,491.00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8,613,136,491.00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14,441,183,178.23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14,441,183,178.23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594,148,886.07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594,148,886.07</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4,131,450,376.35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4,131,450,376.35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27,779,918,931.65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27,779,918,931.65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28,604,219,145.36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28,652,491,705.65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48,272,560.29</w:t>
            </w:r>
          </w:p>
        </w:tc>
      </w:tr>
    </w:tbl>
    <w:p>
      <w:pPr>
        <w:pStyle w:val="Style24"/>
        <w:keepNext w:val="0"/>
        <w:keepLines w:val="0"/>
        <w:widowControl w:val="0"/>
        <w:shd w:val="clear" w:color="auto" w:fill="auto"/>
        <w:bidi w:val="0"/>
        <w:spacing w:before="0" w:after="60" w:line="228" w:lineRule="exact"/>
        <w:ind w:left="0" w:right="0" w:firstLine="0"/>
        <w:jc w:val="both"/>
      </w:pPr>
      <w:r>
        <w:rPr>
          <w:color w:val="000000"/>
          <w:spacing w:val="0"/>
          <w:w w:val="100"/>
          <w:position w:val="0"/>
        </w:rPr>
        <w:t>调整情况说明</w:t>
      </w:r>
    </w:p>
    <w:p>
      <w:pPr>
        <w:pStyle w:val="Style24"/>
        <w:keepNext w:val="0"/>
        <w:keepLines w:val="0"/>
        <w:widowControl w:val="0"/>
        <w:shd w:val="clear" w:color="auto" w:fill="auto"/>
        <w:bidi w:val="0"/>
        <w:spacing w:before="0" w:after="320" w:line="228"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年，财政部颁布了修订的《企业会计准则第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），新租赁准则采用与现行融资租赁 会计处理类似的单一模型，要求承租人对除短期租赁和低价值资产租赁以外的所有租赁确认使用权资产和租赁负债，并分 别确认折旧和利息费用。公司自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日开始执行新租赁准则，对财务报表年初相关项目进行调整。</w:t>
      </w:r>
    </w:p>
    <w:p>
      <w:pPr>
        <w:pStyle w:val="Style32"/>
        <w:keepNext/>
        <w:keepLines/>
        <w:widowControl w:val="0"/>
        <w:shd w:val="clear" w:color="auto" w:fill="auto"/>
        <w:bidi w:val="0"/>
        <w:spacing w:before="0" w:line="240" w:lineRule="auto"/>
        <w:ind w:left="0" w:right="0" w:firstLine="0"/>
        <w:jc w:val="both"/>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66"/>
      <w:bookmarkEnd w:id="1167"/>
      <w:bookmarkEnd w:id="1169"/>
    </w:p>
    <w:p>
      <w:pPr>
        <w:pStyle w:val="Style24"/>
        <w:keepNext w:val="0"/>
        <w:keepLines w:val="0"/>
        <w:widowControl w:val="0"/>
        <w:shd w:val="clear" w:color="auto" w:fill="auto"/>
        <w:bidi w:val="0"/>
        <w:spacing w:before="0" w:after="200" w:line="228"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r>
        <w:br w:type="page"/>
      </w:r>
    </w:p>
    <w:p>
      <w:pPr>
        <w:pStyle w:val="Style22"/>
        <w:keepNext/>
        <w:keepLines/>
        <w:widowControl w:val="0"/>
        <w:shd w:val="clear" w:color="auto" w:fill="auto"/>
        <w:bidi w:val="0"/>
        <w:spacing w:before="0" w:after="320" w:line="240" w:lineRule="auto"/>
        <w:ind w:left="0" w:right="0" w:firstLine="0"/>
        <w:jc w:val="both"/>
      </w:pPr>
      <w:bookmarkStart w:id="1170" w:name="bookmark1170"/>
      <w:bookmarkStart w:id="1171" w:name="bookmark1171"/>
      <w:bookmarkStart w:id="1172" w:name="bookmark1172"/>
      <w:bookmarkStart w:id="1173" w:name="bookmark1173"/>
      <w:r>
        <w:rPr>
          <w:color w:val="000000"/>
          <w:spacing w:val="0"/>
          <w:w w:val="100"/>
          <w:position w:val="0"/>
          <w:sz w:val="24"/>
          <w:szCs w:val="24"/>
        </w:rPr>
        <w:t>六</w:t>
      </w:r>
      <w:bookmarkEnd w:id="1172"/>
      <w:r>
        <w:rPr>
          <w:color w:val="000000"/>
          <w:spacing w:val="0"/>
          <w:w w:val="100"/>
          <w:position w:val="0"/>
          <w:sz w:val="24"/>
          <w:szCs w:val="24"/>
        </w:rPr>
        <w:t>、税项</w:t>
      </w:r>
      <w:bookmarkEnd w:id="1170"/>
      <w:bookmarkEnd w:id="1171"/>
      <w:bookmarkEnd w:id="1173"/>
    </w:p>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p>
    <w:tbl>
      <w:tblPr>
        <w:tblOverlap w:val="never"/>
        <w:jc w:val="center"/>
        <w:tblLayout w:type="fixed"/>
      </w:tblPr>
      <w:tblGrid>
        <w:gridCol w:w="2112"/>
        <w:gridCol w:w="42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79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按税法规定计算的销售货物和应税劳务收入为基础计 销项税额，在扣除当期允许抵扣的进项税额后，差额 部分为应交增值税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9%</w:t>
            </w:r>
            <w:r>
              <w:rPr>
                <w:rFonts w:ascii="SimSun" w:eastAsia="SimSun" w:hAnsi="SimSun" w:cs="SimSun"/>
                <w:color w:val="000000"/>
                <w:spacing w:val="0"/>
                <w:w w:val="100"/>
                <w:position w:val="0"/>
              </w:rPr>
              <w:t>、</w:t>
            </w:r>
            <w:r>
              <w:rPr>
                <w:color w:val="000000"/>
                <w:spacing w:val="0"/>
                <w:w w:val="100"/>
                <w:position w:val="0"/>
              </w:rPr>
              <w:t>13%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按实际缴纳的增值税计缴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7%</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rPr>
              <w:t>、</w:t>
            </w:r>
            <w:r>
              <w:rPr>
                <w:color w:val="000000"/>
                <w:spacing w:val="0"/>
                <w:w w:val="100"/>
                <w:position w:val="0"/>
              </w:rPr>
              <w:t>25%</w:t>
            </w:r>
          </w:p>
        </w:tc>
      </w:tr>
    </w:tbl>
    <w:p>
      <w:pPr>
        <w:widowControl w:val="0"/>
        <w:spacing w:after="9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3845"/>
        <w:gridCol w:w="5760"/>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东方财富信息股份有限公司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上海东方财富证券投资咨询有限公司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上海东方财富金融数据服务有限公司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东方财富证券股份有限公司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西藏东方财富投资管理有限公司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西藏东财基金管理有限公司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注册在中国大陆以外国家及地区的公司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按当地税收政策计缴各项税费</w:t>
            </w:r>
          </w:p>
        </w:tc>
      </w:tr>
      <w:tr>
        <w:trPr>
          <w:trHeight w:val="57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合并范围其他子（孙）公司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left"/>
            </w:pPr>
            <w:r>
              <w:rPr>
                <w:color w:val="000000"/>
                <w:spacing w:val="0"/>
                <w:w w:val="100"/>
                <w:position w:val="0"/>
              </w:rPr>
              <w:t xml:space="preserve">25% </w:t>
            </w:r>
            <w:r>
              <w:rPr>
                <w:rFonts w:ascii="SimSun" w:eastAsia="SimSun" w:hAnsi="SimSun" w:cs="SimSun"/>
                <w:color w:val="000000"/>
                <w:spacing w:val="0"/>
                <w:w w:val="100"/>
                <w:position w:val="0"/>
              </w:rPr>
              <w:t>（符合《财政部税务总局关于实施小微企业普惠性税收减免政策的 通知》（财税</w:t>
            </w:r>
            <w:r>
              <w:rPr>
                <w:color w:val="000000"/>
                <w:spacing w:val="0"/>
                <w:w w:val="100"/>
                <w:position w:val="0"/>
              </w:rPr>
              <w:t>[2019]13</w:t>
            </w:r>
            <w:r>
              <w:rPr>
                <w:rFonts w:ascii="SimSun" w:eastAsia="SimSun" w:hAnsi="SimSun" w:cs="SimSun"/>
                <w:color w:val="000000"/>
                <w:spacing w:val="0"/>
                <w:w w:val="100"/>
                <w:position w:val="0"/>
              </w:rPr>
              <w:t>号）条件的，执行小微企业所得税优惠税率）</w:t>
            </w:r>
          </w:p>
        </w:tc>
      </w:tr>
    </w:tbl>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p>
    <w:p>
      <w:pPr>
        <w:widowControl w:val="0"/>
        <w:spacing w:after="239" w:line="1" w:lineRule="exact"/>
      </w:pPr>
    </w:p>
    <w:p>
      <w:pPr>
        <w:pStyle w:val="Style32"/>
        <w:keepNext/>
        <w:keepLines/>
        <w:widowControl w:val="0"/>
        <w:shd w:val="clear" w:color="auto" w:fill="auto"/>
        <w:bidi w:val="0"/>
        <w:spacing w:before="0" w:after="0" w:line="269" w:lineRule="exact"/>
        <w:ind w:left="0" w:right="0" w:firstLine="0"/>
        <w:jc w:val="both"/>
      </w:pPr>
      <w:bookmarkStart w:id="1174" w:name="bookmark1174"/>
      <w:bookmarkStart w:id="1175" w:name="bookmark1175"/>
      <w:bookmarkStart w:id="1176" w:name="bookmark1176"/>
      <w:r>
        <w:rPr>
          <w:color w:val="000000"/>
          <w:spacing w:val="0"/>
          <w:w w:val="100"/>
          <w:position w:val="0"/>
        </w:rPr>
        <w:t>东方财富信息股份有限公司</w:t>
      </w:r>
      <w:bookmarkEnd w:id="1174"/>
      <w:bookmarkEnd w:id="1175"/>
      <w:bookmarkEnd w:id="1176"/>
    </w:p>
    <w:p>
      <w:pPr>
        <w:pStyle w:val="Style41"/>
        <w:keepNext w:val="0"/>
        <w:keepLines w:val="0"/>
        <w:widowControl w:val="0"/>
        <w:shd w:val="clear" w:color="auto" w:fill="auto"/>
        <w:bidi w:val="0"/>
        <w:spacing w:before="0" w:after="240" w:line="269" w:lineRule="exact"/>
        <w:ind w:left="0" w:right="0" w:firstLine="0"/>
        <w:jc w:val="both"/>
      </w:pPr>
      <w:r>
        <w:rPr>
          <w:color w:val="000000"/>
          <w:spacing w:val="0"/>
          <w:w w:val="100"/>
          <w:position w:val="0"/>
        </w:rPr>
        <w:t>根据上海市科学技术委员会、上海市财政局、国家税务总局上海市税务局于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月联合颁发的高新技 术企业证书，东方财富信息股份有限公司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年度及</w:t>
      </w:r>
      <w:r>
        <w:rPr>
          <w:rFonts w:ascii="Times New Roman" w:eastAsia="Times New Roman" w:hAnsi="Times New Roman" w:cs="Times New Roman"/>
          <w:color w:val="000000"/>
          <w:spacing w:val="0"/>
          <w:w w:val="100"/>
          <w:position w:val="0"/>
        </w:rPr>
        <w:t>2021</w:t>
      </w:r>
      <w:r>
        <w:rPr>
          <w:color w:val="000000"/>
          <w:spacing w:val="0"/>
          <w:w w:val="100"/>
          <w:position w:val="0"/>
        </w:rPr>
        <w:t>年度实际适用企业所得税税率为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2"/>
        <w:keepNext/>
        <w:keepLines/>
        <w:widowControl w:val="0"/>
        <w:shd w:val="clear" w:color="auto" w:fill="auto"/>
        <w:bidi w:val="0"/>
        <w:spacing w:before="0" w:after="0" w:line="274" w:lineRule="exact"/>
        <w:ind w:left="0" w:right="0" w:firstLine="0"/>
        <w:jc w:val="both"/>
      </w:pPr>
      <w:bookmarkStart w:id="1177" w:name="bookmark1177"/>
      <w:bookmarkStart w:id="1178" w:name="bookmark1178"/>
      <w:bookmarkStart w:id="1179" w:name="bookmark1179"/>
      <w:r>
        <w:rPr>
          <w:color w:val="000000"/>
          <w:spacing w:val="0"/>
          <w:w w:val="100"/>
          <w:position w:val="0"/>
        </w:rPr>
        <w:t>上海东方财富证券投资咨询有限公司</w:t>
      </w:r>
      <w:bookmarkEnd w:id="1177"/>
      <w:bookmarkEnd w:id="1178"/>
      <w:bookmarkEnd w:id="1179"/>
    </w:p>
    <w:p>
      <w:pPr>
        <w:pStyle w:val="Style41"/>
        <w:keepNext w:val="0"/>
        <w:keepLines w:val="0"/>
        <w:widowControl w:val="0"/>
        <w:shd w:val="clear" w:color="auto" w:fill="auto"/>
        <w:bidi w:val="0"/>
        <w:spacing w:before="0" w:after="240" w:line="274" w:lineRule="exact"/>
        <w:ind w:left="0" w:right="0" w:firstLine="0"/>
        <w:jc w:val="both"/>
      </w:pPr>
      <w:r>
        <w:rPr>
          <w:color w:val="000000"/>
          <w:spacing w:val="0"/>
          <w:w w:val="100"/>
          <w:position w:val="0"/>
        </w:rPr>
        <w:t>根据上海市科学技术委员会、上海市财政局、国家税务总局上海市税务局分别于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 联合颁发的高新技术企业证书，上海东方财富证券投资咨询有限公司被认定为高新技术企业，</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年度及 </w:t>
      </w:r>
      <w:r>
        <w:rPr>
          <w:rFonts w:ascii="Times New Roman" w:eastAsia="Times New Roman" w:hAnsi="Times New Roman" w:cs="Times New Roman"/>
          <w:color w:val="000000"/>
          <w:spacing w:val="0"/>
          <w:w w:val="100"/>
          <w:position w:val="0"/>
        </w:rPr>
        <w:t>2021</w:t>
      </w:r>
      <w:r>
        <w:rPr>
          <w:color w:val="000000"/>
          <w:spacing w:val="0"/>
          <w:w w:val="100"/>
          <w:position w:val="0"/>
        </w:rPr>
        <w:t>年度实际适用企业所得税税率为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2"/>
        <w:keepNext/>
        <w:keepLines/>
        <w:widowControl w:val="0"/>
        <w:shd w:val="clear" w:color="auto" w:fill="auto"/>
        <w:bidi w:val="0"/>
        <w:spacing w:before="0" w:after="0" w:line="274" w:lineRule="exact"/>
        <w:ind w:left="0" w:right="0" w:firstLine="0"/>
        <w:jc w:val="both"/>
      </w:pPr>
      <w:bookmarkStart w:id="1180" w:name="bookmark1180"/>
      <w:bookmarkStart w:id="1181" w:name="bookmark1181"/>
      <w:bookmarkStart w:id="1182" w:name="bookmark1182"/>
      <w:r>
        <w:rPr>
          <w:color w:val="000000"/>
          <w:spacing w:val="0"/>
          <w:w w:val="100"/>
          <w:position w:val="0"/>
        </w:rPr>
        <w:t>上海东方财富金融数据服务有限公司</w:t>
      </w:r>
      <w:bookmarkEnd w:id="1180"/>
      <w:bookmarkEnd w:id="1181"/>
      <w:bookmarkEnd w:id="1182"/>
    </w:p>
    <w:p>
      <w:pPr>
        <w:pStyle w:val="Style41"/>
        <w:keepNext w:val="0"/>
        <w:keepLines w:val="0"/>
        <w:widowControl w:val="0"/>
        <w:shd w:val="clear" w:color="auto" w:fill="auto"/>
        <w:bidi w:val="0"/>
        <w:spacing w:before="0" w:after="240" w:line="274" w:lineRule="exact"/>
        <w:ind w:left="0" w:right="0" w:firstLine="0"/>
        <w:jc w:val="both"/>
      </w:pPr>
      <w:r>
        <w:rPr>
          <w:color w:val="000000"/>
          <w:spacing w:val="0"/>
          <w:w w:val="100"/>
          <w:position w:val="0"/>
        </w:rPr>
        <w:t>根据上海市科学技术委员会、上海市财政局、国家税务总局上海市税务局于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月联合颁发的高新技 术企业证书，上海东方财富金融数据服务有限公司被认定为高新技术企业，故</w:t>
      </w:r>
      <w:r>
        <w:rPr>
          <w:rFonts w:ascii="Times New Roman" w:eastAsia="Times New Roman" w:hAnsi="Times New Roman" w:cs="Times New Roman"/>
          <w:color w:val="000000"/>
          <w:spacing w:val="0"/>
          <w:w w:val="100"/>
          <w:position w:val="0"/>
        </w:rPr>
        <w:t>2021</w:t>
      </w:r>
      <w:r>
        <w:rPr>
          <w:color w:val="000000"/>
          <w:spacing w:val="0"/>
          <w:w w:val="100"/>
          <w:position w:val="0"/>
        </w:rPr>
        <w:t>年度实际适用企业所得 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2"/>
        <w:keepNext/>
        <w:keepLines/>
        <w:widowControl w:val="0"/>
        <w:shd w:val="clear" w:color="auto" w:fill="auto"/>
        <w:bidi w:val="0"/>
        <w:spacing w:before="0" w:after="0" w:line="272" w:lineRule="exact"/>
        <w:ind w:left="0" w:right="0" w:firstLine="0"/>
        <w:jc w:val="both"/>
      </w:pPr>
      <w:bookmarkStart w:id="1183" w:name="bookmark1183"/>
      <w:bookmarkStart w:id="1184" w:name="bookmark1184"/>
      <w:bookmarkStart w:id="1185" w:name="bookmark1185"/>
      <w:r>
        <w:rPr>
          <w:color w:val="000000"/>
          <w:spacing w:val="0"/>
          <w:w w:val="100"/>
          <w:position w:val="0"/>
        </w:rPr>
        <w:t>东方财富证券及子公司西藏东方财富投资管理有限公司、西藏东财基金管理有限公司</w:t>
      </w:r>
      <w:bookmarkEnd w:id="1183"/>
      <w:bookmarkEnd w:id="1184"/>
      <w:bookmarkEnd w:id="1185"/>
    </w:p>
    <w:p>
      <w:pPr>
        <w:pStyle w:val="Style41"/>
        <w:keepNext w:val="0"/>
        <w:keepLines w:val="0"/>
        <w:widowControl w:val="0"/>
        <w:shd w:val="clear" w:color="auto" w:fill="auto"/>
        <w:bidi w:val="0"/>
        <w:spacing w:before="0" w:after="240" w:line="272" w:lineRule="exact"/>
        <w:ind w:left="0" w:right="0" w:firstLine="0"/>
        <w:jc w:val="both"/>
      </w:pPr>
      <w:r>
        <w:rPr>
          <w:color w:val="000000"/>
          <w:spacing w:val="0"/>
          <w:w w:val="100"/>
          <w:position w:val="0"/>
        </w:rPr>
        <w:t>根据《财政部、国家税务总局、国家发展改革委关于延续西部大开发企业所得税政策的公告》（财政部公 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23</w:t>
      </w:r>
      <w:r>
        <w:rPr>
          <w:color w:val="000000"/>
          <w:spacing w:val="0"/>
          <w:w w:val="100"/>
          <w:position w:val="0"/>
        </w:rPr>
        <w:t>号）及《西藏自治区人民政府关于印发西藏自治区招商引资优惠政策若干规定的通知》（藏 政发</w:t>
      </w:r>
      <w:r>
        <w:rPr>
          <w:rFonts w:ascii="Times New Roman" w:eastAsia="Times New Roman" w:hAnsi="Times New Roman" w:cs="Times New Roman"/>
          <w:color w:val="000000"/>
          <w:spacing w:val="0"/>
          <w:w w:val="100"/>
          <w:position w:val="0"/>
        </w:rPr>
        <w:t>[20</w:t>
      </w:r>
      <w:r>
        <w:rPr>
          <w:rFonts w:ascii="Times New Roman" w:eastAsia="Times New Roman" w:hAnsi="Times New Roman" w:cs="Times New Roman"/>
          <w:color w:val="000000"/>
          <w:spacing w:val="0"/>
          <w:w w:val="100"/>
          <w:position w:val="0"/>
        </w:rPr>
        <w:t>21]9</w:t>
      </w:r>
      <w:r>
        <w:rPr>
          <w:color w:val="000000"/>
          <w:spacing w:val="0"/>
          <w:w w:val="100"/>
          <w:position w:val="0"/>
        </w:rPr>
        <w:t>号），东方财富证券及子公司西藏东方财富投资管理有限公司、西藏东财基金管理有限公司本 年适用企业所得税税率为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，东方财富证券及西藏东财基金管理有限公司减半征收属于西藏自治区地方 分享的部分。</w:t>
      </w:r>
      <w:r>
        <w:br w:type="page"/>
      </w:r>
    </w:p>
    <w:p>
      <w:pPr>
        <w:pStyle w:val="Style22"/>
        <w:keepNext/>
        <w:keepLines/>
        <w:widowControl w:val="0"/>
        <w:shd w:val="clear" w:color="auto" w:fill="auto"/>
        <w:bidi w:val="0"/>
        <w:spacing w:before="0" w:after="30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sz w:val="24"/>
          <w:szCs w:val="24"/>
        </w:rPr>
        <w:t>七</w:t>
      </w:r>
      <w:bookmarkEnd w:id="1188"/>
      <w:r>
        <w:rPr>
          <w:color w:val="000000"/>
          <w:spacing w:val="0"/>
          <w:w w:val="100"/>
          <w:position w:val="0"/>
          <w:sz w:val="24"/>
          <w:szCs w:val="24"/>
        </w:rPr>
        <w:t>、合并财务报表项目注释</w:t>
      </w:r>
      <w:bookmarkEnd w:id="1186"/>
      <w:bookmarkEnd w:id="1187"/>
      <w:bookmarkEnd w:id="1189"/>
    </w:p>
    <w:p>
      <w:pPr>
        <w:pStyle w:val="Style32"/>
        <w:keepNext/>
        <w:keepLines/>
        <w:widowControl w:val="0"/>
        <w:shd w:val="clear" w:color="auto" w:fill="auto"/>
        <w:bidi w:val="0"/>
        <w:spacing w:before="0" w:after="300" w:line="240" w:lineRule="auto"/>
        <w:ind w:left="0" w:right="0" w:firstLine="0"/>
        <w:jc w:val="left"/>
      </w:pPr>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90"/>
      <w:bookmarkEnd w:id="1191"/>
      <w:bookmarkEnd w:id="119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118,831.67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174,400.35</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pPr>
            <w:r>
              <w:rPr>
                <w:color w:val="000000"/>
                <w:spacing w:val="0"/>
                <w:w w:val="100"/>
                <w:position w:val="0"/>
              </w:rPr>
              <w:t>59,413,524,155.48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41,365,935,302.36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其中：客户存款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pPr>
            <w:r>
              <w:rPr>
                <w:color w:val="000000"/>
                <w:spacing w:val="0"/>
                <w:w w:val="100"/>
                <w:position w:val="0"/>
              </w:rPr>
              <w:t>49,258,243,872.56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36,781,607,801.53</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公司存款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10,155,280,282.92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4,584,327,500.83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127,792,784.51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18,887,190.24</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pPr>
            <w:r>
              <w:rPr>
                <w:color w:val="000000"/>
                <w:spacing w:val="0"/>
                <w:w w:val="100"/>
                <w:position w:val="0"/>
              </w:rPr>
              <w:t>59,541,435,771.66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41,384,996,892.95</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加：应计利息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69,158,011.91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35,493,540.82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pPr>
            <w:r>
              <w:rPr>
                <w:color w:val="000000"/>
                <w:spacing w:val="0"/>
                <w:w w:val="100"/>
                <w:position w:val="0"/>
              </w:rPr>
              <w:t>59,610,593,783.57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41,420,490,433.77</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3,450,360,468.89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1,606,897,041.73</w:t>
            </w:r>
          </w:p>
        </w:tc>
      </w:tr>
      <w:tr>
        <w:trPr>
          <w:trHeight w:val="55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580"/>
              <w:jc w:val="left"/>
            </w:pPr>
            <w:r>
              <w:rPr>
                <w:rFonts w:ascii="SimSun" w:eastAsia="SimSun" w:hAnsi="SimSun" w:cs="SimSun"/>
                <w:color w:val="000000"/>
                <w:spacing w:val="0"/>
                <w:w w:val="100"/>
                <w:position w:val="0"/>
              </w:rPr>
              <w:t>因抵押、质押或冻结等对使用有 限制的款项总额</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162,288,745.60</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6,215,301.64</w:t>
            </w:r>
          </w:p>
        </w:tc>
      </w:tr>
    </w:tbl>
    <w:p>
      <w:pPr>
        <w:widowControl w:val="0"/>
        <w:spacing w:after="199" w:line="1" w:lineRule="exact"/>
      </w:pPr>
    </w:p>
    <w:p>
      <w:pPr>
        <w:pStyle w:val="Style24"/>
        <w:keepNext w:val="0"/>
        <w:keepLines w:val="0"/>
        <w:widowControl w:val="0"/>
        <w:shd w:val="clear" w:color="auto" w:fill="auto"/>
        <w:bidi w:val="0"/>
        <w:spacing w:before="0" w:after="40" w:line="235"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00" w:line="235"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日，公司货币资金中因融资融券业务产生的信用资金为</w:t>
      </w:r>
      <w:r>
        <w:rPr>
          <w:rFonts w:ascii="Times New Roman" w:eastAsia="Times New Roman" w:hAnsi="Times New Roman" w:cs="Times New Roman"/>
          <w:color w:val="000000"/>
          <w:spacing w:val="0"/>
          <w:w w:val="100"/>
          <w:position w:val="0"/>
        </w:rPr>
        <w:t>3,800,470,870.04</w:t>
      </w:r>
      <w:r>
        <w:rPr>
          <w:color w:val="000000"/>
          <w:spacing w:val="0"/>
          <w:w w:val="100"/>
          <w:position w:val="0"/>
        </w:rPr>
        <w:t>元，其中自有信用资金为</w:t>
      </w:r>
      <w:r>
        <w:rPr>
          <w:rFonts w:ascii="Times New Roman" w:eastAsia="Times New Roman" w:hAnsi="Times New Roman" w:cs="Times New Roman"/>
          <w:color w:val="000000"/>
          <w:spacing w:val="0"/>
          <w:w w:val="100"/>
          <w:position w:val="0"/>
        </w:rPr>
        <w:t>0.00</w:t>
      </w:r>
      <w:r>
        <w:rPr>
          <w:color w:val="000000"/>
          <w:spacing w:val="0"/>
          <w:w w:val="100"/>
          <w:position w:val="0"/>
        </w:rPr>
        <w:t>元 客户信用资金为</w:t>
      </w:r>
      <w:r>
        <w:rPr>
          <w:rFonts w:ascii="Times New Roman" w:eastAsia="Times New Roman" w:hAnsi="Times New Roman" w:cs="Times New Roman"/>
          <w:color w:val="000000"/>
          <w:spacing w:val="0"/>
          <w:w w:val="100"/>
          <w:position w:val="0"/>
        </w:rPr>
        <w:t>3,800,470,870.04</w:t>
      </w:r>
      <w:r>
        <w:rPr>
          <w:color w:val="000000"/>
          <w:spacing w:val="0"/>
          <w:w w:val="100"/>
          <w:position w:val="0"/>
        </w:rPr>
        <w:t>元。</w:t>
      </w:r>
    </w:p>
    <w:p>
      <w:pPr>
        <w:pStyle w:val="Style32"/>
        <w:keepNext/>
        <w:keepLines/>
        <w:widowControl w:val="0"/>
        <w:shd w:val="clear" w:color="auto" w:fill="auto"/>
        <w:bidi w:val="0"/>
        <w:spacing w:before="0" w:after="300" w:line="240" w:lineRule="auto"/>
        <w:ind w:left="0" w:right="0" w:firstLine="0"/>
        <w:jc w:val="left"/>
      </w:pPr>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2</w:t>
      </w:r>
      <w:r>
        <w:rPr>
          <w:color w:val="000000"/>
          <w:spacing w:val="0"/>
          <w:w w:val="100"/>
          <w:position w:val="0"/>
        </w:rPr>
        <w:t>、结算备付金</w:t>
      </w:r>
      <w:bookmarkEnd w:id="1193"/>
      <w:bookmarkEnd w:id="1194"/>
      <w:bookmarkEnd w:id="1195"/>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客户普通备付金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8,203,952,619.80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5,465,146,358.42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客户信用备付金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406,303,889.46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645,205,499.17</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公司自有备付金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670,505,521.06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139,925,515.38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公司信用备付金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1,189,734,051.32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401,968,496.36</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加：应计利息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5,179,663.92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10,475,675,745.56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6,652,245,869.33</w:t>
            </w:r>
          </w:p>
        </w:tc>
      </w:tr>
    </w:tbl>
    <w:p>
      <w:pPr>
        <w:pStyle w:val="Style20"/>
        <w:keepNext w:val="0"/>
        <w:keepLines w:val="0"/>
        <w:widowControl w:val="0"/>
        <w:shd w:val="clear" w:color="auto" w:fill="auto"/>
        <w:bidi w:val="0"/>
        <w:spacing w:before="0" w:after="0" w:line="235" w:lineRule="exact"/>
        <w:ind w:left="0" w:right="0" w:firstLine="0"/>
        <w:jc w:val="left"/>
      </w:pPr>
      <w:r>
        <w:rPr>
          <w:color w:val="000000"/>
          <w:spacing w:val="0"/>
          <w:w w:val="100"/>
          <w:position w:val="0"/>
        </w:rPr>
        <w:t>注：客户备付金主要反映本公司存入其他金融机构的证券期货经纪业务相关的客户资金款项。截至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日，公司不 存在使用受限的结算备付金。</w:t>
      </w:r>
    </w:p>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3</w:t>
      </w:r>
      <w:bookmarkEnd w:id="1198"/>
      <w:r>
        <w:rPr>
          <w:color w:val="000000"/>
          <w:spacing w:val="0"/>
          <w:w w:val="100"/>
          <w:position w:val="0"/>
        </w:rPr>
        <w:t>、融出资金</w:t>
      </w:r>
      <w:bookmarkEnd w:id="1196"/>
      <w:bookmarkEnd w:id="1197"/>
      <w:bookmarkEnd w:id="1199"/>
    </w:p>
    <w:p>
      <w:pPr>
        <w:pStyle w:val="Style32"/>
        <w:keepNext/>
        <w:keepLines/>
        <w:widowControl w:val="0"/>
        <w:shd w:val="clear" w:color="auto" w:fill="auto"/>
        <w:bidi w:val="0"/>
        <w:spacing w:before="0" w:after="0" w:line="240" w:lineRule="auto"/>
        <w:ind w:left="0" w:right="0" w:firstLine="0"/>
        <w:jc w:val="left"/>
      </w:pPr>
      <w:bookmarkStart w:id="1196" w:name="bookmark1196"/>
      <w:bookmarkStart w:id="1197" w:name="bookmark1197"/>
      <w:bookmarkStart w:id="1200" w:name="bookmark1200"/>
      <w:r>
        <w:rPr>
          <w:rFonts w:ascii="Times New Roman" w:eastAsia="Times New Roman" w:hAnsi="Times New Roman" w:cs="Times New Roman"/>
          <w:color w:val="000000"/>
          <w:spacing w:val="0"/>
          <w:w w:val="100"/>
          <w:position w:val="0"/>
        </w:rPr>
        <w:t>(1)</w:t>
      </w:r>
      <w:r>
        <w:rPr>
          <w:color w:val="000000"/>
          <w:spacing w:val="0"/>
          <w:w w:val="100"/>
          <w:position w:val="0"/>
        </w:rPr>
        <w:t>按业务类别列示</w:t>
      </w:r>
      <w:bookmarkEnd w:id="1196"/>
      <w:bookmarkEnd w:id="1197"/>
      <w:bookmarkEnd w:id="1200"/>
    </w:p>
    <w:p>
      <w:pPr>
        <w:pStyle w:val="Style24"/>
        <w:keepNext w:val="0"/>
        <w:keepLines w:val="0"/>
        <w:widowControl w:val="0"/>
        <w:shd w:val="clear" w:color="auto" w:fill="auto"/>
        <w:bidi w:val="0"/>
        <w:spacing w:before="0" w:after="80" w:line="235" w:lineRule="exact"/>
        <w:ind w:left="0" w:right="0" w:firstLine="0"/>
        <w:jc w:val="right"/>
      </w:pPr>
      <w:r>
        <w:rPr>
          <w:color w:val="000000"/>
          <w:spacing w:val="0"/>
          <w:w w:val="100"/>
          <w:position w:val="0"/>
        </w:rPr>
        <w:t>单位：元</w:t>
      </w:r>
    </w:p>
    <w:tbl>
      <w:tblPr>
        <w:tblOverlap w:val="never"/>
        <w:jc w:val="center"/>
        <w:tblLayout w:type="fixed"/>
      </w:tblPr>
      <w:tblGrid>
        <w:gridCol w:w="3139"/>
        <w:gridCol w:w="3250"/>
        <w:gridCol w:w="3346"/>
      </w:tblGrid>
      <w:tr>
        <w:trPr>
          <w:trHeight w:val="28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融资融券业务融出资金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41,660,734,395.98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29,393,883,394.66</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孖展融资及新股认购融资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1,379,749,703.83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381,806,540.81</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加：应计利息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451,928,604.75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364,813,319.81</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43,492,412,704.56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30,140,503,255.28</w:t>
            </w:r>
          </w:p>
        </w:tc>
      </w:tr>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85,331,105.92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68,117,784.86</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43,407,081,598.64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30,072,385,470.42</w:t>
            </w:r>
          </w:p>
        </w:tc>
      </w:tr>
    </w:tbl>
    <w:p>
      <w:pPr>
        <w:spacing w:lineRule="exact" w:line="1"/>
        <w:rPr>
          <w:sz w:val="2"/>
          <w:szCs w:val="2"/>
        </w:rPr>
      </w:pPr>
      <w:r>
        <w:br w:type="page"/>
      </w:r>
    </w:p>
    <w:p>
      <w:pPr>
        <w:pStyle w:val="Style32"/>
        <w:keepNext/>
        <w:keepLines/>
        <w:widowControl w:val="0"/>
        <w:shd w:val="clear" w:color="auto" w:fill="auto"/>
        <w:bidi w:val="0"/>
        <w:spacing w:before="0" w:after="280" w:line="240" w:lineRule="auto"/>
        <w:ind w:left="0" w:right="0" w:firstLine="0"/>
        <w:jc w:val="left"/>
      </w:pPr>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(2)</w:t>
      </w:r>
      <w:r>
        <w:rPr>
          <w:color w:val="000000"/>
          <w:spacing w:val="0"/>
          <w:w w:val="100"/>
          <w:position w:val="0"/>
        </w:rPr>
        <w:t>按客户类型列示</w:t>
      </w:r>
      <w:bookmarkEnd w:id="1201"/>
      <w:bookmarkEnd w:id="1202"/>
      <w:bookmarkEnd w:id="120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pPr>
            <w:r>
              <w:rPr>
                <w:color w:val="000000"/>
                <w:spacing w:val="0"/>
                <w:w w:val="100"/>
                <w:position w:val="0"/>
              </w:rPr>
              <w:t>42,164,149,004.40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28,841,897,179.10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876,335,095.41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933,792,756.37</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加：应计利息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451,928,604.75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364,813,319.81</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pPr>
            <w:r>
              <w:rPr>
                <w:color w:val="000000"/>
                <w:spacing w:val="0"/>
                <w:w w:val="100"/>
                <w:position w:val="0"/>
              </w:rPr>
              <w:t>43,492,412,704.56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30,140,503,255.28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85,331,105.92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68,117,784.86</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pPr>
            <w:r>
              <w:rPr>
                <w:color w:val="000000"/>
                <w:spacing w:val="0"/>
                <w:w w:val="100"/>
                <w:position w:val="0"/>
              </w:rPr>
              <w:t>43,407,081,598.64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30,072,385,470.42</w:t>
            </w:r>
          </w:p>
        </w:tc>
      </w:tr>
    </w:tbl>
    <w:p>
      <w:pPr>
        <w:widowControl w:val="0"/>
        <w:spacing w:after="279" w:line="1" w:lineRule="exact"/>
      </w:pPr>
    </w:p>
    <w:p>
      <w:pPr>
        <w:pStyle w:val="Style32"/>
        <w:keepNext/>
        <w:keepLines/>
        <w:widowControl w:val="0"/>
        <w:numPr>
          <w:ilvl w:val="0"/>
          <w:numId w:val="29"/>
        </w:numPr>
        <w:shd w:val="clear" w:color="auto" w:fill="auto"/>
        <w:bidi w:val="0"/>
        <w:spacing w:before="0" w:after="0" w:line="240" w:lineRule="auto"/>
        <w:ind w:left="0" w:right="0" w:firstLine="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担保物公允价值</w:t>
      </w:r>
      <w:bookmarkEnd w:id="1204"/>
      <w:bookmarkEnd w:id="1205"/>
      <w:bookmarkEnd w:id="120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担保物类别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4,610,473,888.90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3,382,538,134.55</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129,567,033,182.62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85,210,230,801.65</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3,964,406,650.19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3,587,485,334.21</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256,636,272.26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286,918,511.42</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138,398,549,993.97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92,467,172,781.83</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日，上述融出资金中无用于融资业务债权收益权转让的担保。</w:t>
      </w:r>
    </w:p>
    <w:p>
      <w:pPr>
        <w:widowControl w:val="0"/>
        <w:spacing w:after="339" w:line="1" w:lineRule="exact"/>
      </w:pPr>
    </w:p>
    <w:p>
      <w:pPr>
        <w:pStyle w:val="Style32"/>
        <w:keepNext/>
        <w:keepLines/>
        <w:widowControl w:val="0"/>
        <w:shd w:val="clear" w:color="auto" w:fill="auto"/>
        <w:bidi w:val="0"/>
        <w:spacing w:before="0" w:after="28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4</w:t>
      </w:r>
      <w:bookmarkEnd w:id="1210"/>
      <w:r>
        <w:rPr>
          <w:color w:val="000000"/>
          <w:spacing w:val="0"/>
          <w:w w:val="100"/>
          <w:position w:val="0"/>
        </w:rPr>
        <w:t>、交易性金融资产</w:t>
      </w:r>
      <w:bookmarkEnd w:id="1208"/>
      <w:bookmarkEnd w:id="1209"/>
      <w:bookmarkEnd w:id="1211"/>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以公允价值计量且其变动计入当期损益</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33,570,836,530.79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12,831,853,398.85</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22,383,411,876.00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8,262,074,139.28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color w:val="000000"/>
                <w:spacing w:val="0"/>
                <w:w w:val="100"/>
                <w:position w:val="0"/>
              </w:rPr>
              <w:t>9,473,750,338.44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1,862,969,825.18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银行理财和结构性存款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583,349,140.34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2,317,491,036.71</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股票及新三板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342,088,608.90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322,195,074.28</w:t>
            </w: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788,236,567.11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67,123,323.40</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33,570,836,530.79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12,831,853,398.85</w:t>
            </w:r>
          </w:p>
        </w:tc>
      </w:tr>
    </w:tbl>
    <w:p>
      <w:pPr>
        <w:widowControl w:val="0"/>
        <w:spacing w:after="279" w:line="1" w:lineRule="exact"/>
      </w:pPr>
    </w:p>
    <w:p>
      <w:pPr>
        <w:pStyle w:val="Style32"/>
        <w:keepNext/>
        <w:keepLines/>
        <w:widowControl w:val="0"/>
        <w:shd w:val="clear" w:color="auto" w:fill="auto"/>
        <w:bidi w:val="0"/>
        <w:spacing w:before="0" w:after="28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5</w:t>
      </w:r>
      <w:bookmarkEnd w:id="1214"/>
      <w:r>
        <w:rPr>
          <w:color w:val="000000"/>
          <w:spacing w:val="0"/>
          <w:w w:val="100"/>
          <w:position w:val="0"/>
        </w:rPr>
        <w:t>、衍生金融资产</w:t>
      </w:r>
      <w:bookmarkEnd w:id="1212"/>
      <w:bookmarkEnd w:id="1213"/>
      <w:bookmarkEnd w:id="121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收益互换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101,664,864.74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场外期权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5,705,191.68</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场内期权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3,397,141.20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110,767,197.62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4"/>
        <w:keepNext w:val="0"/>
        <w:keepLines w:val="0"/>
        <w:widowControl w:val="0"/>
        <w:shd w:val="clear" w:color="auto" w:fill="auto"/>
        <w:bidi w:val="0"/>
        <w:spacing w:before="0" w:after="320" w:line="247" w:lineRule="exact"/>
        <w:ind w:left="0" w:right="0" w:firstLine="0"/>
        <w:jc w:val="left"/>
      </w:pPr>
      <w:r>
        <w:rPr>
          <w:color w:val="000000"/>
          <w:spacing w:val="0"/>
          <w:w w:val="100"/>
          <w:position w:val="0"/>
        </w:rPr>
        <w:t>公司于本年末所持有当日无负债结算制度下的期货合约产生的持仓损益，已经结算并包括在货币资金或存出保证金中，衍 生金融工具项下合约形成的金融资产或金融负债与相关业务的暂收暂付款（结算所得的持仓损益）之间按抵销后的净额为 零列示。</w:t>
      </w:r>
    </w:p>
    <w:p>
      <w:pPr>
        <w:pStyle w:val="Style32"/>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6</w:t>
      </w:r>
      <w:bookmarkEnd w:id="1218"/>
      <w:r>
        <w:rPr>
          <w:color w:val="000000"/>
          <w:spacing w:val="0"/>
          <w:w w:val="100"/>
          <w:position w:val="0"/>
        </w:rPr>
        <w:t>、应收账款</w:t>
      </w:r>
      <w:bookmarkEnd w:id="1216"/>
      <w:bookmarkEnd w:id="1217"/>
      <w:bookmarkEnd w:id="1219"/>
    </w:p>
    <w:p>
      <w:pPr>
        <w:pStyle w:val="Style32"/>
        <w:keepNext/>
        <w:keepLines/>
        <w:widowControl w:val="0"/>
        <w:shd w:val="clear" w:color="auto" w:fill="auto"/>
        <w:bidi w:val="0"/>
        <w:spacing w:before="0" w:after="260" w:line="240" w:lineRule="auto"/>
        <w:ind w:left="0" w:right="0" w:firstLine="0"/>
        <w:jc w:val="left"/>
      </w:pPr>
      <w:bookmarkStart w:id="1216" w:name="bookmark1216"/>
      <w:bookmarkStart w:id="1217" w:name="bookmark1217"/>
      <w:bookmarkStart w:id="1220" w:name="bookmark12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16"/>
      <w:bookmarkEnd w:id="1217"/>
      <w:bookmarkEnd w:id="122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1018"/>
        <w:gridCol w:w="768"/>
        <w:gridCol w:w="763"/>
        <w:gridCol w:w="763"/>
        <w:gridCol w:w="950"/>
        <w:gridCol w:w="850"/>
        <w:gridCol w:w="710"/>
        <w:gridCol w:w="850"/>
        <w:gridCol w:w="706"/>
        <w:gridCol w:w="830"/>
      </w:tblGrid>
      <w:tr>
        <w:trPr>
          <w:trHeight w:val="34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17"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59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按单项计提坏账 准备的应收账款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1"/>
                <w:szCs w:val="11"/>
              </w:rPr>
            </w:pPr>
            <w:r>
              <w:rPr>
                <w:color w:val="000000"/>
                <w:spacing w:val="0"/>
                <w:w w:val="100"/>
                <w:position w:val="0"/>
                <w:sz w:val="11"/>
                <w:szCs w:val="11"/>
              </w:rPr>
              <w:t>7,358,710.00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0.39%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3,885,150.92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52.80%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3,473,559.08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5,319,202.60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3,285,807.53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61.77%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2,033,395.07</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rPr>
              <w:t>1,869,039,265.08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1"/>
                <w:szCs w:val="11"/>
              </w:rPr>
            </w:pPr>
            <w:r>
              <w:rPr>
                <w:color w:val="000000"/>
                <w:spacing w:val="0"/>
                <w:w w:val="100"/>
                <w:position w:val="0"/>
                <w:sz w:val="11"/>
                <w:szCs w:val="11"/>
              </w:rPr>
              <w:t>99.61%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53,253,793.34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1,815,785,471.74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770,072,894.16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99.31%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46,084,366.63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1"/>
                <w:szCs w:val="11"/>
              </w:rPr>
            </w:pPr>
            <w:r>
              <w:rPr>
                <w:color w:val="000000"/>
                <w:spacing w:val="0"/>
                <w:w w:val="100"/>
                <w:position w:val="0"/>
                <w:sz w:val="11"/>
                <w:szCs w:val="11"/>
              </w:rPr>
              <w:t>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723,988,527.53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rPr>
              <w:t>1,869,039,265.08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1"/>
                <w:szCs w:val="11"/>
              </w:rPr>
            </w:pPr>
            <w:r>
              <w:rPr>
                <w:color w:val="000000"/>
                <w:spacing w:val="0"/>
                <w:w w:val="100"/>
                <w:position w:val="0"/>
                <w:sz w:val="11"/>
                <w:szCs w:val="11"/>
              </w:rPr>
              <w:t>99.61%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53,253,793.34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2.85%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1,815,785,471.74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770,072,894.16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99.31%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rPr>
              <w:t>46,084,366.63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1"/>
                <w:szCs w:val="11"/>
              </w:rPr>
            </w:pPr>
            <w:r>
              <w:rPr>
                <w:color w:val="000000"/>
                <w:spacing w:val="0"/>
                <w:w w:val="100"/>
                <w:position w:val="0"/>
                <w:sz w:val="11"/>
                <w:szCs w:val="11"/>
              </w:rPr>
              <w:t>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723,988,527.53</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rPr>
              <w:t>1,876,397,975.08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57,138,944.26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3.05%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1,819,259,030.82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775,392,096.76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1"/>
                <w:szCs w:val="11"/>
              </w:rPr>
            </w:pPr>
            <w:r>
              <w:rPr>
                <w:color w:val="000000"/>
                <w:spacing w:val="0"/>
                <w:w w:val="100"/>
                <w:position w:val="0"/>
                <w:sz w:val="11"/>
                <w:szCs w:val="11"/>
              </w:rPr>
              <w:t>49,370,174.16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1"/>
                <w:szCs w:val="11"/>
              </w:rPr>
            </w:pPr>
            <w:r>
              <w:rPr>
                <w:color w:val="000000"/>
                <w:spacing w:val="0"/>
                <w:w w:val="100"/>
                <w:position w:val="0"/>
                <w:sz w:val="11"/>
                <w:szCs w:val="11"/>
              </w:rPr>
              <w:t>6.37%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726,021,922.60</w:t>
            </w:r>
          </w:p>
        </w:tc>
      </w:tr>
    </w:tbl>
    <w:p>
      <w:pPr>
        <w:widowControl w:val="0"/>
        <w:spacing w:after="259" w:line="1" w:lineRule="exact"/>
      </w:pPr>
    </w:p>
    <w:p>
      <w:pPr>
        <w:pStyle w:val="Style28"/>
        <w:keepNext w:val="0"/>
        <w:keepLines w:val="0"/>
        <w:widowControl w:val="0"/>
        <w:shd w:val="clear" w:color="auto" w:fill="auto"/>
        <w:bidi w:val="0"/>
        <w:spacing w:before="0" w:after="60" w:line="240" w:lineRule="auto"/>
        <w:ind w:left="0" w:right="0" w:firstLine="0"/>
        <w:jc w:val="left"/>
      </w:pPr>
      <w:r>
        <w:rPr>
          <w:rFonts w:ascii="SimSun" w:eastAsia="SimSun" w:hAnsi="SimSun" w:cs="SimSun"/>
          <w:b w:val="0"/>
          <w:bCs w:val="0"/>
          <w:color w:val="000000"/>
          <w:spacing w:val="0"/>
          <w:w w:val="100"/>
          <w:position w:val="0"/>
        </w:rPr>
        <w:t>按单项计提坏账准备：</w:t>
      </w:r>
      <w:r>
        <w:rPr>
          <w:b w:val="0"/>
          <w:bCs w:val="0"/>
          <w:color w:val="000000"/>
          <w:spacing w:val="0"/>
          <w:w w:val="100"/>
          <w:position w:val="0"/>
        </w:rPr>
        <w:t>3,885,150.92</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20"/>
        <w:gridCol w:w="1925"/>
      </w:tblGrid>
      <w:tr>
        <w:trPr>
          <w:trHeight w:val="34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1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2,269,259.59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pPr>
            <w:r>
              <w:rPr>
                <w:color w:val="000000"/>
                <w:spacing w:val="0"/>
                <w:w w:val="100"/>
                <w:position w:val="0"/>
              </w:rPr>
              <w:t>2,269,259.59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公募基金业务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3,473,559.08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互联网广告服务业务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1,600,943.39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pPr>
            <w:r>
              <w:rPr>
                <w:color w:val="000000"/>
                <w:spacing w:val="0"/>
                <w:w w:val="100"/>
                <w:position w:val="0"/>
              </w:rPr>
              <w:t>1,600,943.39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金融电子商务服务业务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14,947.94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14,947.94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7,358,710.00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pPr>
            <w:r>
              <w:rPr>
                <w:color w:val="000000"/>
                <w:spacing w:val="0"/>
                <w:w w:val="100"/>
                <w:position w:val="0"/>
              </w:rPr>
              <w:t>3,885,150.92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p>
      <w:pPr>
        <w:pStyle w:val="Style28"/>
        <w:keepNext w:val="0"/>
        <w:keepLines w:val="0"/>
        <w:widowControl w:val="0"/>
        <w:shd w:val="clear" w:color="auto" w:fill="auto"/>
        <w:bidi w:val="0"/>
        <w:spacing w:before="0" w:after="60" w:line="240" w:lineRule="auto"/>
        <w:ind w:left="0" w:right="0" w:firstLine="0"/>
        <w:jc w:val="left"/>
      </w:pPr>
      <w:r>
        <w:rPr>
          <w:rFonts w:ascii="SimSun" w:eastAsia="SimSun" w:hAnsi="SimSun" w:cs="SimSun"/>
          <w:b w:val="0"/>
          <w:bCs w:val="0"/>
          <w:color w:val="000000"/>
          <w:spacing w:val="0"/>
          <w:w w:val="100"/>
          <w:position w:val="0"/>
        </w:rPr>
        <w:t>按组合计提坏账准备：</w:t>
      </w:r>
      <w:r>
        <w:rPr>
          <w:b w:val="0"/>
          <w:bCs w:val="0"/>
          <w:color w:val="000000"/>
          <w:spacing w:val="0"/>
          <w:w w:val="100"/>
          <w:position w:val="0"/>
        </w:rPr>
        <w:t>53,253,793.34</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10"/>
        <w:gridCol w:w="2395"/>
        <w:gridCol w:w="2400"/>
      </w:tblGrid>
      <w:tr>
        <w:trPr>
          <w:trHeight w:val="34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1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1,730,965,329.07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26,782,564.70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131,690,874.02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20,241,921.90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318,945.01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165,189.76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6,064,116.98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6,064,116.98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1,869,039,265.08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53,253,793.34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按账龄披露</w:t>
      </w:r>
    </w:p>
    <w:p>
      <w:pPr>
        <w:widowControl w:val="0"/>
        <w:spacing w:after="59" w:line="1" w:lineRule="exact"/>
      </w:pPr>
    </w:p>
    <w:p>
      <w:pPr>
        <w:widowControl w:val="0"/>
        <w:spacing w:line="1" w:lineRule="exact"/>
      </w:pP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10"/>
        <w:gridCol w:w="4795"/>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1,734,438,888.15</w:t>
            </w:r>
          </w:p>
        </w:tc>
      </w:tr>
    </w:tbl>
    <w:p>
      <w:pPr>
        <w:sectPr>
          <w:footnotePr>
            <w:pos w:val="pageBottom"/>
            <w:numFmt w:val="upperRoman"/>
            <w:numStart w:val="1"/>
            <w:numRestart w:val="continuous"/>
            <w15:footnoteColumns w:val="1"/>
          </w:footnotePr>
          <w:pgSz w:w="11900" w:h="16840"/>
          <w:pgMar w:top="1779" w:right="935" w:bottom="1457" w:left="1047" w:header="0" w:footer="3" w:gutter="0"/>
          <w:cols w:space="720"/>
          <w:noEndnote/>
          <w:rtlGutter w:val="0"/>
          <w:docGrid w:linePitch="360"/>
        </w:sectPr>
      </w:pPr>
    </w:p>
    <w:tbl>
      <w:tblPr>
        <w:tblOverlap w:val="never"/>
        <w:jc w:val="center"/>
        <w:tblLayout w:type="fixed"/>
      </w:tblPr>
      <w:tblGrid>
        <w:gridCol w:w="2357"/>
        <w:gridCol w:w="2496"/>
        <w:gridCol w:w="4853"/>
      </w:tblGrid>
      <w:tr>
        <w:trPr>
          <w:trHeight w:val="44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EA5405"/>
                <w:spacing w:val="0"/>
                <w:w w:val="100"/>
                <w:position w:val="0"/>
                <w:sz w:val="22"/>
                <w:szCs w:val="22"/>
              </w:rPr>
              <w:t>吻东方财富</w:t>
            </w:r>
          </w:p>
          <w:p>
            <w:pPr>
              <w:pStyle w:val="Style6"/>
              <w:keepNext w:val="0"/>
              <w:keepLines w:val="0"/>
              <w:widowControl w:val="0"/>
              <w:shd w:val="clear" w:color="auto" w:fill="auto"/>
              <w:bidi w:val="0"/>
              <w:spacing w:before="0" w:after="0" w:line="180" w:lineRule="auto"/>
              <w:ind w:left="0" w:right="0" w:firstLine="480"/>
              <w:jc w:val="left"/>
              <w:rPr>
                <w:sz w:val="9"/>
                <w:szCs w:val="9"/>
              </w:rPr>
            </w:pPr>
            <w:r>
              <w:rPr>
                <w:rFonts w:ascii="Arial" w:eastAsia="Arial" w:hAnsi="Arial" w:cs="Arial"/>
                <w:b/>
                <w:bCs/>
                <w:color w:val="717171"/>
                <w:spacing w:val="0"/>
                <w:w w:val="100"/>
                <w:position w:val="0"/>
                <w:sz w:val="9"/>
                <w:szCs w:val="9"/>
              </w:rPr>
              <w:t>east</w:t>
            </w:r>
            <w:r>
              <w:rPr>
                <w:rFonts w:ascii="Arial" w:eastAsia="Arial" w:hAnsi="Arial" w:cs="Arial"/>
                <w:b/>
                <w:bCs/>
                <w:color w:val="B56134"/>
                <w:spacing w:val="0"/>
                <w:w w:val="100"/>
                <w:position w:val="0"/>
                <w:sz w:val="9"/>
                <w:szCs w:val="9"/>
              </w:rPr>
              <w:t>money.com</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300059</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东方财富信息股份有限公司</w:t>
            </w:r>
            <w:r>
              <w:rPr>
                <w:color w:val="000000"/>
                <w:spacing w:val="0"/>
                <w:w w:val="100"/>
                <w:position w:val="0"/>
              </w:rPr>
              <w:t>2021</w:t>
            </w:r>
            <w:r>
              <w:rPr>
                <w:rFonts w:ascii="SimSun" w:eastAsia="SimSun" w:hAnsi="SimSun" w:cs="SimSun"/>
                <w:color w:val="000000"/>
                <w:spacing w:val="0"/>
                <w:w w:val="100"/>
                <w:position w:val="0"/>
              </w:rPr>
              <w:t>年年度报告全文</w:t>
            </w:r>
          </w:p>
        </w:tc>
      </w:tr>
      <w:tr>
        <w:trPr>
          <w:trHeight w:val="576" w:hRule="exact"/>
        </w:trPr>
        <w:tc>
          <w:tcPr>
            <w:gridSpan w:val="3"/>
            <w:tcBorders>
              <w:top w:val="single" w:sz="4"/>
            </w:tcBorders>
            <w:shd w:val="clear" w:color="auto" w:fill="FFFFFF"/>
            <w:vAlign w:val="top"/>
          </w:tcPr>
          <w:p>
            <w:pPr>
              <w:widowControl w:val="0"/>
              <w:rPr>
                <w:sz w:val="10"/>
                <w:szCs w:val="10"/>
              </w:rPr>
            </w:pPr>
          </w:p>
        </w:tc>
      </w:tr>
      <w:tr>
        <w:trPr>
          <w:trHeight w:val="317"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131,690,874.02</w:t>
            </w:r>
          </w:p>
        </w:tc>
      </w:tr>
      <w:tr>
        <w:trPr>
          <w:trHeight w:val="331"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1,138,944.97</w:t>
            </w:r>
          </w:p>
        </w:tc>
      </w:tr>
      <w:tr>
        <w:trPr>
          <w:trHeight w:val="317"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9,129,267.94</w:t>
            </w:r>
          </w:p>
        </w:tc>
      </w:tr>
      <w:tr>
        <w:trPr>
          <w:trHeight w:val="331"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759,579.99</w:t>
            </w:r>
          </w:p>
        </w:tc>
      </w:tr>
      <w:tr>
        <w:trPr>
          <w:trHeight w:val="317"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1,834,448.64</w:t>
            </w:r>
          </w:p>
        </w:tc>
      </w:tr>
      <w:tr>
        <w:trPr>
          <w:trHeight w:val="331"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6,535,239.31</w:t>
            </w:r>
          </w:p>
        </w:tc>
      </w:tr>
      <w:tr>
        <w:trPr>
          <w:trHeight w:val="326"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1,876,397,975.08</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221" w:name="bookmark1221"/>
      <w:bookmarkStart w:id="1222" w:name="bookmark1222"/>
      <w:bookmarkStart w:id="1223" w:name="bookmark12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21"/>
      <w:bookmarkEnd w:id="1222"/>
      <w:bookmarkEnd w:id="1223"/>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73"/>
        <w:gridCol w:w="1368"/>
        <w:gridCol w:w="1378"/>
      </w:tblGrid>
      <w:tr>
        <w:trPr>
          <w:trHeight w:val="32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31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按单项计提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3,285,807.53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599,343.39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3,885,150.92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46,084,366.63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7,768,770.10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-599,343.39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53,253,793.34</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49,370,174.16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7,768,770.10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57,138,944.26</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224"/>
      <w:bookmarkEnd w:id="1225"/>
      <w:bookmarkEnd w:id="122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2237"/>
        <w:gridCol w:w="2827"/>
        <w:gridCol w:w="2544"/>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坏账准备期末余额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316,003,331.16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11,508,963.38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220,082,336.76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both"/>
            </w:pPr>
            <w:r>
              <w:rPr>
                <w:color w:val="000000"/>
                <w:spacing w:val="0"/>
                <w:w w:val="100"/>
                <w:position w:val="0"/>
              </w:rPr>
              <w:t>7,293,582.56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112,288,579.72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both"/>
            </w:pPr>
            <w:r>
              <w:rPr>
                <w:color w:val="000000"/>
                <w:spacing w:val="0"/>
                <w:w w:val="100"/>
                <w:position w:val="0"/>
              </w:rPr>
              <w:t>3,051,232.97</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103,853,094.16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both"/>
            </w:pPr>
            <w:r>
              <w:rPr>
                <w:color w:val="000000"/>
                <w:spacing w:val="0"/>
                <w:w w:val="100"/>
                <w:position w:val="0"/>
              </w:rPr>
              <w:t>3,236,914.21</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80,605,369.45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1,107,509.64</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832,832,711.25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44.38%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7</w:t>
      </w:r>
      <w:bookmarkEnd w:id="1230"/>
      <w:r>
        <w:rPr>
          <w:color w:val="000000"/>
          <w:spacing w:val="0"/>
          <w:w w:val="100"/>
          <w:position w:val="0"/>
        </w:rPr>
        <w:t>、预付款项</w:t>
      </w:r>
      <w:bookmarkEnd w:id="1228"/>
      <w:bookmarkEnd w:id="1229"/>
      <w:bookmarkEnd w:id="1231"/>
    </w:p>
    <w:p>
      <w:pPr>
        <w:pStyle w:val="Style32"/>
        <w:keepNext/>
        <w:keepLines/>
        <w:widowControl w:val="0"/>
        <w:shd w:val="clear" w:color="auto" w:fill="auto"/>
        <w:bidi w:val="0"/>
        <w:spacing w:before="0" w:after="300" w:line="240" w:lineRule="auto"/>
        <w:ind w:left="0" w:right="0" w:firstLine="0"/>
        <w:jc w:val="left"/>
      </w:pPr>
      <w:bookmarkStart w:id="1228" w:name="bookmark1228"/>
      <w:bookmarkStart w:id="1229" w:name="bookmark1229"/>
      <w:bookmarkStart w:id="1232" w:name="bookmark12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28"/>
      <w:bookmarkEnd w:id="1229"/>
      <w:bookmarkEnd w:id="123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20"/>
        <w:gridCol w:w="1925"/>
      </w:tblGrid>
      <w:tr>
        <w:trPr>
          <w:trHeight w:val="32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rPr>
              <w:t>81,187,976.68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92,593,851.52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98.41%</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5,644,676.25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712,205.19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156,122.23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788,239.76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15,533.98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rPr>
              <w:t>87,004,309.14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94,094,296.47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footnotePr>
            <w:pos w:val="pageBottom"/>
            <w:numFmt w:val="upperRoman"/>
            <w:numStart w:val="1"/>
            <w:numRestart w:val="continuous"/>
            <w15:footnoteColumns w:val="1"/>
          </w:footnotePr>
          <w:pgSz w:w="11900" w:h="16840"/>
          <w:pgMar w:top="834" w:right="1090" w:bottom="1151" w:left="1104" w:header="0" w:footer="3" w:gutter="0"/>
          <w:cols w:space="720"/>
          <w:noEndnote/>
          <w:rtlGutter w:val="0"/>
          <w:docGrid w:linePitch="360"/>
        </w:sectPr>
      </w:pPr>
    </w:p>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吻东方财富</w:t>
      </w:r>
    </w:p>
    <w:p>
      <w:pPr>
        <w:pStyle w:val="Style37"/>
        <w:keepNext w:val="0"/>
        <w:keepLines w:val="0"/>
        <w:widowControl w:val="0"/>
        <w:shd w:val="clear" w:color="auto" w:fill="auto"/>
        <w:bidi w:val="0"/>
        <w:spacing w:before="0" w:after="660"/>
        <w:ind w:left="0" w:right="0"/>
        <w:jc w:val="left"/>
      </w:pPr>
      <w:r>
        <w:rPr>
          <w:spacing w:val="0"/>
          <w:w w:val="100"/>
          <w:position w:val="0"/>
        </w:rPr>
        <w:t>eastmoney.com</w:t>
      </w:r>
    </w:p>
    <w:p>
      <w:pPr>
        <w:pStyle w:val="Style32"/>
        <w:keepNext/>
        <w:keepLines/>
        <w:widowControl w:val="0"/>
        <w:shd w:val="clear" w:color="auto" w:fill="auto"/>
        <w:bidi w:val="0"/>
        <w:spacing w:before="0" w:after="340" w:line="240" w:lineRule="auto"/>
        <w:ind w:left="0" w:right="0" w:firstLine="0"/>
        <w:jc w:val="both"/>
      </w:pPr>
      <w:bookmarkStart w:id="1233" w:name="bookmark1233"/>
      <w:bookmarkStart w:id="1234" w:name="bookmark1234"/>
      <w:bookmarkStart w:id="1235" w:name="bookmark12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33"/>
      <w:bookmarkEnd w:id="1234"/>
      <w:bookmarkEnd w:id="1235"/>
    </w:p>
    <w:p>
      <w:pPr>
        <w:pStyle w:val="Style41"/>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日，前五名预付款项汇总金额人民币</w:t>
      </w:r>
      <w:r>
        <w:rPr>
          <w:rFonts w:ascii="Times New Roman" w:eastAsia="Times New Roman" w:hAnsi="Times New Roman" w:cs="Times New Roman"/>
          <w:color w:val="000000"/>
          <w:spacing w:val="0"/>
          <w:w w:val="100"/>
          <w:position w:val="0"/>
        </w:rPr>
        <w:t>27,108,827.94</w:t>
      </w:r>
      <w:r>
        <w:rPr>
          <w:color w:val="000000"/>
          <w:spacing w:val="0"/>
          <w:w w:val="100"/>
          <w:position w:val="0"/>
        </w:rPr>
        <w:t>元，占预付款项期末余额合计数的比例</w:t>
      </w:r>
    </w:p>
    <w:p>
      <w:pPr>
        <w:pStyle w:val="Style76"/>
        <w:keepNext w:val="0"/>
        <w:keepLines w:val="0"/>
        <w:widowControl w:val="0"/>
        <w:shd w:val="clear" w:color="auto" w:fill="auto"/>
        <w:bidi w:val="0"/>
        <w:spacing w:before="0" w:line="240" w:lineRule="auto"/>
        <w:ind w:left="0" w:right="0" w:firstLine="0"/>
        <w:jc w:val="both"/>
      </w:pPr>
      <w:r>
        <w:rPr>
          <w:color w:val="000000"/>
          <w:spacing w:val="0"/>
          <w:w w:val="100"/>
          <w:position w:val="0"/>
        </w:rPr>
        <w:t>31.16%</w:t>
      </w:r>
      <w:r>
        <w:rPr>
          <w:rFonts w:ascii="SimSun" w:eastAsia="SimSun" w:hAnsi="SimSun" w:cs="SimSun"/>
          <w:color w:val="000000"/>
          <w:spacing w:val="0"/>
          <w:w w:val="100"/>
          <w:position w:val="0"/>
        </w:rPr>
        <w:t>。</w:t>
      </w:r>
    </w:p>
    <w:p>
      <w:pPr>
        <w:pStyle w:val="Style32"/>
        <w:keepNext/>
        <w:keepLines/>
        <w:widowControl w:val="0"/>
        <w:shd w:val="clear" w:color="auto" w:fill="auto"/>
        <w:bidi w:val="0"/>
        <w:spacing w:before="0" w:after="280" w:line="240" w:lineRule="auto"/>
        <w:ind w:left="0" w:right="0" w:firstLine="0"/>
        <w:jc w:val="both"/>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8</w:t>
      </w:r>
      <w:bookmarkEnd w:id="1238"/>
      <w:r>
        <w:rPr>
          <w:color w:val="000000"/>
          <w:spacing w:val="0"/>
          <w:w w:val="100"/>
          <w:position w:val="0"/>
        </w:rPr>
        <w:t>、其他应收款</w:t>
      </w:r>
      <w:bookmarkEnd w:id="1236"/>
      <w:bookmarkEnd w:id="1237"/>
      <w:bookmarkEnd w:id="123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8,338,749,508.38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9,801,549,035.32</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8,338,749,508.38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9,801,549,035.32</w:t>
            </w:r>
          </w:p>
        </w:tc>
      </w:tr>
    </w:tbl>
    <w:p>
      <w:pPr>
        <w:widowControl w:val="0"/>
        <w:spacing w:after="279" w:line="1" w:lineRule="exact"/>
      </w:pPr>
    </w:p>
    <w:p>
      <w:pPr>
        <w:pStyle w:val="Style32"/>
        <w:keepNext/>
        <w:keepLines/>
        <w:widowControl w:val="0"/>
        <w:shd w:val="clear" w:color="auto" w:fill="auto"/>
        <w:bidi w:val="0"/>
        <w:spacing w:before="0" w:after="280" w:line="240" w:lineRule="auto"/>
        <w:ind w:left="0" w:right="0" w:firstLine="0"/>
        <w:jc w:val="both"/>
      </w:pPr>
      <w:bookmarkStart w:id="1240" w:name="bookmark1240"/>
      <w:bookmarkStart w:id="1241" w:name="bookmark1241"/>
      <w:bookmarkStart w:id="1242" w:name="bookmark12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240"/>
      <w:bookmarkEnd w:id="1241"/>
      <w:bookmarkEnd w:id="124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应收经纪业务清算款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3,282,318,164.61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1,750,518,778.87</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应收基金销售业务赎回款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3,186,400,753.89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5,162,385,758.16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代垫基金销售业务赎回款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1,827,984,453.88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2,848,674,493.58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应收逾期投资款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128,825,420.00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128,825,420.00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31,314,039.18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21,938,272.92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应收第三方支付平台结算款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4,260,980.68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10,026,940.43</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106,913,646.06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105,218,206.16</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8,568,017,458.30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10,027,587,870.12</w:t>
            </w:r>
          </w:p>
        </w:tc>
      </w:tr>
    </w:tbl>
    <w:p>
      <w:pPr>
        <w:widowControl w:val="0"/>
        <w:spacing w:after="279" w:line="1" w:lineRule="exact"/>
      </w:pPr>
    </w:p>
    <w:p>
      <w:pPr>
        <w:pStyle w:val="Style32"/>
        <w:keepNext/>
        <w:keepLines/>
        <w:widowControl w:val="0"/>
        <w:shd w:val="clear" w:color="auto" w:fill="auto"/>
        <w:bidi w:val="0"/>
        <w:spacing w:before="0" w:after="280" w:line="240" w:lineRule="auto"/>
        <w:ind w:left="0" w:right="0" w:firstLine="0"/>
        <w:jc w:val="both"/>
      </w:pPr>
      <w:bookmarkStart w:id="1243" w:name="bookmark1243"/>
      <w:bookmarkStart w:id="1244" w:name="bookmark1244"/>
      <w:bookmarkStart w:id="1245" w:name="bookmark12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243"/>
      <w:bookmarkEnd w:id="1244"/>
      <w:bookmarkEnd w:id="124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61"/>
        <w:gridCol w:w="2102"/>
        <w:gridCol w:w="2098"/>
        <w:gridCol w:w="1819"/>
      </w:tblGrid>
      <w:tr>
        <w:trPr>
          <w:trHeight w:val="32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合计</w:t>
            </w:r>
          </w:p>
        </w:tc>
      </w:tr>
      <w:tr>
        <w:trPr>
          <w:trHeight w:val="60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 xml:space="preserve">整个存续期预期信用损失 </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 xml:space="preserve">整个存续期预期信用损失 </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16,153,238.89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209,885,595.91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226,038,834.80</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0"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3,285,880.89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428,277.46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3,714,158.35</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485,043.23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485,043.23</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19,439,119.78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209,828,830.14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229,267,949.92</w:t>
            </w:r>
          </w:p>
        </w:tc>
      </w:tr>
    </w:tbl>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损失准备本期变动金额重大的账面余额变动情况</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widowControl w:val="0"/>
        <w:spacing w:after="279" w:line="1" w:lineRule="exact"/>
      </w:pP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按账龄披露</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10"/>
        <w:gridCol w:w="4795"/>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8,316,724,046.21</w:t>
            </w:r>
          </w:p>
        </w:tc>
      </w:tr>
    </w:tbl>
    <w:p>
      <w:pPr>
        <w:sectPr>
          <w:footnotePr>
            <w:pos w:val="pageBottom"/>
            <w:numFmt w:val="upperRoman"/>
            <w:numStart w:val="1"/>
            <w:numRestart w:val="continuous"/>
            <w15:footnoteColumns w:val="1"/>
          </w:footnotePr>
          <w:pgSz w:w="11900" w:h="16840"/>
          <w:pgMar w:top="824" w:right="1099" w:bottom="1150" w:left="1109" w:header="0" w:footer="3" w:gutter="0"/>
          <w:cols w:space="720"/>
          <w:noEndnote/>
          <w:rtlGutter w:val="0"/>
          <w:docGrid w:linePitch="360"/>
        </w:sectPr>
      </w:pPr>
    </w:p>
    <w:tbl>
      <w:tblPr>
        <w:tblOverlap w:val="never"/>
        <w:jc w:val="center"/>
        <w:tblLayout w:type="fixed"/>
      </w:tblPr>
      <w:tblGrid>
        <w:gridCol w:w="2357"/>
        <w:gridCol w:w="2496"/>
        <w:gridCol w:w="4853"/>
      </w:tblGrid>
      <w:tr>
        <w:trPr>
          <w:trHeight w:val="446" w:hRule="exact"/>
        </w:trPr>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EA5405"/>
                <w:spacing w:val="0"/>
                <w:w w:val="100"/>
                <w:position w:val="0"/>
                <w:sz w:val="22"/>
                <w:szCs w:val="22"/>
              </w:rPr>
              <w:t>吻东方财富</w:t>
            </w:r>
          </w:p>
          <w:p>
            <w:pPr>
              <w:pStyle w:val="Style6"/>
              <w:keepNext w:val="0"/>
              <w:keepLines w:val="0"/>
              <w:widowControl w:val="0"/>
              <w:shd w:val="clear" w:color="auto" w:fill="auto"/>
              <w:bidi w:val="0"/>
              <w:spacing w:before="0" w:after="0" w:line="180" w:lineRule="auto"/>
              <w:ind w:left="0" w:right="0" w:firstLine="480"/>
              <w:jc w:val="left"/>
              <w:rPr>
                <w:sz w:val="9"/>
                <w:szCs w:val="9"/>
              </w:rPr>
            </w:pPr>
            <w:r>
              <w:rPr>
                <w:rFonts w:ascii="Arial" w:eastAsia="Arial" w:hAnsi="Arial" w:cs="Arial"/>
                <w:b/>
                <w:bCs/>
                <w:color w:val="717171"/>
                <w:spacing w:val="0"/>
                <w:w w:val="100"/>
                <w:position w:val="0"/>
                <w:sz w:val="9"/>
                <w:szCs w:val="9"/>
              </w:rPr>
              <w:t>east</w:t>
            </w:r>
            <w:r>
              <w:rPr>
                <w:rFonts w:ascii="Arial" w:eastAsia="Arial" w:hAnsi="Arial" w:cs="Arial"/>
                <w:b/>
                <w:bCs/>
                <w:color w:val="B56134"/>
                <w:spacing w:val="0"/>
                <w:w w:val="100"/>
                <w:position w:val="0"/>
                <w:sz w:val="9"/>
                <w:szCs w:val="9"/>
              </w:rPr>
              <w:t>money.com</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300059</w:t>
            </w:r>
          </w:p>
        </w:tc>
        <w:tc>
          <w:tcPr>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东方财富信息股份有限公司</w:t>
            </w:r>
            <w:r>
              <w:rPr>
                <w:color w:val="000000"/>
                <w:spacing w:val="0"/>
                <w:w w:val="100"/>
                <w:position w:val="0"/>
              </w:rPr>
              <w:t>2021</w:t>
            </w:r>
            <w:r>
              <w:rPr>
                <w:rFonts w:ascii="SimSun" w:eastAsia="SimSun" w:hAnsi="SimSun" w:cs="SimSun"/>
                <w:color w:val="000000"/>
                <w:spacing w:val="0"/>
                <w:w w:val="100"/>
                <w:position w:val="0"/>
              </w:rPr>
              <w:t>年年度报告全文</w:t>
            </w:r>
          </w:p>
        </w:tc>
      </w:tr>
      <w:tr>
        <w:trPr>
          <w:trHeight w:val="576" w:hRule="exact"/>
        </w:trPr>
        <w:tc>
          <w:tcPr>
            <w:gridSpan w:val="3"/>
            <w:tcBorders>
              <w:top w:val="single" w:sz="4"/>
            </w:tcBorders>
            <w:shd w:val="clear" w:color="auto" w:fill="FFFFFF"/>
            <w:vAlign w:val="top"/>
          </w:tcPr>
          <w:p>
            <w:pPr>
              <w:widowControl w:val="0"/>
              <w:rPr>
                <w:sz w:val="10"/>
                <w:szCs w:val="10"/>
              </w:rPr>
            </w:pPr>
          </w:p>
        </w:tc>
      </w:tr>
      <w:tr>
        <w:trPr>
          <w:trHeight w:val="317"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30,802,643.29</w:t>
            </w:r>
          </w:p>
        </w:tc>
      </w:tr>
      <w:tr>
        <w:trPr>
          <w:trHeight w:val="331"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10,735,810.99</w:t>
            </w:r>
          </w:p>
        </w:tc>
      </w:tr>
      <w:tr>
        <w:trPr>
          <w:trHeight w:val="317"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209,754,957.81</w:t>
            </w:r>
          </w:p>
        </w:tc>
      </w:tr>
      <w:tr>
        <w:trPr>
          <w:trHeight w:val="331"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21,878,310.20</w:t>
            </w:r>
          </w:p>
        </w:tc>
      </w:tr>
      <w:tr>
        <w:trPr>
          <w:trHeight w:val="317"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49,722,566.67</w:t>
            </w:r>
          </w:p>
        </w:tc>
      </w:tr>
      <w:tr>
        <w:trPr>
          <w:trHeight w:val="331"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138,154,080.94</w:t>
            </w:r>
          </w:p>
        </w:tc>
      </w:tr>
      <w:tr>
        <w:trPr>
          <w:trHeight w:val="326"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8,568,017,458.30</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3</w:t>
      </w:r>
      <w:r>
        <w:rPr>
          <w:color w:val="000000"/>
          <w:spacing w:val="0"/>
          <w:w w:val="100"/>
          <w:position w:val="0"/>
        </w:rPr>
        <w:t>）本期计提、收回或转回的坏账准备情况</w:t>
      </w:r>
      <w:bookmarkEnd w:id="1246"/>
      <w:bookmarkEnd w:id="1247"/>
      <w:bookmarkEnd w:id="1249"/>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本期计提坏账准备情况:</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574"/>
        <w:gridCol w:w="1123"/>
        <w:gridCol w:w="1282"/>
        <w:gridCol w:w="998"/>
        <w:gridCol w:w="1037"/>
        <w:gridCol w:w="1738"/>
      </w:tblGrid>
      <w:tr>
        <w:trPr>
          <w:trHeight w:val="32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1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按单项计提坏账准备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209,885,595.91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428,277.46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485,043.23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209,828,830.14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16,153,238.89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3,285,880.89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19,439,119.78</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226,038,834.80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3,714,158.35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485,043.23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229,267,949.92</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250"/>
      <w:bookmarkEnd w:id="1251"/>
      <w:bookmarkEnd w:id="125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1704"/>
        <w:gridCol w:w="1282"/>
        <w:gridCol w:w="1440"/>
        <w:gridCol w:w="1603"/>
        <w:gridCol w:w="1608"/>
      </w:tblGrid>
      <w:tr>
        <w:trPr>
          <w:trHeight w:val="57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right"/>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坏账准备期末余额</w:t>
            </w:r>
          </w:p>
        </w:tc>
      </w:tr>
      <w:tr>
        <w:trPr>
          <w:trHeight w:val="5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安微蓝博旺机械集团合 诚机械有限公司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应收逾期投资款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70,923,420.00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70,923,420.00</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保定天威集团有限公司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应收逾期投资款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57,902,000.00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57,902,000.00</w:t>
            </w:r>
          </w:p>
        </w:tc>
      </w:tr>
      <w:tr>
        <w:trPr>
          <w:trHeight w:val="5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上海盈方微电子技术有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46,696,398.13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46,696,398.13</w:t>
            </w:r>
          </w:p>
        </w:tc>
      </w:tr>
      <w:tr>
        <w:trPr>
          <w:trHeight w:val="54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济宁玉翰房地产开发有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21,000,000.00</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6,561,913.26</w:t>
            </w:r>
          </w:p>
        </w:tc>
      </w:tr>
      <w:tr>
        <w:trPr>
          <w:trHeight w:val="56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盛海燕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应收逾期融资融券客 户款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15,690,350.55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15,690,350.55</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212,212,168.68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197,774,081.94</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9</w:t>
      </w:r>
      <w:bookmarkEnd w:id="1256"/>
      <w:r>
        <w:rPr>
          <w:color w:val="000000"/>
          <w:spacing w:val="0"/>
          <w:w w:val="100"/>
          <w:position w:val="0"/>
        </w:rPr>
        <w:t>、存出保证金</w:t>
      </w:r>
      <w:bookmarkEnd w:id="1254"/>
      <w:bookmarkEnd w:id="1255"/>
      <w:bookmarkEnd w:id="1257"/>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3,092,173,949.97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2,026,528,270.24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50,062,927.07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43,939,458.79</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3,142,236,877.04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left"/>
            </w:pPr>
            <w:r>
              <w:rPr>
                <w:color w:val="000000"/>
                <w:spacing w:val="0"/>
                <w:w w:val="100"/>
                <w:position w:val="0"/>
              </w:rPr>
              <w:t>2,070,467,729.03</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0</w:t>
      </w:r>
      <w:r>
        <w:rPr>
          <w:color w:val="000000"/>
          <w:spacing w:val="0"/>
          <w:w w:val="100"/>
          <w:position w:val="0"/>
        </w:rPr>
        <w:t>、买入返售金融资产</w:t>
      </w:r>
      <w:bookmarkEnd w:id="1258"/>
      <w:bookmarkEnd w:id="1259"/>
      <w:bookmarkEnd w:id="1261"/>
    </w:p>
    <w:p>
      <w:pPr>
        <w:pStyle w:val="Style32"/>
        <w:keepNext/>
        <w:keepLines/>
        <w:widowControl w:val="0"/>
        <w:shd w:val="clear" w:color="auto" w:fill="auto"/>
        <w:bidi w:val="0"/>
        <w:spacing w:before="0" w:after="300" w:line="240" w:lineRule="auto"/>
        <w:ind w:left="0" w:right="0" w:firstLine="0"/>
        <w:jc w:val="left"/>
        <w:sectPr>
          <w:footnotePr>
            <w:pos w:val="pageBottom"/>
            <w:numFmt w:val="upperRoman"/>
            <w:numStart w:val="1"/>
            <w:numRestart w:val="continuous"/>
            <w15:footnoteColumns w:val="1"/>
          </w:footnotePr>
          <w:pgSz w:w="11900" w:h="16840"/>
          <w:pgMar w:top="834" w:right="1090" w:bottom="1151" w:left="1104" w:header="0" w:footer="3" w:gutter="0"/>
          <w:cols w:space="720"/>
          <w:noEndnote/>
          <w:rtlGutter w:val="0"/>
          <w:docGrid w:linePitch="360"/>
        </w:sectPr>
      </w:pPr>
      <w:bookmarkStart w:id="1258" w:name="bookmark1258"/>
      <w:bookmarkStart w:id="1259" w:name="bookmark1259"/>
      <w:bookmarkStart w:id="1262" w:name="bookmark12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）按业务类别列示</w:t>
      </w:r>
      <w:bookmarkEnd w:id="1258"/>
      <w:bookmarkEnd w:id="1259"/>
      <w:bookmarkEnd w:id="1262"/>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股票质押式回购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862,220,021.18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债券质押式回购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3,101,600,203.00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29,300,000.00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加：应计利息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1,806,433.09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4,465,626.77</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3,478,406,636.09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895,985,647.95</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587,377.61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both"/>
            </w:pPr>
            <w:r>
              <w:rPr>
                <w:color w:val="000000"/>
                <w:spacing w:val="0"/>
                <w:w w:val="100"/>
                <w:position w:val="0"/>
              </w:rPr>
              <w:t>947,056.69</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3,477,819,258.48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895,038,591.26</w:t>
            </w:r>
          </w:p>
        </w:tc>
      </w:tr>
    </w:tbl>
    <w:p>
      <w:pPr>
        <w:widowControl w:val="0"/>
        <w:spacing w:after="239" w:line="1" w:lineRule="exact"/>
      </w:pPr>
    </w:p>
    <w:p>
      <w:pPr>
        <w:pStyle w:val="Style32"/>
        <w:keepNext/>
        <w:keepLines/>
        <w:widowControl w:val="0"/>
        <w:shd w:val="clear" w:color="auto" w:fill="auto"/>
        <w:bidi w:val="0"/>
        <w:spacing w:before="0" w:after="240" w:line="240" w:lineRule="auto"/>
        <w:ind w:left="0" w:right="0" w:firstLine="0"/>
        <w:jc w:val="left"/>
      </w:pPr>
      <w:bookmarkStart w:id="1263" w:name="bookmark1263"/>
      <w:bookmarkStart w:id="1264" w:name="bookmark1264"/>
      <w:bookmarkStart w:id="1265" w:name="bookmark12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)按金融资产种类列示</w:t>
      </w:r>
      <w:bookmarkEnd w:id="1263"/>
      <w:bookmarkEnd w:id="1264"/>
      <w:bookmarkEnd w:id="1265"/>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862,220,021.18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3,101,600,203.00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29,300,000.00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加：应计利息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1,806,433.09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4,465,626.77</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3,478,406,636.09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895,985,647.95</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587,377.61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both"/>
            </w:pPr>
            <w:r>
              <w:rPr>
                <w:color w:val="000000"/>
                <w:spacing w:val="0"/>
                <w:w w:val="100"/>
                <w:position w:val="0"/>
              </w:rPr>
              <w:t>947,056.69</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3,477,819,258.48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895,038,591.26</w:t>
            </w:r>
          </w:p>
        </w:tc>
      </w:tr>
    </w:tbl>
    <w:p>
      <w:pPr>
        <w:widowControl w:val="0"/>
        <w:spacing w:after="239" w:line="1" w:lineRule="exact"/>
      </w:pPr>
    </w:p>
    <w:p>
      <w:pPr>
        <w:pStyle w:val="Style32"/>
        <w:keepNext/>
        <w:keepLines/>
        <w:widowControl w:val="0"/>
        <w:numPr>
          <w:ilvl w:val="0"/>
          <w:numId w:val="27"/>
        </w:numPr>
        <w:shd w:val="clear" w:color="auto" w:fill="auto"/>
        <w:bidi w:val="0"/>
        <w:spacing w:before="0" w:after="0" w:line="267" w:lineRule="exact"/>
        <w:ind w:left="0" w:right="0" w:firstLine="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担保物公允价值</w:t>
      </w:r>
      <w:bookmarkEnd w:id="1266"/>
      <w:bookmarkEnd w:id="1267"/>
      <w:bookmarkEnd w:id="1269"/>
    </w:p>
    <w:p>
      <w:pPr>
        <w:pStyle w:val="Style41"/>
        <w:keepNext w:val="0"/>
        <w:keepLines w:val="0"/>
        <w:widowControl w:val="0"/>
        <w:shd w:val="clear" w:color="auto" w:fill="auto"/>
        <w:bidi w:val="0"/>
        <w:spacing w:before="0" w:after="300" w:line="267"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日，公司开展股票质押式回购业务收取的担保物价值为人民币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,731,884,000.00</w:t>
      </w:r>
      <w:r>
        <w:rPr>
          <w:color w:val="000000"/>
          <w:spacing w:val="0"/>
          <w:w w:val="100"/>
          <w:position w:val="0"/>
        </w:rPr>
        <w:t>元，银行间逆 回购业务收取的担保物价值为人民币</w:t>
      </w:r>
      <w:r>
        <w:rPr>
          <w:rFonts w:ascii="Times New Roman" w:eastAsia="Times New Roman" w:hAnsi="Times New Roman" w:cs="Times New Roman"/>
          <w:color w:val="000000"/>
          <w:spacing w:val="0"/>
          <w:w w:val="100"/>
          <w:position w:val="0"/>
        </w:rPr>
        <w:t>2,152,558,920.90</w:t>
      </w:r>
      <w:r>
        <w:rPr>
          <w:color w:val="000000"/>
          <w:spacing w:val="0"/>
          <w:w w:val="100"/>
          <w:position w:val="0"/>
        </w:rPr>
        <w:t>元。对于通过交易所操作的国债逆回购交易，因其为交易 所自动撮合并保证担保物足值，因此无法获知对手方质押库信息，故上述担保物公允价值未包括交易所国债逆 回购所取得的担保物资产的公允价值。</w:t>
      </w:r>
    </w:p>
    <w:p>
      <w:pPr>
        <w:pStyle w:val="Style32"/>
        <w:keepNext/>
        <w:keepLines/>
        <w:widowControl w:val="0"/>
        <w:shd w:val="clear" w:color="auto" w:fill="auto"/>
        <w:bidi w:val="0"/>
        <w:spacing w:before="0" w:after="300" w:line="267" w:lineRule="exact"/>
        <w:ind w:left="0" w:right="0" w:firstLine="0"/>
        <w:jc w:val="both"/>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1</w:t>
      </w:r>
      <w:bookmarkEnd w:id="1272"/>
      <w:r>
        <w:rPr>
          <w:rFonts w:ascii="Times New Roman" w:eastAsia="Times New Roman" w:hAnsi="Times New Roman" w:cs="Times New Roman"/>
          <w:color w:val="000000"/>
          <w:spacing w:val="0"/>
          <w:w w:val="100"/>
          <w:position w:val="0"/>
        </w:rPr>
        <w:t>1</w:t>
      </w:r>
      <w:r>
        <w:rPr>
          <w:color w:val="000000"/>
          <w:spacing w:val="0"/>
          <w:w w:val="100"/>
          <w:position w:val="0"/>
        </w:rPr>
        <w:t>、其他流动资产</w:t>
      </w:r>
      <w:bookmarkEnd w:id="1270"/>
      <w:bookmarkEnd w:id="1271"/>
      <w:bookmarkEnd w:id="127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短期收益凭证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69,620,678.62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待认证进项税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6,274,629.92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4,289,928.71</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待抵扣及留抵进项税额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64,644,456.29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6,136,102.33</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7,691,818.17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both"/>
            </w:pPr>
            <w:r>
              <w:rPr>
                <w:color w:val="000000"/>
                <w:spacing w:val="0"/>
                <w:w w:val="100"/>
                <w:position w:val="0"/>
              </w:rPr>
              <w:t>153,777.92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预缴资管流转税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1,308,126.60</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78,610,904.38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81,508,614.18</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both"/>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1</w:t>
      </w:r>
      <w:bookmarkEnd w:id="1276"/>
      <w:r>
        <w:rPr>
          <w:rFonts w:ascii="Times New Roman" w:eastAsia="Times New Roman" w:hAnsi="Times New Roman" w:cs="Times New Roman"/>
          <w:color w:val="000000"/>
          <w:spacing w:val="0"/>
          <w:w w:val="100"/>
          <w:position w:val="0"/>
        </w:rPr>
        <w:t>2</w:t>
      </w:r>
      <w:r>
        <w:rPr>
          <w:color w:val="000000"/>
          <w:spacing w:val="0"/>
          <w:w w:val="100"/>
          <w:position w:val="0"/>
        </w:rPr>
        <w:t>、发放贷款及垫款</w:t>
      </w:r>
      <w:bookmarkEnd w:id="1274"/>
      <w:bookmarkEnd w:id="1275"/>
      <w:bookmarkEnd w:id="1277"/>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565,965.13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37,831,383.41</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加：应计利息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29,986.83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both"/>
            </w:pPr>
            <w:r>
              <w:rPr>
                <w:color w:val="000000"/>
                <w:spacing w:val="0"/>
                <w:w w:val="100"/>
                <w:position w:val="0"/>
              </w:rPr>
              <w:t>271,069.04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595,951.96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38,102,452.45</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595,951.96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both"/>
            </w:pPr>
            <w:r>
              <w:rPr>
                <w:color w:val="000000"/>
                <w:spacing w:val="0"/>
                <w:w w:val="100"/>
                <w:position w:val="0"/>
              </w:rPr>
              <w:t>964,311.06</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37,138,141.39</w:t>
            </w:r>
          </w:p>
        </w:tc>
      </w:tr>
    </w:tbl>
    <w:p>
      <w:pPr>
        <w:spacing w:lineRule="exact" w:line="1"/>
        <w:rPr>
          <w:sz w:val="2"/>
          <w:szCs w:val="2"/>
        </w:rPr>
      </w:pPr>
      <w:r>
        <w:br w:type="page"/>
      </w:r>
    </w:p>
    <w:p>
      <w:pPr>
        <w:pStyle w:val="Style32"/>
        <w:keepNext/>
        <w:keepLines/>
        <w:widowControl w:val="0"/>
        <w:shd w:val="clear" w:color="auto" w:fill="auto"/>
        <w:bidi w:val="0"/>
        <w:spacing w:before="0" w:after="30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1</w:t>
      </w:r>
      <w:bookmarkEnd w:id="1280"/>
      <w:r>
        <w:rPr>
          <w:rFonts w:ascii="Times New Roman" w:eastAsia="Times New Roman" w:hAnsi="Times New Roman" w:cs="Times New Roman"/>
          <w:color w:val="000000"/>
          <w:spacing w:val="0"/>
          <w:w w:val="100"/>
          <w:position w:val="0"/>
        </w:rPr>
        <w:t>3</w:t>
      </w:r>
      <w:r>
        <w:rPr>
          <w:color w:val="000000"/>
          <w:spacing w:val="0"/>
          <w:w w:val="100"/>
          <w:position w:val="0"/>
        </w:rPr>
        <w:t>、其他债权投资</w:t>
      </w:r>
      <w:bookmarkEnd w:id="1278"/>
      <w:bookmarkEnd w:id="1279"/>
      <w:bookmarkEnd w:id="1281"/>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0"/>
        <w:gridCol w:w="427"/>
        <w:gridCol w:w="1411"/>
        <w:gridCol w:w="1272"/>
        <w:gridCol w:w="1166"/>
        <w:gridCol w:w="1555"/>
        <w:gridCol w:w="1267"/>
        <w:gridCol w:w="1714"/>
      </w:tblGrid>
      <w:tr>
        <w:trPr>
          <w:trHeight w:val="60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期初</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应计利息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本期公允</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价值变动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累计公允</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价值变动</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累计在其他综合收益 中确认的损失准备</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8,610,913,922.02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149,115,965.48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89,249,960.15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8,849,279,847.65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89,249,960.15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443,313.48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4,323,659,808.00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49,763,480.00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78,082,233.00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4,451,505,521.00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78,082,233.00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287,364.63</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408,830,762.01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13,007,340.00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11,937,907.99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433,776,010.00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11,937,907.99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252,546.04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中期票据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281,861,540.00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8,546,910.00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5,172,830.00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295,581,280.00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5,172,830.00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162,761.78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1,006.80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13,625,267,038.83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220,433,727.15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184,442,925.11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14,030,143,691.09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184,442,925.11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1,145,986.18</w:t>
            </w:r>
          </w:p>
        </w:tc>
      </w:tr>
    </w:tbl>
    <w:p>
      <w:pPr>
        <w:widowControl w:val="0"/>
        <w:spacing w:after="239" w:line="1" w:lineRule="exact"/>
      </w:pP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9"/>
        <w:gridCol w:w="1848"/>
        <w:gridCol w:w="1982"/>
        <w:gridCol w:w="1982"/>
        <w:gridCol w:w="1363"/>
      </w:tblGrid>
      <w:tr>
        <w:trPr>
          <w:trHeight w:val="32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合计</w:t>
            </w:r>
          </w:p>
        </w:tc>
      </w:tr>
      <w:tr>
        <w:trPr>
          <w:trHeight w:val="60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rPr>
              <w:t>1,145,986.18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1,145,986.18</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rPr>
              <w:t>1,145,986.18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1,145,986.18</w:t>
            </w:r>
          </w:p>
        </w:tc>
      </w:tr>
    </w:tbl>
    <w:p>
      <w:pPr>
        <w:widowControl w:val="0"/>
        <w:spacing w:after="239" w:line="1" w:lineRule="exact"/>
      </w:pP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2"/>
        <w:keepNext/>
        <w:keepLines/>
        <w:widowControl w:val="0"/>
        <w:shd w:val="clear" w:color="auto" w:fill="auto"/>
        <w:bidi w:val="0"/>
        <w:spacing w:before="0" w:after="30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bookmarkEnd w:id="1284"/>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1282"/>
      <w:bookmarkEnd w:id="1283"/>
      <w:bookmarkEnd w:id="128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6"/>
        <w:gridCol w:w="1181"/>
        <w:gridCol w:w="432"/>
        <w:gridCol w:w="422"/>
        <w:gridCol w:w="1138"/>
        <w:gridCol w:w="706"/>
        <w:gridCol w:w="432"/>
        <w:gridCol w:w="1128"/>
        <w:gridCol w:w="576"/>
        <w:gridCol w:w="288"/>
        <w:gridCol w:w="1267"/>
        <w:gridCol w:w="1219"/>
      </w:tblGrid>
      <w:tr>
        <w:trPr>
          <w:trHeight w:val="34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期初余额</w:t>
            </w:r>
          </w:p>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SimSun" w:eastAsia="SimSun" w:hAnsi="SimSun" w:cs="SimSun"/>
                <w:color w:val="000000"/>
                <w:spacing w:val="0"/>
                <w:w w:val="100"/>
                <w:position w:val="0"/>
              </w:rPr>
              <w:t>账面价值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期末余额</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SimSun" w:eastAsia="SimSun" w:hAnsi="SimSun" w:cs="SimSun"/>
                <w:color w:val="000000"/>
                <w:spacing w:val="0"/>
                <w:w w:val="100"/>
                <w:position w:val="0"/>
              </w:rPr>
              <w:t>账面价值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180"/>
              <w:jc w:val="left"/>
            </w:pPr>
            <w:r>
              <w:rPr>
                <w:rFonts w:ascii="SimSun" w:eastAsia="SimSun" w:hAnsi="SimSun" w:cs="SimSun"/>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期末余额</w:t>
            </w:r>
          </w:p>
        </w:tc>
      </w:tr>
      <w:tr>
        <w:trPr>
          <w:trHeight w:val="79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追加</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40" w:line="202" w:lineRule="exact"/>
              <w:ind w:left="0" w:right="0" w:firstLine="0"/>
              <w:jc w:val="left"/>
            </w:pPr>
            <w:r>
              <w:rPr>
                <w:rFonts w:ascii="SimSun" w:eastAsia="SimSun" w:hAnsi="SimSun" w:cs="SimSun"/>
                <w:color w:val="000000"/>
                <w:spacing w:val="0"/>
                <w:w w:val="100"/>
                <w:position w:val="0"/>
              </w:rPr>
              <w:t>权益法下确</w:t>
            </w:r>
          </w:p>
          <w:p>
            <w:pPr>
              <w:pStyle w:val="Style6"/>
              <w:keepNext w:val="0"/>
              <w:keepLines w:val="0"/>
              <w:widowControl w:val="0"/>
              <w:shd w:val="clear" w:color="auto" w:fill="auto"/>
              <w:bidi w:val="0"/>
              <w:spacing w:before="0" w:after="0" w:line="202" w:lineRule="exact"/>
              <w:ind w:left="0" w:right="0" w:firstLine="0"/>
              <w:jc w:val="center"/>
            </w:pPr>
            <w:r>
              <w:rPr>
                <w:rFonts w:ascii="SimSun" w:eastAsia="SimSun" w:hAnsi="SimSun" w:cs="SimSun"/>
                <w:color w:val="000000"/>
                <w:spacing w:val="0"/>
                <w:w w:val="100"/>
                <w:position w:val="0"/>
              </w:rPr>
              <w:t>认的投资损 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06" w:lineRule="exact"/>
              <w:ind w:left="0" w:right="0" w:firstLine="0"/>
              <w:jc w:val="left"/>
            </w:pPr>
            <w:r>
              <w:rPr>
                <w:rFonts w:ascii="SimSun" w:eastAsia="SimSun" w:hAnsi="SimSun" w:cs="SimSun"/>
                <w:color w:val="000000"/>
                <w:spacing w:val="0"/>
                <w:w w:val="100"/>
                <w:position w:val="0"/>
              </w:rPr>
              <w:t>其他综</w:t>
            </w:r>
          </w:p>
          <w:p>
            <w:pPr>
              <w:pStyle w:val="Style6"/>
              <w:keepNext w:val="0"/>
              <w:keepLines w:val="0"/>
              <w:widowControl w:val="0"/>
              <w:shd w:val="clear" w:color="auto" w:fill="auto"/>
              <w:bidi w:val="0"/>
              <w:spacing w:before="0" w:after="0" w:line="206" w:lineRule="exact"/>
              <w:ind w:left="0" w:right="0" w:firstLine="0"/>
              <w:jc w:val="center"/>
            </w:pPr>
            <w:r>
              <w:rPr>
                <w:rFonts w:ascii="SimSun" w:eastAsia="SimSun" w:hAnsi="SimSun" w:cs="SimSun"/>
                <w:color w:val="000000"/>
                <w:spacing w:val="0"/>
                <w:w w:val="100"/>
                <w:position w:val="0"/>
              </w:rPr>
              <w:t>合收益 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40" w:line="216" w:lineRule="exact"/>
              <w:ind w:left="0" w:right="0" w:firstLine="0"/>
              <w:jc w:val="left"/>
            </w:pPr>
            <w:r>
              <w:rPr>
                <w:rFonts w:ascii="SimSun" w:eastAsia="SimSun" w:hAnsi="SimSun" w:cs="SimSun"/>
                <w:color w:val="000000"/>
                <w:spacing w:val="0"/>
                <w:w w:val="100"/>
                <w:position w:val="0"/>
              </w:rPr>
              <w:t>宣告发放现</w:t>
            </w:r>
          </w:p>
          <w:p>
            <w:pPr>
              <w:pStyle w:val="Style6"/>
              <w:keepNext w:val="0"/>
              <w:keepLines w:val="0"/>
              <w:widowControl w:val="0"/>
              <w:shd w:val="clear" w:color="auto" w:fill="auto"/>
              <w:bidi w:val="0"/>
              <w:spacing w:before="0" w:after="0" w:line="216" w:lineRule="exact"/>
              <w:ind w:left="0" w:right="0" w:firstLine="0"/>
              <w:jc w:val="center"/>
            </w:pPr>
            <w:r>
              <w:rPr>
                <w:rFonts w:ascii="SimSun" w:eastAsia="SimSun" w:hAnsi="SimSun" w:cs="SimSun"/>
                <w:color w:val="000000"/>
                <w:spacing w:val="0"/>
                <w:w w:val="100"/>
                <w:position w:val="0"/>
              </w:rPr>
              <w:t>金股利或利 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减值</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w:t>
            </w:r>
          </w:p>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17" w:hRule="exact"/>
        </w:trPr>
        <w:tc>
          <w:tcPr>
            <w:gridSpan w:val="12"/>
            <w:tcBorders>
              <w:top w:val="single" w:sz="4"/>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336"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漫道数字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405,855,900.97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5,308,105.96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72,900,000.00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338,264,006.93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25,120,485.00</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中证信用 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45,666,841.87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4,032,322.18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42,699,164.05</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451,522,742.84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9,340,428.14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380,963,170.98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25,120,485.00</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451,522,742.84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9,340,428.14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79,900,000.00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380,963,170.98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25,120,485.00</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1</w:t>
      </w:r>
      <w:bookmarkEnd w:id="1288"/>
      <w:r>
        <w:rPr>
          <w:rFonts w:ascii="Times New Roman" w:eastAsia="Times New Roman" w:hAnsi="Times New Roman" w:cs="Times New Roman"/>
          <w:color w:val="000000"/>
          <w:spacing w:val="0"/>
          <w:w w:val="100"/>
          <w:position w:val="0"/>
        </w:rPr>
        <w:t>5</w:t>
      </w:r>
      <w:r>
        <w:rPr>
          <w:color w:val="000000"/>
          <w:spacing w:val="0"/>
          <w:w w:val="100"/>
          <w:position w:val="0"/>
        </w:rPr>
        <w:t>、其他非流动金融资产</w:t>
      </w:r>
      <w:bookmarkEnd w:id="1286"/>
      <w:bookmarkEnd w:id="1287"/>
      <w:bookmarkEnd w:id="128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54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以公允价值计量且其变动计入当期损益</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327,377,741.46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123,926,074.02</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327,377,741.46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123,926,074.02</w:t>
            </w:r>
          </w:p>
        </w:tc>
      </w:tr>
    </w:tbl>
    <w:p>
      <w:pPr>
        <w:spacing w:lineRule="exact" w:line="1"/>
        <w:rPr>
          <w:sz w:val="2"/>
          <w:szCs w:val="2"/>
        </w:rPr>
      </w:pPr>
      <w:r>
        <w:br w:type="page"/>
      </w:r>
    </w:p>
    <w:p>
      <w:pPr>
        <w:pStyle w:val="Style32"/>
        <w:keepNext/>
        <w:keepLines/>
        <w:widowControl w:val="0"/>
        <w:shd w:val="clear" w:color="auto" w:fill="auto"/>
        <w:bidi w:val="0"/>
        <w:spacing w:before="0" w:after="10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1</w:t>
      </w:r>
      <w:bookmarkEnd w:id="1292"/>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1290"/>
      <w:bookmarkEnd w:id="1291"/>
      <w:bookmarkEnd w:id="129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2,692,122,169.62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1,763,881,149.40</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2,692,122,169.62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1,763,881,149.40</w:t>
            </w:r>
          </w:p>
        </w:tc>
      </w:tr>
    </w:tbl>
    <w:p>
      <w:pPr>
        <w:widowControl w:val="0"/>
        <w:spacing w:after="99" w:line="1" w:lineRule="exact"/>
      </w:pPr>
    </w:p>
    <w:p>
      <w:pPr>
        <w:pStyle w:val="Style32"/>
        <w:keepNext/>
        <w:keepLines/>
        <w:widowControl w:val="0"/>
        <w:shd w:val="clear" w:color="auto" w:fill="auto"/>
        <w:bidi w:val="0"/>
        <w:spacing w:before="0" w:after="100" w:line="240" w:lineRule="auto"/>
        <w:ind w:left="0" w:right="0" w:firstLine="0"/>
        <w:jc w:val="left"/>
      </w:pPr>
      <w:bookmarkStart w:id="1294" w:name="bookmark1294"/>
      <w:bookmarkStart w:id="1295" w:name="bookmark1295"/>
      <w:bookmarkStart w:id="1296" w:name="bookmark12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94"/>
      <w:bookmarkEnd w:id="1295"/>
      <w:bookmarkEnd w:id="129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560"/>
        <w:gridCol w:w="1426"/>
        <w:gridCol w:w="1411"/>
        <w:gridCol w:w="1603"/>
        <w:gridCol w:w="1594"/>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通用设备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专用设备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合计</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1,873,037,532.10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17,348,378.78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59,491,756.99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744,664,881.58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2,694,542,549.45</w:t>
            </w: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835,278,318.16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1,627,597.06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3,796,867.80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310,426,469.87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1,151,129,252.89</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835,278,318.16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1,627,597.06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3,725,537.70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282,272,506.78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1,122,903,959.70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71,330.10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28,153,963.09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28,225,293.19</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2,682,542.21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595,989.25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14,128,538.27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17,407,069.73</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2,682,542.21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595,989.25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14,128,538.27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17,407,069.73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-573,111.13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-573,111.13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2,708,315,850.26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16,293,433.63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62,119,524.41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1,040,962,813.18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3,827,691,621.48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414,043,579.82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14,400,300.85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45,252,139.88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456,965,379.50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930,661,400.05</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101,134,831.53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1,083,812.58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5,678,142.83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114,001,454.84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221,898,241.78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101,134,831.53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1,083,812.58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5,678,142.83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114,001,454.84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221,898,241.78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2,512,740.87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510,222.67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13,505,624.10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16,528,587.64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2,512,740.87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510,222.67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13,505,624.10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16,528,587.64</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-461,602.33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-461,602.33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515,178,411.35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12,971,372.56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49,958,457.71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557,461,210.24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1,135,569,451.86</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2,193,137,438.91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3,322,061.07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12,161,066.70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483,501,602.94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2,692,122,169.62</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1,458,993,952.28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2,948,077.93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14,239,617.11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287,699,502.08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1,763,881,149.40</w:t>
            </w:r>
          </w:p>
        </w:tc>
      </w:tr>
    </w:tbl>
    <w:p>
      <w:pPr>
        <w:widowControl w:val="0"/>
        <w:spacing w:after="239" w:line="1" w:lineRule="exact"/>
      </w:pPr>
    </w:p>
    <w:p>
      <w:pPr>
        <w:pStyle w:val="Style32"/>
        <w:keepNext/>
        <w:keepLines/>
        <w:widowControl w:val="0"/>
        <w:shd w:val="clear" w:color="auto" w:fill="auto"/>
        <w:bidi w:val="0"/>
        <w:spacing w:before="0" w:after="100" w:line="240" w:lineRule="auto"/>
        <w:ind w:left="0" w:right="0" w:firstLine="0"/>
        <w:jc w:val="left"/>
      </w:pPr>
      <w:bookmarkStart w:id="1297" w:name="bookmark1297"/>
      <w:bookmarkStart w:id="1298" w:name="bookmark1298"/>
      <w:bookmarkStart w:id="1299" w:name="bookmark12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）通过经营租赁租出的固定资产</w:t>
      </w:r>
      <w:bookmarkEnd w:id="1297"/>
      <w:bookmarkEnd w:id="1298"/>
      <w:bookmarkEnd w:id="1299"/>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810"/>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上海市永和路</w:t>
            </w:r>
            <w:r>
              <w:rPr>
                <w:color w:val="000000"/>
                <w:spacing w:val="0"/>
                <w:w w:val="100"/>
                <w:position w:val="0"/>
              </w:rPr>
              <w:t>118</w:t>
            </w:r>
            <w:r>
              <w:rPr>
                <w:rFonts w:ascii="SimSun" w:eastAsia="SimSun" w:hAnsi="SimSun" w:cs="SimSun"/>
                <w:color w:val="000000"/>
                <w:spacing w:val="0"/>
                <w:w w:val="100"/>
                <w:position w:val="0"/>
              </w:rPr>
              <w:t>弄东方环球企业中心</w:t>
            </w:r>
            <w:r>
              <w:rPr>
                <w:color w:val="000000"/>
                <w:spacing w:val="0"/>
                <w:w w:val="100"/>
                <w:position w:val="0"/>
              </w:rPr>
              <w:t>42</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22,325,493.03</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上海市松江区民强路</w:t>
            </w:r>
            <w:r>
              <w:rPr>
                <w:color w:val="000000"/>
                <w:spacing w:val="0"/>
                <w:w w:val="100"/>
                <w:position w:val="0"/>
              </w:rPr>
              <w:t>1525</w:t>
            </w:r>
            <w:r>
              <w:rPr>
                <w:rFonts w:ascii="SimSun" w:eastAsia="SimSun" w:hAnsi="SimSun" w:cs="SimSun"/>
                <w:color w:val="000000"/>
                <w:spacing w:val="0"/>
                <w:w w:val="100"/>
                <w:position w:val="0"/>
              </w:rPr>
              <w:t>号</w:t>
            </w:r>
            <w:r>
              <w:rPr>
                <w:color w:val="000000"/>
                <w:spacing w:val="0"/>
                <w:w w:val="100"/>
                <w:position w:val="0"/>
              </w:rPr>
              <w:t>10</w:t>
            </w:r>
            <w:r>
              <w:rPr>
                <w:rFonts w:ascii="SimSun" w:eastAsia="SimSun" w:hAnsi="SimSun" w:cs="SimSun"/>
                <w:color w:val="000000"/>
                <w:spacing w:val="0"/>
                <w:w w:val="100"/>
                <w:position w:val="0"/>
              </w:rPr>
              <w:t>幢</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10,345,936.24</w:t>
            </w:r>
          </w:p>
        </w:tc>
      </w:tr>
    </w:tbl>
    <w:p>
      <w:pPr>
        <w:spacing w:lineRule="exact" w:line="1"/>
        <w:rPr>
          <w:sz w:val="2"/>
          <w:szCs w:val="2"/>
        </w:rPr>
      </w:pPr>
      <w:r>
        <w:br w:type="page"/>
      </w:r>
    </w:p>
    <w:p>
      <w:pPr>
        <w:pStyle w:val="Style32"/>
        <w:keepNext/>
        <w:keepLines/>
        <w:widowControl w:val="0"/>
        <w:shd w:val="clear" w:color="auto" w:fill="auto"/>
        <w:bidi w:val="0"/>
        <w:spacing w:before="0" w:after="30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1</w:t>
      </w:r>
      <w:bookmarkEnd w:id="1302"/>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1300"/>
      <w:bookmarkEnd w:id="1301"/>
      <w:bookmarkEnd w:id="130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123,356,696.08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36,294,004.57</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123,356,696.08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36,294,004.57</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304" w:name="bookmark1304"/>
      <w:bookmarkStart w:id="1305" w:name="bookmark1305"/>
      <w:bookmarkStart w:id="1306" w:name="bookmark13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04"/>
      <w:bookmarkEnd w:id="1305"/>
      <w:bookmarkEnd w:id="130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387"/>
        <w:gridCol w:w="1368"/>
        <w:gridCol w:w="1382"/>
        <w:gridCol w:w="1373"/>
        <w:gridCol w:w="1368"/>
        <w:gridCol w:w="1392"/>
      </w:tblGrid>
      <w:tr>
        <w:trPr>
          <w:trHeight w:val="32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1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软件系统及设备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4,122,175.67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4,122,175.67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10,288,994.54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10,288,994.54</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证券营业部及子 公司装修工程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1,220,769.83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1,220,769.83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1,041,812.32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1,041,812.32</w:t>
            </w:r>
          </w:p>
        </w:tc>
      </w:tr>
      <w:tr>
        <w:trPr>
          <w:trHeight w:val="54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16" w:lineRule="exact"/>
              <w:ind w:left="0" w:right="0" w:firstLine="0"/>
              <w:jc w:val="left"/>
            </w:pPr>
            <w:r>
              <w:rPr>
                <w:rFonts w:ascii="SimSun" w:eastAsia="SimSun" w:hAnsi="SimSun" w:cs="SimSun"/>
                <w:color w:val="000000"/>
                <w:spacing w:val="0"/>
                <w:w w:val="100"/>
                <w:position w:val="0"/>
              </w:rPr>
              <w:t xml:space="preserve">嘉定新城中心 </w:t>
            </w:r>
            <w:r>
              <w:rPr>
                <w:color w:val="000000"/>
                <w:spacing w:val="0"/>
                <w:w w:val="100"/>
                <w:position w:val="0"/>
              </w:rPr>
              <w:t>B16-1</w:t>
            </w:r>
            <w:r>
              <w:rPr>
                <w:rFonts w:ascii="SimSun" w:eastAsia="SimSun" w:hAnsi="SimSun" w:cs="SimSun"/>
                <w:color w:val="000000"/>
                <w:spacing w:val="0"/>
                <w:w w:val="100"/>
                <w:position w:val="0"/>
              </w:rPr>
              <w:t>地块项目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118,013,750.58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118,013,750.58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24,963,197.71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24,963,197.71</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123,356,696.08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123,356,696.08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36,294,004.57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36,294,004.57</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307" w:name="bookmark1307"/>
      <w:bookmarkStart w:id="1308" w:name="bookmark1308"/>
      <w:bookmarkStart w:id="1309" w:name="bookmark13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07"/>
      <w:bookmarkEnd w:id="1308"/>
      <w:bookmarkEnd w:id="130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7"/>
        <w:gridCol w:w="1411"/>
        <w:gridCol w:w="1142"/>
        <w:gridCol w:w="1138"/>
        <w:gridCol w:w="850"/>
        <w:gridCol w:w="562"/>
        <w:gridCol w:w="1272"/>
        <w:gridCol w:w="706"/>
        <w:gridCol w:w="720"/>
        <w:gridCol w:w="715"/>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预算数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本期增加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40" w:line="206" w:lineRule="exact"/>
              <w:ind w:left="0" w:right="0" w:firstLine="0"/>
              <w:jc w:val="left"/>
            </w:pPr>
            <w:r>
              <w:rPr>
                <w:rFonts w:ascii="SimSun" w:eastAsia="SimSun" w:hAnsi="SimSun" w:cs="SimSun"/>
                <w:color w:val="000000"/>
                <w:spacing w:val="0"/>
                <w:w w:val="100"/>
                <w:position w:val="0"/>
              </w:rPr>
              <w:t>本期转入</w:t>
            </w:r>
          </w:p>
          <w:p>
            <w:pPr>
              <w:pStyle w:val="Style6"/>
              <w:keepNext w:val="0"/>
              <w:keepLines w:val="0"/>
              <w:widowControl w:val="0"/>
              <w:shd w:val="clear" w:color="auto" w:fill="auto"/>
              <w:bidi w:val="0"/>
              <w:spacing w:before="0" w:after="0" w:line="206" w:lineRule="exact"/>
              <w:ind w:left="0" w:right="0" w:firstLine="0"/>
              <w:jc w:val="center"/>
            </w:pPr>
            <w:r>
              <w:rPr>
                <w:rFonts w:ascii="SimSun" w:eastAsia="SimSun" w:hAnsi="SimSun" w:cs="SimSun"/>
                <w:color w:val="000000"/>
                <w:spacing w:val="0"/>
                <w:w w:val="100"/>
                <w:position w:val="0"/>
              </w:rPr>
              <w:t>固定资产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7" w:lineRule="exact"/>
              <w:ind w:left="0" w:right="0" w:firstLine="0"/>
              <w:jc w:val="left"/>
            </w:pPr>
            <w:r>
              <w:rPr>
                <w:rFonts w:ascii="SimSun" w:eastAsia="SimSun" w:hAnsi="SimSun" w:cs="SimSun"/>
                <w:color w:val="000000"/>
                <w:spacing w:val="0"/>
                <w:w w:val="100"/>
                <w:position w:val="0"/>
              </w:rPr>
              <w:t>本期 其他 减少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9" w:lineRule="exact"/>
              <w:ind w:left="0" w:right="0" w:firstLine="0"/>
              <w:jc w:val="center"/>
            </w:pPr>
            <w:r>
              <w:rPr>
                <w:rFonts w:ascii="SimSun" w:eastAsia="SimSun" w:hAnsi="SimSun" w:cs="SimSun"/>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8" w:lineRule="exact"/>
              <w:ind w:left="0" w:right="0" w:firstLine="0"/>
              <w:jc w:val="left"/>
            </w:pPr>
            <w:r>
              <w:rPr>
                <w:rFonts w:ascii="SimSun" w:eastAsia="SimSun" w:hAnsi="SimSun" w:cs="SimSun"/>
                <w:color w:val="000000"/>
                <w:spacing w:val="0"/>
                <w:w w:val="100"/>
                <w:position w:val="0"/>
              </w:rPr>
              <w:t>利息资 本化累 计金额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资金</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来源</w:t>
            </w:r>
          </w:p>
        </w:tc>
      </w:tr>
      <w:tr>
        <w:trPr>
          <w:trHeight w:val="79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8" w:lineRule="exact"/>
              <w:ind w:left="0" w:right="0" w:firstLine="0"/>
              <w:jc w:val="left"/>
            </w:pPr>
            <w:r>
              <w:rPr>
                <w:rFonts w:ascii="SimSun" w:eastAsia="SimSun" w:hAnsi="SimSun" w:cs="SimSun"/>
                <w:color w:val="000000"/>
                <w:spacing w:val="0"/>
                <w:w w:val="100"/>
                <w:position w:val="0"/>
              </w:rPr>
              <w:t>嘉定新城中 心</w:t>
            </w:r>
            <w:r>
              <w:rPr>
                <w:color w:val="000000"/>
                <w:spacing w:val="0"/>
                <w:w w:val="100"/>
                <w:position w:val="0"/>
              </w:rPr>
              <w:t>B16-1</w:t>
            </w:r>
            <w:r>
              <w:rPr>
                <w:rFonts w:ascii="SimSun" w:eastAsia="SimSun" w:hAnsi="SimSun" w:cs="SimSun"/>
                <w:color w:val="000000"/>
                <w:spacing w:val="0"/>
                <w:w w:val="100"/>
                <w:position w:val="0"/>
              </w:rPr>
              <w:t>地 块项目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1,445,490,000.00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24,963,197.71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93,050,552.87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118,013,750.58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自有资</w:t>
            </w:r>
          </w:p>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金及银</w:t>
            </w:r>
          </w:p>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行贷款</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1,445,490,000.00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24,963,197.71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93,050,552.87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118,013,750.58</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1</w:t>
      </w:r>
      <w:bookmarkEnd w:id="1312"/>
      <w:r>
        <w:rPr>
          <w:rFonts w:ascii="Times New Roman" w:eastAsia="Times New Roman" w:hAnsi="Times New Roman" w:cs="Times New Roman"/>
          <w:color w:val="000000"/>
          <w:spacing w:val="0"/>
          <w:w w:val="100"/>
          <w:position w:val="0"/>
        </w:rPr>
        <w:t>8</w:t>
      </w:r>
      <w:r>
        <w:rPr>
          <w:color w:val="000000"/>
          <w:spacing w:val="0"/>
          <w:w w:val="100"/>
          <w:position w:val="0"/>
        </w:rPr>
        <w:t>、使用权资产</w:t>
      </w:r>
      <w:bookmarkEnd w:id="1310"/>
      <w:bookmarkEnd w:id="1311"/>
      <w:bookmarkEnd w:id="131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4824"/>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161,266,325.97</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80" w:right="0" w:firstLine="0"/>
              <w:jc w:val="left"/>
            </w:pPr>
            <w:r>
              <w:rPr>
                <w:color w:val="000000"/>
                <w:spacing w:val="0"/>
                <w:w w:val="100"/>
                <w:position w:val="0"/>
              </w:rPr>
              <w:t>77,885,313.50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6,847,444.46</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外币报表折算差额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-155,445.93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232,148,749.08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80" w:right="0" w:firstLine="0"/>
              <w:jc w:val="left"/>
            </w:pPr>
            <w:r>
              <w:rPr>
                <w:color w:val="000000"/>
                <w:spacing w:val="0"/>
                <w:w w:val="100"/>
                <w:position w:val="0"/>
              </w:rPr>
              <w:t>72,277,153.13</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80" w:right="0" w:firstLine="0"/>
              <w:jc w:val="left"/>
            </w:pPr>
            <w:r>
              <w:rPr>
                <w:color w:val="000000"/>
                <w:spacing w:val="0"/>
                <w:w w:val="100"/>
                <w:position w:val="0"/>
              </w:rPr>
              <w:t>72,277,153.13</w:t>
            </w:r>
          </w:p>
        </w:tc>
      </w:tr>
    </w:tbl>
    <w:p>
      <w:pPr>
        <w:spacing w:lineRule="exact" w:line="1"/>
        <w:rPr>
          <w:sz w:val="2"/>
          <w:szCs w:val="2"/>
        </w:rPr>
      </w:pPr>
      <w:r>
        <w:br w:type="page"/>
      </w:r>
    </w:p>
    <w:tbl>
      <w:tblPr>
        <w:tblOverlap w:val="never"/>
        <w:jc w:val="center"/>
        <w:tblLayout w:type="fixed"/>
      </w:tblPr>
      <w:tblGrid>
        <w:gridCol w:w="4838"/>
        <w:gridCol w:w="4824"/>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2,401,090.18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2,401,090.18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外币报表折算差额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-32,513.65</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69,843,549.30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162,305,199.78</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161,266,325.97</w:t>
            </w:r>
          </w:p>
        </w:tc>
      </w:tr>
    </w:tbl>
    <w:p>
      <w:pPr>
        <w:widowControl w:val="0"/>
        <w:spacing w:after="59" w:line="1" w:lineRule="exact"/>
      </w:pP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公司使用权资产于资产负债表日未发生可收回金额低于账面价值的情况，无需计提使用权资产减值准备。</w:t>
      </w:r>
    </w:p>
    <w:p>
      <w:pPr>
        <w:pStyle w:val="Style32"/>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1</w:t>
      </w:r>
      <w:bookmarkEnd w:id="1316"/>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1314"/>
      <w:bookmarkEnd w:id="1315"/>
      <w:bookmarkEnd w:id="1317"/>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1022"/>
        <w:gridCol w:w="782"/>
        <w:gridCol w:w="850"/>
        <w:gridCol w:w="1109"/>
        <w:gridCol w:w="994"/>
        <w:gridCol w:w="998"/>
        <w:gridCol w:w="850"/>
        <w:gridCol w:w="850"/>
        <w:gridCol w:w="1032"/>
      </w:tblGrid>
      <w:tr>
        <w:trPr>
          <w:trHeight w:val="60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交易席</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位费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计算机软件</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期货经营权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期货会员</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资格投资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公司网站 域名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40" w:firstLine="0"/>
              <w:jc w:val="right"/>
            </w:pPr>
            <w:r>
              <w:rPr>
                <w:rFonts w:ascii="SimSun" w:eastAsia="SimSun" w:hAnsi="SimSun" w:cs="SimSun"/>
                <w:color w:val="000000"/>
                <w:spacing w:val="0"/>
                <w:w w:val="100"/>
                <w:position w:val="0"/>
              </w:rPr>
              <w:t>合计</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120,600,455.96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8,355,652.50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186,468,963.89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32,490,415.53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7,619,417.48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256,955.45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357,191,860.81</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598,402.57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35,844,506.33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-137,455.45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36,305,453.45</w:t>
            </w: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460,947.12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35,406,453.23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35,867,400.35</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438,053.10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438,053.10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137,455.45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-137,455.45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85,470.09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85,470.09</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85,470.09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85,470.09</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5"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外币报表折 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-18,677.40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-18,677.40</w:t>
            </w: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120,600,455.96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598,402.57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8,355,652.50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222,209,322.73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32,490,415.53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7,619,417.48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119,500.00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393,393,166.77</w:t>
            </w: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4,180,815.86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8,355,652.50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137,546,695.77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28,944,879.31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3,828,737.80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2,290.92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182,859,072.16</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3,859,214.64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68,194.23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28,328,946.71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3,186,666.67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761,941.74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-2,290.92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36,202,673.07</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3,859,214.64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65,903.31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28,328,946.71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3,186,666.67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761,941.74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36,202,673.07</w:t>
            </w: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2,290.92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-2,290.92</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68,376.03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68,376.03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68,376.03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68,376.03</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5"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外币报表折 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-17,753.36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-17,753.36</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8,040,030.50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68,194.23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8,355,652.50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165,789,513.09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32,131,545.98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4,590,679.54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218,975,615.84</w:t>
            </w:r>
          </w:p>
        </w:tc>
      </w:tr>
    </w:tbl>
    <w:p>
      <w:pPr>
        <w:spacing w:lineRule="exact" w:line="1"/>
        <w:rPr>
          <w:sz w:val="2"/>
          <w:szCs w:val="2"/>
        </w:rPr>
      </w:pPr>
      <w:r>
        <w:br w:type="page"/>
      </w:r>
    </w:p>
    <w:tbl>
      <w:tblPr>
        <w:tblOverlap w:val="never"/>
        <w:jc w:val="center"/>
        <w:tblLayout w:type="fixed"/>
      </w:tblPr>
      <w:tblGrid>
        <w:gridCol w:w="1262"/>
        <w:gridCol w:w="1022"/>
        <w:gridCol w:w="782"/>
        <w:gridCol w:w="850"/>
        <w:gridCol w:w="1109"/>
        <w:gridCol w:w="994"/>
        <w:gridCol w:w="998"/>
        <w:gridCol w:w="850"/>
        <w:gridCol w:w="850"/>
        <w:gridCol w:w="1032"/>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6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5"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9"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期末账面 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112,560,425.46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530,208.34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56,419,809.64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358,869.55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3,028,737.94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119,500.00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174,417,550.93</w:t>
            </w:r>
          </w:p>
        </w:tc>
      </w:tr>
      <w:tr>
        <w:trPr>
          <w:trHeight w:val="60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116,419,640.10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48,922,268.12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3,545,536.22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1,400,000.00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3,790,679.68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254,664.53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174,332,788.65</w:t>
            </w:r>
          </w:p>
        </w:tc>
      </w:tr>
    </w:tbl>
    <w:p>
      <w:pPr>
        <w:widowControl w:val="0"/>
        <w:spacing w:after="279" w:line="1" w:lineRule="exact"/>
      </w:pPr>
    </w:p>
    <w:p>
      <w:pPr>
        <w:pStyle w:val="Style32"/>
        <w:keepNext/>
        <w:keepLines/>
        <w:widowControl w:val="0"/>
        <w:shd w:val="clear" w:color="auto" w:fill="auto"/>
        <w:bidi w:val="0"/>
        <w:spacing w:before="0" w:after="34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w:t>
      </w:r>
      <w:bookmarkEnd w:id="1320"/>
      <w:r>
        <w:rPr>
          <w:rFonts w:ascii="Times New Roman" w:eastAsia="Times New Roman" w:hAnsi="Times New Roman" w:cs="Times New Roman"/>
          <w:color w:val="000000"/>
          <w:spacing w:val="0"/>
          <w:w w:val="100"/>
          <w:position w:val="0"/>
        </w:rPr>
        <w:t>0</w:t>
      </w:r>
      <w:r>
        <w:rPr>
          <w:color w:val="000000"/>
          <w:spacing w:val="0"/>
          <w:w w:val="100"/>
          <w:position w:val="0"/>
        </w:rPr>
        <w:t>、商誉</w:t>
      </w:r>
      <w:bookmarkEnd w:id="1318"/>
      <w:bookmarkEnd w:id="1319"/>
      <w:bookmarkEnd w:id="1321"/>
    </w:p>
    <w:p>
      <w:pPr>
        <w:pStyle w:val="Style32"/>
        <w:keepNext/>
        <w:keepLines/>
        <w:widowControl w:val="0"/>
        <w:shd w:val="clear" w:color="auto" w:fill="auto"/>
        <w:bidi w:val="0"/>
        <w:spacing w:before="0" w:after="280" w:line="240" w:lineRule="auto"/>
        <w:ind w:left="0" w:right="0" w:firstLine="0"/>
        <w:jc w:val="left"/>
      </w:pPr>
      <w:bookmarkStart w:id="1318" w:name="bookmark1318"/>
      <w:bookmarkStart w:id="1319" w:name="bookmark1319"/>
      <w:bookmarkStart w:id="1322" w:name="bookmark13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18"/>
      <w:bookmarkEnd w:id="1319"/>
      <w:bookmarkEnd w:id="132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39"/>
        <w:gridCol w:w="1987"/>
        <w:gridCol w:w="1411"/>
        <w:gridCol w:w="1430"/>
        <w:gridCol w:w="1637"/>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被投资单位名称或形成商誉的事项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东财投资咨询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4,731,868.08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4,731,868.08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东方财富证券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2,924,666,919.69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2,924,666,919.69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哈富证券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2,772,040.44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2,772,040.44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东财保险经纪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26,506,514.51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26,506,514.51</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2,958,677,342.72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2,958,677,342.72</w:t>
            </w:r>
          </w:p>
        </w:tc>
      </w:tr>
    </w:tbl>
    <w:p>
      <w:pPr>
        <w:widowControl w:val="0"/>
        <w:spacing w:after="279" w:line="1" w:lineRule="exact"/>
      </w:pPr>
    </w:p>
    <w:p>
      <w:pPr>
        <w:pStyle w:val="Style32"/>
        <w:keepNext/>
        <w:keepLines/>
        <w:widowControl w:val="0"/>
        <w:shd w:val="clear" w:color="auto" w:fill="auto"/>
        <w:bidi w:val="0"/>
        <w:spacing w:before="0" w:after="280" w:line="240" w:lineRule="auto"/>
        <w:ind w:left="0" w:right="0" w:firstLine="0"/>
        <w:jc w:val="left"/>
      </w:pPr>
      <w:bookmarkStart w:id="1323" w:name="bookmark1323"/>
      <w:bookmarkStart w:id="1324" w:name="bookmark1324"/>
      <w:bookmarkStart w:id="1325" w:name="bookmark13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23"/>
      <w:bookmarkEnd w:id="1324"/>
      <w:bookmarkEnd w:id="132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10"/>
        <w:gridCol w:w="1613"/>
        <w:gridCol w:w="1627"/>
        <w:gridCol w:w="1618"/>
        <w:gridCol w:w="1637"/>
      </w:tblGrid>
      <w:tr>
        <w:trPr>
          <w:trHeight w:val="6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被投资单位名称或形成商誉的事项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东财投资咨询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4,731,868.08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4,731,868.08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东财保险经纪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8,084,312.40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8,084,312.40</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12,816,180.48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12,816,180.48</w:t>
            </w:r>
          </w:p>
        </w:tc>
      </w:tr>
    </w:tbl>
    <w:p>
      <w:pPr>
        <w:widowControl w:val="0"/>
        <w:spacing w:after="199" w:line="1" w:lineRule="exact"/>
      </w:pPr>
    </w:p>
    <w:p>
      <w:pPr>
        <w:pStyle w:val="Style24"/>
        <w:keepNext w:val="0"/>
        <w:keepLines w:val="0"/>
        <w:widowControl w:val="0"/>
        <w:shd w:val="clear" w:color="auto" w:fill="auto"/>
        <w:bidi w:val="0"/>
        <w:spacing w:before="0" w:after="40" w:line="233" w:lineRule="exact"/>
        <w:ind w:left="0" w:right="0" w:firstLine="0"/>
        <w:jc w:val="left"/>
      </w:pPr>
      <w:r>
        <w:rPr>
          <w:b/>
          <w:bCs/>
          <w:color w:val="000000"/>
          <w:spacing w:val="0"/>
          <w:w w:val="100"/>
          <w:position w:val="0"/>
        </w:rPr>
        <w:t>商誉所在资产组或资产组组合的相关信息</w:t>
      </w:r>
    </w:p>
    <w:p>
      <w:pPr>
        <w:pStyle w:val="Style24"/>
        <w:keepNext w:val="0"/>
        <w:keepLines w:val="0"/>
        <w:widowControl w:val="0"/>
        <w:shd w:val="clear" w:color="auto" w:fill="auto"/>
        <w:bidi w:val="0"/>
        <w:spacing w:before="0" w:after="0" w:line="233" w:lineRule="exact"/>
        <w:ind w:left="0" w:right="0" w:firstLine="36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月，公司通过支付现金的方式购买上海东方财富证券投资咨询有限公司</w:t>
      </w:r>
      <w:r>
        <w:rPr>
          <w:rFonts w:ascii="Times New Roman" w:eastAsia="Times New Roman" w:hAnsi="Times New Roman" w:cs="Times New Roman"/>
          <w:color w:val="000000"/>
          <w:spacing w:val="0"/>
          <w:w w:val="100"/>
          <w:position w:val="0"/>
        </w:rPr>
        <w:t>60%</w:t>
      </w:r>
      <w:r>
        <w:rPr>
          <w:color w:val="000000"/>
          <w:spacing w:val="0"/>
          <w:w w:val="100"/>
          <w:position w:val="0"/>
        </w:rPr>
        <w:t>股份，合并成本为人民币</w:t>
      </w:r>
      <w:r>
        <w:rPr>
          <w:rFonts w:ascii="Times New Roman" w:eastAsia="Times New Roman" w:hAnsi="Times New Roman" w:cs="Times New Roman"/>
          <w:color w:val="000000"/>
          <w:spacing w:val="0"/>
          <w:w w:val="100"/>
          <w:position w:val="0"/>
        </w:rPr>
        <w:t>700.00</w:t>
      </w:r>
      <w:r>
        <w:rPr>
          <w:color w:val="000000"/>
          <w:spacing w:val="0"/>
          <w:w w:val="100"/>
          <w:position w:val="0"/>
        </w:rPr>
        <w:t>万 元，可辨认净资产公允价值人民币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26.8</w:t>
      </w:r>
      <w:r>
        <w:rPr>
          <w:rFonts w:ascii="Times New Roman" w:eastAsia="Times New Roman" w:hAnsi="Times New Roman" w:cs="Times New Roman"/>
          <w:color w:val="000000"/>
          <w:spacing w:val="0"/>
          <w:w w:val="100"/>
          <w:position w:val="0"/>
        </w:rPr>
        <w:t>1</w:t>
      </w:r>
      <w:r>
        <w:rPr>
          <w:color w:val="000000"/>
          <w:spacing w:val="0"/>
          <w:w w:val="100"/>
          <w:position w:val="0"/>
        </w:rPr>
        <w:t>万元，合并形成商誉人民币</w:t>
      </w:r>
      <w:r>
        <w:rPr>
          <w:rFonts w:ascii="Times New Roman" w:eastAsia="Times New Roman" w:hAnsi="Times New Roman" w:cs="Times New Roman"/>
          <w:color w:val="000000"/>
          <w:spacing w:val="0"/>
          <w:w w:val="100"/>
          <w:position w:val="0"/>
        </w:rPr>
        <w:t>473.19</w:t>
      </w:r>
      <w:r>
        <w:rPr>
          <w:color w:val="000000"/>
          <w:spacing w:val="0"/>
          <w:w w:val="100"/>
          <w:position w:val="0"/>
        </w:rPr>
        <w:t>万元。</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月，公司通过支付现金的方式取得 上海东方财富证券投资咨询有限公司剩余</w:t>
      </w:r>
      <w:r>
        <w:rPr>
          <w:rFonts w:ascii="Times New Roman" w:eastAsia="Times New Roman" w:hAnsi="Times New Roman" w:cs="Times New Roman"/>
          <w:color w:val="000000"/>
          <w:spacing w:val="0"/>
          <w:w w:val="100"/>
          <w:position w:val="0"/>
        </w:rPr>
        <w:t>40%</w:t>
      </w:r>
      <w:r>
        <w:rPr>
          <w:color w:val="000000"/>
          <w:spacing w:val="0"/>
          <w:w w:val="100"/>
          <w:position w:val="0"/>
        </w:rPr>
        <w:t>股份。</w:t>
      </w:r>
    </w:p>
    <w:p>
      <w:pPr>
        <w:pStyle w:val="Style24"/>
        <w:keepNext w:val="0"/>
        <w:keepLines w:val="0"/>
        <w:widowControl w:val="0"/>
        <w:shd w:val="clear" w:color="auto" w:fill="auto"/>
        <w:bidi w:val="0"/>
        <w:spacing w:before="0" w:after="0" w:line="233" w:lineRule="exact"/>
        <w:ind w:left="0" w:right="0" w:firstLine="3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月，公司全资子公司东方财富（香港）有限公司通过支付现金的方式取得哈富证券有限公司（原名</w:t>
      </w:r>
      <w:r>
        <w:rPr>
          <w:rFonts w:ascii="Times New Roman" w:eastAsia="Times New Roman" w:hAnsi="Times New Roman" w:cs="Times New Roman"/>
          <w:color w:val="000000"/>
          <w:spacing w:val="0"/>
          <w:w w:val="100"/>
          <w:position w:val="0"/>
        </w:rPr>
        <w:t>“</w:t>
      </w:r>
      <w:r>
        <w:rPr>
          <w:color w:val="000000"/>
          <w:spacing w:val="0"/>
          <w:w w:val="100"/>
          <w:position w:val="0"/>
        </w:rPr>
        <w:t>东方财富国 际证券有限公司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股权，合并成本为人民币</w:t>
      </w:r>
      <w:r>
        <w:rPr>
          <w:rFonts w:ascii="Times New Roman" w:eastAsia="Times New Roman" w:hAnsi="Times New Roman" w:cs="Times New Roman"/>
          <w:color w:val="000000"/>
          <w:spacing w:val="0"/>
          <w:w w:val="100"/>
          <w:position w:val="0"/>
        </w:rPr>
        <w:t>799.6</w:t>
      </w:r>
      <w:r>
        <w:rPr>
          <w:rFonts w:ascii="Times New Roman" w:eastAsia="Times New Roman" w:hAnsi="Times New Roman" w:cs="Times New Roman"/>
          <w:color w:val="000000"/>
          <w:spacing w:val="0"/>
          <w:w w:val="100"/>
          <w:position w:val="0"/>
        </w:rPr>
        <w:t>1</w:t>
      </w:r>
      <w:r>
        <w:rPr>
          <w:color w:val="000000"/>
          <w:spacing w:val="0"/>
          <w:w w:val="100"/>
          <w:position w:val="0"/>
        </w:rPr>
        <w:t>万元，可辨认净资产公允价值为人民币</w:t>
      </w:r>
      <w:r>
        <w:rPr>
          <w:rFonts w:ascii="Times New Roman" w:eastAsia="Times New Roman" w:hAnsi="Times New Roman" w:cs="Times New Roman"/>
          <w:color w:val="000000"/>
          <w:spacing w:val="0"/>
          <w:w w:val="100"/>
          <w:position w:val="0"/>
        </w:rPr>
        <w:t>522.41</w:t>
      </w:r>
      <w:r>
        <w:rPr>
          <w:color w:val="000000"/>
          <w:spacing w:val="0"/>
          <w:w w:val="100"/>
          <w:position w:val="0"/>
        </w:rPr>
        <w:t>万元，合并形成商誉 人民币</w:t>
      </w:r>
      <w:r>
        <w:rPr>
          <w:rFonts w:ascii="Times New Roman" w:eastAsia="Times New Roman" w:hAnsi="Times New Roman" w:cs="Times New Roman"/>
          <w:color w:val="000000"/>
          <w:spacing w:val="0"/>
          <w:w w:val="100"/>
          <w:position w:val="0"/>
        </w:rPr>
        <w:t>277.20</w:t>
      </w:r>
      <w:r>
        <w:rPr>
          <w:color w:val="000000"/>
          <w:spacing w:val="0"/>
          <w:w w:val="100"/>
          <w:position w:val="0"/>
        </w:rPr>
        <w:t>万元。</w:t>
      </w:r>
    </w:p>
    <w:p>
      <w:pPr>
        <w:pStyle w:val="Style24"/>
        <w:keepNext w:val="0"/>
        <w:keepLines w:val="0"/>
        <w:widowControl w:val="0"/>
        <w:shd w:val="clear" w:color="auto" w:fill="auto"/>
        <w:bidi w:val="0"/>
        <w:spacing w:before="0" w:after="0" w:line="233" w:lineRule="exact"/>
        <w:ind w:left="0" w:right="0" w:firstLine="3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月，公司通过发行股份的方式购买东方财富证券</w:t>
      </w:r>
      <w:r>
        <w:rPr>
          <w:rFonts w:ascii="Times New Roman" w:eastAsia="Times New Roman" w:hAnsi="Times New Roman" w:cs="Times New Roman"/>
          <w:color w:val="000000"/>
          <w:spacing w:val="0"/>
          <w:w w:val="100"/>
          <w:position w:val="0"/>
        </w:rPr>
        <w:t>100%</w:t>
      </w:r>
      <w:r>
        <w:rPr>
          <w:color w:val="000000"/>
          <w:spacing w:val="0"/>
          <w:w w:val="100"/>
          <w:position w:val="0"/>
        </w:rPr>
        <w:t>股份。合并成本为人民币</w:t>
      </w:r>
      <w:r>
        <w:rPr>
          <w:rFonts w:ascii="Times New Roman" w:eastAsia="Times New Roman" w:hAnsi="Times New Roman" w:cs="Times New Roman"/>
          <w:color w:val="000000"/>
          <w:spacing w:val="0"/>
          <w:w w:val="100"/>
          <w:position w:val="0"/>
        </w:rPr>
        <w:t>440,463.00</w:t>
      </w:r>
      <w:r>
        <w:rPr>
          <w:color w:val="000000"/>
          <w:spacing w:val="0"/>
          <w:w w:val="100"/>
          <w:position w:val="0"/>
        </w:rPr>
        <w:t>万元，可辨认净资产 公允价值为人民币</w:t>
      </w:r>
      <w:r>
        <w:rPr>
          <w:rFonts w:ascii="Times New Roman" w:eastAsia="Times New Roman" w:hAnsi="Times New Roman" w:cs="Times New Roman"/>
          <w:color w:val="000000"/>
          <w:spacing w:val="0"/>
          <w:w w:val="100"/>
          <w:position w:val="0"/>
        </w:rPr>
        <w:t>147,996.31</w:t>
      </w:r>
      <w:r>
        <w:rPr>
          <w:color w:val="000000"/>
          <w:spacing w:val="0"/>
          <w:w w:val="100"/>
          <w:position w:val="0"/>
        </w:rPr>
        <w:t>万元，合并形成商誉人民币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92,466.69</w:t>
      </w:r>
      <w:r>
        <w:rPr>
          <w:color w:val="000000"/>
          <w:spacing w:val="0"/>
          <w:w w:val="100"/>
          <w:position w:val="0"/>
        </w:rPr>
        <w:t>万元。</w:t>
      </w:r>
    </w:p>
    <w:p>
      <w:pPr>
        <w:pStyle w:val="Style24"/>
        <w:keepNext w:val="0"/>
        <w:keepLines w:val="0"/>
        <w:widowControl w:val="0"/>
        <w:shd w:val="clear" w:color="auto" w:fill="auto"/>
        <w:bidi w:val="0"/>
        <w:spacing w:before="0" w:after="0" w:line="233" w:lineRule="exact"/>
        <w:ind w:left="0" w:right="0" w:firstLine="3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月，公司通过支付现金的方式取得东财保险经纪有限公司</w:t>
      </w:r>
      <w:r>
        <w:rPr>
          <w:rFonts w:ascii="Times New Roman" w:eastAsia="Times New Roman" w:hAnsi="Times New Roman" w:cs="Times New Roman"/>
          <w:color w:val="000000"/>
          <w:spacing w:val="0"/>
          <w:w w:val="100"/>
          <w:position w:val="0"/>
        </w:rPr>
        <w:t>100%</w:t>
      </w:r>
      <w:r>
        <w:rPr>
          <w:color w:val="000000"/>
          <w:spacing w:val="0"/>
          <w:w w:val="100"/>
          <w:position w:val="0"/>
        </w:rPr>
        <w:t>股份，合并成本为人民币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,817.00</w:t>
      </w:r>
      <w:r>
        <w:rPr>
          <w:color w:val="000000"/>
          <w:spacing w:val="0"/>
          <w:w w:val="100"/>
          <w:position w:val="0"/>
        </w:rPr>
        <w:t xml:space="preserve">万元，可辨认 </w:t>
      </w:r>
      <w:r>
        <w:rPr>
          <w:color w:val="000000"/>
          <w:spacing w:val="0"/>
          <w:w w:val="100"/>
          <w:position w:val="0"/>
        </w:rPr>
        <w:t>净资产公允价值为人民币</w:t>
      </w:r>
      <w:r>
        <w:rPr>
          <w:rFonts w:ascii="Times New Roman" w:eastAsia="Times New Roman" w:hAnsi="Times New Roman" w:cs="Times New Roman"/>
          <w:color w:val="000000"/>
          <w:spacing w:val="0"/>
          <w:w w:val="100"/>
          <w:position w:val="0"/>
        </w:rPr>
        <w:t>166.35</w:t>
      </w:r>
      <w:r>
        <w:rPr>
          <w:color w:val="000000"/>
          <w:spacing w:val="0"/>
          <w:w w:val="100"/>
          <w:position w:val="0"/>
        </w:rPr>
        <w:t>万元，合并形成商誉人民币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,650.65</w:t>
      </w:r>
      <w:r>
        <w:rPr>
          <w:color w:val="000000"/>
          <w:spacing w:val="0"/>
          <w:w w:val="100"/>
          <w:position w:val="0"/>
        </w:rPr>
        <w:t>万元。</w:t>
      </w:r>
    </w:p>
    <w:p>
      <w:pPr>
        <w:pStyle w:val="Style24"/>
        <w:keepNext w:val="0"/>
        <w:keepLines w:val="0"/>
        <w:widowControl w:val="0"/>
        <w:shd w:val="clear" w:color="auto" w:fill="auto"/>
        <w:bidi w:val="0"/>
        <w:spacing w:before="0" w:line="235" w:lineRule="exact"/>
        <w:ind w:left="0" w:right="0" w:firstLine="380"/>
        <w:jc w:val="both"/>
      </w:pPr>
      <w:r>
        <w:rPr>
          <w:color w:val="000000"/>
          <w:spacing w:val="0"/>
          <w:w w:val="100"/>
          <w:position w:val="0"/>
        </w:rPr>
        <w:t>公司管理层于每年年度终了对商誉进行减值测试，管理层将东财投资咨询、东方财富证券、哈富证券、东财保险经纪整 体分别确认为单个资产组。</w:t>
      </w:r>
    </w:p>
    <w:p>
      <w:pPr>
        <w:pStyle w:val="Style24"/>
        <w:keepNext w:val="0"/>
        <w:keepLines w:val="0"/>
        <w:widowControl w:val="0"/>
        <w:shd w:val="clear" w:color="auto" w:fill="auto"/>
        <w:bidi w:val="0"/>
        <w:spacing w:before="0" w:line="230" w:lineRule="exact"/>
        <w:ind w:left="0" w:right="0" w:firstLine="0"/>
        <w:jc w:val="left"/>
      </w:pPr>
      <w:r>
        <w:rPr>
          <w:b/>
          <w:bCs/>
          <w:color w:val="000000"/>
          <w:spacing w:val="0"/>
          <w:w w:val="100"/>
          <w:position w:val="0"/>
        </w:rPr>
        <w:t>说明商誉减值测试过程、关键参数（如预计未来现金流量现值时的预测期增长率、稳定期增长率、利润率、折现率、预测 期等）及商誉减值损失的确认方法：</w:t>
      </w:r>
    </w:p>
    <w:p>
      <w:pPr>
        <w:pStyle w:val="Style24"/>
        <w:keepNext w:val="0"/>
        <w:keepLines w:val="0"/>
        <w:widowControl w:val="0"/>
        <w:shd w:val="clear" w:color="auto" w:fill="auto"/>
        <w:bidi w:val="0"/>
        <w:spacing w:before="0" w:after="0" w:line="232" w:lineRule="exact"/>
        <w:ind w:left="0" w:right="0" w:firstLine="380"/>
        <w:jc w:val="both"/>
      </w:pPr>
      <w:r>
        <w:rPr>
          <w:color w:val="000000"/>
          <w:spacing w:val="0"/>
          <w:w w:val="100"/>
          <w:position w:val="0"/>
        </w:rPr>
        <w:t>东方财富证券、哈富证券采用预计未来现金流量现值的方法评估包含商誉在内的相关资产组的可收回金额。本公司根据 财务预测和税前折现率每年</w:t>
      </w:r>
      <w:r>
        <w:rPr>
          <w:rFonts w:ascii="Times New Roman" w:eastAsia="Times New Roman" w:hAnsi="Times New Roman" w:cs="Times New Roman"/>
          <w:color w:val="000000"/>
          <w:spacing w:val="0"/>
          <w:w w:val="100"/>
          <w:position w:val="0"/>
        </w:rPr>
        <w:t>18.00%</w:t>
      </w:r>
      <w:r>
        <w:rPr>
          <w:color w:val="000000"/>
          <w:spacing w:val="0"/>
          <w:w w:val="100"/>
          <w:position w:val="0"/>
        </w:rPr>
        <w:t>，预计单个资产组的未来现金流量现值，该税前折现率已反映相关资产组的特定风险。超 过财务预算之后年份的现金流量以每年</w:t>
      </w:r>
      <w:r>
        <w:rPr>
          <w:rFonts w:ascii="Times New Roman" w:eastAsia="Times New Roman" w:hAnsi="Times New Roman" w:cs="Times New Roman"/>
          <w:color w:val="000000"/>
          <w:spacing w:val="0"/>
          <w:w w:val="100"/>
          <w:position w:val="0"/>
        </w:rPr>
        <w:t>3%</w:t>
      </w:r>
      <w:r>
        <w:rPr>
          <w:color w:val="000000"/>
          <w:spacing w:val="0"/>
          <w:w w:val="100"/>
          <w:position w:val="0"/>
        </w:rPr>
        <w:t>的长期平均增长率推断，该增长率并不超过资产组所涉及业务的长期平均增长率。 其他预测现金流入或流出有关的可收回金额估计值的主要假设包括预测收入增长率及费用率，该估计值是根据该资产组过 往的表现及管理层对市场变化的预期而确定。</w:t>
      </w:r>
    </w:p>
    <w:p>
      <w:pPr>
        <w:pStyle w:val="Style24"/>
        <w:keepNext w:val="0"/>
        <w:keepLines w:val="0"/>
        <w:widowControl w:val="0"/>
        <w:shd w:val="clear" w:color="auto" w:fill="auto"/>
        <w:bidi w:val="0"/>
        <w:spacing w:before="0" w:after="40" w:line="232" w:lineRule="exact"/>
        <w:ind w:left="0" w:right="0" w:firstLine="380"/>
        <w:jc w:val="both"/>
      </w:pPr>
      <w:r>
        <w:rPr>
          <w:color w:val="000000"/>
          <w:spacing w:val="0"/>
          <w:w w:val="100"/>
          <w:position w:val="0"/>
        </w:rPr>
        <w:t>东财保险经纪采用资产的公允价值减去处置费用后净额的方法评估包含商誉在内的相关资产组的可收回金额。其中，资 产的公允价值以交易案例比较法确认。以市净率作为价值比率，根据类似资产的交易标的与目标资产组的资产规模、盈利能 力、偿债能力、营运能力之间的差异，调整可比资产组市净率。根据调整后的市净率和预计处置费用计算包含商誉在内的相 关资产组的可收回金额。</w:t>
      </w:r>
    </w:p>
    <w:p>
      <w:pPr>
        <w:pStyle w:val="Style24"/>
        <w:keepNext w:val="0"/>
        <w:keepLines w:val="0"/>
        <w:widowControl w:val="0"/>
        <w:shd w:val="clear" w:color="auto" w:fill="auto"/>
        <w:bidi w:val="0"/>
        <w:spacing w:before="0" w:after="40" w:line="232" w:lineRule="exact"/>
        <w:ind w:left="0" w:right="0" w:firstLine="0"/>
        <w:jc w:val="left"/>
      </w:pPr>
      <w:r>
        <w:rPr>
          <w:b/>
          <w:bCs/>
          <w:color w:val="000000"/>
          <w:spacing w:val="0"/>
          <w:w w:val="100"/>
          <w:position w:val="0"/>
        </w:rPr>
        <w:t>商誉减值测试的影响</w:t>
      </w:r>
    </w:p>
    <w:p>
      <w:pPr>
        <w:pStyle w:val="Style24"/>
        <w:keepNext w:val="0"/>
        <w:keepLines w:val="0"/>
        <w:widowControl w:val="0"/>
        <w:shd w:val="clear" w:color="auto" w:fill="auto"/>
        <w:bidi w:val="0"/>
        <w:spacing w:before="0" w:after="320" w:line="235" w:lineRule="exact"/>
        <w:ind w:left="0" w:right="0" w:firstLine="380"/>
        <w:jc w:val="both"/>
      </w:pPr>
      <w:r>
        <w:rPr>
          <w:color w:val="000000"/>
          <w:spacing w:val="0"/>
          <w:w w:val="100"/>
          <w:position w:val="0"/>
        </w:rPr>
        <w:t>经测试，东方财富证券、哈富证券的可收回金额高于账面价值，资产组商誉未出现减值迹象。截至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日，东 财保险经纪资产组的可收回金额高于账面价值，因此</w:t>
      </w:r>
      <w:r>
        <w:rPr>
          <w:rFonts w:ascii="Times New Roman" w:eastAsia="Times New Roman" w:hAnsi="Times New Roman" w:cs="Times New Roman"/>
          <w:color w:val="000000"/>
          <w:spacing w:val="0"/>
          <w:w w:val="100"/>
          <w:position w:val="0"/>
        </w:rPr>
        <w:t>2021</w:t>
      </w:r>
      <w:r>
        <w:rPr>
          <w:color w:val="000000"/>
          <w:spacing w:val="0"/>
          <w:w w:val="100"/>
          <w:position w:val="0"/>
        </w:rPr>
        <w:t>年度公司未进一步计提减值准备。</w:t>
      </w:r>
    </w:p>
    <w:p>
      <w:pPr>
        <w:pStyle w:val="Style32"/>
        <w:keepNext/>
        <w:keepLines/>
        <w:widowControl w:val="0"/>
        <w:shd w:val="clear" w:color="auto" w:fill="auto"/>
        <w:bidi w:val="0"/>
        <w:spacing w:before="0" w:after="24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bookmarkEnd w:id="1328"/>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1326"/>
      <w:bookmarkEnd w:id="1327"/>
      <w:bookmarkEnd w:id="132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603"/>
        <w:gridCol w:w="1598"/>
        <w:gridCol w:w="1584"/>
        <w:gridCol w:w="1603"/>
        <w:gridCol w:w="1608"/>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47,102,245.89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8,551,061.62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21,323,432.91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34,329,874.60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8,606,850.37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4,070,624.98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3,725,521.03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8,951,954.32</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55,709,096.26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12,621,686.60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25,048,953.94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43,281,828.92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bookmarkEnd w:id="1332"/>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30"/>
      <w:bookmarkEnd w:id="1331"/>
      <w:bookmarkEnd w:id="1333"/>
    </w:p>
    <w:p>
      <w:pPr>
        <w:pStyle w:val="Style32"/>
        <w:keepNext/>
        <w:keepLines/>
        <w:widowControl w:val="0"/>
        <w:shd w:val="clear" w:color="auto" w:fill="auto"/>
        <w:bidi w:val="0"/>
        <w:spacing w:before="0" w:after="240" w:line="240" w:lineRule="auto"/>
        <w:ind w:left="0" w:right="0" w:firstLine="0"/>
        <w:jc w:val="left"/>
      </w:pPr>
      <w:bookmarkStart w:id="1330" w:name="bookmark1330"/>
      <w:bookmarkStart w:id="1331" w:name="bookmark1331"/>
      <w:bookmarkStart w:id="1334" w:name="bookmark13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30"/>
      <w:bookmarkEnd w:id="1331"/>
      <w:bookmarkEnd w:id="133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20"/>
        <w:gridCol w:w="1925"/>
      </w:tblGrid>
      <w:tr>
        <w:trPr>
          <w:trHeight w:val="34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1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递延所得税资产</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rPr>
              <w:t>82,750,789.09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rPr>
              <w:t>12,499,109.46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rPr>
              <w:t>53,120,659.93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9,957,270.19</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187,634,973.83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rPr>
              <w:t>26,777,071.37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137,913,665.62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18,805,162.47</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356,495,085.28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rPr>
              <w:t>54,643,120.83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328,148,869.23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49,452,422.74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191,217,356.42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rPr>
              <w:t>26,550,553.20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rPr>
              <w:t>22,191,169.72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3,117,502.09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217,500.00</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820,156,204.62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120,778,554.86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542,824,364.50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81,549,857.49</w:t>
            </w:r>
          </w:p>
        </w:tc>
      </w:tr>
    </w:tbl>
    <w:p>
      <w:pPr>
        <w:widowControl w:val="0"/>
        <w:spacing w:after="239" w:line="1" w:lineRule="exact"/>
      </w:pPr>
    </w:p>
    <w:p>
      <w:pPr>
        <w:pStyle w:val="Style32"/>
        <w:keepNext/>
        <w:keepLines/>
        <w:widowControl w:val="0"/>
        <w:shd w:val="clear" w:color="auto" w:fill="auto"/>
        <w:bidi w:val="0"/>
        <w:spacing w:before="0" w:after="240" w:line="240" w:lineRule="auto"/>
        <w:ind w:left="0" w:right="0" w:firstLine="0"/>
        <w:jc w:val="left"/>
      </w:pPr>
      <w:bookmarkStart w:id="1335" w:name="bookmark1335"/>
      <w:bookmarkStart w:id="1336" w:name="bookmark1336"/>
      <w:bookmarkStart w:id="1337" w:name="bookmark13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35"/>
      <w:bookmarkEnd w:id="1336"/>
      <w:bookmarkEnd w:id="133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20"/>
        <w:gridCol w:w="1925"/>
      </w:tblGrid>
      <w:tr>
        <w:trPr>
          <w:trHeight w:val="34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1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应纳税暂时性差异</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应纳税暂时性差异</w:t>
            </w:r>
          </w:p>
        </w:tc>
        <w:tc>
          <w:tcPr>
            <w:tcBorders>
              <w:top w:val="single" w:sz="4"/>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递延所得税负债</w:t>
            </w:r>
          </w:p>
        </w:tc>
      </w:tr>
      <w:tr>
        <w:trPr>
          <w:trHeight w:val="55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非同一控制企业合并资 产评估增值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rPr>
              <w:t>27,787,075.16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6,946,768.79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rPr>
              <w:t>30,942,996.44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7,735,749.11</w:t>
            </w:r>
          </w:p>
        </w:tc>
      </w:tr>
    </w:tbl>
    <w:p>
      <w:pPr>
        <w:spacing w:lineRule="exact" w:line="1"/>
        <w:rPr>
          <w:sz w:val="2"/>
          <w:szCs w:val="2"/>
        </w:rPr>
      </w:pPr>
      <w:r>
        <w:br w:type="page"/>
      </w:r>
    </w:p>
    <w:tbl>
      <w:tblPr>
        <w:tblOverlap w:val="never"/>
        <w:jc w:val="center"/>
        <w:tblLayout w:type="fixed"/>
      </w:tblPr>
      <w:tblGrid>
        <w:gridCol w:w="1925"/>
        <w:gridCol w:w="1920"/>
        <w:gridCol w:w="1915"/>
        <w:gridCol w:w="1920"/>
        <w:gridCol w:w="1925"/>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822,944,513.01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115,263,931.03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99,485,284.55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15,484,835.11</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850,731,588.17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122,210,699.82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130,428,280.99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23,220,584.22</w:t>
            </w:r>
          </w:p>
        </w:tc>
      </w:tr>
    </w:tbl>
    <w:p>
      <w:pPr>
        <w:widowControl w:val="0"/>
        <w:spacing w:after="219" w:line="1" w:lineRule="exact"/>
      </w:pPr>
    </w:p>
    <w:p>
      <w:pPr>
        <w:pStyle w:val="Style32"/>
        <w:keepNext/>
        <w:keepLines/>
        <w:widowControl w:val="0"/>
        <w:shd w:val="clear" w:color="auto" w:fill="auto"/>
        <w:bidi w:val="0"/>
        <w:spacing w:before="0" w:after="22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38"/>
      <w:bookmarkEnd w:id="1339"/>
      <w:bookmarkEnd w:id="1341"/>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20"/>
        <w:gridCol w:w="1925"/>
      </w:tblGrid>
      <w:tr>
        <w:trPr>
          <w:trHeight w:val="60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递延所得税资产和 负债期末互抵金额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递延所得税资产和 负债期初互抵金额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抵销后递延所得税资产 或负债期初余额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rPr>
              <w:t>98,988,516.47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21,790,038.39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81,549,857.49</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both"/>
            </w:pPr>
            <w:r>
              <w:rPr>
                <w:color w:val="000000"/>
                <w:spacing w:val="0"/>
                <w:w w:val="100"/>
                <w:position w:val="0"/>
              </w:rPr>
              <w:t>98,988,516.47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23,222,183.35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pPr>
            <w:r>
              <w:rPr>
                <w:color w:val="000000"/>
                <w:spacing w:val="0"/>
                <w:w w:val="100"/>
                <w:position w:val="0"/>
              </w:rPr>
              <w:t>23,220,584.22</w:t>
            </w:r>
          </w:p>
        </w:tc>
      </w:tr>
    </w:tbl>
    <w:p>
      <w:pPr>
        <w:widowControl w:val="0"/>
        <w:spacing w:after="219" w:line="1" w:lineRule="exact"/>
      </w:pPr>
    </w:p>
    <w:p>
      <w:pPr>
        <w:pStyle w:val="Style32"/>
        <w:keepNext/>
        <w:keepLines/>
        <w:widowControl w:val="0"/>
        <w:shd w:val="clear" w:color="auto" w:fill="auto"/>
        <w:bidi w:val="0"/>
        <w:spacing w:before="0" w:after="22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42"/>
      <w:bookmarkEnd w:id="1343"/>
      <w:bookmarkEnd w:id="134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171,597,550.66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183,617,842.38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25,130,981.56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33,915,973.44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34,125,177.54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17,289,292.34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126,097.38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230,979,807.14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234,823,108.16</w:t>
            </w:r>
          </w:p>
        </w:tc>
      </w:tr>
    </w:tbl>
    <w:p>
      <w:pPr>
        <w:widowControl w:val="0"/>
        <w:spacing w:after="219" w:line="1" w:lineRule="exact"/>
      </w:pPr>
    </w:p>
    <w:p>
      <w:pPr>
        <w:pStyle w:val="Style32"/>
        <w:keepNext/>
        <w:keepLines/>
        <w:widowControl w:val="0"/>
        <w:shd w:val="clear" w:color="auto" w:fill="auto"/>
        <w:bidi w:val="0"/>
        <w:spacing w:before="0" w:after="220" w:line="240" w:lineRule="auto"/>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46"/>
      <w:bookmarkEnd w:id="1347"/>
      <w:bookmarkEnd w:id="134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26"/>
        <w:gridCol w:w="3211"/>
        <w:gridCol w:w="3226"/>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19,575,814.50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6,079,755.63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35,163,740.89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27,279,453.28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39,676,195.67</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40,252,438.81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49,258,467.89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17,469,571.92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17,465,600.77</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2026</w:t>
            </w:r>
            <w:r>
              <w:rPr>
                <w:rFonts w:ascii="SimSun" w:eastAsia="SimSun" w:hAnsi="SimSun" w:cs="SimSun"/>
                <w:color w:val="000000"/>
                <w:spacing w:val="0"/>
                <w:w w:val="100"/>
                <w:position w:val="0"/>
              </w:rPr>
              <w:t>年及以后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80,516,331.02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22,478,022.66</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171,597,550.66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183,617,842.38</w:t>
            </w:r>
          </w:p>
        </w:tc>
      </w:tr>
    </w:tbl>
    <w:p>
      <w:pPr>
        <w:widowControl w:val="0"/>
        <w:spacing w:after="219" w:line="1" w:lineRule="exact"/>
      </w:pPr>
    </w:p>
    <w:p>
      <w:pPr>
        <w:pStyle w:val="Style32"/>
        <w:keepNext/>
        <w:keepLines/>
        <w:widowControl w:val="0"/>
        <w:shd w:val="clear" w:color="auto" w:fill="auto"/>
        <w:bidi w:val="0"/>
        <w:spacing w:before="0" w:after="22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2</w:t>
      </w:r>
      <w:bookmarkEnd w:id="1352"/>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1350"/>
      <w:bookmarkEnd w:id="1351"/>
      <w:bookmarkEnd w:id="135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252,723,093.20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600,000,000.00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2,626,160,000.00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2,069,999,992.00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33,442,383.88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17,491,080.02</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2,809,602,383.88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2,940,214,165.22</w:t>
            </w:r>
          </w:p>
        </w:tc>
      </w:tr>
    </w:tbl>
    <w:p>
      <w:pPr>
        <w:spacing w:lineRule="exact" w:line="1"/>
        <w:rPr>
          <w:sz w:val="2"/>
          <w:szCs w:val="2"/>
        </w:rPr>
      </w:pPr>
      <w:r>
        <w:br w:type="page"/>
      </w:r>
    </w:p>
    <w:p>
      <w:pPr>
        <w:pStyle w:val="Style32"/>
        <w:keepNext/>
        <w:keepLines/>
        <w:widowControl w:val="0"/>
        <w:shd w:val="clear" w:color="auto" w:fill="auto"/>
        <w:bidi w:val="0"/>
        <w:spacing w:before="0" w:after="30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2</w:t>
      </w:r>
      <w:bookmarkEnd w:id="1356"/>
      <w:r>
        <w:rPr>
          <w:rFonts w:ascii="Times New Roman" w:eastAsia="Times New Roman" w:hAnsi="Times New Roman" w:cs="Times New Roman"/>
          <w:color w:val="000000"/>
          <w:spacing w:val="0"/>
          <w:w w:val="100"/>
          <w:position w:val="0"/>
        </w:rPr>
        <w:t>4</w:t>
      </w:r>
      <w:r>
        <w:rPr>
          <w:color w:val="000000"/>
          <w:spacing w:val="0"/>
          <w:w w:val="100"/>
          <w:position w:val="0"/>
        </w:rPr>
        <w:t>、应付短期融资券</w:t>
      </w:r>
      <w:bookmarkEnd w:id="1354"/>
      <w:bookmarkEnd w:id="1355"/>
      <w:bookmarkEnd w:id="135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52"/>
        <w:gridCol w:w="1992"/>
        <w:gridCol w:w="2002"/>
        <w:gridCol w:w="1992"/>
        <w:gridCol w:w="1925"/>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年末余额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短期收益凭证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8,402,188,109.28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11,639,461,355.24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13,444,882,782.80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6,596,766,681.72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短期融资券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19,098,116,164.38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12,572,703,424.65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6,525,412,739.73</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8,402,188,109.28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30,737,577,519.62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26,017,586,207.45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13,122,179,421.45</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2</w:t>
      </w:r>
      <w:bookmarkEnd w:id="1360"/>
      <w:r>
        <w:rPr>
          <w:rFonts w:ascii="Times New Roman" w:eastAsia="Times New Roman" w:hAnsi="Times New Roman" w:cs="Times New Roman"/>
          <w:color w:val="000000"/>
          <w:spacing w:val="0"/>
          <w:w w:val="100"/>
          <w:position w:val="0"/>
        </w:rPr>
        <w:t>5</w:t>
      </w:r>
      <w:r>
        <w:rPr>
          <w:color w:val="000000"/>
          <w:spacing w:val="0"/>
          <w:w w:val="100"/>
          <w:position w:val="0"/>
        </w:rPr>
        <w:t>、拆入资金</w:t>
      </w:r>
      <w:bookmarkEnd w:id="1358"/>
      <w:bookmarkEnd w:id="1359"/>
      <w:bookmarkEnd w:id="1361"/>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转融通融入资金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1,000,000,000.00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同业拆借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6,662,888.89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12,222,222.22</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1,206,662,888.89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1,012,222,222.22</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bookmarkEnd w:id="1364"/>
      <w:r>
        <w:rPr>
          <w:rFonts w:ascii="Times New Roman" w:eastAsia="Times New Roman" w:hAnsi="Times New Roman" w:cs="Times New Roman"/>
          <w:color w:val="000000"/>
          <w:spacing w:val="0"/>
          <w:w w:val="100"/>
          <w:position w:val="0"/>
        </w:rPr>
        <w:t>6</w:t>
      </w:r>
      <w:r>
        <w:rPr>
          <w:color w:val="000000"/>
          <w:spacing w:val="0"/>
          <w:w w:val="100"/>
          <w:position w:val="0"/>
        </w:rPr>
        <w:t>、交易性金融负债</w:t>
      </w:r>
      <w:bookmarkEnd w:id="1362"/>
      <w:bookmarkEnd w:id="1363"/>
      <w:bookmarkEnd w:id="136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2,903,711,243.37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94,231,907.71</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其中：收益凭证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1,635,450,566.40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70,021,711.18</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收益互换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750,427,134.06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23,801,116.53</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256,381,292.91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409,080.00</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融券卖空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261,452,250.00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指定为以公允价值计量且其变动计入当 期损益的金融负债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28,453,726.64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29,437,897.37</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其中：结构化主体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28,453,726.64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29,437,897.37</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2,932,164,970.01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123,669,805.08</w:t>
            </w:r>
          </w:p>
        </w:tc>
      </w:tr>
    </w:tbl>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本公司指定为以公允价值计量且其变动计入当期损益的金融负债为纳入合并范围内的结构化主体中归属于第三方的权益。</w:t>
      </w:r>
    </w:p>
    <w:p>
      <w:pPr>
        <w:widowControl w:val="0"/>
        <w:spacing w:after="359" w:line="1" w:lineRule="exact"/>
      </w:pPr>
    </w:p>
    <w:p>
      <w:pPr>
        <w:pStyle w:val="Style32"/>
        <w:keepNext/>
        <w:keepLines/>
        <w:widowControl w:val="0"/>
        <w:shd w:val="clear" w:color="auto" w:fill="auto"/>
        <w:bidi w:val="0"/>
        <w:spacing w:before="0" w:after="30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bookmarkEnd w:id="1368"/>
      <w:r>
        <w:rPr>
          <w:rFonts w:ascii="Times New Roman" w:eastAsia="Times New Roman" w:hAnsi="Times New Roman" w:cs="Times New Roman"/>
          <w:color w:val="000000"/>
          <w:spacing w:val="0"/>
          <w:w w:val="100"/>
          <w:position w:val="0"/>
        </w:rPr>
        <w:t>7</w:t>
      </w:r>
      <w:r>
        <w:rPr>
          <w:color w:val="000000"/>
          <w:spacing w:val="0"/>
          <w:w w:val="100"/>
          <w:position w:val="0"/>
        </w:rPr>
        <w:t>、衍生金融负债</w:t>
      </w:r>
      <w:bookmarkEnd w:id="1366"/>
      <w:bookmarkEnd w:id="1367"/>
      <w:bookmarkEnd w:id="136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收益互换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57,187,276.95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270,514.42</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场外期权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51,323.04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160,454.38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场内期权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427,079.70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57,665,679.69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430,968.80</w:t>
            </w:r>
          </w:p>
        </w:tc>
      </w:tr>
    </w:tbl>
    <w:p>
      <w:pPr>
        <w:pStyle w:val="Style20"/>
        <w:keepNext w:val="0"/>
        <w:keepLines w:val="0"/>
        <w:widowControl w:val="0"/>
        <w:shd w:val="clear" w:color="auto" w:fill="auto"/>
        <w:bidi w:val="0"/>
        <w:spacing w:before="0" w:after="0" w:line="254" w:lineRule="exact"/>
        <w:ind w:left="0" w:right="0" w:firstLine="0"/>
        <w:jc w:val="distribute"/>
      </w:pPr>
      <w:r>
        <w:rPr>
          <w:color w:val="000000"/>
          <w:spacing w:val="0"/>
          <w:w w:val="100"/>
          <w:position w:val="0"/>
        </w:rPr>
        <w:t>其他说明：</w:t>
      </w:r>
    </w:p>
    <w:p>
      <w:pPr>
        <w:pStyle w:val="Style20"/>
        <w:keepNext w:val="0"/>
        <w:keepLines w:val="0"/>
        <w:widowControl w:val="0"/>
        <w:shd w:val="clear" w:color="auto" w:fill="auto"/>
        <w:bidi w:val="0"/>
        <w:spacing w:before="0" w:after="0" w:line="254" w:lineRule="exact"/>
        <w:ind w:left="0" w:right="0" w:firstLine="0"/>
        <w:jc w:val="distribute"/>
      </w:pPr>
      <w:r>
        <w:rPr>
          <w:color w:val="000000"/>
          <w:spacing w:val="0"/>
          <w:w w:val="100"/>
          <w:position w:val="0"/>
        </w:rPr>
        <w:t>本公司于本年末所持有当日无负债结算制度下的期货合约产生的持仓损益，已经结算并包括在货币资金或存出保证金中， 衍生金融工具项下合约形成的金融资产或金融负债与相关业务的暂收暂付款（结算所得的持仓损益）之间按抵销后的净额 为零列示。</w:t>
      </w:r>
      <w:r>
        <w:br w:type="page"/>
      </w:r>
    </w:p>
    <w:p>
      <w:pPr>
        <w:pStyle w:val="Style32"/>
        <w:keepNext/>
        <w:keepLines/>
        <w:widowControl w:val="0"/>
        <w:shd w:val="clear" w:color="auto" w:fill="auto"/>
        <w:bidi w:val="0"/>
        <w:spacing w:before="0" w:after="30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2</w:t>
      </w:r>
      <w:bookmarkEnd w:id="1372"/>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370"/>
      <w:bookmarkEnd w:id="1371"/>
      <w:bookmarkEnd w:id="1373"/>
    </w:p>
    <w:p>
      <w:pPr>
        <w:pStyle w:val="Style32"/>
        <w:keepNext/>
        <w:keepLines/>
        <w:widowControl w:val="0"/>
        <w:shd w:val="clear" w:color="auto" w:fill="auto"/>
        <w:bidi w:val="0"/>
        <w:spacing w:before="0" w:after="300" w:line="240" w:lineRule="auto"/>
        <w:ind w:left="0" w:right="0" w:firstLine="0"/>
        <w:jc w:val="left"/>
      </w:pPr>
      <w:bookmarkStart w:id="1370" w:name="bookmark1370"/>
      <w:bookmarkStart w:id="1371" w:name="bookmark1371"/>
      <w:bookmarkStart w:id="1374" w:name="bookmark13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70"/>
      <w:bookmarkEnd w:id="1371"/>
      <w:bookmarkEnd w:id="137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基金销售业务成本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145,618,808.12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126,087,480.01</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广告代理成本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10,692,422.80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10,749,248.77</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长期资产购置款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2,416,697.35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3,421,053.28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70,283,691.84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70,789,191.07</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229,011,620.11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211,046,973.13</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375" w:name="bookmark1375"/>
      <w:bookmarkStart w:id="1376" w:name="bookmark1376"/>
      <w:bookmarkStart w:id="1377" w:name="bookmark13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75"/>
      <w:bookmarkEnd w:id="1376"/>
      <w:bookmarkEnd w:id="137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交通银行股份有限公司上海市分行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21,252,414.28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未结算</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中国民生银行股份有限公司成都分行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3,868,714.55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未结算</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25,121,128.83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2</w:t>
      </w:r>
      <w:bookmarkEnd w:id="1380"/>
      <w:r>
        <w:rPr>
          <w:rFonts w:ascii="Times New Roman" w:eastAsia="Times New Roman" w:hAnsi="Times New Roman" w:cs="Times New Roman"/>
          <w:color w:val="000000"/>
          <w:spacing w:val="0"/>
          <w:w w:val="100"/>
          <w:position w:val="0"/>
        </w:rPr>
        <w:t>9</w:t>
      </w:r>
      <w:r>
        <w:rPr>
          <w:color w:val="000000"/>
          <w:spacing w:val="0"/>
          <w:w w:val="100"/>
          <w:position w:val="0"/>
        </w:rPr>
        <w:t>、预收款项</w:t>
      </w:r>
      <w:bookmarkEnd w:id="1378"/>
      <w:bookmarkEnd w:id="1379"/>
      <w:bookmarkEnd w:id="1381"/>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预收房租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411,729.15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1,033,242.19</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411,729.15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1,033,242.19</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3</w:t>
      </w:r>
      <w:bookmarkEnd w:id="1384"/>
      <w:r>
        <w:rPr>
          <w:rFonts w:ascii="Times New Roman" w:eastAsia="Times New Roman" w:hAnsi="Times New Roman" w:cs="Times New Roman"/>
          <w:color w:val="000000"/>
          <w:spacing w:val="0"/>
          <w:w w:val="100"/>
          <w:position w:val="0"/>
        </w:rPr>
        <w:t>0</w:t>
      </w:r>
      <w:r>
        <w:rPr>
          <w:color w:val="000000"/>
          <w:spacing w:val="0"/>
          <w:w w:val="100"/>
          <w:position w:val="0"/>
        </w:rPr>
        <w:t>、合同负债</w:t>
      </w:r>
      <w:bookmarkEnd w:id="1382"/>
      <w:bookmarkEnd w:id="1383"/>
      <w:bookmarkEnd w:id="138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金融数据服务预收款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148,051,990.77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134,002,270.87</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广告业务预收款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42,437,462.82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43,105,633.25</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投资咨询业务预收款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6,562,073.27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2,909,266.26</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其他业务预收款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166,500.00</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197,209,026.86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180,183,670.38</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3</w:t>
      </w:r>
      <w:bookmarkEnd w:id="1388"/>
      <w:r>
        <w:rPr>
          <w:rFonts w:ascii="Times New Roman" w:eastAsia="Times New Roman" w:hAnsi="Times New Roman" w:cs="Times New Roman"/>
          <w:color w:val="000000"/>
          <w:spacing w:val="0"/>
          <w:w w:val="100"/>
          <w:position w:val="0"/>
        </w:rPr>
        <w:t>1</w:t>
      </w:r>
      <w:r>
        <w:rPr>
          <w:color w:val="000000"/>
          <w:spacing w:val="0"/>
          <w:w w:val="100"/>
          <w:position w:val="0"/>
        </w:rPr>
        <w:t>、卖出回购金融资产款</w:t>
      </w:r>
      <w:bookmarkEnd w:id="1386"/>
      <w:bookmarkEnd w:id="1387"/>
      <w:bookmarkEnd w:id="1389"/>
    </w:p>
    <w:p>
      <w:pPr>
        <w:pStyle w:val="Style32"/>
        <w:keepNext/>
        <w:keepLines/>
        <w:widowControl w:val="0"/>
        <w:shd w:val="clear" w:color="auto" w:fill="auto"/>
        <w:bidi w:val="0"/>
        <w:spacing w:before="0" w:after="0" w:line="240" w:lineRule="auto"/>
        <w:ind w:left="0" w:right="0" w:firstLine="0"/>
        <w:jc w:val="left"/>
      </w:pPr>
      <w:bookmarkStart w:id="1386" w:name="bookmark1386"/>
      <w:bookmarkStart w:id="1387" w:name="bookmark1387"/>
      <w:bookmarkStart w:id="1390" w:name="bookmark13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）按业务类别列示</w:t>
      </w:r>
      <w:bookmarkEnd w:id="1386"/>
      <w:bookmarkEnd w:id="1387"/>
      <w:bookmarkEnd w:id="139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债券质押式卖出回购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26,275,800,000.00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5,246,361,000.00</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买断式回购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410,509,440.00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融资融券债权收益权回购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3,280,000,000.00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21,356,169.89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6,864,079.65</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26,707,665,609.89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8,533,225,079.65</w:t>
            </w:r>
          </w:p>
        </w:tc>
      </w:tr>
    </w:tbl>
    <w:p>
      <w:pPr>
        <w:widowControl w:val="0"/>
        <w:spacing w:after="239" w:line="1" w:lineRule="exact"/>
      </w:pPr>
    </w:p>
    <w:p>
      <w:pPr>
        <w:pStyle w:val="Style32"/>
        <w:keepNext/>
        <w:keepLines/>
        <w:widowControl w:val="0"/>
        <w:shd w:val="clear" w:color="auto" w:fill="auto"/>
        <w:bidi w:val="0"/>
        <w:spacing w:before="0" w:after="60" w:line="240" w:lineRule="auto"/>
        <w:ind w:left="0" w:right="0" w:firstLine="0"/>
        <w:jc w:val="left"/>
      </w:pPr>
      <w:bookmarkStart w:id="1391" w:name="bookmark1391"/>
      <w:bookmarkStart w:id="1392" w:name="bookmark1392"/>
      <w:bookmarkStart w:id="1393" w:name="bookmark13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）按金融资产种类列示</w:t>
      </w:r>
      <w:bookmarkEnd w:id="1391"/>
      <w:bookmarkEnd w:id="1392"/>
      <w:bookmarkEnd w:id="1393"/>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26,686,309,440.00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5,246,361,000.00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融资融券收益权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3,280,000,000.00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21,356,169.89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6,864,079.65</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26,707,665,609.89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8,533,225,079.65</w:t>
            </w:r>
          </w:p>
        </w:tc>
      </w:tr>
    </w:tbl>
    <w:p>
      <w:pPr>
        <w:widowControl w:val="0"/>
        <w:spacing w:after="279" w:line="1" w:lineRule="exact"/>
      </w:pPr>
    </w:p>
    <w:p>
      <w:pPr>
        <w:pStyle w:val="Style32"/>
        <w:keepNext/>
        <w:keepLines/>
        <w:widowControl w:val="0"/>
        <w:shd w:val="clear" w:color="auto" w:fill="auto"/>
        <w:bidi w:val="0"/>
        <w:spacing w:before="0" w:after="28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3</w:t>
      </w:r>
      <w:bookmarkEnd w:id="1396"/>
      <w:r>
        <w:rPr>
          <w:rFonts w:ascii="Times New Roman" w:eastAsia="Times New Roman" w:hAnsi="Times New Roman" w:cs="Times New Roman"/>
          <w:color w:val="000000"/>
          <w:spacing w:val="0"/>
          <w:w w:val="100"/>
          <w:position w:val="0"/>
        </w:rPr>
        <w:t>2</w:t>
      </w:r>
      <w:r>
        <w:rPr>
          <w:color w:val="000000"/>
          <w:spacing w:val="0"/>
          <w:w w:val="100"/>
          <w:position w:val="0"/>
        </w:rPr>
        <w:t>、代理买卖证券款</w:t>
      </w:r>
      <w:bookmarkEnd w:id="1394"/>
      <w:bookmarkEnd w:id="1395"/>
      <w:bookmarkEnd w:id="139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普通经纪业务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43,400,054,472.21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30,654,141,668.05</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2,617,797,014.49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2,003,750,723.14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普通经纪业务小计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46,017,851,486.70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32,657,892,391.19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个人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4,313,004,371.61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3,161,754,224.67</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297,469,517.29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220,783,909.88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信用业务小计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4,610,473,888.90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3,382,538,134.55</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基金第三方销售业务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13,295,312,787.51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13,753,950,878.94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5,203,996.77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3,402,850.32</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63,928,842,159.88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49,797,784,255.00</w:t>
            </w:r>
          </w:p>
        </w:tc>
      </w:tr>
    </w:tbl>
    <w:p>
      <w:pPr>
        <w:widowControl w:val="0"/>
        <w:spacing w:after="119" w:line="1" w:lineRule="exact"/>
      </w:pPr>
    </w:p>
    <w:p>
      <w:pPr>
        <w:pStyle w:val="Style32"/>
        <w:keepNext/>
        <w:keepLines/>
        <w:widowControl w:val="0"/>
        <w:shd w:val="clear" w:color="auto" w:fill="auto"/>
        <w:bidi w:val="0"/>
        <w:spacing w:before="0" w:after="16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3</w:t>
      </w:r>
      <w:bookmarkEnd w:id="1400"/>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398"/>
      <w:bookmarkEnd w:id="1399"/>
      <w:bookmarkEnd w:id="1401"/>
    </w:p>
    <w:p>
      <w:pPr>
        <w:pStyle w:val="Style32"/>
        <w:keepNext/>
        <w:keepLines/>
        <w:widowControl w:val="0"/>
        <w:shd w:val="clear" w:color="auto" w:fill="auto"/>
        <w:bidi w:val="0"/>
        <w:spacing w:before="0" w:after="120" w:line="240" w:lineRule="auto"/>
        <w:ind w:left="0" w:right="0" w:firstLine="0"/>
        <w:jc w:val="left"/>
      </w:pPr>
      <w:bookmarkStart w:id="1398" w:name="bookmark1398"/>
      <w:bookmarkStart w:id="1399" w:name="bookmark1399"/>
      <w:bookmarkStart w:id="1402" w:name="bookmark14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98"/>
      <w:bookmarkEnd w:id="1399"/>
      <w:bookmarkEnd w:id="140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73"/>
        <w:gridCol w:w="2122"/>
        <w:gridCol w:w="1699"/>
        <w:gridCol w:w="1704"/>
        <w:gridCol w:w="1507"/>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347,031,848.17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1,638,493,927.61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1,576,374,471.15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409,151,304.63</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设定提存计划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80,005.60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125,779,233.17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125,859,238.77</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4,186,776.18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3,286,776.18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900,000.00</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347,111,853.77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1,768,459,936.96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1,705,520,486.10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410,051,304.63</w:t>
            </w:r>
          </w:p>
        </w:tc>
      </w:tr>
    </w:tbl>
    <w:p>
      <w:pPr>
        <w:widowControl w:val="0"/>
        <w:spacing w:after="119" w:line="1" w:lineRule="exact"/>
      </w:pPr>
    </w:p>
    <w:p>
      <w:pPr>
        <w:pStyle w:val="Style32"/>
        <w:keepNext/>
        <w:keepLines/>
        <w:widowControl w:val="0"/>
        <w:shd w:val="clear" w:color="auto" w:fill="auto"/>
        <w:bidi w:val="0"/>
        <w:spacing w:before="0" w:after="120" w:line="240" w:lineRule="auto"/>
        <w:ind w:left="0" w:right="0" w:firstLine="0"/>
        <w:jc w:val="left"/>
      </w:pPr>
      <w:bookmarkStart w:id="1403" w:name="bookmark1403"/>
      <w:bookmarkStart w:id="1404" w:name="bookmark1404"/>
      <w:bookmarkStart w:id="1405" w:name="bookmark14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03"/>
      <w:bookmarkEnd w:id="1404"/>
      <w:bookmarkEnd w:id="140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9"/>
        <w:gridCol w:w="1992"/>
        <w:gridCol w:w="1834"/>
        <w:gridCol w:w="1714"/>
        <w:gridCol w:w="1637"/>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、工资、奖金、津贴和补贴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340,064,283.73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1,446,261,741.58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1,384,092,340.09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402,233,685.22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20,779,399.20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20,779,399.20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113,567.66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82,418,403.03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82,531,970.69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29"/>
        <w:gridCol w:w="1992"/>
        <w:gridCol w:w="1829"/>
        <w:gridCol w:w="1718"/>
        <w:gridCol w:w="1637"/>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111,380.12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73,730,294.06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73,841,674.18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1,633,670.18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1,633,746.80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7,054,438.79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7,056,549.71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342,683.26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62,963,211.02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63,305,894.28</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、工会经费和职工教育经费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6,511,313.52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26,071,172.78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25,664,866.89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6,917,619.41</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347,031,848.17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1,638,493,927.61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1,576,374,471.15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409,151,304.63</w:t>
            </w:r>
          </w:p>
        </w:tc>
      </w:tr>
    </w:tbl>
    <w:p>
      <w:pPr>
        <w:widowControl w:val="0"/>
        <w:spacing w:after="299" w:line="1" w:lineRule="exact"/>
      </w:pPr>
    </w:p>
    <w:p>
      <w:pPr>
        <w:pStyle w:val="Style32"/>
        <w:keepNext/>
        <w:keepLines/>
        <w:widowControl w:val="0"/>
        <w:numPr>
          <w:ilvl w:val="0"/>
          <w:numId w:val="31"/>
        </w:numPr>
        <w:shd w:val="clear" w:color="auto" w:fill="auto"/>
        <w:bidi w:val="0"/>
        <w:spacing w:before="0" w:after="300" w:line="240" w:lineRule="auto"/>
        <w:ind w:left="0" w:right="0" w:firstLine="0"/>
        <w:jc w:val="left"/>
      </w:pPr>
      <w:bookmarkStart w:id="1406" w:name="bookmark1406"/>
      <w:bookmarkStart w:id="1407" w:name="bookmark1407"/>
      <w:bookmarkStart w:id="1408" w:name="bookmark1408"/>
      <w:bookmarkStart w:id="1409" w:name="bookmark1409"/>
      <w:bookmarkEnd w:id="1408"/>
      <w:r>
        <w:rPr>
          <w:color w:val="000000"/>
          <w:spacing w:val="0"/>
          <w:w w:val="100"/>
          <w:position w:val="0"/>
        </w:rPr>
        <w:t>设定提存计划列示</w:t>
      </w:r>
      <w:bookmarkEnd w:id="1406"/>
      <w:bookmarkEnd w:id="1407"/>
      <w:bookmarkEnd w:id="140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20"/>
        <w:gridCol w:w="1925"/>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75,331.20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121,911,667.32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121,986,998.52</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4,674.40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3,867,565.85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3,872,240.25</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80,005.60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125,779,233.17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125,859,238.77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3</w:t>
      </w:r>
      <w:bookmarkEnd w:id="1412"/>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410"/>
      <w:bookmarkEnd w:id="1411"/>
      <w:bookmarkEnd w:id="141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346,680,149.25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239,557,998.95</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67,165,158.08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73,487,947.30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42,615,869.30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6,781,626.02</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4,202,239.69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4,556,027.23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3,436,494.57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5,422,593.08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3,407,979.51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3,996,766.96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1,320,176.92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2,423,680.20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36,289.63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37,878.14</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5,654.36</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468,864,356.95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336,270,172.24</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注：个人所得税中包含证券经纪业务代扣代缴限售股解禁个人所得税</w:t>
      </w:r>
    </w:p>
    <w:p>
      <w:pPr>
        <w:widowControl w:val="0"/>
        <w:spacing w:after="339" w:line="1" w:lineRule="exact"/>
      </w:pPr>
    </w:p>
    <w:p>
      <w:pPr>
        <w:pStyle w:val="Style32"/>
        <w:keepNext/>
        <w:keepLines/>
        <w:widowControl w:val="0"/>
        <w:shd w:val="clear" w:color="auto" w:fill="auto"/>
        <w:bidi w:val="0"/>
        <w:spacing w:before="0" w:after="30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3</w:t>
      </w:r>
      <w:bookmarkEnd w:id="1416"/>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414"/>
      <w:bookmarkEnd w:id="1415"/>
      <w:bookmarkEnd w:id="141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3,016,652,033.62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1,759,641,832.07</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3,016,652,033.62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1,759,641,832.07</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418" w:name="bookmark1418"/>
      <w:bookmarkStart w:id="1419" w:name="bookmark1419"/>
      <w:bookmarkStart w:id="1420" w:name="bookmark14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18"/>
      <w:bookmarkEnd w:id="1419"/>
      <w:bookmarkEnd w:id="142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待交收开放式基金及经纪业务清算款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2,702,537,895.16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1,601,149,350.61</w:t>
            </w:r>
          </w:p>
        </w:tc>
      </w:tr>
    </w:tbl>
    <w:p>
      <w:pPr>
        <w:spacing w:lineRule="exact" w:line="1"/>
        <w:rPr>
          <w:sz w:val="2"/>
          <w:szCs w:val="2"/>
        </w:rPr>
      </w:pPr>
      <w:r>
        <w:br w:type="page"/>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期货风险准备金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81,868,656.72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46,564,436.77</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证券投资者保护基金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29,615,364.84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12,860,180.45</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期货投资者保障基金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711,412.37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538,168.48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保证金、押金及其他应付款项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201,918,704.53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98,529,695.76</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3,016,652,033.62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1,759,641,832.07</w:t>
            </w:r>
          </w:p>
        </w:tc>
      </w:tr>
    </w:tbl>
    <w:p>
      <w:pPr>
        <w:widowControl w:val="0"/>
        <w:spacing w:after="279" w:line="1" w:lineRule="exact"/>
      </w:pPr>
    </w:p>
    <w:p>
      <w:pPr>
        <w:pStyle w:val="Style32"/>
        <w:keepNext/>
        <w:keepLines/>
        <w:widowControl w:val="0"/>
        <w:shd w:val="clear" w:color="auto" w:fill="auto"/>
        <w:bidi w:val="0"/>
        <w:spacing w:before="0" w:after="280" w:line="240" w:lineRule="auto"/>
        <w:ind w:left="0" w:right="0" w:firstLine="0"/>
        <w:jc w:val="left"/>
      </w:pPr>
      <w:bookmarkStart w:id="1421" w:name="bookmark1421"/>
      <w:bookmarkStart w:id="1422" w:name="bookmark1422"/>
      <w:bookmarkStart w:id="1423" w:name="bookmark14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21"/>
      <w:bookmarkEnd w:id="1422"/>
      <w:bookmarkEnd w:id="142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期货风险准备金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46,564,436.77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发生期货交易风险损失事项时核销</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员工风险金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12,704,207.04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按照协议约定</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经纪人风险金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6,686,889.74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按照协议约定</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65,955,533.55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32"/>
        <w:keepNext/>
        <w:keepLines/>
        <w:widowControl w:val="0"/>
        <w:shd w:val="clear" w:color="auto" w:fill="auto"/>
        <w:bidi w:val="0"/>
        <w:spacing w:before="0" w:after="28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3</w:t>
      </w:r>
      <w:bookmarkEnd w:id="1426"/>
      <w:r>
        <w:rPr>
          <w:rFonts w:ascii="Times New Roman" w:eastAsia="Times New Roman" w:hAnsi="Times New Roman" w:cs="Times New Roman"/>
          <w:color w:val="000000"/>
          <w:spacing w:val="0"/>
          <w:w w:val="100"/>
          <w:position w:val="0"/>
        </w:rPr>
        <w:t>6</w:t>
      </w:r>
      <w:r>
        <w:rPr>
          <w:color w:val="000000"/>
          <w:spacing w:val="0"/>
          <w:w w:val="100"/>
          <w:position w:val="0"/>
        </w:rPr>
        <w:t>、一年内到期的非流动负债</w:t>
      </w:r>
      <w:bookmarkEnd w:id="1424"/>
      <w:bookmarkEnd w:id="1425"/>
      <w:bookmarkEnd w:id="142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一年内到期的应付债券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5,964,411,189.48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2,239,377,911.52</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66,105,663.82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66,085,971.90</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6,030,516,853.30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2,305,463,883.42</w:t>
            </w:r>
          </w:p>
        </w:tc>
      </w:tr>
    </w:tbl>
    <w:p>
      <w:pPr>
        <w:widowControl w:val="0"/>
        <w:spacing w:after="279" w:line="1" w:lineRule="exact"/>
      </w:pPr>
    </w:p>
    <w:p>
      <w:pPr>
        <w:pStyle w:val="Style32"/>
        <w:keepNext/>
        <w:keepLines/>
        <w:widowControl w:val="0"/>
        <w:shd w:val="clear" w:color="auto" w:fill="auto"/>
        <w:bidi w:val="0"/>
        <w:spacing w:before="0" w:after="28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3</w:t>
      </w:r>
      <w:bookmarkEnd w:id="1430"/>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1428"/>
      <w:bookmarkEnd w:id="1429"/>
      <w:bookmarkEnd w:id="1431"/>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待转销项税额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2,586,338.00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应付转融券利息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1,320,857.91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1,589,463.76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应付债券借贷利息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521,624.65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1,842,482.56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4,175,801.76</w:t>
            </w:r>
          </w:p>
        </w:tc>
      </w:tr>
    </w:tbl>
    <w:p>
      <w:pPr>
        <w:widowControl w:val="0"/>
        <w:spacing w:after="279" w:line="1" w:lineRule="exact"/>
      </w:pPr>
    </w:p>
    <w:p>
      <w:pPr>
        <w:pStyle w:val="Style32"/>
        <w:keepNext/>
        <w:keepLines/>
        <w:widowControl w:val="0"/>
        <w:shd w:val="clear" w:color="auto" w:fill="auto"/>
        <w:bidi w:val="0"/>
        <w:spacing w:before="0" w:after="34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3</w:t>
      </w:r>
      <w:bookmarkEnd w:id="1434"/>
      <w:r>
        <w:rPr>
          <w:rFonts w:ascii="Times New Roman" w:eastAsia="Times New Roman" w:hAnsi="Times New Roman" w:cs="Times New Roman"/>
          <w:color w:val="000000"/>
          <w:spacing w:val="0"/>
          <w:w w:val="100"/>
          <w:position w:val="0"/>
        </w:rPr>
        <w:t>8</w:t>
      </w:r>
      <w:r>
        <w:rPr>
          <w:color w:val="000000"/>
          <w:spacing w:val="0"/>
          <w:w w:val="100"/>
          <w:position w:val="0"/>
        </w:rPr>
        <w:t>、应付债券</w:t>
      </w:r>
      <w:bookmarkEnd w:id="1432"/>
      <w:bookmarkEnd w:id="1433"/>
      <w:bookmarkEnd w:id="1435"/>
    </w:p>
    <w:p>
      <w:pPr>
        <w:pStyle w:val="Style32"/>
        <w:keepNext/>
        <w:keepLines/>
        <w:widowControl w:val="0"/>
        <w:shd w:val="clear" w:color="auto" w:fill="auto"/>
        <w:bidi w:val="0"/>
        <w:spacing w:before="0" w:after="280" w:line="240" w:lineRule="auto"/>
        <w:ind w:left="0" w:right="0" w:firstLine="0"/>
        <w:jc w:val="left"/>
      </w:pPr>
      <w:bookmarkStart w:id="1432" w:name="bookmark1432"/>
      <w:bookmarkStart w:id="1433" w:name="bookmark1433"/>
      <w:bookmarkStart w:id="1436" w:name="bookmark14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32"/>
      <w:bookmarkEnd w:id="1433"/>
      <w:bookmarkEnd w:id="143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6,277,498,743.82</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次级债券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1,218,986,301.37</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可转换公司债券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13,432,803,100.80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19,710,301,844.62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1,218,986,301.37</w:t>
            </w:r>
          </w:p>
        </w:tc>
      </w:tr>
    </w:tbl>
    <w:p>
      <w:pPr>
        <w:spacing w:lineRule="exact" w:line="1"/>
        <w:rPr>
          <w:sz w:val="2"/>
          <w:szCs w:val="2"/>
        </w:rPr>
      </w:pPr>
      <w:r>
        <w:br w:type="page"/>
      </w:r>
    </w:p>
    <w:p>
      <w:pPr>
        <w:pStyle w:val="Style32"/>
        <w:keepNext/>
        <w:keepLines/>
        <w:widowControl w:val="0"/>
        <w:shd w:val="clear" w:color="auto" w:fill="auto"/>
        <w:bidi w:val="0"/>
        <w:spacing w:before="0" w:after="300" w:line="240" w:lineRule="auto"/>
        <w:ind w:left="0" w:right="0" w:firstLine="0"/>
        <w:jc w:val="left"/>
      </w:pPr>
      <w:bookmarkStart w:id="1437" w:name="bookmark1437"/>
      <w:bookmarkStart w:id="1438" w:name="bookmark1438"/>
      <w:bookmarkStart w:id="1439" w:name="bookmark14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37"/>
      <w:bookmarkEnd w:id="1438"/>
      <w:bookmarkEnd w:id="1439"/>
    </w:p>
    <w:p>
      <w:pPr>
        <w:pStyle w:val="Style24"/>
        <w:keepNext w:val="0"/>
        <w:keepLines w:val="0"/>
        <w:widowControl w:val="0"/>
        <w:shd w:val="clear" w:color="auto" w:fill="auto"/>
        <w:bidi w:val="0"/>
        <w:spacing w:before="0" w:after="80" w:line="240" w:lineRule="auto"/>
        <w:ind w:left="8920" w:right="0" w:firstLine="0"/>
        <w:jc w:val="both"/>
      </w:pPr>
      <w:r>
        <w:rPr>
          <w:color w:val="000000"/>
          <w:spacing w:val="0"/>
          <w:w w:val="100"/>
          <w:position w:val="0"/>
        </w:rPr>
        <w:t>单位：元</w:t>
      </w:r>
    </w:p>
    <w:tbl>
      <w:tblPr>
        <w:tblOverlap w:val="never"/>
        <w:jc w:val="center"/>
        <w:tblLayout w:type="fixed"/>
      </w:tblPr>
      <w:tblGrid>
        <w:gridCol w:w="658"/>
        <w:gridCol w:w="734"/>
        <w:gridCol w:w="720"/>
        <w:gridCol w:w="461"/>
        <w:gridCol w:w="638"/>
        <w:gridCol w:w="634"/>
        <w:gridCol w:w="634"/>
        <w:gridCol w:w="648"/>
        <w:gridCol w:w="806"/>
        <w:gridCol w:w="461"/>
        <w:gridCol w:w="653"/>
        <w:gridCol w:w="461"/>
        <w:gridCol w:w="562"/>
        <w:gridCol w:w="893"/>
        <w:gridCol w:w="643"/>
      </w:tblGrid>
      <w:tr>
        <w:trPr>
          <w:trHeight w:val="60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债券</w:t>
            </w:r>
          </w:p>
          <w:p>
            <w:pPr>
              <w:pStyle w:val="Style6"/>
              <w:keepNext w:val="0"/>
              <w:keepLines w:val="0"/>
              <w:widowControl w:val="0"/>
              <w:shd w:val="clear" w:color="auto" w:fill="auto"/>
              <w:bidi w:val="0"/>
              <w:spacing w:before="0" w:after="0" w:line="240" w:lineRule="auto"/>
              <w:ind w:left="0" w:right="0" w:firstLine="180"/>
              <w:jc w:val="left"/>
              <w:rPr>
                <w:sz w:val="14"/>
                <w:szCs w:val="14"/>
              </w:rPr>
            </w:pPr>
            <w:r>
              <w:rPr>
                <w:rFonts w:ascii="SimSun" w:eastAsia="SimSun" w:hAnsi="SimSun" w:cs="SimSun"/>
                <w:color w:val="000000"/>
                <w:spacing w:val="0"/>
                <w:w w:val="100"/>
                <w:position w:val="0"/>
                <w:sz w:val="14"/>
                <w:szCs w:val="14"/>
              </w:rPr>
              <w:t>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面值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197" w:lineRule="exact"/>
              <w:ind w:left="200" w:right="0" w:firstLine="0"/>
              <w:jc w:val="left"/>
              <w:rPr>
                <w:sz w:val="14"/>
                <w:szCs w:val="14"/>
              </w:rPr>
            </w:pPr>
            <w:r>
              <w:rPr>
                <w:rFonts w:ascii="SimSun" w:eastAsia="SimSun" w:hAnsi="SimSun" w:cs="SimSun"/>
                <w:color w:val="000000"/>
                <w:spacing w:val="0"/>
                <w:w w:val="100"/>
                <w:position w:val="0"/>
                <w:sz w:val="14"/>
                <w:szCs w:val="14"/>
              </w:rPr>
              <w:t>发行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债券</w:t>
            </w:r>
          </w:p>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期限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发行</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40" w:line="240" w:lineRule="auto"/>
              <w:ind w:left="0" w:right="0" w:firstLine="0"/>
              <w:jc w:val="center"/>
              <w:rPr>
                <w:sz w:val="14"/>
                <w:szCs w:val="14"/>
              </w:rPr>
            </w:pPr>
            <w:r>
              <w:rPr>
                <w:rFonts w:ascii="SimSun" w:eastAsia="SimSun" w:hAnsi="SimSun" w:cs="SimSun"/>
                <w:color w:val="000000"/>
                <w:spacing w:val="0"/>
                <w:w w:val="100"/>
                <w:position w:val="0"/>
                <w:sz w:val="14"/>
                <w:szCs w:val="14"/>
              </w:rPr>
              <w:t>期初</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40" w:line="240" w:lineRule="auto"/>
              <w:ind w:left="0" w:right="0" w:firstLine="160"/>
              <w:jc w:val="left"/>
              <w:rPr>
                <w:sz w:val="14"/>
                <w:szCs w:val="14"/>
              </w:rPr>
            </w:pPr>
            <w:r>
              <w:rPr>
                <w:rFonts w:ascii="SimSun" w:eastAsia="SimSun" w:hAnsi="SimSun" w:cs="SimSun"/>
                <w:color w:val="000000"/>
                <w:spacing w:val="0"/>
                <w:w w:val="100"/>
                <w:position w:val="0"/>
                <w:sz w:val="14"/>
                <w:szCs w:val="14"/>
              </w:rPr>
              <w:t>本期</w:t>
            </w:r>
          </w:p>
          <w:p>
            <w:pPr>
              <w:pStyle w:val="Style6"/>
              <w:keepNext w:val="0"/>
              <w:keepLines w:val="0"/>
              <w:widowControl w:val="0"/>
              <w:shd w:val="clear" w:color="auto" w:fill="auto"/>
              <w:bidi w:val="0"/>
              <w:spacing w:before="0" w:after="0" w:line="240" w:lineRule="auto"/>
              <w:ind w:left="0" w:right="0" w:firstLine="160"/>
              <w:jc w:val="left"/>
              <w:rPr>
                <w:sz w:val="14"/>
                <w:szCs w:val="14"/>
              </w:rPr>
            </w:pPr>
            <w:r>
              <w:rPr>
                <w:rFonts w:ascii="SimSun" w:eastAsia="SimSun" w:hAnsi="SimSun" w:cs="SimSun"/>
                <w:color w:val="000000"/>
                <w:spacing w:val="0"/>
                <w:w w:val="100"/>
                <w:position w:val="0"/>
                <w:sz w:val="14"/>
                <w:szCs w:val="14"/>
              </w:rPr>
              <w:t>发行</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40" w:line="240" w:lineRule="auto"/>
              <w:ind w:left="0" w:right="0" w:firstLine="0"/>
              <w:jc w:val="right"/>
              <w:rPr>
                <w:sz w:val="14"/>
                <w:szCs w:val="14"/>
              </w:rPr>
            </w:pPr>
            <w:r>
              <w:rPr>
                <w:rFonts w:ascii="SimSun" w:eastAsia="SimSun" w:hAnsi="SimSun" w:cs="SimSun"/>
                <w:color w:val="000000"/>
                <w:spacing w:val="0"/>
                <w:w w:val="100"/>
                <w:position w:val="0"/>
                <w:sz w:val="14"/>
                <w:szCs w:val="14"/>
              </w:rPr>
              <w:t>按面值</w:t>
            </w:r>
          </w:p>
          <w:p>
            <w:pPr>
              <w:pStyle w:val="Style6"/>
              <w:keepNext w:val="0"/>
              <w:keepLines w:val="0"/>
              <w:widowControl w:val="0"/>
              <w:shd w:val="clear" w:color="auto" w:fill="auto"/>
              <w:bidi w:val="0"/>
              <w:spacing w:before="0" w:after="40" w:line="240" w:lineRule="auto"/>
              <w:ind w:left="0" w:right="0" w:firstLine="0"/>
              <w:jc w:val="right"/>
              <w:rPr>
                <w:sz w:val="14"/>
                <w:szCs w:val="14"/>
              </w:rPr>
            </w:pPr>
            <w:r>
              <w:rPr>
                <w:rFonts w:ascii="SimSun" w:eastAsia="SimSun" w:hAnsi="SimSun" w:cs="SimSun"/>
                <w:color w:val="000000"/>
                <w:spacing w:val="0"/>
                <w:w w:val="100"/>
                <w:position w:val="0"/>
                <w:sz w:val="14"/>
                <w:szCs w:val="14"/>
              </w:rPr>
              <w:t>计提利</w:t>
            </w:r>
          </w:p>
          <w:p>
            <w:pPr>
              <w:pStyle w:val="Style6"/>
              <w:keepNext w:val="0"/>
              <w:keepLines w:val="0"/>
              <w:widowControl w:val="0"/>
              <w:shd w:val="clear" w:color="auto" w:fill="auto"/>
              <w:bidi w:val="0"/>
              <w:spacing w:before="0" w:after="40" w:line="240" w:lineRule="auto"/>
              <w:ind w:left="0" w:right="0" w:firstLine="0"/>
              <w:jc w:val="center"/>
              <w:rPr>
                <w:sz w:val="14"/>
                <w:szCs w:val="14"/>
              </w:rPr>
            </w:pPr>
            <w:r>
              <w:rPr>
                <w:rFonts w:ascii="SimSun" w:eastAsia="SimSun" w:hAnsi="SimSun" w:cs="SimSun"/>
                <w:color w:val="000000"/>
                <w:spacing w:val="0"/>
                <w:w w:val="100"/>
                <w:position w:val="0"/>
                <w:sz w:val="14"/>
                <w:szCs w:val="14"/>
              </w:rPr>
              <w:t>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溢折价摊销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40" w:line="240" w:lineRule="auto"/>
              <w:ind w:left="0" w:right="0" w:firstLine="0"/>
              <w:jc w:val="right"/>
              <w:rPr>
                <w:sz w:val="14"/>
                <w:szCs w:val="14"/>
              </w:rPr>
            </w:pPr>
            <w:r>
              <w:rPr>
                <w:rFonts w:ascii="SimSun" w:eastAsia="SimSun" w:hAnsi="SimSun" w:cs="SimSun"/>
                <w:color w:val="000000"/>
                <w:spacing w:val="0"/>
                <w:w w:val="100"/>
                <w:position w:val="0"/>
                <w:sz w:val="14"/>
                <w:szCs w:val="14"/>
              </w:rPr>
              <w:t>本期</w:t>
            </w:r>
          </w:p>
          <w:p>
            <w:pPr>
              <w:pStyle w:val="Style6"/>
              <w:keepNext w:val="0"/>
              <w:keepLines w:val="0"/>
              <w:widowControl w:val="0"/>
              <w:shd w:val="clear" w:color="auto" w:fill="auto"/>
              <w:bidi w:val="0"/>
              <w:spacing w:before="0" w:after="0" w:line="240" w:lineRule="auto"/>
              <w:ind w:left="0" w:right="0" w:firstLine="0"/>
              <w:jc w:val="right"/>
              <w:rPr>
                <w:sz w:val="14"/>
                <w:szCs w:val="14"/>
              </w:rPr>
            </w:pPr>
            <w:r>
              <w:rPr>
                <w:rFonts w:ascii="SimSun" w:eastAsia="SimSun" w:hAnsi="SimSun" w:cs="SimSun"/>
                <w:color w:val="000000"/>
                <w:spacing w:val="0"/>
                <w:w w:val="100"/>
                <w:position w:val="0"/>
                <w:sz w:val="14"/>
                <w:szCs w:val="14"/>
              </w:rPr>
              <w:t>偿还</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40" w:line="240" w:lineRule="auto"/>
              <w:ind w:left="0" w:right="0" w:firstLine="0"/>
              <w:jc w:val="center"/>
              <w:rPr>
                <w:sz w:val="14"/>
                <w:szCs w:val="14"/>
              </w:rPr>
            </w:pPr>
            <w:r>
              <w:rPr>
                <w:rFonts w:ascii="SimSun" w:eastAsia="SimSun" w:hAnsi="SimSun" w:cs="SimSun"/>
                <w:color w:val="000000"/>
                <w:spacing w:val="0"/>
                <w:w w:val="100"/>
                <w:position w:val="0"/>
                <w:sz w:val="14"/>
                <w:szCs w:val="14"/>
              </w:rPr>
              <w:t>本年</w:t>
            </w:r>
          </w:p>
          <w:p>
            <w:pPr>
              <w:pStyle w:val="Style6"/>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40" w:line="240" w:lineRule="auto"/>
              <w:ind w:left="0" w:right="0" w:firstLine="0"/>
              <w:jc w:val="left"/>
              <w:rPr>
                <w:sz w:val="14"/>
                <w:szCs w:val="14"/>
              </w:rPr>
            </w:pPr>
            <w:r>
              <w:rPr>
                <w:rFonts w:ascii="SimSun" w:eastAsia="SimSun" w:hAnsi="SimSun" w:cs="SimSun"/>
                <w:color w:val="000000"/>
                <w:spacing w:val="0"/>
                <w:w w:val="100"/>
                <w:position w:val="0"/>
                <w:sz w:val="14"/>
                <w:szCs w:val="14"/>
              </w:rPr>
              <w:t>本年</w:t>
            </w:r>
          </w:p>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付息</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02" w:lineRule="exact"/>
              <w:ind w:left="0" w:right="0" w:firstLine="0"/>
              <w:jc w:val="center"/>
              <w:rPr>
                <w:sz w:val="14"/>
                <w:szCs w:val="14"/>
              </w:rPr>
            </w:pPr>
            <w:r>
              <w:rPr>
                <w:rFonts w:ascii="SimSun" w:eastAsia="SimSun" w:hAnsi="SimSun" w:cs="SimSun"/>
                <w:color w:val="000000"/>
                <w:spacing w:val="0"/>
                <w:w w:val="100"/>
                <w:position w:val="0"/>
                <w:sz w:val="14"/>
                <w:szCs w:val="14"/>
              </w:rPr>
              <w:t>外币报</w:t>
            </w:r>
          </w:p>
          <w:p>
            <w:pPr>
              <w:pStyle w:val="Style6"/>
              <w:keepNext w:val="0"/>
              <w:keepLines w:val="0"/>
              <w:widowControl w:val="0"/>
              <w:shd w:val="clear" w:color="auto" w:fill="auto"/>
              <w:bidi w:val="0"/>
              <w:spacing w:before="0" w:after="0" w:line="202" w:lineRule="exact"/>
              <w:ind w:left="0" w:right="0" w:firstLine="0"/>
              <w:jc w:val="center"/>
              <w:rPr>
                <w:sz w:val="14"/>
                <w:szCs w:val="14"/>
              </w:rPr>
            </w:pPr>
            <w:r>
              <w:rPr>
                <w:rFonts w:ascii="SimSun" w:eastAsia="SimSun" w:hAnsi="SimSun" w:cs="SimSun"/>
                <w:color w:val="000000"/>
                <w:spacing w:val="0"/>
                <w:w w:val="100"/>
                <w:position w:val="0"/>
                <w:sz w:val="14"/>
                <w:szCs w:val="14"/>
              </w:rPr>
              <w:t>表折算 差额</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40" w:line="240" w:lineRule="auto"/>
              <w:ind w:left="0" w:right="0" w:firstLine="0"/>
              <w:jc w:val="right"/>
              <w:rPr>
                <w:sz w:val="14"/>
                <w:szCs w:val="14"/>
              </w:rPr>
            </w:pPr>
            <w:r>
              <w:rPr>
                <w:rFonts w:ascii="SimSun" w:eastAsia="SimSun" w:hAnsi="SimSun" w:cs="SimSun"/>
                <w:color w:val="000000"/>
                <w:spacing w:val="0"/>
                <w:w w:val="100"/>
                <w:position w:val="0"/>
                <w:sz w:val="14"/>
                <w:szCs w:val="14"/>
              </w:rPr>
              <w:t>转入一年内</w:t>
            </w:r>
          </w:p>
          <w:p>
            <w:pPr>
              <w:pStyle w:val="Style6"/>
              <w:keepNext w:val="0"/>
              <w:keepLines w:val="0"/>
              <w:widowControl w:val="0"/>
              <w:shd w:val="clear" w:color="auto" w:fill="auto"/>
              <w:bidi w:val="0"/>
              <w:spacing w:before="0" w:after="40" w:line="240" w:lineRule="auto"/>
              <w:ind w:left="0" w:right="0" w:firstLine="0"/>
              <w:jc w:val="right"/>
              <w:rPr>
                <w:sz w:val="14"/>
                <w:szCs w:val="14"/>
              </w:rPr>
            </w:pPr>
            <w:r>
              <w:rPr>
                <w:rFonts w:ascii="SimSun" w:eastAsia="SimSun" w:hAnsi="SimSun" w:cs="SimSun"/>
                <w:color w:val="000000"/>
                <w:spacing w:val="0"/>
                <w:w w:val="100"/>
                <w:position w:val="0"/>
                <w:sz w:val="14"/>
                <w:szCs w:val="14"/>
              </w:rPr>
              <w:t>到期的非流</w:t>
            </w:r>
          </w:p>
          <w:p>
            <w:pPr>
              <w:pStyle w:val="Style6"/>
              <w:keepNext w:val="0"/>
              <w:keepLines w:val="0"/>
              <w:widowControl w:val="0"/>
              <w:shd w:val="clear" w:color="auto" w:fill="auto"/>
              <w:bidi w:val="0"/>
              <w:spacing w:before="0" w:after="40" w:line="240" w:lineRule="auto"/>
              <w:ind w:left="0" w:right="220" w:firstLine="0"/>
              <w:jc w:val="right"/>
              <w:rPr>
                <w:sz w:val="14"/>
                <w:szCs w:val="14"/>
              </w:rPr>
            </w:pPr>
            <w:r>
              <w:rPr>
                <w:rFonts w:ascii="SimSun" w:eastAsia="SimSun" w:hAnsi="SimSun" w:cs="SimSun"/>
                <w:color w:val="000000"/>
                <w:spacing w:val="0"/>
                <w:w w:val="100"/>
                <w:position w:val="0"/>
                <w:sz w:val="14"/>
                <w:szCs w:val="14"/>
              </w:rPr>
              <w:t>动负债</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40" w:line="240" w:lineRule="auto"/>
              <w:ind w:left="0" w:right="180" w:firstLine="0"/>
              <w:jc w:val="right"/>
              <w:rPr>
                <w:sz w:val="14"/>
                <w:szCs w:val="14"/>
              </w:rPr>
            </w:pPr>
            <w:r>
              <w:rPr>
                <w:rFonts w:ascii="SimSun" w:eastAsia="SimSun" w:hAnsi="SimSun" w:cs="SimSun"/>
                <w:color w:val="000000"/>
                <w:spacing w:val="0"/>
                <w:w w:val="100"/>
                <w:position w:val="0"/>
                <w:sz w:val="14"/>
                <w:szCs w:val="14"/>
              </w:rPr>
              <w:t>期末</w:t>
            </w:r>
          </w:p>
          <w:p>
            <w:pPr>
              <w:pStyle w:val="Style6"/>
              <w:keepNext w:val="0"/>
              <w:keepLines w:val="0"/>
              <w:widowControl w:val="0"/>
              <w:shd w:val="clear" w:color="auto" w:fill="auto"/>
              <w:bidi w:val="0"/>
              <w:spacing w:before="0" w:after="0" w:line="240" w:lineRule="auto"/>
              <w:ind w:left="0" w:right="180" w:firstLine="0"/>
              <w:jc w:val="right"/>
              <w:rPr>
                <w:sz w:val="14"/>
                <w:szCs w:val="14"/>
              </w:rPr>
            </w:pPr>
            <w:r>
              <w:rPr>
                <w:rFonts w:ascii="SimSun" w:eastAsia="SimSun" w:hAnsi="SimSun" w:cs="SimSun"/>
                <w:color w:val="000000"/>
                <w:spacing w:val="0"/>
                <w:w w:val="100"/>
                <w:position w:val="0"/>
                <w:sz w:val="14"/>
                <w:szCs w:val="14"/>
              </w:rPr>
              <w:t>余额</w:t>
            </w:r>
          </w:p>
        </w:tc>
      </w:tr>
      <w:tr>
        <w:trPr>
          <w:trHeight w:val="4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东财转</w:t>
            </w:r>
            <w:r>
              <w:rPr>
                <w:color w:val="000000"/>
                <w:spacing w:val="0"/>
                <w:w w:val="100"/>
                <w:position w:val="0"/>
                <w:sz w:val="14"/>
                <w:szCs w:val="14"/>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15,800,0000</w:t>
            </w:r>
          </w:p>
          <w:p>
            <w:pPr>
              <w:pStyle w:val="Style6"/>
              <w:keepNext w:val="0"/>
              <w:keepLines w:val="0"/>
              <w:widowControl w:val="0"/>
              <w:shd w:val="clear" w:color="auto" w:fill="auto"/>
              <w:bidi w:val="0"/>
              <w:spacing w:before="0" w:after="0" w:line="230" w:lineRule="auto"/>
              <w:ind w:left="0" w:right="0" w:firstLine="0"/>
              <w:jc w:val="right"/>
              <w:rPr>
                <w:sz w:val="13"/>
                <w:szCs w:val="13"/>
              </w:rPr>
            </w:pPr>
            <w:r>
              <w:rPr>
                <w:color w:val="000000"/>
                <w:spacing w:val="0"/>
                <w:w w:val="100"/>
                <w:position w:val="0"/>
                <w:sz w:val="13"/>
                <w:szCs w:val="13"/>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 xml:space="preserve">2021 </w:t>
            </w:r>
            <w:r>
              <w:rPr>
                <w:rFonts w:ascii="SimSun" w:eastAsia="SimSun" w:hAnsi="SimSun" w:cs="SimSun"/>
                <w:color w:val="000000"/>
                <w:spacing w:val="0"/>
                <w:w w:val="100"/>
                <w:position w:val="0"/>
                <w:sz w:val="13"/>
                <w:szCs w:val="13"/>
              </w:rPr>
              <w:t xml:space="preserve">年 </w:t>
            </w:r>
            <w:r>
              <w:rPr>
                <w:color w:val="000000"/>
                <w:spacing w:val="0"/>
                <w:w w:val="100"/>
                <w:position w:val="0"/>
                <w:sz w:val="13"/>
                <w:szCs w:val="13"/>
              </w:rPr>
              <w:t xml:space="preserve">4 </w:t>
            </w:r>
            <w:r>
              <w:rPr>
                <w:rFonts w:ascii="SimSun" w:eastAsia="SimSun" w:hAnsi="SimSun" w:cs="SimSun"/>
                <w:color w:val="000000"/>
                <w:spacing w:val="0"/>
                <w:w w:val="100"/>
                <w:position w:val="0"/>
                <w:sz w:val="13"/>
                <w:szCs w:val="13"/>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15,800,00</w:t>
            </w:r>
          </w:p>
          <w:p>
            <w:pPr>
              <w:pStyle w:val="Style6"/>
              <w:keepNext w:val="0"/>
              <w:keepLines w:val="0"/>
              <w:widowControl w:val="0"/>
              <w:shd w:val="clear" w:color="auto" w:fill="auto"/>
              <w:bidi w:val="0"/>
              <w:spacing w:before="0" w:after="0" w:line="230" w:lineRule="auto"/>
              <w:ind w:left="0" w:right="0" w:firstLine="0"/>
              <w:jc w:val="center"/>
              <w:rPr>
                <w:sz w:val="13"/>
                <w:szCs w:val="13"/>
              </w:rPr>
            </w:pPr>
            <w:r>
              <w:rPr>
                <w:color w:val="000000"/>
                <w:spacing w:val="0"/>
                <w:w w:val="100"/>
                <w:position w:val="0"/>
                <w:sz w:val="13"/>
                <w:szCs w:val="13"/>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13,732,06</w:t>
            </w:r>
          </w:p>
          <w:p>
            <w:pPr>
              <w:pStyle w:val="Style6"/>
              <w:keepNext w:val="0"/>
              <w:keepLines w:val="0"/>
              <w:widowControl w:val="0"/>
              <w:shd w:val="clear" w:color="auto" w:fill="auto"/>
              <w:bidi w:val="0"/>
              <w:spacing w:before="0" w:after="0" w:line="230" w:lineRule="auto"/>
              <w:ind w:left="0" w:right="0" w:firstLine="0"/>
              <w:jc w:val="left"/>
              <w:rPr>
                <w:sz w:val="13"/>
                <w:szCs w:val="13"/>
              </w:rPr>
            </w:pPr>
            <w:r>
              <w:rPr>
                <w:color w:val="000000"/>
                <w:spacing w:val="0"/>
                <w:w w:val="100"/>
                <w:position w:val="0"/>
                <w:sz w:val="13"/>
                <w:szCs w:val="13"/>
              </w:rPr>
              <w:t>9,603.24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22,935,38</w:t>
            </w:r>
          </w:p>
          <w:p>
            <w:pPr>
              <w:pStyle w:val="Style6"/>
              <w:keepNext w:val="0"/>
              <w:keepLines w:val="0"/>
              <w:widowControl w:val="0"/>
              <w:shd w:val="clear" w:color="auto" w:fill="auto"/>
              <w:bidi w:val="0"/>
              <w:spacing w:before="0" w:after="0" w:line="230" w:lineRule="auto"/>
              <w:ind w:left="0" w:right="0" w:firstLine="360"/>
              <w:jc w:val="left"/>
              <w:rPr>
                <w:sz w:val="13"/>
                <w:szCs w:val="13"/>
              </w:rPr>
            </w:pPr>
            <w:r>
              <w:rPr>
                <w:color w:val="000000"/>
                <w:spacing w:val="0"/>
                <w:w w:val="100"/>
                <w:position w:val="0"/>
                <w:sz w:val="13"/>
                <w:szCs w:val="13"/>
              </w:rPr>
              <w:t>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300,091,288.0</w:t>
            </w:r>
          </w:p>
          <w:p>
            <w:pPr>
              <w:pStyle w:val="Style6"/>
              <w:keepNext w:val="0"/>
              <w:keepLines w:val="0"/>
              <w:widowControl w:val="0"/>
              <w:shd w:val="clear" w:color="auto" w:fill="auto"/>
              <w:bidi w:val="0"/>
              <w:spacing w:before="0" w:after="0" w:line="230" w:lineRule="auto"/>
              <w:ind w:left="0" w:right="0" w:firstLine="0"/>
              <w:jc w:val="right"/>
              <w:rPr>
                <w:sz w:val="13"/>
                <w:szCs w:val="13"/>
              </w:rPr>
            </w:pPr>
            <w:r>
              <w:rPr>
                <w:color w:val="000000"/>
                <w:spacing w:val="0"/>
                <w:w w:val="100"/>
                <w:position w:val="0"/>
                <w:sz w:val="13"/>
                <w:szCs w:val="13"/>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622,293,1</w:t>
            </w:r>
          </w:p>
          <w:p>
            <w:pPr>
              <w:pStyle w:val="Style6"/>
              <w:keepNext w:val="0"/>
              <w:keepLines w:val="0"/>
              <w:widowControl w:val="0"/>
              <w:shd w:val="clear" w:color="auto" w:fill="auto"/>
              <w:bidi w:val="0"/>
              <w:spacing w:before="0" w:after="0" w:line="230" w:lineRule="auto"/>
              <w:ind w:left="0" w:right="0" w:firstLine="280"/>
              <w:jc w:val="left"/>
              <w:rPr>
                <w:sz w:val="13"/>
                <w:szCs w:val="13"/>
              </w:rPr>
            </w:pPr>
            <w:r>
              <w:rPr>
                <w:color w:val="000000"/>
                <w:spacing w:val="0"/>
                <w:w w:val="100"/>
                <w:position w:val="0"/>
                <w:sz w:val="13"/>
                <w:szCs w:val="13"/>
              </w:rPr>
              <w:t>70.62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13,432,80</w:t>
            </w:r>
          </w:p>
          <w:p>
            <w:pPr>
              <w:pStyle w:val="Style6"/>
              <w:keepNext w:val="0"/>
              <w:keepLines w:val="0"/>
              <w:widowControl w:val="0"/>
              <w:shd w:val="clear" w:color="auto" w:fill="auto"/>
              <w:bidi w:val="0"/>
              <w:spacing w:before="0" w:after="0" w:line="230" w:lineRule="auto"/>
              <w:ind w:left="0" w:right="0" w:firstLine="0"/>
              <w:jc w:val="right"/>
              <w:rPr>
                <w:sz w:val="13"/>
                <w:szCs w:val="13"/>
              </w:rPr>
            </w:pPr>
            <w:r>
              <w:rPr>
                <w:color w:val="000000"/>
                <w:spacing w:val="0"/>
                <w:w w:val="100"/>
                <w:position w:val="0"/>
                <w:sz w:val="13"/>
                <w:szCs w:val="13"/>
              </w:rPr>
              <w:t>3,100.80</w:t>
            </w:r>
          </w:p>
        </w:tc>
      </w:tr>
      <w:tr>
        <w:trPr>
          <w:trHeight w:val="4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21</w:t>
            </w:r>
            <w:r>
              <w:rPr>
                <w:rFonts w:ascii="SimSun" w:eastAsia="SimSun" w:hAnsi="SimSun" w:cs="SimSun"/>
                <w:color w:val="000000"/>
                <w:spacing w:val="0"/>
                <w:w w:val="100"/>
                <w:position w:val="0"/>
                <w:sz w:val="14"/>
                <w:szCs w:val="14"/>
              </w:rPr>
              <w:t>东财</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2,000,000,00</w:t>
            </w:r>
          </w:p>
          <w:p>
            <w:pPr>
              <w:pStyle w:val="Style6"/>
              <w:keepNext w:val="0"/>
              <w:keepLines w:val="0"/>
              <w:widowControl w:val="0"/>
              <w:shd w:val="clear" w:color="auto" w:fill="auto"/>
              <w:bidi w:val="0"/>
              <w:spacing w:before="0" w:after="0" w:line="230" w:lineRule="auto"/>
              <w:ind w:left="0" w:right="0" w:firstLine="460"/>
              <w:jc w:val="left"/>
              <w:rPr>
                <w:sz w:val="13"/>
                <w:szCs w:val="13"/>
              </w:rPr>
            </w:pPr>
            <w:r>
              <w:rPr>
                <w:color w:val="000000"/>
                <w:spacing w:val="0"/>
                <w:w w:val="100"/>
                <w:position w:val="0"/>
                <w:sz w:val="13"/>
                <w:szCs w:val="13"/>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187" w:lineRule="exact"/>
              <w:ind w:left="0" w:right="0" w:firstLine="0"/>
              <w:jc w:val="left"/>
              <w:rPr>
                <w:sz w:val="13"/>
                <w:szCs w:val="13"/>
              </w:rPr>
            </w:pPr>
            <w:r>
              <w:rPr>
                <w:color w:val="000000"/>
                <w:spacing w:val="0"/>
                <w:w w:val="100"/>
                <w:position w:val="0"/>
                <w:sz w:val="13"/>
                <w:szCs w:val="13"/>
              </w:rPr>
              <w:t xml:space="preserve">2021 </w:t>
            </w:r>
            <w:r>
              <w:rPr>
                <w:rFonts w:ascii="SimSun" w:eastAsia="SimSun" w:hAnsi="SimSun" w:cs="SimSun"/>
                <w:color w:val="000000"/>
                <w:spacing w:val="0"/>
                <w:w w:val="100"/>
                <w:position w:val="0"/>
                <w:sz w:val="13"/>
                <w:szCs w:val="13"/>
              </w:rPr>
              <w:t xml:space="preserve">年 </w:t>
            </w:r>
            <w:r>
              <w:rPr>
                <w:color w:val="000000"/>
                <w:spacing w:val="0"/>
                <w:w w:val="100"/>
                <w:position w:val="0"/>
                <w:sz w:val="13"/>
                <w:szCs w:val="13"/>
              </w:rPr>
              <w:t xml:space="preserve">1 </w:t>
            </w:r>
            <w:r>
              <w:rPr>
                <w:rFonts w:ascii="SimSun" w:eastAsia="SimSun" w:hAnsi="SimSun" w:cs="SimSun"/>
                <w:color w:val="000000"/>
                <w:spacing w:val="0"/>
                <w:w w:val="100"/>
                <w:position w:val="0"/>
                <w:sz w:val="13"/>
                <w:szCs w:val="13"/>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2,000,000,</w:t>
            </w:r>
          </w:p>
          <w:p>
            <w:pPr>
              <w:pStyle w:val="Style6"/>
              <w:keepNext w:val="0"/>
              <w:keepLines w:val="0"/>
              <w:widowControl w:val="0"/>
              <w:shd w:val="clear" w:color="auto" w:fill="auto"/>
              <w:bidi w:val="0"/>
              <w:spacing w:before="0" w:after="0" w:line="230" w:lineRule="auto"/>
              <w:ind w:left="0" w:right="0" w:firstLine="180"/>
              <w:jc w:val="left"/>
              <w:rPr>
                <w:sz w:val="13"/>
                <w:szCs w:val="13"/>
              </w:rPr>
            </w:pPr>
            <w:r>
              <w:rPr>
                <w:color w:val="000000"/>
                <w:spacing w:val="0"/>
                <w:w w:val="100"/>
                <w:position w:val="0"/>
                <w:sz w:val="13"/>
                <w:szCs w:val="13"/>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2,000,000,</w:t>
            </w:r>
          </w:p>
          <w:p>
            <w:pPr>
              <w:pStyle w:val="Style6"/>
              <w:keepNext w:val="0"/>
              <w:keepLines w:val="0"/>
              <w:widowControl w:val="0"/>
              <w:shd w:val="clear" w:color="auto" w:fill="auto"/>
              <w:bidi w:val="0"/>
              <w:spacing w:before="0" w:after="0" w:line="230" w:lineRule="auto"/>
              <w:ind w:left="0" w:right="0" w:firstLine="180"/>
              <w:jc w:val="left"/>
              <w:rPr>
                <w:sz w:val="13"/>
                <w:szCs w:val="13"/>
              </w:rPr>
            </w:pPr>
            <w:r>
              <w:rPr>
                <w:color w:val="000000"/>
                <w:spacing w:val="0"/>
                <w:w w:val="100"/>
                <w:position w:val="0"/>
                <w:sz w:val="13"/>
                <w:szCs w:val="13"/>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72,739,72</w:t>
            </w:r>
          </w:p>
          <w:p>
            <w:pPr>
              <w:pStyle w:val="Style6"/>
              <w:keepNext w:val="0"/>
              <w:keepLines w:val="0"/>
              <w:widowControl w:val="0"/>
              <w:shd w:val="clear" w:color="auto" w:fill="auto"/>
              <w:bidi w:val="0"/>
              <w:spacing w:before="0" w:after="0" w:line="230" w:lineRule="auto"/>
              <w:ind w:left="0" w:right="0" w:firstLine="360"/>
              <w:jc w:val="left"/>
              <w:rPr>
                <w:sz w:val="13"/>
                <w:szCs w:val="13"/>
              </w:rPr>
            </w:pPr>
            <w:r>
              <w:rPr>
                <w:color w:val="000000"/>
                <w:spacing w:val="0"/>
                <w:w w:val="100"/>
                <w:position w:val="0"/>
                <w:sz w:val="13"/>
                <w:szCs w:val="13"/>
              </w:rPr>
              <w:t>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2,072,739,</w:t>
            </w:r>
          </w:p>
          <w:p>
            <w:pPr>
              <w:pStyle w:val="Style6"/>
              <w:keepNext w:val="0"/>
              <w:keepLines w:val="0"/>
              <w:widowControl w:val="0"/>
              <w:shd w:val="clear" w:color="auto" w:fill="auto"/>
              <w:bidi w:val="0"/>
              <w:spacing w:before="0" w:after="0" w:line="230" w:lineRule="auto"/>
              <w:ind w:left="0" w:right="0" w:firstLine="0"/>
              <w:jc w:val="right"/>
              <w:rPr>
                <w:sz w:val="13"/>
                <w:szCs w:val="13"/>
              </w:rPr>
            </w:pPr>
            <w:r>
              <w:rPr>
                <w:color w:val="000000"/>
                <w:spacing w:val="0"/>
                <w:w w:val="100"/>
                <w:position w:val="0"/>
                <w:sz w:val="13"/>
                <w:szCs w:val="13"/>
              </w:rPr>
              <w:t>726.02</w:t>
            </w:r>
          </w:p>
        </w:tc>
      </w:tr>
      <w:tr>
        <w:trPr>
          <w:trHeight w:val="46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21</w:t>
            </w:r>
            <w:r>
              <w:rPr>
                <w:rFonts w:ascii="SimSun" w:eastAsia="SimSun" w:hAnsi="SimSun" w:cs="SimSun"/>
                <w:color w:val="000000"/>
                <w:spacing w:val="0"/>
                <w:w w:val="100"/>
                <w:position w:val="0"/>
                <w:sz w:val="14"/>
                <w:szCs w:val="14"/>
              </w:rPr>
              <w:t>东财</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2,000,00000</w:t>
            </w:r>
          </w:p>
          <w:p>
            <w:pPr>
              <w:pStyle w:val="Style6"/>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187" w:lineRule="exact"/>
              <w:ind w:left="0" w:right="0" w:firstLine="0"/>
              <w:jc w:val="left"/>
              <w:rPr>
                <w:sz w:val="13"/>
                <w:szCs w:val="13"/>
              </w:rPr>
            </w:pPr>
            <w:r>
              <w:rPr>
                <w:color w:val="000000"/>
                <w:spacing w:val="0"/>
                <w:w w:val="100"/>
                <w:position w:val="0"/>
                <w:sz w:val="13"/>
                <w:szCs w:val="13"/>
              </w:rPr>
              <w:t xml:space="preserve">2021 </w:t>
            </w:r>
            <w:r>
              <w:rPr>
                <w:rFonts w:ascii="SimSun" w:eastAsia="SimSun" w:hAnsi="SimSun" w:cs="SimSun"/>
                <w:color w:val="000000"/>
                <w:spacing w:val="0"/>
                <w:w w:val="100"/>
                <w:position w:val="0"/>
                <w:sz w:val="13"/>
                <w:szCs w:val="13"/>
              </w:rPr>
              <w:t xml:space="preserve">年 </w:t>
            </w:r>
            <w:r>
              <w:rPr>
                <w:color w:val="000000"/>
                <w:spacing w:val="0"/>
                <w:w w:val="100"/>
                <w:position w:val="0"/>
                <w:sz w:val="13"/>
                <w:szCs w:val="13"/>
              </w:rPr>
              <w:t xml:space="preserve">8 </w:t>
            </w:r>
            <w:r>
              <w:rPr>
                <w:rFonts w:ascii="SimSun" w:eastAsia="SimSun" w:hAnsi="SimSun" w:cs="SimSun"/>
                <w:color w:val="000000"/>
                <w:spacing w:val="0"/>
                <w:w w:val="100"/>
                <w:position w:val="0"/>
                <w:sz w:val="13"/>
                <w:szCs w:val="13"/>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2,000,000,</w:t>
            </w:r>
          </w:p>
          <w:p>
            <w:pPr>
              <w:pStyle w:val="Style6"/>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2,000,000,</w:t>
            </w:r>
          </w:p>
          <w:p>
            <w:pPr>
              <w:pStyle w:val="Style6"/>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21,821,91</w:t>
            </w:r>
          </w:p>
          <w:p>
            <w:pPr>
              <w:pStyle w:val="Style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2,021,821,917.</w:t>
            </w:r>
          </w:p>
          <w:p>
            <w:pPr>
              <w:pStyle w:val="Style6"/>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81</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21</w:t>
            </w:r>
            <w:r>
              <w:rPr>
                <w:rFonts w:ascii="SimSun" w:eastAsia="SimSun" w:hAnsi="SimSun" w:cs="SimSun"/>
                <w:color w:val="000000"/>
                <w:spacing w:val="0"/>
                <w:w w:val="100"/>
                <w:position w:val="0"/>
                <w:sz w:val="14"/>
                <w:szCs w:val="14"/>
              </w:rPr>
              <w:t>东财</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2,000,000,00</w:t>
            </w:r>
          </w:p>
          <w:p>
            <w:pPr>
              <w:pStyle w:val="Style6"/>
              <w:keepNext w:val="0"/>
              <w:keepLines w:val="0"/>
              <w:widowControl w:val="0"/>
              <w:shd w:val="clear" w:color="auto" w:fill="auto"/>
              <w:bidi w:val="0"/>
              <w:spacing w:before="0" w:after="0" w:line="230" w:lineRule="auto"/>
              <w:ind w:left="0" w:right="0" w:firstLine="460"/>
              <w:jc w:val="left"/>
              <w:rPr>
                <w:sz w:val="13"/>
                <w:szCs w:val="13"/>
              </w:rPr>
            </w:pPr>
            <w:r>
              <w:rPr>
                <w:color w:val="000000"/>
                <w:spacing w:val="0"/>
                <w:w w:val="100"/>
                <w:position w:val="0"/>
                <w:sz w:val="13"/>
                <w:szCs w:val="13"/>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 xml:space="preserve">2021 </w:t>
            </w:r>
            <w:r>
              <w:rPr>
                <w:rFonts w:ascii="SimSun" w:eastAsia="SimSun" w:hAnsi="SimSun" w:cs="SimSun"/>
                <w:color w:val="000000"/>
                <w:spacing w:val="0"/>
                <w:w w:val="100"/>
                <w:position w:val="0"/>
                <w:sz w:val="13"/>
                <w:szCs w:val="13"/>
              </w:rPr>
              <w:t xml:space="preserve">年 </w:t>
            </w:r>
            <w:r>
              <w:rPr>
                <w:color w:val="000000"/>
                <w:spacing w:val="0"/>
                <w:w w:val="100"/>
                <w:position w:val="0"/>
                <w:sz w:val="13"/>
                <w:szCs w:val="13"/>
              </w:rPr>
              <w:t xml:space="preserve">9 </w:t>
            </w:r>
            <w:r>
              <w:rPr>
                <w:rFonts w:ascii="SimSun" w:eastAsia="SimSun" w:hAnsi="SimSun" w:cs="SimSun"/>
                <w:color w:val="000000"/>
                <w:spacing w:val="0"/>
                <w:w w:val="100"/>
                <w:position w:val="0"/>
                <w:sz w:val="13"/>
                <w:szCs w:val="13"/>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2,000,000,</w:t>
            </w:r>
          </w:p>
          <w:p>
            <w:pPr>
              <w:pStyle w:val="Style6"/>
              <w:keepNext w:val="0"/>
              <w:keepLines w:val="0"/>
              <w:widowControl w:val="0"/>
              <w:shd w:val="clear" w:color="auto" w:fill="auto"/>
              <w:bidi w:val="0"/>
              <w:spacing w:before="0" w:after="0" w:line="230" w:lineRule="auto"/>
              <w:ind w:left="0" w:right="0" w:firstLine="180"/>
              <w:jc w:val="left"/>
              <w:rPr>
                <w:sz w:val="13"/>
                <w:szCs w:val="13"/>
              </w:rPr>
            </w:pPr>
            <w:r>
              <w:rPr>
                <w:color w:val="000000"/>
                <w:spacing w:val="0"/>
                <w:w w:val="100"/>
                <w:position w:val="0"/>
                <w:sz w:val="13"/>
                <w:szCs w:val="13"/>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2,000,000,</w:t>
            </w:r>
          </w:p>
          <w:p>
            <w:pPr>
              <w:pStyle w:val="Style6"/>
              <w:keepNext w:val="0"/>
              <w:keepLines w:val="0"/>
              <w:widowControl w:val="0"/>
              <w:shd w:val="clear" w:color="auto" w:fill="auto"/>
              <w:bidi w:val="0"/>
              <w:spacing w:before="0" w:after="0" w:line="230" w:lineRule="auto"/>
              <w:ind w:left="0" w:right="0" w:firstLine="180"/>
              <w:jc w:val="left"/>
              <w:rPr>
                <w:sz w:val="13"/>
                <w:szCs w:val="13"/>
              </w:rPr>
            </w:pPr>
            <w:r>
              <w:rPr>
                <w:color w:val="000000"/>
                <w:spacing w:val="0"/>
                <w:w w:val="100"/>
                <w:position w:val="0"/>
                <w:sz w:val="13"/>
                <w:szCs w:val="13"/>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16,553,42</w:t>
            </w:r>
          </w:p>
          <w:p>
            <w:pPr>
              <w:pStyle w:val="Style6"/>
              <w:keepNext w:val="0"/>
              <w:keepLines w:val="0"/>
              <w:widowControl w:val="0"/>
              <w:shd w:val="clear" w:color="auto" w:fill="auto"/>
              <w:bidi w:val="0"/>
              <w:spacing w:before="0" w:after="0" w:line="230" w:lineRule="auto"/>
              <w:ind w:left="0" w:right="0" w:firstLine="360"/>
              <w:jc w:val="left"/>
              <w:rPr>
                <w:sz w:val="13"/>
                <w:szCs w:val="13"/>
              </w:rPr>
            </w:pPr>
            <w:r>
              <w:rPr>
                <w:color w:val="000000"/>
                <w:spacing w:val="0"/>
                <w:w w:val="100"/>
                <w:position w:val="0"/>
                <w:sz w:val="13"/>
                <w:szCs w:val="13"/>
              </w:rPr>
              <w:t>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2,016,553,424.</w:t>
            </w:r>
          </w:p>
          <w:p>
            <w:pPr>
              <w:pStyle w:val="Style6"/>
              <w:keepNext w:val="0"/>
              <w:keepLines w:val="0"/>
              <w:widowControl w:val="0"/>
              <w:shd w:val="clear" w:color="auto" w:fill="auto"/>
              <w:bidi w:val="0"/>
              <w:spacing w:before="0" w:after="0" w:line="230" w:lineRule="auto"/>
              <w:ind w:left="0" w:right="0" w:firstLine="0"/>
              <w:jc w:val="right"/>
              <w:rPr>
                <w:sz w:val="13"/>
                <w:szCs w:val="13"/>
              </w:rPr>
            </w:pPr>
            <w:r>
              <w:rPr>
                <w:color w:val="000000"/>
                <w:spacing w:val="0"/>
                <w:w w:val="100"/>
                <w:position w:val="0"/>
                <w:sz w:val="13"/>
                <w:szCs w:val="13"/>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21</w:t>
            </w:r>
            <w:r>
              <w:rPr>
                <w:rFonts w:ascii="SimSun" w:eastAsia="SimSun" w:hAnsi="SimSun" w:cs="SimSun"/>
                <w:color w:val="000000"/>
                <w:spacing w:val="0"/>
                <w:w w:val="100"/>
                <w:position w:val="0"/>
                <w:sz w:val="14"/>
                <w:szCs w:val="14"/>
              </w:rPr>
              <w:t>东财</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1,700,000,00</w:t>
            </w:r>
          </w:p>
          <w:p>
            <w:pPr>
              <w:pStyle w:val="Style6"/>
              <w:keepNext w:val="0"/>
              <w:keepLines w:val="0"/>
              <w:widowControl w:val="0"/>
              <w:shd w:val="clear" w:color="auto" w:fill="auto"/>
              <w:bidi w:val="0"/>
              <w:spacing w:before="0" w:after="0" w:line="230" w:lineRule="auto"/>
              <w:ind w:left="0" w:right="0" w:firstLine="460"/>
              <w:jc w:val="left"/>
              <w:rPr>
                <w:sz w:val="13"/>
                <w:szCs w:val="13"/>
              </w:rPr>
            </w:pPr>
            <w:r>
              <w:rPr>
                <w:color w:val="000000"/>
                <w:spacing w:val="0"/>
                <w:w w:val="100"/>
                <w:position w:val="0"/>
                <w:sz w:val="13"/>
                <w:szCs w:val="13"/>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173" w:lineRule="exact"/>
              <w:ind w:left="0" w:right="0" w:firstLine="0"/>
              <w:jc w:val="left"/>
              <w:rPr>
                <w:sz w:val="13"/>
                <w:szCs w:val="13"/>
              </w:rPr>
            </w:pPr>
            <w:r>
              <w:rPr>
                <w:color w:val="000000"/>
                <w:spacing w:val="0"/>
                <w:w w:val="100"/>
                <w:position w:val="0"/>
                <w:sz w:val="13"/>
                <w:szCs w:val="13"/>
              </w:rPr>
              <w:t xml:space="preserve">2021 </w:t>
            </w:r>
            <w:r>
              <w:rPr>
                <w:rFonts w:ascii="SimSun" w:eastAsia="SimSun" w:hAnsi="SimSun" w:cs="SimSun"/>
                <w:color w:val="000000"/>
                <w:spacing w:val="0"/>
                <w:w w:val="100"/>
                <w:position w:val="0"/>
                <w:sz w:val="13"/>
                <w:szCs w:val="13"/>
              </w:rPr>
              <w:t xml:space="preserve">年 </w:t>
            </w:r>
            <w:r>
              <w:rPr>
                <w:color w:val="000000"/>
                <w:spacing w:val="0"/>
                <w:w w:val="100"/>
                <w:position w:val="0"/>
                <w:sz w:val="13"/>
                <w:szCs w:val="13"/>
              </w:rPr>
              <w:t xml:space="preserve">12 </w:t>
            </w:r>
            <w:r>
              <w:rPr>
                <w:rFonts w:ascii="SimSun" w:eastAsia="SimSun" w:hAnsi="SimSun" w:cs="SimSun"/>
                <w:color w:val="000000"/>
                <w:spacing w:val="0"/>
                <w:w w:val="100"/>
                <w:position w:val="0"/>
                <w:sz w:val="13"/>
                <w:szCs w:val="13"/>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1,700,000,</w:t>
            </w:r>
          </w:p>
          <w:p>
            <w:pPr>
              <w:pStyle w:val="Style6"/>
              <w:keepNext w:val="0"/>
              <w:keepLines w:val="0"/>
              <w:widowControl w:val="0"/>
              <w:shd w:val="clear" w:color="auto" w:fill="auto"/>
              <w:bidi w:val="0"/>
              <w:spacing w:before="0" w:after="0" w:line="230" w:lineRule="auto"/>
              <w:ind w:left="0" w:right="0" w:firstLine="180"/>
              <w:jc w:val="left"/>
              <w:rPr>
                <w:sz w:val="13"/>
                <w:szCs w:val="13"/>
              </w:rPr>
            </w:pPr>
            <w:r>
              <w:rPr>
                <w:color w:val="000000"/>
                <w:spacing w:val="0"/>
                <w:w w:val="100"/>
                <w:position w:val="0"/>
                <w:sz w:val="13"/>
                <w:szCs w:val="13"/>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1,700,000,</w:t>
            </w:r>
          </w:p>
          <w:p>
            <w:pPr>
              <w:pStyle w:val="Style6"/>
              <w:keepNext w:val="0"/>
              <w:keepLines w:val="0"/>
              <w:widowControl w:val="0"/>
              <w:shd w:val="clear" w:color="auto" w:fill="auto"/>
              <w:bidi w:val="0"/>
              <w:spacing w:before="0" w:after="0" w:line="230" w:lineRule="auto"/>
              <w:ind w:left="0" w:right="0" w:firstLine="180"/>
              <w:jc w:val="left"/>
              <w:rPr>
                <w:sz w:val="13"/>
                <w:szCs w:val="13"/>
              </w:rPr>
            </w:pPr>
            <w:r>
              <w:rPr>
                <w:color w:val="000000"/>
                <w:spacing w:val="0"/>
                <w:w w:val="100"/>
                <w:position w:val="0"/>
                <w:sz w:val="13"/>
                <w:szCs w:val="13"/>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698,630.1</w:t>
            </w:r>
          </w:p>
          <w:p>
            <w:pPr>
              <w:pStyle w:val="Style6"/>
              <w:keepNext w:val="0"/>
              <w:keepLines w:val="0"/>
              <w:widowControl w:val="0"/>
              <w:shd w:val="clear" w:color="auto" w:fill="auto"/>
              <w:bidi w:val="0"/>
              <w:spacing w:before="0" w:after="0" w:line="230" w:lineRule="auto"/>
              <w:ind w:left="0" w:right="0" w:firstLine="0"/>
              <w:jc w:val="left"/>
              <w:rPr>
                <w:sz w:val="13"/>
                <w:szCs w:val="13"/>
              </w:rPr>
            </w:pPr>
            <w:r>
              <w:rPr>
                <w:color w:val="000000"/>
                <w:spacing w:val="0"/>
                <w:w w:val="100"/>
                <w:position w:val="0"/>
                <w:sz w:val="13"/>
                <w:szCs w:val="13"/>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1,700,698,</w:t>
            </w:r>
          </w:p>
          <w:p>
            <w:pPr>
              <w:pStyle w:val="Style6"/>
              <w:keepNext w:val="0"/>
              <w:keepLines w:val="0"/>
              <w:widowControl w:val="0"/>
              <w:shd w:val="clear" w:color="auto" w:fill="auto"/>
              <w:bidi w:val="0"/>
              <w:spacing w:before="0" w:after="0" w:line="230" w:lineRule="auto"/>
              <w:ind w:left="0" w:right="0" w:firstLine="0"/>
              <w:jc w:val="right"/>
              <w:rPr>
                <w:sz w:val="13"/>
                <w:szCs w:val="13"/>
              </w:rPr>
            </w:pPr>
            <w:r>
              <w:rPr>
                <w:color w:val="000000"/>
                <w:spacing w:val="0"/>
                <w:w w:val="100"/>
                <w:position w:val="0"/>
                <w:sz w:val="13"/>
                <w:szCs w:val="13"/>
              </w:rPr>
              <w:t>630.14</w:t>
            </w:r>
          </w:p>
        </w:tc>
      </w:tr>
      <w:tr>
        <w:trPr>
          <w:trHeight w:val="4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21</w:t>
            </w:r>
            <w:r>
              <w:rPr>
                <w:rFonts w:ascii="SimSun" w:eastAsia="SimSun" w:hAnsi="SimSun" w:cs="SimSun"/>
                <w:color w:val="000000"/>
                <w:spacing w:val="0"/>
                <w:w w:val="100"/>
                <w:position w:val="0"/>
                <w:sz w:val="14"/>
                <w:szCs w:val="14"/>
              </w:rPr>
              <w:t>东财</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600,000,000.</w:t>
            </w:r>
          </w:p>
          <w:p>
            <w:pPr>
              <w:pStyle w:val="Style6"/>
              <w:keepNext w:val="0"/>
              <w:keepLines w:val="0"/>
              <w:widowControl w:val="0"/>
              <w:shd w:val="clear" w:color="auto" w:fill="auto"/>
              <w:bidi w:val="0"/>
              <w:spacing w:before="0" w:after="0" w:line="230" w:lineRule="auto"/>
              <w:ind w:left="0" w:right="0" w:firstLine="0"/>
              <w:jc w:val="right"/>
              <w:rPr>
                <w:sz w:val="13"/>
                <w:szCs w:val="13"/>
              </w:rPr>
            </w:pPr>
            <w:r>
              <w:rPr>
                <w:color w:val="000000"/>
                <w:spacing w:val="0"/>
                <w:w w:val="100"/>
                <w:position w:val="0"/>
                <w:sz w:val="13"/>
                <w:szCs w:val="13"/>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187" w:lineRule="exact"/>
              <w:ind w:left="0" w:right="0" w:firstLine="0"/>
              <w:jc w:val="left"/>
              <w:rPr>
                <w:sz w:val="13"/>
                <w:szCs w:val="13"/>
              </w:rPr>
            </w:pPr>
            <w:r>
              <w:rPr>
                <w:color w:val="000000"/>
                <w:spacing w:val="0"/>
                <w:w w:val="100"/>
                <w:position w:val="0"/>
                <w:sz w:val="13"/>
                <w:szCs w:val="13"/>
              </w:rPr>
              <w:t xml:space="preserve">2021 </w:t>
            </w:r>
            <w:r>
              <w:rPr>
                <w:rFonts w:ascii="SimSun" w:eastAsia="SimSun" w:hAnsi="SimSun" w:cs="SimSun"/>
                <w:color w:val="000000"/>
                <w:spacing w:val="0"/>
                <w:w w:val="100"/>
                <w:position w:val="0"/>
                <w:sz w:val="13"/>
                <w:szCs w:val="13"/>
              </w:rPr>
              <w:t xml:space="preserve">年 </w:t>
            </w:r>
            <w:r>
              <w:rPr>
                <w:color w:val="000000"/>
                <w:spacing w:val="0"/>
                <w:w w:val="100"/>
                <w:position w:val="0"/>
                <w:sz w:val="13"/>
                <w:szCs w:val="13"/>
              </w:rPr>
              <w:t xml:space="preserve">12 </w:t>
            </w:r>
            <w:r>
              <w:rPr>
                <w:rFonts w:ascii="SimSun" w:eastAsia="SimSun" w:hAnsi="SimSun" w:cs="SimSun"/>
                <w:color w:val="000000"/>
                <w:spacing w:val="0"/>
                <w:w w:val="100"/>
                <w:position w:val="0"/>
                <w:sz w:val="13"/>
                <w:szCs w:val="13"/>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600,000,0</w:t>
            </w:r>
          </w:p>
          <w:p>
            <w:pPr>
              <w:pStyle w:val="Style6"/>
              <w:keepNext w:val="0"/>
              <w:keepLines w:val="0"/>
              <w:widowControl w:val="0"/>
              <w:shd w:val="clear" w:color="auto" w:fill="auto"/>
              <w:bidi w:val="0"/>
              <w:spacing w:before="0" w:after="0" w:line="230" w:lineRule="auto"/>
              <w:ind w:left="0" w:right="0" w:firstLine="280"/>
              <w:jc w:val="left"/>
              <w:rPr>
                <w:sz w:val="13"/>
                <w:szCs w:val="13"/>
              </w:rPr>
            </w:pPr>
            <w:r>
              <w:rPr>
                <w:color w:val="000000"/>
                <w:spacing w:val="0"/>
                <w:w w:val="100"/>
                <w:position w:val="0"/>
                <w:sz w:val="13"/>
                <w:szCs w:val="13"/>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600,000,0</w:t>
            </w:r>
          </w:p>
          <w:p>
            <w:pPr>
              <w:pStyle w:val="Style6"/>
              <w:keepNext w:val="0"/>
              <w:keepLines w:val="0"/>
              <w:widowControl w:val="0"/>
              <w:shd w:val="clear" w:color="auto" w:fill="auto"/>
              <w:bidi w:val="0"/>
              <w:spacing w:before="0" w:after="0" w:line="230" w:lineRule="auto"/>
              <w:ind w:left="0" w:right="0" w:firstLine="280"/>
              <w:jc w:val="left"/>
              <w:rPr>
                <w:sz w:val="13"/>
                <w:szCs w:val="13"/>
              </w:rPr>
            </w:pPr>
            <w:r>
              <w:rPr>
                <w:color w:val="000000"/>
                <w:spacing w:val="0"/>
                <w:w w:val="100"/>
                <w:position w:val="0"/>
                <w:sz w:val="13"/>
                <w:szCs w:val="13"/>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254,794.5</w:t>
            </w:r>
          </w:p>
          <w:p>
            <w:pPr>
              <w:pStyle w:val="Style6"/>
              <w:keepNext w:val="0"/>
              <w:keepLines w:val="0"/>
              <w:widowControl w:val="0"/>
              <w:shd w:val="clear" w:color="auto" w:fill="auto"/>
              <w:bidi w:val="0"/>
              <w:spacing w:before="0" w:after="0" w:line="230" w:lineRule="auto"/>
              <w:ind w:left="0" w:right="0" w:firstLine="0"/>
              <w:jc w:val="left"/>
              <w:rPr>
                <w:sz w:val="13"/>
                <w:szCs w:val="13"/>
              </w:rPr>
            </w:pPr>
            <w:r>
              <w:rPr>
                <w:color w:val="000000"/>
                <w:spacing w:val="0"/>
                <w:w w:val="100"/>
                <w:position w:val="0"/>
                <w:sz w:val="13"/>
                <w:szCs w:val="13"/>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600,254,7</w:t>
            </w:r>
          </w:p>
          <w:p>
            <w:pPr>
              <w:pStyle w:val="Style6"/>
              <w:keepNext w:val="0"/>
              <w:keepLines w:val="0"/>
              <w:widowControl w:val="0"/>
              <w:shd w:val="clear" w:color="auto" w:fill="auto"/>
              <w:bidi w:val="0"/>
              <w:spacing w:before="0" w:after="0" w:line="230" w:lineRule="auto"/>
              <w:ind w:left="0" w:right="0" w:firstLine="0"/>
              <w:jc w:val="right"/>
              <w:rPr>
                <w:sz w:val="13"/>
                <w:szCs w:val="13"/>
              </w:rPr>
            </w:pPr>
            <w:r>
              <w:rPr>
                <w:color w:val="000000"/>
                <w:spacing w:val="0"/>
                <w:w w:val="100"/>
                <w:position w:val="0"/>
                <w:sz w:val="13"/>
                <w:szCs w:val="13"/>
              </w:rPr>
              <w:t>94.52</w:t>
            </w:r>
          </w:p>
        </w:tc>
      </w:tr>
      <w:tr>
        <w:trPr>
          <w:trHeight w:val="46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17</w:t>
            </w:r>
            <w:r>
              <w:rPr>
                <w:rFonts w:ascii="SimSun" w:eastAsia="SimSun" w:hAnsi="SimSun" w:cs="SimSun"/>
                <w:color w:val="000000"/>
                <w:spacing w:val="0"/>
                <w:w w:val="100"/>
                <w:position w:val="0"/>
                <w:sz w:val="14"/>
                <w:szCs w:val="14"/>
              </w:rPr>
              <w:t>东财</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C1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1,200,000,00</w:t>
            </w:r>
          </w:p>
          <w:p>
            <w:pPr>
              <w:pStyle w:val="Style6"/>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187" w:lineRule="exact"/>
              <w:ind w:left="0" w:right="0" w:firstLine="0"/>
              <w:jc w:val="left"/>
              <w:rPr>
                <w:sz w:val="13"/>
                <w:szCs w:val="13"/>
              </w:rPr>
            </w:pPr>
            <w:r>
              <w:rPr>
                <w:color w:val="000000"/>
                <w:spacing w:val="0"/>
                <w:w w:val="100"/>
                <w:position w:val="0"/>
                <w:sz w:val="13"/>
                <w:szCs w:val="13"/>
              </w:rPr>
              <w:t xml:space="preserve">2017 </w:t>
            </w:r>
            <w:r>
              <w:rPr>
                <w:rFonts w:ascii="SimSun" w:eastAsia="SimSun" w:hAnsi="SimSun" w:cs="SimSun"/>
                <w:color w:val="000000"/>
                <w:spacing w:val="0"/>
                <w:w w:val="100"/>
                <w:position w:val="0"/>
                <w:sz w:val="13"/>
                <w:szCs w:val="13"/>
              </w:rPr>
              <w:t xml:space="preserve">年 </w:t>
            </w:r>
            <w:r>
              <w:rPr>
                <w:color w:val="000000"/>
                <w:spacing w:val="0"/>
                <w:w w:val="100"/>
                <w:position w:val="0"/>
                <w:sz w:val="13"/>
                <w:szCs w:val="13"/>
              </w:rPr>
              <w:t xml:space="preserve">9 </w:t>
            </w:r>
            <w:r>
              <w:rPr>
                <w:rFonts w:ascii="SimSun" w:eastAsia="SimSun" w:hAnsi="SimSun" w:cs="SimSun"/>
                <w:color w:val="000000"/>
                <w:spacing w:val="0"/>
                <w:w w:val="100"/>
                <w:position w:val="0"/>
                <w:sz w:val="13"/>
                <w:szCs w:val="13"/>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1,200,000,</w:t>
            </w:r>
          </w:p>
          <w:p>
            <w:pPr>
              <w:pStyle w:val="Style6"/>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1,218,986,</w:t>
            </w:r>
          </w:p>
          <w:p>
            <w:pPr>
              <w:pStyle w:val="Style6"/>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301.37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72,000,00</w:t>
            </w:r>
          </w:p>
          <w:p>
            <w:pPr>
              <w:pStyle w:val="Style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54" w:lineRule="auto"/>
              <w:ind w:left="0" w:right="0" w:firstLine="0"/>
              <w:jc w:val="left"/>
              <w:rPr>
                <w:sz w:val="13"/>
                <w:szCs w:val="13"/>
              </w:rPr>
            </w:pPr>
            <w:r>
              <w:rPr>
                <w:color w:val="000000"/>
                <w:spacing w:val="0"/>
                <w:w w:val="100"/>
                <w:position w:val="0"/>
                <w:sz w:val="13"/>
                <w:szCs w:val="13"/>
              </w:rPr>
              <w:t xml:space="preserve">72,000, </w:t>
            </w:r>
            <w:r>
              <w:rPr>
                <w:color w:val="000000"/>
                <w:spacing w:val="0"/>
                <w:w w:val="100"/>
                <w:position w:val="0"/>
                <w:sz w:val="13"/>
                <w:szCs w:val="13"/>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1,218,986,301.</w:t>
            </w:r>
          </w:p>
          <w:p>
            <w:pPr>
              <w:pStyle w:val="Style6"/>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HAFOO</w:t>
            </w:r>
          </w:p>
          <w:p>
            <w:pPr>
              <w:pStyle w:val="Style6"/>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N2412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1,911,570,00</w:t>
            </w:r>
          </w:p>
          <w:p>
            <w:pPr>
              <w:pStyle w:val="Style6"/>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187" w:lineRule="exact"/>
              <w:ind w:left="0" w:right="0" w:firstLine="0"/>
              <w:jc w:val="left"/>
              <w:rPr>
                <w:sz w:val="13"/>
                <w:szCs w:val="13"/>
              </w:rPr>
            </w:pPr>
            <w:r>
              <w:rPr>
                <w:color w:val="000000"/>
                <w:spacing w:val="0"/>
                <w:w w:val="100"/>
                <w:position w:val="0"/>
                <w:sz w:val="13"/>
                <w:szCs w:val="13"/>
              </w:rPr>
              <w:t xml:space="preserve">2021 </w:t>
            </w:r>
            <w:r>
              <w:rPr>
                <w:rFonts w:ascii="SimSun" w:eastAsia="SimSun" w:hAnsi="SimSun" w:cs="SimSun"/>
                <w:color w:val="000000"/>
                <w:spacing w:val="0"/>
                <w:w w:val="100"/>
                <w:position w:val="0"/>
                <w:sz w:val="13"/>
                <w:szCs w:val="13"/>
              </w:rPr>
              <w:t xml:space="preserve">年 </w:t>
            </w:r>
            <w:r>
              <w:rPr>
                <w:color w:val="000000"/>
                <w:spacing w:val="0"/>
                <w:w w:val="100"/>
                <w:position w:val="0"/>
                <w:sz w:val="13"/>
                <w:szCs w:val="13"/>
              </w:rPr>
              <w:t xml:space="preserve">12 </w:t>
            </w:r>
            <w:r>
              <w:rPr>
                <w:rFonts w:ascii="SimSun" w:eastAsia="SimSun" w:hAnsi="SimSun" w:cs="SimSun"/>
                <w:color w:val="000000"/>
                <w:spacing w:val="0"/>
                <w:w w:val="100"/>
                <w:position w:val="0"/>
                <w:sz w:val="13"/>
                <w:szCs w:val="13"/>
              </w:rPr>
              <w:t>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1,899,390,</w:t>
            </w:r>
          </w:p>
          <w:p>
            <w:pPr>
              <w:pStyle w:val="Style6"/>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227.70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1,899,390,</w:t>
            </w:r>
          </w:p>
          <w:p>
            <w:pPr>
              <w:pStyle w:val="Style6"/>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227.70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2,975,326.</w:t>
            </w:r>
          </w:p>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307,302.36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1,132,73</w:t>
            </w:r>
          </w:p>
          <w:p>
            <w:pPr>
              <w:pStyle w:val="Style6"/>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1,903,805,</w:t>
            </w:r>
          </w:p>
          <w:p>
            <w:pPr>
              <w:pStyle w:val="Style6"/>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593.14</w:t>
            </w:r>
          </w:p>
        </w:tc>
      </w:tr>
      <w:tr>
        <w:trPr>
          <w:trHeight w:val="49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182" w:lineRule="exact"/>
              <w:ind w:left="0" w:right="0" w:firstLine="0"/>
              <w:jc w:val="left"/>
              <w:rPr>
                <w:sz w:val="14"/>
                <w:szCs w:val="14"/>
              </w:rPr>
            </w:pPr>
            <w:r>
              <w:rPr>
                <w:rFonts w:ascii="SimSun" w:eastAsia="SimSun" w:hAnsi="SimSun" w:cs="SimSun"/>
                <w:color w:val="000000"/>
                <w:spacing w:val="0"/>
                <w:w w:val="100"/>
                <w:position w:val="0"/>
                <w:sz w:val="14"/>
                <w:szCs w:val="14"/>
              </w:rPr>
              <w:t>收益凭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680,021,000.</w:t>
            </w:r>
          </w:p>
          <w:p>
            <w:pPr>
              <w:pStyle w:val="Style6"/>
              <w:keepNext w:val="0"/>
              <w:keepLines w:val="0"/>
              <w:widowControl w:val="0"/>
              <w:shd w:val="clear" w:color="auto" w:fill="auto"/>
              <w:bidi w:val="0"/>
              <w:spacing w:before="0" w:after="0" w:line="230" w:lineRule="auto"/>
              <w:ind w:left="0" w:right="0" w:firstLine="0"/>
              <w:jc w:val="right"/>
              <w:rPr>
                <w:sz w:val="13"/>
                <w:szCs w:val="13"/>
              </w:rPr>
            </w:pPr>
            <w:r>
              <w:rPr>
                <w:color w:val="000000"/>
                <w:spacing w:val="0"/>
                <w:w w:val="100"/>
                <w:position w:val="0"/>
                <w:sz w:val="13"/>
                <w:szCs w:val="13"/>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680,021,0</w:t>
            </w:r>
          </w:p>
          <w:p>
            <w:pPr>
              <w:pStyle w:val="Style6"/>
              <w:keepNext w:val="0"/>
              <w:keepLines w:val="0"/>
              <w:widowControl w:val="0"/>
              <w:shd w:val="clear" w:color="auto" w:fill="auto"/>
              <w:bidi w:val="0"/>
              <w:spacing w:before="0" w:after="0" w:line="230" w:lineRule="auto"/>
              <w:ind w:left="0" w:right="0" w:firstLine="280"/>
              <w:jc w:val="left"/>
              <w:rPr>
                <w:sz w:val="13"/>
                <w:szCs w:val="13"/>
              </w:rPr>
            </w:pPr>
            <w:r>
              <w:rPr>
                <w:color w:val="000000"/>
                <w:spacing w:val="0"/>
                <w:w w:val="100"/>
                <w:position w:val="0"/>
                <w:sz w:val="13"/>
                <w:szCs w:val="13"/>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680,021,0</w:t>
            </w:r>
          </w:p>
          <w:p>
            <w:pPr>
              <w:pStyle w:val="Style6"/>
              <w:keepNext w:val="0"/>
              <w:keepLines w:val="0"/>
              <w:widowControl w:val="0"/>
              <w:shd w:val="clear" w:color="auto" w:fill="auto"/>
              <w:bidi w:val="0"/>
              <w:spacing w:before="0" w:after="0" w:line="230" w:lineRule="auto"/>
              <w:ind w:left="0" w:right="0" w:firstLine="280"/>
              <w:jc w:val="left"/>
              <w:rPr>
                <w:sz w:val="13"/>
                <w:szCs w:val="13"/>
              </w:rPr>
            </w:pPr>
            <w:r>
              <w:rPr>
                <w:color w:val="000000"/>
                <w:spacing w:val="0"/>
                <w:w w:val="100"/>
                <w:position w:val="0"/>
                <w:sz w:val="13"/>
                <w:szCs w:val="13"/>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27,028,54</w:t>
            </w:r>
          </w:p>
          <w:p>
            <w:pPr>
              <w:pStyle w:val="Style6"/>
              <w:keepNext w:val="0"/>
              <w:keepLines w:val="0"/>
              <w:widowControl w:val="0"/>
              <w:shd w:val="clear" w:color="auto" w:fill="auto"/>
              <w:bidi w:val="0"/>
              <w:spacing w:before="0" w:after="0" w:line="230" w:lineRule="auto"/>
              <w:ind w:left="0" w:right="0" w:firstLine="0"/>
              <w:jc w:val="left"/>
              <w:rPr>
                <w:sz w:val="13"/>
                <w:szCs w:val="13"/>
              </w:rPr>
            </w:pPr>
            <w:r>
              <w:rPr>
                <w:color w:val="000000"/>
                <w:spacing w:val="0"/>
                <w:w w:val="100"/>
                <w:position w:val="0"/>
                <w:sz w:val="13"/>
                <w:szCs w:val="13"/>
              </w:rPr>
              <w:t>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707,049,545.64</w:t>
            </w: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27,879,411</w:t>
            </w:r>
          </w:p>
          <w:p>
            <w:pPr>
              <w:pStyle w:val="Style6"/>
              <w:keepNext w:val="0"/>
              <w:keepLines w:val="0"/>
              <w:widowControl w:val="0"/>
              <w:shd w:val="clear" w:color="auto" w:fill="auto"/>
              <w:bidi w:val="0"/>
              <w:spacing w:before="0" w:after="0" w:line="230" w:lineRule="auto"/>
              <w:ind w:left="0" w:right="0" w:firstLine="180"/>
              <w:jc w:val="left"/>
              <w:rPr>
                <w:sz w:val="13"/>
                <w:szCs w:val="13"/>
              </w:rPr>
            </w:pPr>
            <w:r>
              <w:rPr>
                <w:color w:val="000000"/>
                <w:spacing w:val="0"/>
                <w:w w:val="100"/>
                <w:position w:val="0"/>
                <w:sz w:val="13"/>
                <w:szCs w:val="13"/>
              </w:rPr>
              <w:t>,227.70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1,218,986,</w:t>
            </w:r>
          </w:p>
          <w:p>
            <w:pPr>
              <w:pStyle w:val="Style6"/>
              <w:keepNext w:val="0"/>
              <w:keepLines w:val="0"/>
              <w:widowControl w:val="0"/>
              <w:shd w:val="clear" w:color="auto" w:fill="auto"/>
              <w:bidi w:val="0"/>
              <w:spacing w:before="0" w:after="0" w:line="230" w:lineRule="auto"/>
              <w:ind w:left="0" w:right="0" w:firstLine="220"/>
              <w:jc w:val="left"/>
              <w:rPr>
                <w:sz w:val="13"/>
                <w:szCs w:val="13"/>
              </w:rPr>
            </w:pPr>
            <w:r>
              <w:rPr>
                <w:color w:val="000000"/>
                <w:spacing w:val="0"/>
                <w:w w:val="100"/>
                <w:position w:val="0"/>
                <w:sz w:val="13"/>
                <w:szCs w:val="13"/>
              </w:rPr>
              <w:t>301.37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24,611,480</w:t>
            </w:r>
          </w:p>
          <w:p>
            <w:pPr>
              <w:pStyle w:val="Style6"/>
              <w:keepNext w:val="0"/>
              <w:keepLines w:val="0"/>
              <w:widowControl w:val="0"/>
              <w:shd w:val="clear" w:color="auto" w:fill="auto"/>
              <w:bidi w:val="0"/>
              <w:spacing w:before="0" w:after="0" w:line="230" w:lineRule="auto"/>
              <w:ind w:left="0" w:right="0" w:firstLine="180"/>
              <w:jc w:val="left"/>
              <w:rPr>
                <w:sz w:val="13"/>
                <w:szCs w:val="13"/>
              </w:rPr>
            </w:pPr>
            <w:r>
              <w:rPr>
                <w:color w:val="000000"/>
                <w:spacing w:val="0"/>
                <w:w w:val="100"/>
                <w:position w:val="0"/>
                <w:sz w:val="13"/>
                <w:szCs w:val="13"/>
              </w:rPr>
              <w:t>,830.94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237,007,7</w:t>
            </w:r>
          </w:p>
          <w:p>
            <w:pPr>
              <w:pStyle w:val="Style6"/>
              <w:keepNext w:val="0"/>
              <w:keepLines w:val="0"/>
              <w:widowControl w:val="0"/>
              <w:shd w:val="clear" w:color="auto" w:fill="auto"/>
              <w:bidi w:val="0"/>
              <w:spacing w:before="0" w:after="0" w:line="230" w:lineRule="auto"/>
              <w:ind w:left="0" w:right="0" w:firstLine="0"/>
              <w:jc w:val="right"/>
              <w:rPr>
                <w:sz w:val="13"/>
                <w:szCs w:val="13"/>
              </w:rPr>
            </w:pPr>
            <w:r>
              <w:rPr>
                <w:color w:val="000000"/>
                <w:spacing w:val="0"/>
                <w:w w:val="100"/>
                <w:position w:val="0"/>
                <w:sz w:val="13"/>
                <w:szCs w:val="13"/>
              </w:rPr>
              <w:t>45.60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300,398,5904</w:t>
            </w:r>
          </w:p>
          <w:p>
            <w:pPr>
              <w:pStyle w:val="Style6"/>
              <w:keepNext w:val="0"/>
              <w:keepLines w:val="0"/>
              <w:widowControl w:val="0"/>
              <w:shd w:val="clear" w:color="auto" w:fill="auto"/>
              <w:bidi w:val="0"/>
              <w:spacing w:before="0" w:after="0" w:line="230" w:lineRule="auto"/>
              <w:ind w:left="0" w:right="0" w:firstLine="0"/>
              <w:jc w:val="right"/>
              <w:rPr>
                <w:sz w:val="13"/>
                <w:szCs w:val="13"/>
              </w:rPr>
            </w:pPr>
            <w:r>
              <w:rPr>
                <w:color w:val="000000"/>
                <w:spacing w:val="0"/>
                <w:w w:val="100"/>
                <w:position w:val="0"/>
                <w:sz w:val="13"/>
                <w:szCs w:val="13"/>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622,293,1</w:t>
            </w:r>
          </w:p>
          <w:p>
            <w:pPr>
              <w:pStyle w:val="Style6"/>
              <w:keepNext w:val="0"/>
              <w:keepLines w:val="0"/>
              <w:widowControl w:val="0"/>
              <w:shd w:val="clear" w:color="auto" w:fill="auto"/>
              <w:bidi w:val="0"/>
              <w:spacing w:before="0" w:after="0" w:line="230" w:lineRule="auto"/>
              <w:ind w:left="0" w:right="0" w:firstLine="280"/>
              <w:jc w:val="left"/>
              <w:rPr>
                <w:sz w:val="13"/>
                <w:szCs w:val="13"/>
              </w:rPr>
            </w:pPr>
            <w:r>
              <w:rPr>
                <w:color w:val="000000"/>
                <w:spacing w:val="0"/>
                <w:w w:val="100"/>
                <w:position w:val="0"/>
                <w:sz w:val="13"/>
                <w:szCs w:val="13"/>
              </w:rPr>
              <w:t>70.62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33" w:lineRule="auto"/>
              <w:ind w:left="0" w:right="0" w:firstLine="0"/>
              <w:jc w:val="left"/>
              <w:rPr>
                <w:sz w:val="13"/>
                <w:szCs w:val="13"/>
              </w:rPr>
            </w:pPr>
            <w:r>
              <w:rPr>
                <w:color w:val="000000"/>
                <w:spacing w:val="0"/>
                <w:w w:val="100"/>
                <w:position w:val="0"/>
                <w:sz w:val="13"/>
                <w:szCs w:val="13"/>
              </w:rPr>
              <w:t xml:space="preserve">72,000, </w:t>
            </w:r>
            <w:r>
              <w:rPr>
                <w:color w:val="000000"/>
                <w:spacing w:val="0"/>
                <w:w w:val="100"/>
                <w:position w:val="0"/>
                <w:sz w:val="13"/>
                <w:szCs w:val="13"/>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1,132,73</w:t>
            </w:r>
          </w:p>
          <w:p>
            <w:pPr>
              <w:pStyle w:val="Style6"/>
              <w:keepNext w:val="0"/>
              <w:keepLines w:val="0"/>
              <w:widowControl w:val="0"/>
              <w:shd w:val="clear" w:color="auto" w:fill="auto"/>
              <w:bidi w:val="0"/>
              <w:spacing w:before="0" w:after="0" w:line="230" w:lineRule="auto"/>
              <w:ind w:left="0" w:right="0" w:firstLine="0"/>
              <w:jc w:val="right"/>
              <w:rPr>
                <w:sz w:val="13"/>
                <w:szCs w:val="13"/>
              </w:rPr>
            </w:pPr>
            <w:r>
              <w:rPr>
                <w:color w:val="000000"/>
                <w:spacing w:val="0"/>
                <w:w w:val="100"/>
                <w:position w:val="0"/>
                <w:sz w:val="13"/>
                <w:szCs w:val="13"/>
              </w:rPr>
              <w:t>6.39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5,964,411,189.</w:t>
            </w:r>
          </w:p>
          <w:p>
            <w:pPr>
              <w:pStyle w:val="Style6"/>
              <w:keepNext w:val="0"/>
              <w:keepLines w:val="0"/>
              <w:widowControl w:val="0"/>
              <w:shd w:val="clear" w:color="auto" w:fill="auto"/>
              <w:bidi w:val="0"/>
              <w:spacing w:before="0" w:after="0" w:line="230" w:lineRule="auto"/>
              <w:ind w:left="0" w:right="0" w:firstLine="0"/>
              <w:jc w:val="right"/>
              <w:rPr>
                <w:sz w:val="13"/>
                <w:szCs w:val="13"/>
              </w:rPr>
            </w:pPr>
            <w:r>
              <w:rPr>
                <w:color w:val="000000"/>
                <w:spacing w:val="0"/>
                <w:w w:val="100"/>
                <w:position w:val="0"/>
                <w:sz w:val="13"/>
                <w:szCs w:val="13"/>
              </w:rPr>
              <w:t>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19,710,30</w:t>
            </w:r>
          </w:p>
          <w:p>
            <w:pPr>
              <w:pStyle w:val="Style6"/>
              <w:keepNext w:val="0"/>
              <w:keepLines w:val="0"/>
              <w:widowControl w:val="0"/>
              <w:shd w:val="clear" w:color="auto" w:fill="auto"/>
              <w:bidi w:val="0"/>
              <w:spacing w:before="0" w:after="0" w:line="230" w:lineRule="auto"/>
              <w:ind w:left="0" w:right="0" w:firstLine="0"/>
              <w:jc w:val="right"/>
              <w:rPr>
                <w:sz w:val="13"/>
                <w:szCs w:val="13"/>
              </w:rPr>
            </w:pPr>
            <w:r>
              <w:rPr>
                <w:color w:val="000000"/>
                <w:spacing w:val="0"/>
                <w:w w:val="100"/>
                <w:position w:val="0"/>
                <w:sz w:val="13"/>
                <w:szCs w:val="13"/>
              </w:rPr>
              <w:t>1,844.62</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w:t>
      </w:r>
      <w:bookmarkEnd w:id="1442"/>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440"/>
      <w:bookmarkEnd w:id="1441"/>
      <w:bookmarkEnd w:id="1443"/>
    </w:p>
    <w:p>
      <w:pPr>
        <w:pStyle w:val="Style24"/>
        <w:keepNext w:val="0"/>
        <w:keepLines w:val="0"/>
        <w:widowControl w:val="0"/>
        <w:shd w:val="clear" w:color="auto" w:fill="auto"/>
        <w:bidi w:val="0"/>
        <w:spacing w:before="0" w:after="0" w:line="237"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日向不特定对象发行了 </w:t>
      </w:r>
      <w:r>
        <w:rPr>
          <w:rFonts w:ascii="Times New Roman" w:eastAsia="Times New Roman" w:hAnsi="Times New Roman" w:cs="Times New Roman"/>
          <w:color w:val="000000"/>
          <w:spacing w:val="0"/>
          <w:w w:val="100"/>
          <w:position w:val="0"/>
        </w:rPr>
        <w:t>15,800.00</w:t>
      </w:r>
      <w:r>
        <w:rPr>
          <w:color w:val="000000"/>
          <w:spacing w:val="0"/>
          <w:w w:val="100"/>
          <w:position w:val="0"/>
        </w:rPr>
        <w:t>万张</w:t>
      </w: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3”</w:t>
      </w:r>
      <w:r>
        <w:rPr>
          <w:color w:val="000000"/>
          <w:spacing w:val="0"/>
          <w:w w:val="100"/>
          <w:position w:val="0"/>
        </w:rPr>
        <w:t>，募集资金总额</w:t>
      </w:r>
      <w:r>
        <w:rPr>
          <w:rFonts w:ascii="Times New Roman" w:eastAsia="Times New Roman" w:hAnsi="Times New Roman" w:cs="Times New Roman"/>
          <w:color w:val="000000"/>
          <w:spacing w:val="0"/>
          <w:w w:val="100"/>
          <w:position w:val="0"/>
        </w:rPr>
        <w:t>158.00</w:t>
      </w:r>
      <w:r>
        <w:rPr>
          <w:color w:val="000000"/>
          <w:spacing w:val="0"/>
          <w:w w:val="100"/>
          <w:position w:val="0"/>
        </w:rPr>
        <w:t>亿元，可转换公司债券存续的 起止日期：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日至</w:t>
      </w:r>
      <w:r>
        <w:rPr>
          <w:rFonts w:ascii="Times New Roman" w:eastAsia="Times New Roman" w:hAnsi="Times New Roman" w:cs="Times New Roman"/>
          <w:color w:val="000000"/>
          <w:spacing w:val="0"/>
          <w:w w:val="100"/>
          <w:position w:val="0"/>
        </w:rPr>
        <w:t>2027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3”</w:t>
      </w:r>
      <w:r>
        <w:rPr>
          <w:color w:val="000000"/>
          <w:spacing w:val="0"/>
          <w:w w:val="100"/>
          <w:position w:val="0"/>
        </w:rPr>
        <w:t>转股的起止日期：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日至</w:t>
      </w:r>
      <w:r>
        <w:rPr>
          <w:rFonts w:ascii="Times New Roman" w:eastAsia="Times New Roman" w:hAnsi="Times New Roman" w:cs="Times New Roman"/>
          <w:color w:val="000000"/>
          <w:spacing w:val="0"/>
          <w:w w:val="100"/>
          <w:position w:val="0"/>
        </w:rPr>
        <w:t>2027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p>
      <w:pPr>
        <w:pStyle w:val="Style24"/>
        <w:keepNext w:val="0"/>
        <w:keepLines w:val="0"/>
        <w:widowControl w:val="0"/>
        <w:shd w:val="clear" w:color="auto" w:fill="auto"/>
        <w:bidi w:val="0"/>
        <w:spacing w:before="0" w:after="0" w:line="237" w:lineRule="exact"/>
        <w:ind w:left="0" w:right="0" w:firstLine="380"/>
        <w:jc w:val="both"/>
      </w:pP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3”</w:t>
      </w:r>
      <w:r>
        <w:rPr>
          <w:color w:val="000000"/>
          <w:spacing w:val="0"/>
          <w:w w:val="100"/>
          <w:position w:val="0"/>
        </w:rPr>
        <w:t>应募集资金总额为人民币</w:t>
      </w:r>
      <w:r>
        <w:rPr>
          <w:rFonts w:ascii="Times New Roman" w:eastAsia="Times New Roman" w:hAnsi="Times New Roman" w:cs="Times New Roman"/>
          <w:color w:val="000000"/>
          <w:spacing w:val="0"/>
          <w:w w:val="100"/>
          <w:position w:val="0"/>
        </w:rPr>
        <w:t>158.00</w:t>
      </w:r>
      <w:r>
        <w:rPr>
          <w:color w:val="000000"/>
          <w:spacing w:val="0"/>
          <w:w w:val="100"/>
          <w:position w:val="0"/>
        </w:rPr>
        <w:t>亿元，发行费用（不含税）人民币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8,938,462.27</w:t>
      </w:r>
      <w:r>
        <w:rPr>
          <w:color w:val="000000"/>
          <w:spacing w:val="0"/>
          <w:w w:val="100"/>
          <w:position w:val="0"/>
        </w:rPr>
        <w:t>元，本次发行费用在负债成份 和权益成份之间分摊，分摊后负债成份公允价值人民币</w:t>
      </w:r>
      <w:r>
        <w:rPr>
          <w:rFonts w:ascii="Times New Roman" w:eastAsia="Times New Roman" w:hAnsi="Times New Roman" w:cs="Times New Roman"/>
          <w:color w:val="000000"/>
          <w:spacing w:val="0"/>
          <w:w w:val="100"/>
          <w:position w:val="0"/>
        </w:rPr>
        <w:t>13,732,069,603.24</w:t>
      </w:r>
      <w:r>
        <w:rPr>
          <w:color w:val="000000"/>
          <w:spacing w:val="0"/>
          <w:w w:val="100"/>
          <w:position w:val="0"/>
        </w:rPr>
        <w:t>元，权益成份公允价值人民币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,048,991,934.49</w:t>
      </w:r>
      <w:r>
        <w:rPr>
          <w:color w:val="000000"/>
          <w:spacing w:val="0"/>
          <w:w w:val="100"/>
          <w:position w:val="0"/>
        </w:rPr>
        <w:t>元。</w:t>
      </w:r>
    </w:p>
    <w:p>
      <w:pPr>
        <w:pStyle w:val="Style24"/>
        <w:keepNext w:val="0"/>
        <w:keepLines w:val="0"/>
        <w:widowControl w:val="0"/>
        <w:shd w:val="clear" w:color="auto" w:fill="auto"/>
        <w:bidi w:val="0"/>
        <w:spacing w:before="0" w:after="0" w:line="237" w:lineRule="exact"/>
        <w:ind w:left="0" w:right="0" w:firstLine="380"/>
        <w:jc w:val="both"/>
      </w:pPr>
      <w:r>
        <w:rPr>
          <w:color w:val="000000"/>
          <w:spacing w:val="0"/>
          <w:w w:val="100"/>
          <w:position w:val="0"/>
        </w:rPr>
        <w:t>公司股票自</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日连续</w:t>
      </w:r>
      <w:r>
        <w:rPr>
          <w:rFonts w:ascii="Times New Roman" w:eastAsia="Times New Roman" w:hAnsi="Times New Roman" w:cs="Times New Roman"/>
          <w:color w:val="000000"/>
          <w:spacing w:val="0"/>
          <w:w w:val="100"/>
          <w:position w:val="0"/>
        </w:rPr>
        <w:t>15</w:t>
      </w:r>
      <w:r>
        <w:rPr>
          <w:color w:val="000000"/>
          <w:spacing w:val="0"/>
          <w:w w:val="100"/>
          <w:position w:val="0"/>
        </w:rPr>
        <w:t>个交易日的收盘价格均不低于当期转股价格（</w:t>
      </w:r>
      <w:r>
        <w:rPr>
          <w:rFonts w:ascii="Times New Roman" w:eastAsia="Times New Roman" w:hAnsi="Times New Roman" w:cs="Times New Roman"/>
          <w:color w:val="000000"/>
          <w:spacing w:val="0"/>
          <w:w w:val="100"/>
          <w:position w:val="0"/>
        </w:rPr>
        <w:t>23.35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股）的</w:t>
      </w:r>
      <w:r>
        <w:rPr>
          <w:rFonts w:ascii="Times New Roman" w:eastAsia="Times New Roman" w:hAnsi="Times New Roman" w:cs="Times New Roman"/>
          <w:color w:val="000000"/>
          <w:spacing w:val="0"/>
          <w:w w:val="100"/>
          <w:position w:val="0"/>
        </w:rPr>
        <w:t xml:space="preserve">130% </w:t>
      </w:r>
      <w:r>
        <w:rPr>
          <w:color w:val="000000"/>
          <w:spacing w:val="0"/>
          <w:w w:val="100"/>
          <w:position w:val="0"/>
        </w:rPr>
        <w:t>（</w:t>
      </w:r>
      <w:r>
        <w:rPr>
          <w:rFonts w:ascii="Times New Roman" w:eastAsia="Times New Roman" w:hAnsi="Times New Roman" w:cs="Times New Roman"/>
          <w:color w:val="000000"/>
          <w:spacing w:val="0"/>
          <w:w w:val="100"/>
          <w:position w:val="0"/>
        </w:rPr>
        <w:t>30.36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股），已触发《募集说明书》中约定的有条件赎回条款。公司第五届董事会第十九次会议审议通过了《关于赎回 全部已发行可转换公司债券的议案》，决定行使</w:t>
      </w: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3”</w:t>
      </w:r>
      <w:r>
        <w:rPr>
          <w:color w:val="000000"/>
          <w:spacing w:val="0"/>
          <w:w w:val="100"/>
          <w:position w:val="0"/>
        </w:rPr>
        <w:t>赎回权，按照可转债面值加当期应计利息的价格赎回在赎回登记 日收市后登记在册的全部</w:t>
      </w: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3”</w:t>
      </w:r>
      <w:r>
        <w:rPr>
          <w:color w:val="000000"/>
          <w:spacing w:val="0"/>
          <w:w w:val="100"/>
          <w:position w:val="0"/>
        </w:rPr>
        <w:t>。根据安排，截止</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日收市后仍未转股的</w:t>
      </w: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3”</w:t>
      </w:r>
      <w:r>
        <w:rPr>
          <w:color w:val="000000"/>
          <w:spacing w:val="0"/>
          <w:w w:val="100"/>
          <w:position w:val="0"/>
        </w:rPr>
        <w:t>停止交易、停止转股，本 公司按照</w:t>
      </w:r>
      <w:r>
        <w:rPr>
          <w:rFonts w:ascii="Times New Roman" w:eastAsia="Times New Roman" w:hAnsi="Times New Roman" w:cs="Times New Roman"/>
          <w:color w:val="000000"/>
          <w:spacing w:val="0"/>
          <w:w w:val="100"/>
          <w:position w:val="0"/>
        </w:rPr>
        <w:t>100.18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张的价格强制赎回</w:t>
      </w: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4"/>
        <w:keepNext w:val="0"/>
        <w:keepLines w:val="0"/>
        <w:widowControl w:val="0"/>
        <w:shd w:val="clear" w:color="auto" w:fill="auto"/>
        <w:bidi w:val="0"/>
        <w:spacing w:before="0" w:after="240" w:line="237" w:lineRule="exact"/>
        <w:ind w:left="0" w:right="0" w:firstLine="380"/>
        <w:jc w:val="both"/>
      </w:pPr>
      <w:r>
        <w:rPr>
          <w:color w:val="000000"/>
          <w:spacing w:val="0"/>
          <w:w w:val="100"/>
          <w:position w:val="0"/>
        </w:rPr>
        <w:t>本公司境外附属公司哈富有限公司于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日完成以本公司为担保主体的</w:t>
      </w:r>
      <w:r>
        <w:rPr>
          <w:rFonts w:ascii="Times New Roman" w:eastAsia="Times New Roman" w:hAnsi="Times New Roman" w:cs="Times New Roman"/>
          <w:color w:val="000000"/>
          <w:spacing w:val="0"/>
          <w:w w:val="100"/>
          <w:position w:val="0"/>
        </w:rPr>
        <w:t>3</w:t>
      </w:r>
      <w:r>
        <w:rPr>
          <w:color w:val="000000"/>
          <w:spacing w:val="0"/>
          <w:w w:val="100"/>
          <w:position w:val="0"/>
        </w:rPr>
        <w:t>亿美元</w:t>
      </w:r>
      <w:r>
        <w:rPr>
          <w:rFonts w:ascii="Times New Roman" w:eastAsia="Times New Roman" w:hAnsi="Times New Roman" w:cs="Times New Roman"/>
          <w:color w:val="000000"/>
          <w:spacing w:val="0"/>
          <w:w w:val="100"/>
          <w:position w:val="0"/>
        </w:rPr>
        <w:t>3</w:t>
      </w:r>
      <w:r>
        <w:rPr>
          <w:color w:val="000000"/>
          <w:spacing w:val="0"/>
          <w:w w:val="100"/>
          <w:position w:val="0"/>
        </w:rPr>
        <w:t>年期境外高级无抵押美元债券 的发行，并在香港联合交易所有限公司上市。</w:t>
      </w:r>
    </w:p>
    <w:p>
      <w:pPr>
        <w:pStyle w:val="Style32"/>
        <w:keepNext/>
        <w:keepLines/>
        <w:widowControl w:val="0"/>
        <w:shd w:val="clear" w:color="auto" w:fill="auto"/>
        <w:bidi w:val="0"/>
        <w:spacing w:before="0" w:after="24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3</w:t>
      </w:r>
      <w:bookmarkEnd w:id="1446"/>
      <w:r>
        <w:rPr>
          <w:rFonts w:ascii="Times New Roman" w:eastAsia="Times New Roman" w:hAnsi="Times New Roman" w:cs="Times New Roman"/>
          <w:color w:val="000000"/>
          <w:spacing w:val="0"/>
          <w:w w:val="100"/>
          <w:position w:val="0"/>
        </w:rPr>
        <w:t>9</w:t>
      </w:r>
      <w:r>
        <w:rPr>
          <w:color w:val="000000"/>
          <w:spacing w:val="0"/>
          <w:w w:val="100"/>
          <w:position w:val="0"/>
        </w:rPr>
        <w:t>、租赁负债</w:t>
      </w:r>
      <w:bookmarkEnd w:id="1444"/>
      <w:bookmarkEnd w:id="1445"/>
      <w:bookmarkEnd w:id="1447"/>
    </w:p>
    <w:p>
      <w:pPr>
        <w:pStyle w:val="Style24"/>
        <w:keepNext w:val="0"/>
        <w:keepLines w:val="0"/>
        <w:widowControl w:val="0"/>
        <w:shd w:val="clear" w:color="auto" w:fill="auto"/>
        <w:bidi w:val="0"/>
        <w:spacing w:before="0" w:after="80" w:line="240" w:lineRule="auto"/>
        <w:ind w:left="8920" w:right="0" w:firstLine="0"/>
        <w:jc w:val="both"/>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pPr>
            <w:r>
              <w:rPr>
                <w:color w:val="000000"/>
                <w:spacing w:val="0"/>
                <w:w w:val="100"/>
                <w:position w:val="0"/>
              </w:rPr>
              <w:t>81,951,615.12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82,314,965.83</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pPr>
            <w:r>
              <w:rPr>
                <w:color w:val="000000"/>
                <w:spacing w:val="0"/>
                <w:w w:val="100"/>
                <w:position w:val="0"/>
              </w:rPr>
              <w:t>81,951,615.12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82,314,965.83</w:t>
            </w:r>
          </w:p>
        </w:tc>
      </w:tr>
    </w:tbl>
    <w:p>
      <w:pPr>
        <w:widowControl w:val="0"/>
        <w:spacing w:after="239" w:line="1" w:lineRule="exact"/>
      </w:pPr>
    </w:p>
    <w:p>
      <w:pPr>
        <w:pStyle w:val="Style32"/>
        <w:keepNext/>
        <w:keepLines/>
        <w:widowControl w:val="0"/>
        <w:shd w:val="clear" w:color="auto" w:fill="auto"/>
        <w:bidi w:val="0"/>
        <w:spacing w:before="0" w:after="24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4</w:t>
      </w:r>
      <w:bookmarkEnd w:id="1450"/>
      <w:r>
        <w:rPr>
          <w:rFonts w:ascii="Times New Roman" w:eastAsia="Times New Roman" w:hAnsi="Times New Roman" w:cs="Times New Roman"/>
          <w:color w:val="000000"/>
          <w:spacing w:val="0"/>
          <w:w w:val="100"/>
          <w:position w:val="0"/>
        </w:rPr>
        <w:t>0</w:t>
      </w:r>
      <w:r>
        <w:rPr>
          <w:color w:val="000000"/>
          <w:spacing w:val="0"/>
          <w:w w:val="100"/>
          <w:position w:val="0"/>
        </w:rPr>
        <w:t>、递延收益</w:t>
      </w:r>
      <w:bookmarkEnd w:id="1448"/>
      <w:bookmarkEnd w:id="1449"/>
      <w:bookmarkEnd w:id="1451"/>
    </w:p>
    <w:p>
      <w:pPr>
        <w:pStyle w:val="Style24"/>
        <w:keepNext w:val="0"/>
        <w:keepLines w:val="0"/>
        <w:widowControl w:val="0"/>
        <w:shd w:val="clear" w:color="auto" w:fill="auto"/>
        <w:bidi w:val="0"/>
        <w:spacing w:before="0" w:after="80" w:line="240" w:lineRule="auto"/>
        <w:ind w:left="8920" w:right="0" w:firstLine="0"/>
        <w:jc w:val="both"/>
      </w:pPr>
      <w:r>
        <w:rPr>
          <w:color w:val="000000"/>
          <w:spacing w:val="0"/>
          <w:w w:val="100"/>
          <w:position w:val="0"/>
        </w:rPr>
        <w:t>单位：元</w:t>
      </w:r>
    </w:p>
    <w:tbl>
      <w:tblPr>
        <w:tblOverlap w:val="never"/>
        <w:jc w:val="center"/>
        <w:tblLayout w:type="fixed"/>
      </w:tblPr>
      <w:tblGrid>
        <w:gridCol w:w="1608"/>
        <w:gridCol w:w="1603"/>
        <w:gridCol w:w="1598"/>
        <w:gridCol w:w="1584"/>
        <w:gridCol w:w="1603"/>
        <w:gridCol w:w="1608"/>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1,450,000.00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2,058,000.00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1,450,000.00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2,058,000.00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1142"/>
        <w:gridCol w:w="984"/>
        <w:gridCol w:w="1277"/>
        <w:gridCol w:w="850"/>
        <w:gridCol w:w="854"/>
        <w:gridCol w:w="576"/>
        <w:gridCol w:w="1008"/>
        <w:gridCol w:w="1018"/>
      </w:tblGrid>
      <w:tr>
        <w:trPr>
          <w:trHeight w:val="80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本期新增</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补助金额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本期计入营业 外收入金额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11" w:lineRule="exact"/>
              <w:ind w:left="0" w:right="0" w:firstLine="0"/>
              <w:jc w:val="left"/>
            </w:pPr>
            <w:r>
              <w:rPr>
                <w:rFonts w:ascii="SimSun" w:eastAsia="SimSun" w:hAnsi="SimSun" w:cs="SimSun"/>
                <w:color w:val="000000"/>
                <w:spacing w:val="0"/>
                <w:w w:val="100"/>
                <w:position w:val="0"/>
              </w:rPr>
              <w:t>本期计入</w:t>
            </w:r>
          </w:p>
          <w:p>
            <w:pPr>
              <w:pStyle w:val="Style6"/>
              <w:keepNext w:val="0"/>
              <w:keepLines w:val="0"/>
              <w:widowControl w:val="0"/>
              <w:shd w:val="clear" w:color="auto" w:fill="auto"/>
              <w:bidi w:val="0"/>
              <w:spacing w:before="0" w:after="0" w:line="211" w:lineRule="exact"/>
              <w:ind w:left="0" w:right="0" w:firstLine="0"/>
              <w:jc w:val="center"/>
            </w:pPr>
            <w:r>
              <w:rPr>
                <w:rFonts w:ascii="SimSun" w:eastAsia="SimSun" w:hAnsi="SimSun" w:cs="SimSun"/>
                <w:color w:val="000000"/>
                <w:spacing w:val="0"/>
                <w:w w:val="100"/>
                <w:position w:val="0"/>
              </w:rPr>
              <w:t>其他收益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本期冲减 成本费用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东方财富乐学智能教学 平台项目专项资金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r>
        <w:trPr>
          <w:trHeight w:val="787" w:hRule="exact"/>
        </w:trPr>
        <w:tc>
          <w:tcPr>
            <w:tcBorders>
              <w:top w:val="single" w:sz="4"/>
              <w:left w:val="single" w:sz="4"/>
              <w:bottom w:val="single" w:sz="4"/>
            </w:tcBorders>
            <w:shd w:val="clear" w:color="auto" w:fill="D3D3D3"/>
            <w:vAlign w:val="top"/>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基于大数据的企业信用 与舆情监测系统研发项 目专项资金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w:t>
            </w:r>
          </w:p>
        </w:tc>
      </w:tr>
    </w:tbl>
    <w:p>
      <w:pPr>
        <w:widowControl w:val="0"/>
        <w:spacing w:after="239" w:line="1" w:lineRule="exact"/>
      </w:pPr>
    </w:p>
    <w:p>
      <w:pPr>
        <w:pStyle w:val="Style32"/>
        <w:keepNext/>
        <w:keepLines/>
        <w:widowControl w:val="0"/>
        <w:shd w:val="clear" w:color="auto" w:fill="auto"/>
        <w:bidi w:val="0"/>
        <w:spacing w:before="0" w:after="24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4</w:t>
      </w:r>
      <w:bookmarkEnd w:id="1454"/>
      <w:r>
        <w:rPr>
          <w:rFonts w:ascii="Times New Roman" w:eastAsia="Times New Roman" w:hAnsi="Times New Roman" w:cs="Times New Roman"/>
          <w:color w:val="000000"/>
          <w:spacing w:val="0"/>
          <w:w w:val="100"/>
          <w:position w:val="0"/>
        </w:rPr>
        <w:t>1</w:t>
      </w:r>
      <w:r>
        <w:rPr>
          <w:color w:val="000000"/>
          <w:spacing w:val="0"/>
          <w:w w:val="100"/>
          <w:position w:val="0"/>
        </w:rPr>
        <w:t>、其他非流动负债</w:t>
      </w:r>
      <w:bookmarkEnd w:id="1452"/>
      <w:bookmarkEnd w:id="1453"/>
      <w:bookmarkEnd w:id="145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43,141,263.41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40,035,597.18</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43,141,263.41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40,035,597.18</w:t>
            </w:r>
          </w:p>
        </w:tc>
      </w:tr>
    </w:tbl>
    <w:p>
      <w:pPr>
        <w:widowControl w:val="0"/>
        <w:spacing w:after="239" w:line="1" w:lineRule="exact"/>
      </w:pPr>
    </w:p>
    <w:p>
      <w:pPr>
        <w:pStyle w:val="Style32"/>
        <w:keepNext/>
        <w:keepLines/>
        <w:widowControl w:val="0"/>
        <w:shd w:val="clear" w:color="auto" w:fill="auto"/>
        <w:bidi w:val="0"/>
        <w:spacing w:before="0" w:after="24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4</w:t>
      </w:r>
      <w:bookmarkEnd w:id="1458"/>
      <w:r>
        <w:rPr>
          <w:rFonts w:ascii="Times New Roman" w:eastAsia="Times New Roman" w:hAnsi="Times New Roman" w:cs="Times New Roman"/>
          <w:color w:val="000000"/>
          <w:spacing w:val="0"/>
          <w:w w:val="100"/>
          <w:position w:val="0"/>
        </w:rPr>
        <w:t>2</w:t>
      </w:r>
      <w:r>
        <w:rPr>
          <w:color w:val="000000"/>
          <w:spacing w:val="0"/>
          <w:w w:val="100"/>
          <w:position w:val="0"/>
        </w:rPr>
        <w:t>、股本</w:t>
      </w:r>
      <w:bookmarkEnd w:id="1456"/>
      <w:bookmarkEnd w:id="1457"/>
      <w:bookmarkEnd w:id="145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30"/>
        <w:gridCol w:w="1426"/>
        <w:gridCol w:w="854"/>
        <w:gridCol w:w="418"/>
        <w:gridCol w:w="1426"/>
        <w:gridCol w:w="1267"/>
        <w:gridCol w:w="1704"/>
        <w:gridCol w:w="1680"/>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31"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D3D3D3"/>
            <w:vAlign w:val="center"/>
          </w:tcPr>
          <w:p>
            <w:pP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8,613,136,491.00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1,722,627,298.00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30,564,066.00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1,753,191,364.00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10,366,327,855.00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4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年年度股东大会决议通过，公司以股权登记日总股本</w:t>
      </w:r>
      <w:r>
        <w:rPr>
          <w:rFonts w:ascii="Times New Roman" w:eastAsia="Times New Roman" w:hAnsi="Times New Roman" w:cs="Times New Roman"/>
          <w:color w:val="000000"/>
          <w:spacing w:val="0"/>
          <w:w w:val="100"/>
          <w:position w:val="0"/>
        </w:rPr>
        <w:t>8,613,136,491</w:t>
      </w:r>
      <w:r>
        <w:rPr>
          <w:color w:val="000000"/>
          <w:spacing w:val="0"/>
          <w:w w:val="100"/>
          <w:position w:val="0"/>
        </w:rPr>
        <w:t xml:space="preserve">股为基数，用资本公积金向 </w:t>
      </w:r>
      <w:r>
        <w:rPr>
          <w:color w:val="000000"/>
          <w:spacing w:val="0"/>
          <w:w w:val="100"/>
          <w:position w:val="0"/>
        </w:rPr>
        <w:t>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股，共转增</w:t>
      </w:r>
      <w:r>
        <w:rPr>
          <w:rFonts w:ascii="Times New Roman" w:eastAsia="Times New Roman" w:hAnsi="Times New Roman" w:cs="Times New Roman"/>
          <w:color w:val="000000"/>
          <w:spacing w:val="0"/>
          <w:w w:val="100"/>
          <w:position w:val="0"/>
        </w:rPr>
        <w:t>1,722,627,298</w:t>
      </w:r>
      <w:r>
        <w:rPr>
          <w:color w:val="000000"/>
          <w:spacing w:val="0"/>
          <w:w w:val="100"/>
          <w:position w:val="0"/>
        </w:rPr>
        <w:t>股。</w:t>
      </w:r>
    </w:p>
    <w:p>
      <w:pPr>
        <w:pStyle w:val="Style41"/>
        <w:keepNext w:val="0"/>
        <w:keepLines w:val="0"/>
        <w:widowControl w:val="0"/>
        <w:shd w:val="clear" w:color="auto" w:fill="auto"/>
        <w:bidi w:val="0"/>
        <w:spacing w:before="0" w:after="300" w:line="259" w:lineRule="exact"/>
        <w:ind w:left="0" w:right="0" w:firstLine="3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年度，共有</w:t>
      </w:r>
      <w:r>
        <w:rPr>
          <w:rFonts w:ascii="Times New Roman" w:eastAsia="Times New Roman" w:hAnsi="Times New Roman" w:cs="Times New Roman"/>
          <w:color w:val="000000"/>
          <w:spacing w:val="0"/>
          <w:w w:val="100"/>
          <w:position w:val="0"/>
        </w:rPr>
        <w:t>7,137,385</w:t>
      </w:r>
      <w:r>
        <w:rPr>
          <w:color w:val="000000"/>
          <w:spacing w:val="0"/>
          <w:w w:val="100"/>
          <w:position w:val="0"/>
        </w:rPr>
        <w:t>张可转换公司债券</w:t>
      </w: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3”</w:t>
      </w:r>
      <w:r>
        <w:rPr>
          <w:color w:val="000000"/>
          <w:spacing w:val="0"/>
          <w:w w:val="100"/>
          <w:position w:val="0"/>
        </w:rPr>
        <w:t>进行转股，增加股本</w:t>
      </w:r>
      <w:r>
        <w:rPr>
          <w:rFonts w:ascii="Times New Roman" w:eastAsia="Times New Roman" w:hAnsi="Times New Roman" w:cs="Times New Roman"/>
          <w:color w:val="000000"/>
          <w:spacing w:val="0"/>
          <w:w w:val="100"/>
          <w:position w:val="0"/>
        </w:rPr>
        <w:t>30,564,066</w:t>
      </w:r>
      <w:r>
        <w:rPr>
          <w:color w:val="000000"/>
          <w:spacing w:val="0"/>
          <w:w w:val="100"/>
          <w:position w:val="0"/>
        </w:rPr>
        <w:t>股。</w:t>
      </w:r>
    </w:p>
    <w:p>
      <w:pPr>
        <w:pStyle w:val="Style32"/>
        <w:keepNext/>
        <w:keepLines/>
        <w:widowControl w:val="0"/>
        <w:shd w:val="clear" w:color="auto" w:fill="auto"/>
        <w:bidi w:val="0"/>
        <w:spacing w:before="0" w:after="300" w:line="259" w:lineRule="exact"/>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4</w:t>
      </w:r>
      <w:bookmarkEnd w:id="1462"/>
      <w:r>
        <w:rPr>
          <w:rFonts w:ascii="Times New Roman" w:eastAsia="Times New Roman" w:hAnsi="Times New Roman" w:cs="Times New Roman"/>
          <w:color w:val="000000"/>
          <w:spacing w:val="0"/>
          <w:w w:val="100"/>
          <w:position w:val="0"/>
        </w:rPr>
        <w:t>3</w:t>
      </w:r>
      <w:r>
        <w:rPr>
          <w:color w:val="000000"/>
          <w:spacing w:val="0"/>
          <w:w w:val="100"/>
          <w:position w:val="0"/>
        </w:rPr>
        <w:t>、其他权益工具</w:t>
      </w:r>
      <w:bookmarkEnd w:id="1460"/>
      <w:bookmarkEnd w:id="1461"/>
      <w:bookmarkEnd w:id="1463"/>
    </w:p>
    <w:p>
      <w:pPr>
        <w:pStyle w:val="Style32"/>
        <w:keepNext/>
        <w:keepLines/>
        <w:widowControl w:val="0"/>
        <w:shd w:val="clear" w:color="auto" w:fill="auto"/>
        <w:tabs>
          <w:tab w:pos="522" w:val="left"/>
        </w:tabs>
        <w:bidi w:val="0"/>
        <w:spacing w:before="0" w:after="300" w:line="259" w:lineRule="exact"/>
        <w:ind w:left="0" w:right="0" w:firstLine="0"/>
        <w:jc w:val="left"/>
      </w:pPr>
      <w:bookmarkStart w:id="1460" w:name="bookmark1460"/>
      <w:bookmarkStart w:id="1461" w:name="bookmark1461"/>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460"/>
      <w:bookmarkEnd w:id="1461"/>
      <w:bookmarkEnd w:id="1465"/>
    </w:p>
    <w:p>
      <w:pPr>
        <w:pStyle w:val="Style41"/>
        <w:keepNext w:val="0"/>
        <w:keepLines w:val="0"/>
        <w:widowControl w:val="0"/>
        <w:shd w:val="clear" w:color="auto" w:fill="auto"/>
        <w:bidi w:val="0"/>
        <w:spacing w:before="0" w:after="300" w:line="259" w:lineRule="exact"/>
        <w:ind w:left="0" w:right="0" w:firstLine="0"/>
        <w:jc w:val="left"/>
      </w:pPr>
      <w:r>
        <w:rPr>
          <w:color w:val="000000"/>
          <w:spacing w:val="0"/>
          <w:w w:val="100"/>
          <w:position w:val="0"/>
        </w:rPr>
        <w:t>_ 经中国证监会核准，公司于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日公开发行了 </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5,800.00</w:t>
      </w:r>
      <w:r>
        <w:rPr>
          <w:color w:val="000000"/>
          <w:spacing w:val="0"/>
          <w:w w:val="100"/>
          <w:position w:val="0"/>
        </w:rPr>
        <w:t>万张可转债“东财转</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每张面值</w:t>
      </w:r>
      <w:r>
        <w:rPr>
          <w:rFonts w:ascii="Times New Roman" w:eastAsia="Times New Roman" w:hAnsi="Times New Roman" w:cs="Times New Roman"/>
          <w:color w:val="000000"/>
          <w:spacing w:val="0"/>
          <w:w w:val="100"/>
          <w:position w:val="0"/>
        </w:rPr>
        <w:t>100</w:t>
      </w:r>
      <w:r>
        <w:rPr>
          <w:color w:val="000000"/>
          <w:spacing w:val="0"/>
          <w:w w:val="100"/>
          <w:position w:val="0"/>
        </w:rPr>
        <w:t>元，发 行总额</w:t>
      </w:r>
      <w:r>
        <w:rPr>
          <w:rFonts w:ascii="Times New Roman" w:eastAsia="Times New Roman" w:hAnsi="Times New Roman" w:cs="Times New Roman"/>
          <w:color w:val="000000"/>
          <w:spacing w:val="0"/>
          <w:w w:val="100"/>
          <w:position w:val="0"/>
        </w:rPr>
        <w:t>158.00</w:t>
      </w:r>
      <w:r>
        <w:rPr>
          <w:color w:val="000000"/>
          <w:spacing w:val="0"/>
          <w:w w:val="100"/>
          <w:position w:val="0"/>
        </w:rPr>
        <w:t>亿元。</w:t>
      </w:r>
    </w:p>
    <w:p>
      <w:pPr>
        <w:pStyle w:val="Style32"/>
        <w:keepNext/>
        <w:keepLines/>
        <w:widowControl w:val="0"/>
        <w:shd w:val="clear" w:color="auto" w:fill="auto"/>
        <w:tabs>
          <w:tab w:pos="522" w:val="left"/>
        </w:tabs>
        <w:bidi w:val="0"/>
        <w:spacing w:before="0" w:after="300" w:line="259" w:lineRule="exact"/>
        <w:ind w:left="0" w:right="0" w:firstLine="0"/>
        <w:jc w:val="left"/>
      </w:pPr>
      <w:bookmarkStart w:id="1466" w:name="bookmark1466"/>
      <w:bookmarkStart w:id="1467" w:name="bookmark1467"/>
      <w:bookmarkStart w:id="1468" w:name="bookmark1468"/>
      <w:bookmarkStart w:id="1469" w:name="bookmark1469"/>
      <w:r>
        <w:rPr>
          <w:color w:val="000000"/>
          <w:spacing w:val="0"/>
          <w:w w:val="100"/>
          <w:position w:val="0"/>
        </w:rPr>
        <w:t>（</w:t>
      </w:r>
      <w:bookmarkEnd w:id="1468"/>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466"/>
      <w:bookmarkEnd w:id="1467"/>
      <w:bookmarkEnd w:id="146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4"/>
        <w:gridCol w:w="994"/>
        <w:gridCol w:w="883"/>
        <w:gridCol w:w="994"/>
        <w:gridCol w:w="1426"/>
        <w:gridCol w:w="850"/>
        <w:gridCol w:w="1128"/>
        <w:gridCol w:w="994"/>
        <w:gridCol w:w="1363"/>
      </w:tblGrid>
      <w:tr>
        <w:trPr>
          <w:trHeight w:val="32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r>
      <w:tr>
        <w:trPr>
          <w:trHeight w:val="56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数量（张）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54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可转债权益 成分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2,048,991,934.49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7,137,385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92,559,774.04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150,862,615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1,956,432,160.45</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158,000,000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2,048,991,934.49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7,137,385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92,559,774.04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150,862,615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1,956,432,160.45</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其他权益工具本期增减变动情况、变动原因说明，以及相关会计处理的依据:</w:t>
      </w:r>
    </w:p>
    <w:p>
      <w:pPr>
        <w:pStyle w:val="Style24"/>
        <w:keepNext w:val="0"/>
        <w:keepLines w:val="0"/>
        <w:widowControl w:val="0"/>
        <w:shd w:val="clear" w:color="auto" w:fill="auto"/>
        <w:bidi w:val="0"/>
        <w:spacing w:before="0" w:after="240" w:line="240" w:lineRule="exact"/>
        <w:ind w:left="0" w:right="0" w:firstLine="400"/>
        <w:jc w:val="both"/>
      </w:pPr>
      <w:r>
        <w:rPr>
          <w:color w:val="000000"/>
          <w:spacing w:val="0"/>
          <w:w w:val="100"/>
          <w:position w:val="0"/>
        </w:rPr>
        <w:t>本次发行可转换公司债券应募集资金总额为</w:t>
      </w:r>
      <w:r>
        <w:rPr>
          <w:rFonts w:ascii="Times New Roman" w:eastAsia="Times New Roman" w:hAnsi="Times New Roman" w:cs="Times New Roman"/>
          <w:color w:val="000000"/>
          <w:spacing w:val="0"/>
          <w:w w:val="100"/>
          <w:position w:val="0"/>
        </w:rPr>
        <w:t>158.00</w:t>
      </w:r>
      <w:r>
        <w:rPr>
          <w:color w:val="000000"/>
          <w:spacing w:val="0"/>
          <w:w w:val="100"/>
          <w:position w:val="0"/>
        </w:rPr>
        <w:t>亿元，发行费用（不含税）</w:t>
      </w:r>
      <w:r>
        <w:rPr>
          <w:rFonts w:ascii="Times New Roman" w:eastAsia="Times New Roman" w:hAnsi="Times New Roman" w:cs="Times New Roman"/>
          <w:color w:val="000000"/>
          <w:spacing w:val="0"/>
          <w:w w:val="100"/>
          <w:position w:val="0"/>
        </w:rPr>
        <w:t>18,938,462.27</w:t>
      </w:r>
      <w:r>
        <w:rPr>
          <w:color w:val="000000"/>
          <w:spacing w:val="0"/>
          <w:w w:val="100"/>
          <w:position w:val="0"/>
        </w:rPr>
        <w:t>元，本次发行费用在负债成 份和权益成份之间分摊，分摊后负债成份公允价值</w:t>
      </w:r>
      <w:r>
        <w:rPr>
          <w:rFonts w:ascii="Times New Roman" w:eastAsia="Times New Roman" w:hAnsi="Times New Roman" w:cs="Times New Roman"/>
          <w:color w:val="000000"/>
          <w:spacing w:val="0"/>
          <w:w w:val="100"/>
          <w:position w:val="0"/>
        </w:rPr>
        <w:t>13,732,069,603.24</w:t>
      </w:r>
      <w:r>
        <w:rPr>
          <w:color w:val="000000"/>
          <w:spacing w:val="0"/>
          <w:w w:val="100"/>
          <w:position w:val="0"/>
        </w:rPr>
        <w:t>元，权益成份公允价值</w:t>
      </w:r>
      <w:r>
        <w:rPr>
          <w:rFonts w:ascii="Times New Roman" w:eastAsia="Times New Roman" w:hAnsi="Times New Roman" w:cs="Times New Roman"/>
          <w:color w:val="000000"/>
          <w:spacing w:val="0"/>
          <w:w w:val="100"/>
          <w:position w:val="0"/>
        </w:rPr>
        <w:t>2,048,991,934.49</w:t>
      </w:r>
      <w:r>
        <w:rPr>
          <w:color w:val="000000"/>
          <w:spacing w:val="0"/>
          <w:w w:val="100"/>
          <w:position w:val="0"/>
        </w:rPr>
        <w:t>元。</w:t>
      </w:r>
      <w:r>
        <w:br w:type="page"/>
      </w:r>
    </w:p>
    <w:p>
      <w:pPr>
        <w:pStyle w:val="Style24"/>
        <w:keepNext w:val="0"/>
        <w:keepLines w:val="0"/>
        <w:widowControl w:val="0"/>
        <w:shd w:val="clear" w:color="auto" w:fill="auto"/>
        <w:bidi w:val="0"/>
        <w:spacing w:before="0" w:after="340" w:line="233"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年度，共有</w:t>
      </w:r>
      <w:r>
        <w:rPr>
          <w:rFonts w:ascii="Times New Roman" w:eastAsia="Times New Roman" w:hAnsi="Times New Roman" w:cs="Times New Roman"/>
          <w:color w:val="000000"/>
          <w:spacing w:val="0"/>
          <w:w w:val="100"/>
          <w:position w:val="0"/>
        </w:rPr>
        <w:t>7,137,385</w:t>
      </w:r>
      <w:r>
        <w:rPr>
          <w:color w:val="000000"/>
          <w:spacing w:val="0"/>
          <w:w w:val="100"/>
          <w:position w:val="0"/>
        </w:rPr>
        <w:t>张可转换公司债券</w:t>
      </w: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3”</w:t>
      </w:r>
      <w:r>
        <w:rPr>
          <w:color w:val="000000"/>
          <w:spacing w:val="0"/>
          <w:w w:val="100"/>
          <w:position w:val="0"/>
        </w:rPr>
        <w:t>进行转股，增加股本</w:t>
      </w:r>
      <w:r>
        <w:rPr>
          <w:rFonts w:ascii="Times New Roman" w:eastAsia="Times New Roman" w:hAnsi="Times New Roman" w:cs="Times New Roman"/>
          <w:color w:val="000000"/>
          <w:spacing w:val="0"/>
          <w:w w:val="100"/>
          <w:position w:val="0"/>
        </w:rPr>
        <w:t>30,564,066</w:t>
      </w:r>
      <w:r>
        <w:rPr>
          <w:color w:val="000000"/>
          <w:spacing w:val="0"/>
          <w:w w:val="100"/>
          <w:position w:val="0"/>
        </w:rPr>
        <w:t>股。截止</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日收市，</w:t>
      </w:r>
      <w:r>
        <w:rPr>
          <w:rFonts w:ascii="Times New Roman" w:eastAsia="Times New Roman" w:hAnsi="Times New Roman" w:cs="Times New Roman"/>
          <w:color w:val="000000"/>
          <w:spacing w:val="0"/>
          <w:w w:val="100"/>
          <w:position w:val="0"/>
        </w:rPr>
        <w:t>“</w:t>
      </w:r>
      <w:r>
        <w:rPr>
          <w:color w:val="000000"/>
          <w:spacing w:val="0"/>
          <w:w w:val="100"/>
          <w:position w:val="0"/>
        </w:rPr>
        <w:t>东 财转</w:t>
      </w:r>
      <w:r>
        <w:rPr>
          <w:rFonts w:ascii="Times New Roman" w:eastAsia="Times New Roman" w:hAnsi="Times New Roman" w:cs="Times New Roman"/>
          <w:color w:val="000000"/>
          <w:spacing w:val="0"/>
          <w:w w:val="100"/>
          <w:position w:val="0"/>
        </w:rPr>
        <w:t>3”</w:t>
      </w:r>
      <w:r>
        <w:rPr>
          <w:color w:val="000000"/>
          <w:spacing w:val="0"/>
          <w:w w:val="100"/>
          <w:position w:val="0"/>
        </w:rPr>
        <w:t>尚有</w:t>
      </w:r>
      <w:r>
        <w:rPr>
          <w:rFonts w:ascii="Times New Roman" w:eastAsia="Times New Roman" w:hAnsi="Times New Roman" w:cs="Times New Roman"/>
          <w:color w:val="000000"/>
          <w:spacing w:val="0"/>
          <w:w w:val="100"/>
          <w:position w:val="0"/>
        </w:rPr>
        <w:t>14.06</w:t>
      </w:r>
      <w:r>
        <w:rPr>
          <w:color w:val="000000"/>
          <w:spacing w:val="0"/>
          <w:w w:val="100"/>
          <w:position w:val="0"/>
        </w:rPr>
        <w:t>万张未转股，根据《募集说明书》中有条件赎回条款的约定，公司已按照可转债面值加当期应计利息的价格 赎回全部未转股的</w:t>
      </w: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32"/>
        <w:keepNext/>
        <w:keepLines/>
        <w:widowControl w:val="0"/>
        <w:shd w:val="clear" w:color="auto" w:fill="auto"/>
        <w:bidi w:val="0"/>
        <w:spacing w:before="0" w:after="280" w:line="240" w:lineRule="auto"/>
        <w:ind w:left="0" w:right="0" w:firstLine="0"/>
        <w:jc w:val="both"/>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4</w:t>
      </w:r>
      <w:bookmarkEnd w:id="1472"/>
      <w:r>
        <w:rPr>
          <w:rFonts w:ascii="Times New Roman" w:eastAsia="Times New Roman" w:hAnsi="Times New Roman" w:cs="Times New Roman"/>
          <w:color w:val="000000"/>
          <w:spacing w:val="0"/>
          <w:w w:val="100"/>
          <w:position w:val="0"/>
        </w:rPr>
        <w:t>4</w:t>
      </w:r>
      <w:r>
        <w:rPr>
          <w:color w:val="000000"/>
          <w:spacing w:val="0"/>
          <w:w w:val="100"/>
          <w:position w:val="0"/>
        </w:rPr>
        <w:t>、资本公积</w:t>
      </w:r>
      <w:bookmarkEnd w:id="1470"/>
      <w:bookmarkEnd w:id="1471"/>
      <w:bookmarkEnd w:id="147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992"/>
        <w:gridCol w:w="1843"/>
        <w:gridCol w:w="1560"/>
        <w:gridCol w:w="1925"/>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14,268,504,603.60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684,288,878.66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1,722,627,298.00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13,230,166,184.26</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182,565,371.19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48,837,887.97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231,403,259.16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）权益结算的股份支付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48,139,540.00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48,139,540.00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182,565,371.19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698,347.97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183,263,719.16</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14,451,069,974.79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pPr>
            <w:r>
              <w:rPr>
                <w:color w:val="000000"/>
                <w:spacing w:val="0"/>
                <w:w w:val="100"/>
                <w:position w:val="0"/>
              </w:rPr>
              <w:t>733,126,766.63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1,722,627,298.00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13,461,569,443.42</w:t>
            </w:r>
          </w:p>
        </w:tc>
      </w:tr>
    </w:tbl>
    <w:p>
      <w:pPr>
        <w:pStyle w:val="Style24"/>
        <w:keepNext w:val="0"/>
        <w:keepLines w:val="0"/>
        <w:widowControl w:val="0"/>
        <w:shd w:val="clear" w:color="auto" w:fill="auto"/>
        <w:bidi w:val="0"/>
        <w:spacing w:before="0" w:after="60" w:line="230" w:lineRule="exact"/>
        <w:ind w:left="0" w:right="0" w:firstLine="0"/>
        <w:jc w:val="both"/>
      </w:pPr>
      <w:r>
        <w:rPr>
          <w:color w:val="000000"/>
          <w:spacing w:val="0"/>
          <w:w w:val="100"/>
          <w:position w:val="0"/>
        </w:rPr>
        <w:t>其他说明，包括本期增减变动情况、变动原因说明：</w:t>
      </w:r>
    </w:p>
    <w:p>
      <w:pPr>
        <w:pStyle w:val="Style24"/>
        <w:keepNext w:val="0"/>
        <w:keepLines w:val="0"/>
        <w:widowControl w:val="0"/>
        <w:shd w:val="clear" w:color="auto" w:fill="auto"/>
        <w:tabs>
          <w:tab w:pos="397" w:val="left"/>
        </w:tabs>
        <w:bidi w:val="0"/>
        <w:spacing w:before="0" w:after="0" w:line="266" w:lineRule="auto"/>
        <w:ind w:left="0" w:right="0" w:firstLine="0"/>
        <w:jc w:val="both"/>
      </w:pPr>
      <w:bookmarkStart w:id="1474" w:name="bookmark1474"/>
      <w:r>
        <w:rPr>
          <w:rFonts w:ascii="Times New Roman" w:eastAsia="Times New Roman" w:hAnsi="Times New Roman" w:cs="Times New Roman"/>
          <w:color w:val="000000"/>
          <w:spacing w:val="0"/>
          <w:w w:val="100"/>
          <w:position w:val="0"/>
        </w:rPr>
        <w:t>（</w:t>
      </w:r>
      <w:bookmarkEnd w:id="1474"/>
      <w:r>
        <w:rPr>
          <w:rFonts w:ascii="Times New Roman" w:eastAsia="Times New Roman" w:hAnsi="Times New Roman" w:cs="Times New Roman"/>
          <w:color w:val="000000"/>
          <w:spacing w:val="0"/>
          <w:w w:val="100"/>
          <w:position w:val="0"/>
        </w:rPr>
        <w:t>1）</w:t>
        <w:tab/>
      </w:r>
      <w:r>
        <w:rPr>
          <w:color w:val="000000"/>
          <w:spacing w:val="0"/>
          <w:w w:val="100"/>
          <w:position w:val="0"/>
        </w:rPr>
        <w:t>股本溢价</w:t>
      </w:r>
    </w:p>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股本溢价增加系可转换债券转股转入资本溢价人民币</w:t>
      </w:r>
      <w:r>
        <w:rPr>
          <w:rFonts w:ascii="Times New Roman" w:eastAsia="Times New Roman" w:hAnsi="Times New Roman" w:cs="Times New Roman"/>
          <w:color w:val="000000"/>
          <w:spacing w:val="0"/>
          <w:w w:val="100"/>
          <w:position w:val="0"/>
        </w:rPr>
        <w:t>684,288,878.66</w:t>
      </w:r>
      <w:r>
        <w:rPr>
          <w:color w:val="000000"/>
          <w:spacing w:val="0"/>
          <w:w w:val="100"/>
          <w:position w:val="0"/>
        </w:rPr>
        <w:t>元所致。</w:t>
      </w:r>
    </w:p>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股本溢价减少系根据公司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年年度股东大会决议通过，公司以股权登记巳总股本</w:t>
      </w:r>
      <w:r>
        <w:rPr>
          <w:rFonts w:ascii="Times New Roman" w:eastAsia="Times New Roman" w:hAnsi="Times New Roman" w:cs="Times New Roman"/>
          <w:color w:val="000000"/>
          <w:spacing w:val="0"/>
          <w:w w:val="100"/>
          <w:position w:val="0"/>
        </w:rPr>
        <w:t>8,613,136,491</w:t>
      </w:r>
      <w:r>
        <w:rPr>
          <w:color w:val="000000"/>
          <w:spacing w:val="0"/>
          <w:w w:val="100"/>
          <w:position w:val="0"/>
        </w:rPr>
        <w:t>股为基数，用资本公积金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股，共转增</w:t>
      </w:r>
      <w:r>
        <w:rPr>
          <w:rFonts w:ascii="Times New Roman" w:eastAsia="Times New Roman" w:hAnsi="Times New Roman" w:cs="Times New Roman"/>
          <w:color w:val="000000"/>
          <w:spacing w:val="0"/>
          <w:w w:val="100"/>
          <w:position w:val="0"/>
        </w:rPr>
        <w:t>1,722,627,298</w:t>
      </w:r>
      <w:r>
        <w:rPr>
          <w:color w:val="000000"/>
          <w:spacing w:val="0"/>
          <w:w w:val="100"/>
          <w:position w:val="0"/>
        </w:rPr>
        <w:t>股所致。</w:t>
      </w:r>
    </w:p>
    <w:p>
      <w:pPr>
        <w:pStyle w:val="Style24"/>
        <w:keepNext w:val="0"/>
        <w:keepLines w:val="0"/>
        <w:widowControl w:val="0"/>
        <w:shd w:val="clear" w:color="auto" w:fill="auto"/>
        <w:tabs>
          <w:tab w:pos="397" w:val="left"/>
        </w:tabs>
        <w:bidi w:val="0"/>
        <w:spacing w:before="0" w:after="0" w:line="266" w:lineRule="auto"/>
        <w:ind w:left="0" w:right="0" w:firstLine="0"/>
        <w:jc w:val="both"/>
      </w:pPr>
      <w:bookmarkStart w:id="1475" w:name="bookmark1475"/>
      <w:r>
        <w:rPr>
          <w:rFonts w:ascii="Times New Roman" w:eastAsia="Times New Roman" w:hAnsi="Times New Roman" w:cs="Times New Roman"/>
          <w:color w:val="000000"/>
          <w:spacing w:val="0"/>
          <w:w w:val="100"/>
          <w:position w:val="0"/>
        </w:rPr>
        <w:t>（</w:t>
      </w:r>
      <w:bookmarkEnd w:id="1475"/>
      <w:r>
        <w:rPr>
          <w:rFonts w:ascii="Times New Roman" w:eastAsia="Times New Roman" w:hAnsi="Times New Roman" w:cs="Times New Roman"/>
          <w:color w:val="000000"/>
          <w:spacing w:val="0"/>
          <w:w w:val="100"/>
          <w:position w:val="0"/>
        </w:rPr>
        <w:t>2）</w:t>
        <w:tab/>
      </w:r>
      <w:r>
        <w:rPr>
          <w:color w:val="000000"/>
          <w:spacing w:val="0"/>
          <w:w w:val="100"/>
          <w:position w:val="0"/>
        </w:rPr>
        <w:t>其他资本公积</w:t>
      </w:r>
    </w:p>
    <w:p>
      <w:pPr>
        <w:pStyle w:val="Style24"/>
        <w:keepNext w:val="0"/>
        <w:keepLines w:val="0"/>
        <w:widowControl w:val="0"/>
        <w:shd w:val="clear" w:color="auto" w:fill="auto"/>
        <w:bidi w:val="0"/>
        <w:spacing w:before="0" w:after="280" w:line="230" w:lineRule="exact"/>
        <w:ind w:left="0" w:right="0" w:firstLine="0"/>
        <w:jc w:val="both"/>
      </w:pPr>
      <w:r>
        <w:rPr>
          <w:color w:val="000000"/>
          <w:spacing w:val="0"/>
          <w:w w:val="100"/>
          <w:position w:val="0"/>
        </w:rPr>
        <w:t>实施</w:t>
      </w: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年股票期权激励计划而确认本年费用，相应增加其他资本公积</w:t>
      </w:r>
      <w:r>
        <w:rPr>
          <w:rFonts w:ascii="Times New Roman" w:eastAsia="Times New Roman" w:hAnsi="Times New Roman" w:cs="Times New Roman"/>
          <w:color w:val="000000"/>
          <w:spacing w:val="0"/>
          <w:w w:val="100"/>
          <w:position w:val="0"/>
        </w:rPr>
        <w:t>48,139,540.00</w:t>
      </w:r>
      <w:r>
        <w:rPr>
          <w:color w:val="000000"/>
          <w:spacing w:val="0"/>
          <w:w w:val="100"/>
          <w:position w:val="0"/>
        </w:rPr>
        <w:t>元。</w:t>
      </w:r>
    </w:p>
    <w:p>
      <w:pPr>
        <w:pStyle w:val="Style32"/>
        <w:keepNext/>
        <w:keepLines/>
        <w:widowControl w:val="0"/>
        <w:shd w:val="clear" w:color="auto" w:fill="auto"/>
        <w:bidi w:val="0"/>
        <w:spacing w:before="0" w:after="220" w:line="240" w:lineRule="auto"/>
        <w:ind w:left="0" w:right="0" w:firstLine="0"/>
        <w:jc w:val="both"/>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4</w:t>
      </w:r>
      <w:bookmarkEnd w:id="1478"/>
      <w:r>
        <w:rPr>
          <w:rFonts w:ascii="Times New Roman" w:eastAsia="Times New Roman" w:hAnsi="Times New Roman" w:cs="Times New Roman"/>
          <w:color w:val="000000"/>
          <w:spacing w:val="0"/>
          <w:w w:val="100"/>
          <w:position w:val="0"/>
        </w:rPr>
        <w:t>5</w:t>
      </w:r>
      <w:r>
        <w:rPr>
          <w:color w:val="000000"/>
          <w:spacing w:val="0"/>
          <w:w w:val="100"/>
          <w:position w:val="0"/>
        </w:rPr>
        <w:t>、其他综合收益</w:t>
      </w:r>
      <w:bookmarkEnd w:id="1476"/>
      <w:bookmarkEnd w:id="1477"/>
      <w:bookmarkEnd w:id="147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9"/>
        <w:gridCol w:w="1094"/>
        <w:gridCol w:w="1142"/>
        <w:gridCol w:w="850"/>
        <w:gridCol w:w="994"/>
        <w:gridCol w:w="994"/>
        <w:gridCol w:w="1133"/>
        <w:gridCol w:w="600"/>
        <w:gridCol w:w="1219"/>
      </w:tblGrid>
      <w:tr>
        <w:trPr>
          <w:trHeight w:val="32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期初余额</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126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本期所得税 前发生额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3" w:lineRule="exact"/>
              <w:ind w:left="0" w:right="0" w:firstLine="0"/>
              <w:jc w:val="center"/>
            </w:pPr>
            <w:r>
              <w:rPr>
                <w:rFonts w:ascii="SimSun" w:eastAsia="SimSun" w:hAnsi="SimSun" w:cs="SimSun"/>
                <w:color w:val="000000"/>
                <w:spacing w:val="0"/>
                <w:w w:val="100"/>
                <w:position w:val="0"/>
              </w:rPr>
              <w:t>减：前期 计入其他 综合收益 当期转入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减：前期计 入其他综合 收益当期转 入留存收益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减：所得税 费用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税后归属于 母公司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税后归 属于少 数股东</w:t>
            </w:r>
          </w:p>
        </w:tc>
        <w:tc>
          <w:tcPr>
            <w:vMerge/>
            <w:tcBorders>
              <w:left w:val="single" w:sz="4"/>
              <w:right w:val="single" w:sz="4"/>
            </w:tcBorders>
            <w:shd w:val="clear" w:color="auto" w:fill="D3D3D3"/>
            <w:vAlign w:val="center"/>
          </w:tcPr>
          <w:p>
            <w:pPr/>
          </w:p>
        </w:tc>
      </w:tr>
      <w:tr>
        <w:trPr>
          <w:trHeight w:val="54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一、将重分类进损 益的其他综合收益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-41,050,280.77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153,226,017.31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25,719,171.70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127,506,845.61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86,456,564.84</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其中：其他债权投 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184,442,925.11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25,560,359.32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158,882,565.79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158,882,565.79</w:t>
            </w:r>
          </w:p>
        </w:tc>
      </w:tr>
      <w:tr>
        <w:trPr>
          <w:trHeight w:val="56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6" w:lineRule="exact"/>
              <w:ind w:left="0" w:right="0" w:firstLine="580"/>
              <w:jc w:val="left"/>
            </w:pPr>
            <w:r>
              <w:rPr>
                <w:rFonts w:ascii="SimSun" w:eastAsia="SimSun" w:hAnsi="SimSun" w:cs="SimSun"/>
                <w:color w:val="000000"/>
                <w:spacing w:val="0"/>
                <w:w w:val="100"/>
                <w:position w:val="0"/>
              </w:rPr>
              <w:t>其他债权投 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1,145,986.18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158,812.38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987,173.80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987,173.80</w:t>
            </w:r>
          </w:p>
        </w:tc>
      </w:tr>
      <w:tr>
        <w:trPr>
          <w:trHeight w:val="54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30" w:lineRule="exact"/>
              <w:ind w:left="0" w:right="0" w:firstLine="580"/>
              <w:jc w:val="left"/>
            </w:pPr>
            <w:r>
              <w:rPr>
                <w:rFonts w:ascii="SimSun" w:eastAsia="SimSun" w:hAnsi="SimSun" w:cs="SimSun"/>
                <w:color w:val="000000"/>
                <w:spacing w:val="0"/>
                <w:w w:val="100"/>
                <w:position w:val="0"/>
              </w:rPr>
              <w:t>外币财务报 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-41,050,280.77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-32,362,893.98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-32,362,893.98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-73,413,174.75</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-41,050,280.77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153,226,017.31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25,719,171.70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127,506,845.61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86,456,564.84</w:t>
            </w:r>
          </w:p>
        </w:tc>
      </w:tr>
    </w:tbl>
    <w:p>
      <w:pPr>
        <w:widowControl w:val="0"/>
        <w:spacing w:after="219" w:line="1" w:lineRule="exact"/>
      </w:pPr>
    </w:p>
    <w:p>
      <w:pPr>
        <w:pStyle w:val="Style32"/>
        <w:keepNext/>
        <w:keepLines/>
        <w:widowControl w:val="0"/>
        <w:shd w:val="clear" w:color="auto" w:fill="auto"/>
        <w:bidi w:val="0"/>
        <w:spacing w:before="0" w:after="220" w:line="240" w:lineRule="auto"/>
        <w:ind w:left="0" w:right="0" w:firstLine="0"/>
        <w:jc w:val="both"/>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4</w:t>
      </w:r>
      <w:bookmarkEnd w:id="1482"/>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480"/>
      <w:bookmarkEnd w:id="1481"/>
      <w:bookmarkEnd w:id="148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20"/>
        <w:gridCol w:w="1925"/>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594,148,886.07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314,576,938.01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908,725,824.08</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594,148,886.07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314,576,938.01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908,725,824.08</w:t>
            </w:r>
          </w:p>
        </w:tc>
      </w:tr>
    </w:tbl>
    <w:p>
      <w:pPr>
        <w:spacing w:lineRule="exact" w:line="1"/>
        <w:rPr>
          <w:sz w:val="2"/>
          <w:szCs w:val="2"/>
        </w:rPr>
      </w:pPr>
      <w:r>
        <w:br w:type="page"/>
      </w:r>
    </w:p>
    <w:p>
      <w:pPr>
        <w:pStyle w:val="Style32"/>
        <w:keepNext/>
        <w:keepLines/>
        <w:widowControl w:val="0"/>
        <w:shd w:val="clear" w:color="auto" w:fill="auto"/>
        <w:bidi w:val="0"/>
        <w:spacing w:before="0" w:after="24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4</w:t>
      </w:r>
      <w:bookmarkEnd w:id="1486"/>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484"/>
      <w:bookmarkEnd w:id="1485"/>
      <w:bookmarkEnd w:id="148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44"/>
        <w:gridCol w:w="2923"/>
        <w:gridCol w:w="2938"/>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9,539,162,150.16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5,117,992,903.36</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9,539,162,150.16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5,117,992,903.36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8,552,927,696.06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4,778,104,850.74</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314,576,938.01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155,467,344.29</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516,788,189.46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201,468,259.65</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17,260,724,718.75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9,539,162,150.16</w:t>
            </w:r>
          </w:p>
        </w:tc>
      </w:tr>
    </w:tbl>
    <w:p>
      <w:pPr>
        <w:pStyle w:val="Style20"/>
        <w:keepNext w:val="0"/>
        <w:keepLines w:val="0"/>
        <w:widowControl w:val="0"/>
        <w:shd w:val="clear" w:color="auto" w:fill="auto"/>
        <w:bidi w:val="0"/>
        <w:spacing w:before="0" w:after="0" w:line="233" w:lineRule="exact"/>
        <w:ind w:left="0" w:right="0" w:firstLine="0"/>
        <w:jc w:val="left"/>
      </w:pPr>
      <w:r>
        <w:rPr>
          <w:color w:val="000000"/>
          <w:spacing w:val="0"/>
          <w:w w:val="100"/>
          <w:position w:val="0"/>
        </w:rPr>
        <w:t>注：本公司的未分配利润包含本公司之子公司按照《证券法》《金融企业财务规则》《公开募集证券投资基金风险准备金 监督管理暂行办法》等相关法律法规的规定计提的一般风险准备金和交易风险准备金。截至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日，上述金额累 计为人民币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,245,026,085.15</w:t>
      </w:r>
      <w:r>
        <w:rPr>
          <w:color w:val="000000"/>
          <w:spacing w:val="0"/>
          <w:w w:val="100"/>
          <w:position w:val="0"/>
        </w:rPr>
        <w:t>元。</w:t>
      </w:r>
    </w:p>
    <w:p>
      <w:pPr>
        <w:widowControl w:val="0"/>
        <w:spacing w:after="239" w:line="1" w:lineRule="exact"/>
      </w:pPr>
    </w:p>
    <w:p>
      <w:pPr>
        <w:pStyle w:val="Style32"/>
        <w:keepNext/>
        <w:keepLines/>
        <w:widowControl w:val="0"/>
        <w:shd w:val="clear" w:color="auto" w:fill="auto"/>
        <w:bidi w:val="0"/>
        <w:spacing w:before="0" w:after="24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4</w:t>
      </w:r>
      <w:bookmarkEnd w:id="1490"/>
      <w:r>
        <w:rPr>
          <w:rFonts w:ascii="Times New Roman" w:eastAsia="Times New Roman" w:hAnsi="Times New Roman" w:cs="Times New Roman"/>
          <w:color w:val="000000"/>
          <w:spacing w:val="0"/>
          <w:w w:val="100"/>
          <w:position w:val="0"/>
        </w:rPr>
        <w:t>8</w:t>
      </w:r>
      <w:r>
        <w:rPr>
          <w:color w:val="000000"/>
          <w:spacing w:val="0"/>
          <w:w w:val="100"/>
          <w:position w:val="0"/>
        </w:rPr>
        <w:t>、营业收入和营业成本</w:t>
      </w:r>
      <w:bookmarkEnd w:id="1488"/>
      <w:bookmarkEnd w:id="1489"/>
      <w:bookmarkEnd w:id="1491"/>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920"/>
        <w:gridCol w:w="1915"/>
        <w:gridCol w:w="1920"/>
        <w:gridCol w:w="1925"/>
      </w:tblGrid>
      <w:tr>
        <w:trPr>
          <w:trHeight w:val="34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1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5,400,430,236.44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663,441,110.02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3,247,833,420.51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566,645,612.46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both"/>
            </w:pPr>
            <w:r>
              <w:rPr>
                <w:color w:val="000000"/>
                <w:spacing w:val="0"/>
                <w:w w:val="100"/>
                <w:position w:val="0"/>
              </w:rPr>
              <w:t>4,374,771.11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4,454,925.86</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5,404,805,007.55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663,441,110.02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3,252,288,346.37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566,645,612.46</w:t>
            </w:r>
          </w:p>
        </w:tc>
      </w:tr>
      <w:tr>
        <w:trPr>
          <w:trHeight w:val="259" w:hRule="exact"/>
        </w:trPr>
        <w:tc>
          <w:tcPr>
            <w:gridSpan w:val="2"/>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经审计扣除非经常损益前后净利润孰低是否为负</w:t>
            </w:r>
            <w:r>
              <w:rPr>
                <w:color w:val="000000"/>
                <w:spacing w:val="0"/>
                <w:w w:val="100"/>
                <w:position w:val="0"/>
              </w:rPr>
              <w:t>1</w:t>
            </w:r>
          </w:p>
        </w:tc>
        <w:tc>
          <w:tcPr>
            <w:gridSpan w:val="3"/>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直</w:t>
            </w:r>
          </w:p>
        </w:tc>
      </w:tr>
    </w:tbl>
    <w:p>
      <w:pPr>
        <w:pStyle w:val="Style20"/>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7</w:t>
      </w:r>
      <w:r>
        <w:rPr>
          <w:color w:val="000000"/>
          <w:spacing w:val="0"/>
          <w:w w:val="100"/>
          <w:position w:val="0"/>
        </w:rPr>
        <w:t>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934"/>
        <w:gridCol w:w="1920"/>
        <w:gridCol w:w="1930"/>
        <w:gridCol w:w="1939"/>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金融电子商务服务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金融数据服务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互联网广告服务业务等</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服务类型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5,072,507,947.30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253,338,643.55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rPr>
              <w:t>78,958,416.70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5,404,805,007.55</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5,072,507,947.30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253,338,643.55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rPr>
              <w:t>78,958,416.70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5,404,805,007.55</w:t>
            </w:r>
          </w:p>
        </w:tc>
      </w:tr>
    </w:tbl>
    <w:p>
      <w:pPr>
        <w:pStyle w:val="Style20"/>
        <w:keepNext w:val="0"/>
        <w:keepLines w:val="0"/>
        <w:widowControl w:val="0"/>
        <w:shd w:val="clear" w:color="auto" w:fill="auto"/>
        <w:bidi w:val="0"/>
        <w:spacing w:before="0" w:after="0" w:line="226" w:lineRule="exact"/>
        <w:ind w:left="0" w:right="0" w:firstLine="0"/>
        <w:jc w:val="left"/>
      </w:pPr>
      <w:r>
        <w:rPr>
          <w:color w:val="000000"/>
          <w:spacing w:val="0"/>
          <w:w w:val="100"/>
          <w:position w:val="0"/>
        </w:rPr>
        <w:t>与履约义务相关的信息：</w:t>
      </w:r>
    </w:p>
    <w:p>
      <w:pPr>
        <w:widowControl w:val="0"/>
        <w:spacing w:after="59" w:line="1" w:lineRule="exact"/>
      </w:pPr>
    </w:p>
    <w:p>
      <w:pPr>
        <w:pStyle w:val="Style24"/>
        <w:keepNext w:val="0"/>
        <w:keepLines w:val="0"/>
        <w:widowControl w:val="0"/>
        <w:shd w:val="clear" w:color="auto" w:fill="auto"/>
        <w:bidi w:val="0"/>
        <w:spacing w:before="0" w:after="60" w:line="211" w:lineRule="exact"/>
        <w:ind w:left="0" w:right="0" w:firstLine="360"/>
        <w:jc w:val="left"/>
      </w:pPr>
      <w:r>
        <w:rPr>
          <w:color w:val="000000"/>
          <w:spacing w:val="0"/>
          <w:w w:val="100"/>
          <w:position w:val="0"/>
        </w:rPr>
        <w:t>公司经营活动主要分为金融电子商务服务、金融数据服务、互联网广告服务，各业务合同的与履约义务相关的主要信 息如下：</w:t>
      </w:r>
    </w:p>
    <w:p>
      <w:pPr>
        <w:pStyle w:val="Style24"/>
        <w:keepNext w:val="0"/>
        <w:keepLines w:val="0"/>
        <w:widowControl w:val="0"/>
        <w:shd w:val="clear" w:color="auto" w:fill="auto"/>
        <w:bidi w:val="0"/>
        <w:spacing w:before="0" w:after="0" w:line="226" w:lineRule="exact"/>
        <w:ind w:left="0" w:right="0" w:firstLine="360"/>
        <w:jc w:val="left"/>
      </w:pPr>
      <w:r>
        <w:rPr>
          <w:color w:val="000000"/>
          <w:spacing w:val="0"/>
          <w:w w:val="100"/>
          <w:position w:val="0"/>
        </w:rPr>
        <w:t>金融电子商务服务：</w:t>
      </w:r>
    </w:p>
    <w:p>
      <w:pPr>
        <w:pStyle w:val="Style24"/>
        <w:keepNext w:val="0"/>
        <w:keepLines w:val="0"/>
        <w:widowControl w:val="0"/>
        <w:shd w:val="clear" w:color="auto" w:fill="auto"/>
        <w:tabs>
          <w:tab w:pos="906" w:val="left"/>
        </w:tabs>
        <w:bidi w:val="0"/>
        <w:spacing w:before="0" w:after="0" w:line="226" w:lineRule="exact"/>
        <w:ind w:left="0" w:right="0" w:firstLine="360"/>
        <w:jc w:val="left"/>
      </w:pPr>
      <w:bookmarkStart w:id="1492" w:name="bookmark1492"/>
      <w:r>
        <w:rPr>
          <w:color w:val="000000"/>
          <w:spacing w:val="0"/>
          <w:w w:val="100"/>
          <w:position w:val="0"/>
        </w:rPr>
        <w:t>（</w:t>
      </w:r>
      <w:bookmarkEnd w:id="1492"/>
      <w:r>
        <w:rPr>
          <w:rFonts w:ascii="Times New Roman" w:eastAsia="Times New Roman" w:hAnsi="Times New Roman" w:cs="Times New Roman"/>
          <w:color w:val="000000"/>
          <w:spacing w:val="0"/>
          <w:w w:val="100"/>
          <w:position w:val="0"/>
        </w:rPr>
        <w:t>1</w:t>
      </w:r>
      <w:r>
        <w:rPr>
          <w:color w:val="000000"/>
          <w:spacing w:val="0"/>
          <w:w w:val="100"/>
          <w:position w:val="0"/>
        </w:rPr>
        <w:t>）</w:t>
        <w:tab/>
        <w:t>履约义务的履行时间：与基金交易量相关收入，在交易完成后确认；与基金保有量相关收入，基于前一日保有量 每日确认。</w:t>
      </w:r>
    </w:p>
    <w:p>
      <w:pPr>
        <w:pStyle w:val="Style24"/>
        <w:keepNext w:val="0"/>
        <w:keepLines w:val="0"/>
        <w:widowControl w:val="0"/>
        <w:shd w:val="clear" w:color="auto" w:fill="auto"/>
        <w:bidi w:val="0"/>
        <w:spacing w:before="0" w:after="0" w:line="226" w:lineRule="exact"/>
        <w:ind w:left="0" w:right="0" w:firstLine="360"/>
        <w:jc w:val="left"/>
      </w:pPr>
      <w:bookmarkStart w:id="1493" w:name="bookmark1493"/>
      <w:r>
        <w:rPr>
          <w:color w:val="000000"/>
          <w:spacing w:val="0"/>
          <w:w w:val="100"/>
          <w:position w:val="0"/>
        </w:rPr>
        <w:t>（</w:t>
      </w:r>
      <w:bookmarkEnd w:id="1493"/>
      <w:r>
        <w:rPr>
          <w:rFonts w:ascii="Times New Roman" w:eastAsia="Times New Roman" w:hAnsi="Times New Roman" w:cs="Times New Roman"/>
          <w:color w:val="000000"/>
          <w:spacing w:val="0"/>
          <w:w w:val="100"/>
          <w:position w:val="0"/>
        </w:rPr>
        <w:t>2</w:t>
      </w:r>
      <w:r>
        <w:rPr>
          <w:color w:val="000000"/>
          <w:spacing w:val="0"/>
          <w:w w:val="100"/>
          <w:position w:val="0"/>
        </w:rPr>
        <w:t>） 重要的支付条款：与基金交易相关收入，在交易完成后收款；与基金保有量相关收入，按季度结算收款。</w:t>
      </w:r>
    </w:p>
    <w:p>
      <w:pPr>
        <w:pStyle w:val="Style24"/>
        <w:keepNext w:val="0"/>
        <w:keepLines w:val="0"/>
        <w:widowControl w:val="0"/>
        <w:shd w:val="clear" w:color="auto" w:fill="auto"/>
        <w:tabs>
          <w:tab w:pos="805" w:val="left"/>
        </w:tabs>
        <w:bidi w:val="0"/>
        <w:spacing w:before="0" w:after="0" w:line="226" w:lineRule="exact"/>
        <w:ind w:left="0" w:right="0" w:firstLine="360"/>
        <w:jc w:val="left"/>
      </w:pPr>
      <w:bookmarkStart w:id="1494" w:name="bookmark1494"/>
      <w:r>
        <w:rPr>
          <w:color w:val="000000"/>
          <w:spacing w:val="0"/>
          <w:w w:val="100"/>
          <w:position w:val="0"/>
        </w:rPr>
        <w:t>（</w:t>
      </w:r>
      <w:bookmarkEnd w:id="1494"/>
      <w:r>
        <w:rPr>
          <w:rFonts w:ascii="Times New Roman" w:eastAsia="Times New Roman" w:hAnsi="Times New Roman" w:cs="Times New Roman"/>
          <w:color w:val="000000"/>
          <w:spacing w:val="0"/>
          <w:w w:val="100"/>
          <w:position w:val="0"/>
        </w:rPr>
        <w:t>3</w:t>
      </w:r>
      <w:r>
        <w:rPr>
          <w:color w:val="000000"/>
          <w:spacing w:val="0"/>
          <w:w w:val="100"/>
          <w:position w:val="0"/>
        </w:rPr>
        <w:t>）</w:t>
        <w:tab/>
        <w:t>退货及质量保证条款：无。</w:t>
      </w:r>
    </w:p>
    <w:p>
      <w:pPr>
        <w:pStyle w:val="Style24"/>
        <w:keepNext w:val="0"/>
        <w:keepLines w:val="0"/>
        <w:widowControl w:val="0"/>
        <w:shd w:val="clear" w:color="auto" w:fill="auto"/>
        <w:bidi w:val="0"/>
        <w:spacing w:before="0" w:after="0" w:line="226" w:lineRule="exact"/>
        <w:ind w:left="0" w:right="0" w:firstLine="360"/>
        <w:jc w:val="left"/>
      </w:pPr>
      <w:r>
        <w:rPr>
          <w:color w:val="000000"/>
          <w:spacing w:val="0"/>
          <w:w w:val="100"/>
          <w:position w:val="0"/>
        </w:rPr>
        <w:t>金融数据服务：</w:t>
      </w:r>
    </w:p>
    <w:p>
      <w:pPr>
        <w:pStyle w:val="Style24"/>
        <w:keepNext w:val="0"/>
        <w:keepLines w:val="0"/>
        <w:widowControl w:val="0"/>
        <w:shd w:val="clear" w:color="auto" w:fill="auto"/>
        <w:tabs>
          <w:tab w:pos="805" w:val="left"/>
        </w:tabs>
        <w:bidi w:val="0"/>
        <w:spacing w:before="0" w:after="0" w:line="226" w:lineRule="exact"/>
        <w:ind w:left="0" w:right="0" w:firstLine="360"/>
        <w:jc w:val="left"/>
      </w:pPr>
      <w:bookmarkStart w:id="1495" w:name="bookmark1495"/>
      <w:r>
        <w:rPr>
          <w:color w:val="000000"/>
          <w:spacing w:val="0"/>
          <w:w w:val="100"/>
          <w:position w:val="0"/>
        </w:rPr>
        <w:t>（</w:t>
      </w:r>
      <w:bookmarkEnd w:id="1495"/>
      <w:r>
        <w:rPr>
          <w:rFonts w:ascii="Times New Roman" w:eastAsia="Times New Roman" w:hAnsi="Times New Roman" w:cs="Times New Roman"/>
          <w:color w:val="000000"/>
          <w:spacing w:val="0"/>
          <w:w w:val="100"/>
          <w:position w:val="0"/>
        </w:rPr>
        <w:t>1</w:t>
      </w:r>
      <w:r>
        <w:rPr>
          <w:color w:val="000000"/>
          <w:spacing w:val="0"/>
          <w:w w:val="100"/>
          <w:position w:val="0"/>
        </w:rPr>
        <w:t>）</w:t>
        <w:tab/>
        <w:t>履约义务的履行时间：在合同约定服务期限内，持续提供金融数据服务，按照直线法确认收入。</w:t>
      </w:r>
    </w:p>
    <w:p>
      <w:pPr>
        <w:pStyle w:val="Style24"/>
        <w:keepNext w:val="0"/>
        <w:keepLines w:val="0"/>
        <w:widowControl w:val="0"/>
        <w:shd w:val="clear" w:color="auto" w:fill="auto"/>
        <w:tabs>
          <w:tab w:pos="805" w:val="left"/>
        </w:tabs>
        <w:bidi w:val="0"/>
        <w:spacing w:before="0" w:after="0" w:line="226" w:lineRule="exact"/>
        <w:ind w:left="0" w:right="0" w:firstLine="360"/>
        <w:jc w:val="left"/>
      </w:pPr>
      <w:bookmarkStart w:id="1496" w:name="bookmark1496"/>
      <w:r>
        <w:rPr>
          <w:color w:val="000000"/>
          <w:spacing w:val="0"/>
          <w:w w:val="100"/>
          <w:position w:val="0"/>
        </w:rPr>
        <w:t>（</w:t>
      </w:r>
      <w:bookmarkEnd w:id="1496"/>
      <w:r>
        <w:rPr>
          <w:rFonts w:ascii="Times New Roman" w:eastAsia="Times New Roman" w:hAnsi="Times New Roman" w:cs="Times New Roman"/>
          <w:color w:val="000000"/>
          <w:spacing w:val="0"/>
          <w:w w:val="100"/>
          <w:position w:val="0"/>
        </w:rPr>
        <w:t>2</w:t>
      </w:r>
      <w:r>
        <w:rPr>
          <w:color w:val="000000"/>
          <w:spacing w:val="0"/>
          <w:w w:val="100"/>
          <w:position w:val="0"/>
        </w:rPr>
        <w:t>）</w:t>
        <w:tab/>
        <w:t>重要的支付条款：在提供金融数据服务前支付款项。</w:t>
      </w:r>
    </w:p>
    <w:p>
      <w:pPr>
        <w:pStyle w:val="Style24"/>
        <w:keepNext w:val="0"/>
        <w:keepLines w:val="0"/>
        <w:widowControl w:val="0"/>
        <w:shd w:val="clear" w:color="auto" w:fill="auto"/>
        <w:tabs>
          <w:tab w:pos="805" w:val="left"/>
        </w:tabs>
        <w:bidi w:val="0"/>
        <w:spacing w:before="0" w:after="0" w:line="226" w:lineRule="exact"/>
        <w:ind w:left="0" w:right="0" w:firstLine="360"/>
        <w:jc w:val="left"/>
      </w:pPr>
      <w:bookmarkStart w:id="1497" w:name="bookmark1497"/>
      <w:r>
        <w:rPr>
          <w:color w:val="000000"/>
          <w:spacing w:val="0"/>
          <w:w w:val="100"/>
          <w:position w:val="0"/>
        </w:rPr>
        <w:t>（</w:t>
      </w:r>
      <w:bookmarkEnd w:id="1497"/>
      <w:r>
        <w:rPr>
          <w:rFonts w:ascii="Times New Roman" w:eastAsia="Times New Roman" w:hAnsi="Times New Roman" w:cs="Times New Roman"/>
          <w:color w:val="000000"/>
          <w:spacing w:val="0"/>
          <w:w w:val="100"/>
          <w:position w:val="0"/>
        </w:rPr>
        <w:t>3</w:t>
      </w:r>
      <w:r>
        <w:rPr>
          <w:color w:val="000000"/>
          <w:spacing w:val="0"/>
          <w:w w:val="100"/>
          <w:position w:val="0"/>
        </w:rPr>
        <w:t>）</w:t>
        <w:tab/>
        <w:t>退货及质量保证条款：无。</w:t>
      </w:r>
    </w:p>
    <w:p>
      <w:pPr>
        <w:pStyle w:val="Style24"/>
        <w:keepNext w:val="0"/>
        <w:keepLines w:val="0"/>
        <w:widowControl w:val="0"/>
        <w:shd w:val="clear" w:color="auto" w:fill="auto"/>
        <w:bidi w:val="0"/>
        <w:spacing w:before="0" w:after="0" w:line="226" w:lineRule="exact"/>
        <w:ind w:left="0" w:right="0" w:firstLine="360"/>
        <w:jc w:val="left"/>
      </w:pPr>
      <w:r>
        <w:rPr>
          <w:color w:val="000000"/>
          <w:spacing w:val="0"/>
          <w:w w:val="100"/>
          <w:position w:val="0"/>
        </w:rPr>
        <w:t>互联网广告服务：</w:t>
      </w:r>
    </w:p>
    <w:p>
      <w:pPr>
        <w:pStyle w:val="Style24"/>
        <w:keepNext w:val="0"/>
        <w:keepLines w:val="0"/>
        <w:widowControl w:val="0"/>
        <w:shd w:val="clear" w:color="auto" w:fill="auto"/>
        <w:tabs>
          <w:tab w:pos="805" w:val="left"/>
        </w:tabs>
        <w:bidi w:val="0"/>
        <w:spacing w:before="0" w:after="0" w:line="226" w:lineRule="exact"/>
        <w:ind w:left="0" w:right="0" w:firstLine="360"/>
        <w:jc w:val="left"/>
      </w:pPr>
      <w:bookmarkStart w:id="1498" w:name="bookmark1498"/>
      <w:r>
        <w:rPr>
          <w:color w:val="000000"/>
          <w:spacing w:val="0"/>
          <w:w w:val="100"/>
          <w:position w:val="0"/>
        </w:rPr>
        <w:t>（</w:t>
      </w:r>
      <w:bookmarkEnd w:id="1498"/>
      <w:r>
        <w:rPr>
          <w:rFonts w:ascii="Times New Roman" w:eastAsia="Times New Roman" w:hAnsi="Times New Roman" w:cs="Times New Roman"/>
          <w:color w:val="000000"/>
          <w:spacing w:val="0"/>
          <w:w w:val="100"/>
          <w:position w:val="0"/>
        </w:rPr>
        <w:t>1</w:t>
      </w:r>
      <w:r>
        <w:rPr>
          <w:color w:val="000000"/>
          <w:spacing w:val="0"/>
          <w:w w:val="100"/>
          <w:position w:val="0"/>
        </w:rPr>
        <w:t>）</w:t>
        <w:tab/>
        <w:t>履约义务的履行时间：在广告发布期间，按照合同金额与广告发布执行单确认收入。</w:t>
      </w:r>
    </w:p>
    <w:p>
      <w:pPr>
        <w:pStyle w:val="Style24"/>
        <w:keepNext w:val="0"/>
        <w:keepLines w:val="0"/>
        <w:widowControl w:val="0"/>
        <w:shd w:val="clear" w:color="auto" w:fill="auto"/>
        <w:tabs>
          <w:tab w:pos="805" w:val="left"/>
        </w:tabs>
        <w:bidi w:val="0"/>
        <w:spacing w:before="0" w:after="0" w:line="226" w:lineRule="exact"/>
        <w:ind w:left="0" w:right="0" w:firstLine="360"/>
        <w:jc w:val="left"/>
      </w:pPr>
      <w:bookmarkStart w:id="1499" w:name="bookmark1499"/>
      <w:r>
        <w:rPr>
          <w:color w:val="000000"/>
          <w:spacing w:val="0"/>
          <w:w w:val="100"/>
          <w:position w:val="0"/>
        </w:rPr>
        <w:t>（</w:t>
      </w:r>
      <w:bookmarkEnd w:id="1499"/>
      <w:r>
        <w:rPr>
          <w:rFonts w:ascii="Times New Roman" w:eastAsia="Times New Roman" w:hAnsi="Times New Roman" w:cs="Times New Roman"/>
          <w:color w:val="000000"/>
          <w:spacing w:val="0"/>
          <w:w w:val="100"/>
          <w:position w:val="0"/>
        </w:rPr>
        <w:t>2</w:t>
      </w:r>
      <w:r>
        <w:rPr>
          <w:color w:val="000000"/>
          <w:spacing w:val="0"/>
          <w:w w:val="100"/>
          <w:position w:val="0"/>
        </w:rPr>
        <w:t>）</w:t>
        <w:tab/>
        <w:t>重要的支付条款：广告投放结束后</w:t>
      </w:r>
      <w:r>
        <w:rPr>
          <w:rFonts w:ascii="Times New Roman" w:eastAsia="Times New Roman" w:hAnsi="Times New Roman" w:cs="Times New Roman"/>
          <w:color w:val="000000"/>
          <w:spacing w:val="0"/>
          <w:w w:val="100"/>
          <w:position w:val="0"/>
        </w:rPr>
        <w:t>3-6</w:t>
      </w:r>
      <w:r>
        <w:rPr>
          <w:color w:val="000000"/>
          <w:spacing w:val="0"/>
          <w:w w:val="100"/>
          <w:position w:val="0"/>
        </w:rPr>
        <w:t>个月。</w:t>
      </w:r>
    </w:p>
    <w:p>
      <w:pPr>
        <w:pStyle w:val="Style24"/>
        <w:keepNext w:val="0"/>
        <w:keepLines w:val="0"/>
        <w:widowControl w:val="0"/>
        <w:shd w:val="clear" w:color="auto" w:fill="auto"/>
        <w:tabs>
          <w:tab w:pos="805" w:val="left"/>
        </w:tabs>
        <w:bidi w:val="0"/>
        <w:spacing w:before="0" w:after="60" w:line="226" w:lineRule="exact"/>
        <w:ind w:left="0" w:right="0" w:firstLine="360"/>
        <w:jc w:val="left"/>
      </w:pPr>
      <w:bookmarkStart w:id="1500" w:name="bookmark1500"/>
      <w:r>
        <w:rPr>
          <w:color w:val="000000"/>
          <w:spacing w:val="0"/>
          <w:w w:val="100"/>
          <w:position w:val="0"/>
        </w:rPr>
        <w:t>（</w:t>
      </w:r>
      <w:bookmarkEnd w:id="1500"/>
      <w:r>
        <w:rPr>
          <w:rFonts w:ascii="Times New Roman" w:eastAsia="Times New Roman" w:hAnsi="Times New Roman" w:cs="Times New Roman"/>
          <w:color w:val="000000"/>
          <w:spacing w:val="0"/>
          <w:w w:val="100"/>
          <w:position w:val="0"/>
        </w:rPr>
        <w:t>3</w:t>
      </w:r>
      <w:r>
        <w:rPr>
          <w:color w:val="000000"/>
          <w:spacing w:val="0"/>
          <w:w w:val="100"/>
          <w:position w:val="0"/>
        </w:rPr>
        <w:t>）</w:t>
        <w:tab/>
        <w:t>退货及质量保证条款：无。</w:t>
      </w:r>
    </w:p>
    <w:p>
      <w:pPr>
        <w:pStyle w:val="Style24"/>
        <w:keepNext w:val="0"/>
        <w:keepLines w:val="0"/>
        <w:widowControl w:val="0"/>
        <w:shd w:val="clear" w:color="auto" w:fill="auto"/>
        <w:bidi w:val="0"/>
        <w:spacing w:before="0" w:after="60" w:line="226" w:lineRule="exact"/>
        <w:ind w:left="0" w:right="0" w:firstLine="360"/>
        <w:jc w:val="left"/>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0" w:line="211" w:lineRule="exact"/>
        <w:ind w:left="0" w:right="0" w:firstLine="36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240,350,290.27</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197,209,026.86</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43,141,263.41</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及以后年度确认收入。</w:t>
      </w:r>
      <w:r>
        <w:br w:type="page"/>
      </w:r>
    </w:p>
    <w:p>
      <w:pPr>
        <w:pStyle w:val="Style32"/>
        <w:keepNext/>
        <w:keepLines/>
        <w:widowControl w:val="0"/>
        <w:shd w:val="clear" w:color="auto" w:fill="auto"/>
        <w:bidi w:val="0"/>
        <w:spacing w:before="0" w:after="12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4</w:t>
      </w:r>
      <w:bookmarkEnd w:id="1503"/>
      <w:r>
        <w:rPr>
          <w:rFonts w:ascii="Times New Roman" w:eastAsia="Times New Roman" w:hAnsi="Times New Roman" w:cs="Times New Roman"/>
          <w:color w:val="000000"/>
          <w:spacing w:val="0"/>
          <w:w w:val="100"/>
          <w:position w:val="0"/>
        </w:rPr>
        <w:t>9</w:t>
      </w:r>
      <w:r>
        <w:rPr>
          <w:color w:val="000000"/>
          <w:spacing w:val="0"/>
          <w:w w:val="100"/>
          <w:position w:val="0"/>
        </w:rPr>
        <w:t>、利息净收入</w:t>
      </w:r>
      <w:bookmarkEnd w:id="1501"/>
      <w:bookmarkEnd w:id="1502"/>
      <w:bookmarkEnd w:id="150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2"/>
        <w:gridCol w:w="3048"/>
        <w:gridCol w:w="3086"/>
      </w:tblGrid>
      <w:tr>
        <w:trPr>
          <w:trHeight w:val="2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25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pPr>
            <w:r>
              <w:rPr>
                <w:color w:val="000000"/>
                <w:spacing w:val="0"/>
                <w:w w:val="100"/>
                <w:position w:val="0"/>
              </w:rPr>
              <w:t>3,752,308,183.1(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2,143,269,974.91</w:t>
            </w:r>
          </w:p>
        </w:tc>
      </w:tr>
      <w:tr>
        <w:trPr>
          <w:trHeight w:val="27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其中：融出资金利息收入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2,467,430,181.47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1,440,235,262.88</w:t>
            </w:r>
          </w:p>
        </w:tc>
      </w:tr>
      <w:tr>
        <w:trPr>
          <w:trHeight w:val="27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货币资金及结算备付金利息收入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970,503,510.98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650,894,687.56</w:t>
            </w:r>
          </w:p>
        </w:tc>
      </w:tr>
      <w:tr>
        <w:trPr>
          <w:trHeight w:val="259"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其他债权投资利息收入</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260,440,358.51</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买入返售金融资产利息收入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52,006,913.54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48,290,407.43</w:t>
            </w:r>
          </w:p>
        </w:tc>
      </w:tr>
      <w:tr>
        <w:trPr>
          <w:trHeight w:val="25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其中：股票质押式回购利息收入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37,903,533.49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45,262,826.75</w:t>
            </w:r>
          </w:p>
        </w:tc>
      </w:tr>
      <w:tr>
        <w:trPr>
          <w:trHeight w:val="27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1,057,757.56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3,547,090.04</w:t>
            </w:r>
          </w:p>
        </w:tc>
      </w:tr>
      <w:tr>
        <w:trPr>
          <w:trHeight w:val="27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债权投资利息收入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869,461.10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302,527.00</w:t>
            </w:r>
          </w:p>
        </w:tc>
      </w:tr>
      <w:tr>
        <w:trPr>
          <w:trHeight w:val="25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pPr>
            <w:r>
              <w:rPr>
                <w:color w:val="000000"/>
                <w:spacing w:val="0"/>
                <w:w w:val="100"/>
                <w:position w:val="0"/>
              </w:rPr>
              <w:t>1,431,378,901.30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607,027,451.32</w:t>
            </w:r>
          </w:p>
        </w:tc>
      </w:tr>
      <w:tr>
        <w:trPr>
          <w:trHeight w:val="27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其中：应付债券利息支出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712,431,898.59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305,951,752.25</w:t>
            </w:r>
          </w:p>
        </w:tc>
      </w:tr>
      <w:tr>
        <w:trPr>
          <w:trHeight w:val="27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其中：次级债券利息支出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72,000,000.00</w:t>
            </w:r>
          </w:p>
        </w:tc>
      </w:tr>
      <w:tr>
        <w:trPr>
          <w:trHeight w:val="259"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卖出回购金融资产利息支出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430,170,467.93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132,012,638.49</w:t>
            </w:r>
          </w:p>
        </w:tc>
      </w:tr>
      <w:tr>
        <w:trPr>
          <w:trHeight w:val="27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客户资金存款利息支出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151,257,780.11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110,565,852.64</w:t>
            </w:r>
          </w:p>
        </w:tc>
      </w:tr>
      <w:tr>
        <w:trPr>
          <w:trHeight w:val="27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拆入资金利息支出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102,874,219.53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46,629,880.30</w:t>
            </w:r>
          </w:p>
        </w:tc>
      </w:tr>
      <w:tr>
        <w:trPr>
          <w:trHeight w:val="259"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其中：转融通利息支出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93,626,000.13</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36,980,443.52</w:t>
            </w:r>
          </w:p>
        </w:tc>
      </w:tr>
      <w:tr>
        <w:trPr>
          <w:trHeight w:val="27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34,644,535.14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11,867,327.64</w:t>
            </w:r>
          </w:p>
        </w:tc>
      </w:tr>
      <w:tr>
        <w:trPr>
          <w:trHeight w:val="28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利息净收入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40" w:right="0" w:firstLine="0"/>
              <w:jc w:val="both"/>
            </w:pPr>
            <w:r>
              <w:rPr>
                <w:color w:val="000000"/>
                <w:spacing w:val="0"/>
                <w:w w:val="100"/>
                <w:position w:val="0"/>
              </w:rPr>
              <w:t>2,320,929,281.86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1,536,242,523.59</w:t>
            </w:r>
          </w:p>
        </w:tc>
      </w:tr>
    </w:tbl>
    <w:p>
      <w:pPr>
        <w:widowControl w:val="0"/>
        <w:spacing w:after="279" w:line="1" w:lineRule="exact"/>
      </w:pPr>
    </w:p>
    <w:p>
      <w:pPr>
        <w:pStyle w:val="Style32"/>
        <w:keepNext/>
        <w:keepLines/>
        <w:widowControl w:val="0"/>
        <w:shd w:val="clear" w:color="auto" w:fill="auto"/>
        <w:bidi w:val="0"/>
        <w:spacing w:before="0" w:after="28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5</w:t>
      </w:r>
      <w:bookmarkEnd w:id="1507"/>
      <w:r>
        <w:rPr>
          <w:rFonts w:ascii="Times New Roman" w:eastAsia="Times New Roman" w:hAnsi="Times New Roman" w:cs="Times New Roman"/>
          <w:color w:val="000000"/>
          <w:spacing w:val="0"/>
          <w:w w:val="100"/>
          <w:position w:val="0"/>
        </w:rPr>
        <w:t>0</w:t>
      </w:r>
      <w:r>
        <w:rPr>
          <w:color w:val="000000"/>
          <w:spacing w:val="0"/>
          <w:w w:val="100"/>
          <w:position w:val="0"/>
        </w:rPr>
        <w:t>、手续费及佣金净收入</w:t>
      </w:r>
      <w:bookmarkEnd w:id="1505"/>
      <w:bookmarkEnd w:id="1506"/>
      <w:bookmarkEnd w:id="150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证券经纪业务净收入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4,597,499,340.26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3,032,162,906.13</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证券经纪业务收入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6,488,736,790.41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4,368,700,689.26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其中：代理买卖证券业务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5,927,887,747.84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4,056,516,355.82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交易单元席位租赁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400,384,722.52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210,423,324.90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代销金融产品业务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160,464,320.05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101,761,008.54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证券经纪业务支出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1,891,237,450.15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1,336,537,783.13</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其中：代理买卖证券业务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1,891,237,450.15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1,336,537,783.13</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期货经纪业务净收入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706,065,906.58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376,960,731.93</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期货经纪业务收入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706,065,906.58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376,960,731.93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投资银行业务净收入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18,197,326.40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11,246,854.71</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投资银行业务收入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18,197,326.40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13,227,986.79</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其中：证券承销业务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15,830,188.67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10,283,018.86</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财务顾问业务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2,367,137.73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2,944,967.93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投资银行业务支出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1,981,132.08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其中：证券承销业务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1,981,132.08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受托资产管理业务净收入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4,394,860.81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9,013,653.99</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资产管理业务收入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4,394,860.81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9,062,268.14</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资产管理业务支出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48,614.15</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基金管理业务净收入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32,634,774.25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15,894,130.70</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基金管理业务收入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32,634,774.25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15,894,130.70</w:t>
            </w:r>
          </w:p>
        </w:tc>
      </w:tr>
    </w:tbl>
    <w:p>
      <w:pPr>
        <w:spacing w:lineRule="exact" w:line="1"/>
        <w:rPr>
          <w:sz w:val="2"/>
          <w:szCs w:val="2"/>
        </w:rPr>
      </w:pPr>
      <w:r>
        <w:br w:type="page"/>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投资咨询业务净收入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9,705,920.52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4,230,251.89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投资咨询业务收入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9,705,920.52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4,230,251.89</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其他手续费及佣金净收入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88,230.01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both"/>
            </w:pPr>
            <w:r>
              <w:rPr>
                <w:color w:val="000000"/>
                <w:spacing w:val="0"/>
                <w:w w:val="100"/>
                <w:position w:val="0"/>
              </w:rPr>
              <w:t>517,709.61</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其他手续费及佣金收入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88,230.01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both"/>
            </w:pPr>
            <w:r>
              <w:rPr>
                <w:color w:val="000000"/>
                <w:spacing w:val="0"/>
                <w:w w:val="100"/>
                <w:position w:val="0"/>
              </w:rPr>
              <w:t>517,709.61</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5,368,586,358.83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3,450,026,238.96</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5</w:t>
      </w:r>
      <w:bookmarkEnd w:id="1511"/>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509"/>
      <w:bookmarkEnd w:id="1510"/>
      <w:bookmarkEnd w:id="151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45,327,152.38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25,770,662.23</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36,200,058.11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20,266,029.88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15,944,695.85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14,177,714.49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6,312,177.52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6,606,885.26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180,223.26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both"/>
            </w:pPr>
            <w:r>
              <w:rPr>
                <w:color w:val="000000"/>
                <w:spacing w:val="0"/>
                <w:w w:val="100"/>
                <w:position w:val="0"/>
              </w:rPr>
              <w:t>175,005.89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车船使用税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34,720.00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80" w:right="0" w:firstLine="0"/>
              <w:jc w:val="both"/>
            </w:pPr>
            <w:r>
              <w:rPr>
                <w:color w:val="000000"/>
                <w:spacing w:val="0"/>
                <w:w w:val="100"/>
                <w:position w:val="0"/>
              </w:rPr>
              <w:t>33,670.00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水利资金及其他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16,740.18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80" w:right="0" w:firstLine="0"/>
              <w:jc w:val="both"/>
            </w:pPr>
            <w:r>
              <w:rPr>
                <w:color w:val="000000"/>
                <w:spacing w:val="0"/>
                <w:w w:val="100"/>
                <w:position w:val="0"/>
              </w:rPr>
              <w:t>34,900.56</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104,015,767.30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67,064,868.31</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5</w:t>
      </w:r>
      <w:bookmarkEnd w:id="1515"/>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513"/>
      <w:bookmarkEnd w:id="1514"/>
      <w:bookmarkEnd w:id="151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技术、咨询服务费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259,290,694.07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245,184,660.58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193,981,032.21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206,249,242.69</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广告宣传费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179,945,881.63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52,221,095.06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5,854,711.88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邮电通讯费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2,003,447.18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2,598,187.13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2,003,134.96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1,456,307.64</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低值易耗品摊销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1,928,879.91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400" w:right="0" w:firstLine="0"/>
              <w:jc w:val="both"/>
            </w:pPr>
            <w:r>
              <w:rPr>
                <w:color w:val="000000"/>
                <w:spacing w:val="0"/>
                <w:w w:val="100"/>
                <w:position w:val="0"/>
              </w:rPr>
              <w:t>950,564.20</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水电费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1,724,790.13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1,634,764.16</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1,271,228.04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1,649,560.41</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1,256,692.07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1,584,026.13</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2,918,783.68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9,469,529.41</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652,179,275.76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522,997,937.41</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5</w:t>
      </w:r>
      <w:bookmarkEnd w:id="1519"/>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517"/>
      <w:bookmarkEnd w:id="1518"/>
      <w:bookmarkEnd w:id="152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931,990,476.33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708,725,922.89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交易所设施使用费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174,199,138.74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105,075,147.53</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123,630,126.11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124,530,251.75</w:t>
            </w:r>
          </w:p>
        </w:tc>
      </w:tr>
    </w:tbl>
    <w:p>
      <w:pPr>
        <w:spacing w:lineRule="exact" w:line="1"/>
        <w:rPr>
          <w:sz w:val="2"/>
          <w:szCs w:val="2"/>
        </w:rPr>
      </w:pPr>
      <w:r>
        <w:br w:type="page"/>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设备维护修理费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118,106,289.21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101,054,246.37</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技术咨询服务费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94,703,459.62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90,741,539.51</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60,007,193.33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投资者保护基金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52,330,073.59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22,205,468.11</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邮电通讯费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39,725,880.87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28,958,872.61</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期货风险准备金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35,304,219.95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18,848,385.94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32,045,765.62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30,382,412.69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187,344,613.24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237,464,964.28</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1,849,387,236.61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1,467,987,211.68</w:t>
            </w:r>
          </w:p>
        </w:tc>
      </w:tr>
    </w:tbl>
    <w:p>
      <w:pPr>
        <w:widowControl w:val="0"/>
        <w:spacing w:after="279" w:line="1" w:lineRule="exact"/>
      </w:pPr>
    </w:p>
    <w:p>
      <w:pPr>
        <w:pStyle w:val="Style32"/>
        <w:keepNext/>
        <w:keepLines/>
        <w:widowControl w:val="0"/>
        <w:shd w:val="clear" w:color="auto" w:fill="auto"/>
        <w:bidi w:val="0"/>
        <w:spacing w:before="0" w:after="28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5</w:t>
      </w:r>
      <w:bookmarkEnd w:id="1523"/>
      <w:r>
        <w:rPr>
          <w:rFonts w:ascii="Times New Roman" w:eastAsia="Times New Roman" w:hAnsi="Times New Roman" w:cs="Times New Roman"/>
          <w:color w:val="000000"/>
          <w:spacing w:val="0"/>
          <w:w w:val="100"/>
          <w:position w:val="0"/>
        </w:rPr>
        <w:t>4</w:t>
      </w:r>
      <w:r>
        <w:rPr>
          <w:color w:val="000000"/>
          <w:spacing w:val="0"/>
          <w:w w:val="100"/>
          <w:position w:val="0"/>
        </w:rPr>
        <w:t>、研发费用</w:t>
      </w:r>
      <w:bookmarkEnd w:id="1521"/>
      <w:bookmarkEnd w:id="1522"/>
      <w:bookmarkEnd w:id="152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688,493,172.51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357,401,344.29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21,470,242.72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9,790,668.78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14,007,782.00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11,191,894.94</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723,971,197.23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378,383,908.01</w:t>
            </w:r>
          </w:p>
        </w:tc>
      </w:tr>
    </w:tbl>
    <w:p>
      <w:pPr>
        <w:widowControl w:val="0"/>
        <w:spacing w:after="279" w:line="1" w:lineRule="exact"/>
      </w:pPr>
    </w:p>
    <w:p>
      <w:pPr>
        <w:pStyle w:val="Style32"/>
        <w:keepNext/>
        <w:keepLines/>
        <w:widowControl w:val="0"/>
        <w:shd w:val="clear" w:color="auto" w:fill="auto"/>
        <w:bidi w:val="0"/>
        <w:spacing w:before="0" w:after="24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5</w:t>
      </w:r>
      <w:bookmarkEnd w:id="1527"/>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25"/>
      <w:bookmarkEnd w:id="1526"/>
      <w:bookmarkEnd w:id="152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402,777,049.73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208,246,592.16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266,592,664.39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175,804,784.85</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928,288.99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-107,444.13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银行手续费等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1,785,864.55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1,587,410.61</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138,898,538.88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33,921,773.79</w:t>
            </w:r>
          </w:p>
        </w:tc>
      </w:tr>
    </w:tbl>
    <w:p>
      <w:pPr>
        <w:widowControl w:val="0"/>
        <w:spacing w:after="279" w:line="1" w:lineRule="exact"/>
      </w:pPr>
    </w:p>
    <w:p>
      <w:pPr>
        <w:pStyle w:val="Style32"/>
        <w:keepNext/>
        <w:keepLines/>
        <w:widowControl w:val="0"/>
        <w:shd w:val="clear" w:color="auto" w:fill="auto"/>
        <w:bidi w:val="0"/>
        <w:spacing w:before="0" w:after="24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5</w:t>
      </w:r>
      <w:bookmarkEnd w:id="1531"/>
      <w:r>
        <w:rPr>
          <w:rFonts w:ascii="Times New Roman" w:eastAsia="Times New Roman" w:hAnsi="Times New Roman" w:cs="Times New Roman"/>
          <w:color w:val="000000"/>
          <w:spacing w:val="0"/>
          <w:w w:val="100"/>
          <w:position w:val="0"/>
        </w:rPr>
        <w:t>6</w:t>
      </w:r>
      <w:r>
        <w:rPr>
          <w:color w:val="000000"/>
          <w:spacing w:val="0"/>
          <w:w w:val="100"/>
          <w:position w:val="0"/>
        </w:rPr>
        <w:t>、其他收益</w:t>
      </w:r>
      <w:bookmarkEnd w:id="1529"/>
      <w:bookmarkEnd w:id="1530"/>
      <w:bookmarkEnd w:id="153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产生其他收益的来源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与日常活动相关的政府补助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121,607,011.01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93,937,547.92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3,443,933.49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5,601,648.06</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其他代扣代缴税费手续费返还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3,589.27</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进项税加计抵减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7,570,032.90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4,399,000.58</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132,624,566.67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103,938,196.56</w:t>
            </w:r>
          </w:p>
        </w:tc>
      </w:tr>
    </w:tbl>
    <w:p>
      <w:pPr>
        <w:widowControl w:val="0"/>
        <w:spacing w:after="279" w:line="1" w:lineRule="exact"/>
      </w:pPr>
    </w:p>
    <w:p>
      <w:pPr>
        <w:pStyle w:val="Style32"/>
        <w:keepNext/>
        <w:keepLines/>
        <w:widowControl w:val="0"/>
        <w:shd w:val="clear" w:color="auto" w:fill="auto"/>
        <w:bidi w:val="0"/>
        <w:spacing w:before="0" w:after="24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5</w:t>
      </w:r>
      <w:bookmarkEnd w:id="1535"/>
      <w:r>
        <w:rPr>
          <w:rFonts w:ascii="Times New Roman" w:eastAsia="Times New Roman" w:hAnsi="Times New Roman" w:cs="Times New Roman"/>
          <w:color w:val="000000"/>
          <w:spacing w:val="0"/>
          <w:w w:val="100"/>
          <w:position w:val="0"/>
        </w:rPr>
        <w:t>7</w:t>
      </w:r>
      <w:r>
        <w:rPr>
          <w:color w:val="000000"/>
          <w:spacing w:val="0"/>
          <w:w w:val="100"/>
          <w:position w:val="0"/>
        </w:rPr>
        <w:t>、投资收益</w:t>
      </w:r>
      <w:bookmarkEnd w:id="1533"/>
      <w:bookmarkEnd w:id="1534"/>
      <w:bookmarkEnd w:id="1536"/>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9,340,428.14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10,507,271.28</w:t>
            </w:r>
          </w:p>
        </w:tc>
      </w:tr>
    </w:tbl>
    <w:p>
      <w:pPr>
        <w:spacing w:lineRule="exact" w:line="1"/>
        <w:rPr>
          <w:sz w:val="2"/>
          <w:szCs w:val="2"/>
        </w:rPr>
      </w:pPr>
      <w:r>
        <w:br w:type="page"/>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金融工具持有期间取得的收益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676,023,505.65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290,205,678.87</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726,064,088.78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287,705,678.87</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-53,040,583.13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2,500,000.00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处置金融工具取得的收益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49,720,844.72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15,374,013.03</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246,245,057.08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33,859,548.22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6,655,661.61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衍生金融工具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-203,179,873.97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-18,485,535.19</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735,084,778.51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316,086,963.18</w:t>
            </w:r>
          </w:p>
        </w:tc>
      </w:tr>
    </w:tbl>
    <w:p>
      <w:pPr>
        <w:widowControl w:val="0"/>
        <w:spacing w:after="219" w:line="1" w:lineRule="exact"/>
      </w:pPr>
    </w:p>
    <w:p>
      <w:pPr>
        <w:pStyle w:val="Style32"/>
        <w:keepNext/>
        <w:keepLines/>
        <w:widowControl w:val="0"/>
        <w:shd w:val="clear" w:color="auto" w:fill="auto"/>
        <w:bidi w:val="0"/>
        <w:spacing w:before="0" w:after="22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5</w:t>
      </w:r>
      <w:bookmarkEnd w:id="1539"/>
      <w:r>
        <w:rPr>
          <w:rFonts w:ascii="Times New Roman" w:eastAsia="Times New Roman" w:hAnsi="Times New Roman" w:cs="Times New Roman"/>
          <w:color w:val="000000"/>
          <w:spacing w:val="0"/>
          <w:w w:val="100"/>
          <w:position w:val="0"/>
        </w:rPr>
        <w:t>8</w:t>
      </w:r>
      <w:r>
        <w:rPr>
          <w:color w:val="000000"/>
          <w:spacing w:val="0"/>
          <w:w w:val="100"/>
          <w:position w:val="0"/>
        </w:rPr>
        <w:t>、公允价值变动收益</w:t>
      </w:r>
      <w:bookmarkEnd w:id="1537"/>
      <w:bookmarkEnd w:id="1538"/>
      <w:bookmarkEnd w:id="154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328,906,857.81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3,515,273.64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-95,929,919.66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-1,691,468.36</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衍生金融工具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30,160,790.99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-7,332,571.78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11,451,667.44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4,799,037.96</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274,589,396.58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-709,728.54</w:t>
            </w:r>
          </w:p>
        </w:tc>
      </w:tr>
    </w:tbl>
    <w:p>
      <w:pPr>
        <w:widowControl w:val="0"/>
        <w:spacing w:after="219" w:line="1" w:lineRule="exact"/>
      </w:pPr>
    </w:p>
    <w:p>
      <w:pPr>
        <w:pStyle w:val="Style32"/>
        <w:keepNext/>
        <w:keepLines/>
        <w:widowControl w:val="0"/>
        <w:shd w:val="clear" w:color="auto" w:fill="auto"/>
        <w:bidi w:val="0"/>
        <w:spacing w:before="0" w:after="22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5</w:t>
      </w:r>
      <w:bookmarkEnd w:id="1543"/>
      <w:r>
        <w:rPr>
          <w:rFonts w:ascii="Times New Roman" w:eastAsia="Times New Roman" w:hAnsi="Times New Roman" w:cs="Times New Roman"/>
          <w:color w:val="000000"/>
          <w:spacing w:val="0"/>
          <w:w w:val="100"/>
          <w:position w:val="0"/>
        </w:rPr>
        <w:t>9</w:t>
      </w:r>
      <w:r>
        <w:rPr>
          <w:color w:val="000000"/>
          <w:spacing w:val="0"/>
          <w:w w:val="100"/>
          <w:position w:val="0"/>
        </w:rPr>
        <w:t>、信用减值损失</w:t>
      </w:r>
      <w:bookmarkEnd w:id="1541"/>
      <w:bookmarkEnd w:id="1542"/>
      <w:bookmarkEnd w:id="154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-3,229,115.12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-6,667,964.54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其他债权投资减值损失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-1,145,986.18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-7,768,770.10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-23,037,919.76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发放贷款及垫款减值损失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368,359.10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-553,279.56</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融出资金减值损失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-17,213,321.06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-27,118,707.26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买入返售金融资产减值损失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359,679.08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both"/>
            </w:pPr>
            <w:r>
              <w:rPr>
                <w:color w:val="000000"/>
                <w:spacing w:val="0"/>
                <w:w w:val="100"/>
                <w:position w:val="0"/>
              </w:rPr>
              <w:t>3,151,266.37</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-28,629,154.28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-54,226,604.75</w:t>
            </w:r>
          </w:p>
        </w:tc>
      </w:tr>
    </w:tbl>
    <w:p>
      <w:pPr>
        <w:widowControl w:val="0"/>
        <w:spacing w:after="219" w:line="1" w:lineRule="exact"/>
      </w:pPr>
    </w:p>
    <w:p>
      <w:pPr>
        <w:pStyle w:val="Style32"/>
        <w:keepNext/>
        <w:keepLines/>
        <w:widowControl w:val="0"/>
        <w:shd w:val="clear" w:color="auto" w:fill="auto"/>
        <w:bidi w:val="0"/>
        <w:spacing w:before="0" w:after="220" w:line="240" w:lineRule="auto"/>
        <w:ind w:left="0" w:right="0" w:firstLine="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6</w:t>
      </w:r>
      <w:bookmarkEnd w:id="1547"/>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545"/>
      <w:bookmarkEnd w:id="1546"/>
      <w:bookmarkEnd w:id="154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-25,120,485.00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both"/>
            </w:pPr>
            <w:r>
              <w:rPr>
                <w:color w:val="000000"/>
                <w:spacing w:val="0"/>
                <w:w w:val="100"/>
                <w:position w:val="0"/>
              </w:rPr>
              <w:t>-8,084,312.40</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-33,204,797.40</w:t>
            </w:r>
          </w:p>
        </w:tc>
      </w:tr>
    </w:tbl>
    <w:p>
      <w:pPr>
        <w:widowControl w:val="0"/>
        <w:spacing w:after="219" w:line="1" w:lineRule="exact"/>
      </w:pPr>
    </w:p>
    <w:p>
      <w:pPr>
        <w:pStyle w:val="Style32"/>
        <w:keepNext/>
        <w:keepLines/>
        <w:widowControl w:val="0"/>
        <w:shd w:val="clear" w:color="auto" w:fill="auto"/>
        <w:bidi w:val="0"/>
        <w:spacing w:before="0" w:after="22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6</w:t>
      </w:r>
      <w:bookmarkEnd w:id="1551"/>
      <w:r>
        <w:rPr>
          <w:rFonts w:ascii="Times New Roman" w:eastAsia="Times New Roman" w:hAnsi="Times New Roman" w:cs="Times New Roman"/>
          <w:color w:val="000000"/>
          <w:spacing w:val="0"/>
          <w:w w:val="100"/>
          <w:position w:val="0"/>
        </w:rPr>
        <w:t>1</w:t>
      </w:r>
      <w:r>
        <w:rPr>
          <w:color w:val="000000"/>
          <w:spacing w:val="0"/>
          <w:w w:val="100"/>
          <w:position w:val="0"/>
        </w:rPr>
        <w:t>、资产处置收益</w:t>
      </w:r>
      <w:bookmarkEnd w:id="1549"/>
      <w:bookmarkEnd w:id="1550"/>
      <w:bookmarkEnd w:id="155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资产处置收益的来源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-214,954.06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1,993.66</w:t>
            </w:r>
          </w:p>
        </w:tc>
      </w:tr>
    </w:tbl>
    <w:p>
      <w:pPr>
        <w:spacing w:lineRule="exact" w:line="1"/>
        <w:rPr>
          <w:sz w:val="2"/>
          <w:szCs w:val="2"/>
        </w:rPr>
      </w:pPr>
      <w:r>
        <w:br w:type="page"/>
      </w:r>
    </w:p>
    <w:p>
      <w:pPr>
        <w:pStyle w:val="Style32"/>
        <w:keepNext/>
        <w:keepLines/>
        <w:widowControl w:val="0"/>
        <w:shd w:val="clear" w:color="auto" w:fill="auto"/>
        <w:bidi w:val="0"/>
        <w:spacing w:before="0" w:after="30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6</w:t>
      </w:r>
      <w:bookmarkEnd w:id="1555"/>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553"/>
      <w:bookmarkEnd w:id="1554"/>
      <w:bookmarkEnd w:id="155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10"/>
        <w:gridCol w:w="2266"/>
        <w:gridCol w:w="2530"/>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计入当期非经常性损益的金额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302,688.21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50,878.75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302,688.21</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302,688.21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50,878.75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302,688.21</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557" w:name="bookmark1557"/>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6</w:t>
      </w:r>
      <w:bookmarkEnd w:id="1559"/>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557"/>
      <w:bookmarkEnd w:id="1558"/>
      <w:bookmarkEnd w:id="156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10"/>
        <w:gridCol w:w="2266"/>
        <w:gridCol w:w="2530"/>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计入当期非经常性损益的金额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23,195,074.70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16,689,235.55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23,195,074.70</w:t>
            </w: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2,733,094.09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478,503.38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2,733,094.09</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25,928,168.79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17,167,738.93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25,928,168.79</w:t>
            </w:r>
          </w:p>
        </w:tc>
      </w:tr>
    </w:tbl>
    <w:p>
      <w:pPr>
        <w:widowControl w:val="0"/>
        <w:spacing w:after="299" w:line="1" w:lineRule="exact"/>
      </w:pPr>
    </w:p>
    <w:p>
      <w:pPr>
        <w:pStyle w:val="Style32"/>
        <w:keepNext/>
        <w:keepLines/>
        <w:widowControl w:val="0"/>
        <w:shd w:val="clear" w:color="auto" w:fill="auto"/>
        <w:bidi w:val="0"/>
        <w:spacing w:before="0" w:after="34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6</w:t>
      </w:r>
      <w:bookmarkEnd w:id="1563"/>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561"/>
      <w:bookmarkEnd w:id="1562"/>
      <w:bookmarkEnd w:id="1564"/>
    </w:p>
    <w:p>
      <w:pPr>
        <w:pStyle w:val="Style32"/>
        <w:keepNext/>
        <w:keepLines/>
        <w:widowControl w:val="0"/>
        <w:shd w:val="clear" w:color="auto" w:fill="auto"/>
        <w:bidi w:val="0"/>
        <w:spacing w:before="0" w:after="300" w:line="240" w:lineRule="auto"/>
        <w:ind w:left="0" w:right="0" w:firstLine="0"/>
        <w:jc w:val="left"/>
      </w:pPr>
      <w:bookmarkStart w:id="1561" w:name="bookmark1561"/>
      <w:bookmarkStart w:id="1562" w:name="bookmark1562"/>
      <w:bookmarkStart w:id="1565" w:name="bookmark15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61"/>
      <w:bookmarkEnd w:id="1562"/>
      <w:bookmarkEnd w:id="156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1,467,000,783.00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742,505,266.03</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34,042,246.53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-5,155,888.35</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1,501,043,029.53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737,349,377.68</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566" w:name="bookmark1566"/>
      <w:bookmarkStart w:id="1567" w:name="bookmark1567"/>
      <w:bookmarkStart w:id="1568" w:name="bookmark15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66"/>
      <w:bookmarkEnd w:id="1567"/>
      <w:bookmarkEnd w:id="156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810"/>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10,053,970,725.59</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1,508,095,608.84</w:t>
            </w: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-12,724,555.58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86,441,400.41</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color w:val="000000"/>
                <w:spacing w:val="0"/>
                <w:w w:val="100"/>
                <w:position w:val="0"/>
              </w:rPr>
              <w:t>-48,797,439.72</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52,164,846.11</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-9,023,369.40</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9,280,860.64</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651,080.55</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允许加计扣除的成本、费用的影响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color w:val="000000"/>
                <w:spacing w:val="0"/>
                <w:w w:val="100"/>
                <w:position w:val="0"/>
              </w:rPr>
              <w:t>-85,265,959.97</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220,557.65</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1,501,043,029.53</w:t>
            </w:r>
          </w:p>
        </w:tc>
      </w:tr>
    </w:tbl>
    <w:p>
      <w:pPr>
        <w:spacing w:lineRule="exact" w:line="1"/>
        <w:rPr>
          <w:sz w:val="2"/>
          <w:szCs w:val="2"/>
        </w:rPr>
      </w:pPr>
      <w:r>
        <w:br w:type="page"/>
      </w:r>
    </w:p>
    <w:p>
      <w:pPr>
        <w:pStyle w:val="Style32"/>
        <w:keepNext/>
        <w:keepLines/>
        <w:widowControl w:val="0"/>
        <w:shd w:val="clear" w:color="auto" w:fill="auto"/>
        <w:tabs>
          <w:tab w:pos="507" w:val="left"/>
        </w:tabs>
        <w:bidi w:val="0"/>
        <w:spacing w:before="0" w:after="30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6</w:t>
      </w:r>
      <w:bookmarkEnd w:id="1571"/>
      <w:r>
        <w:rPr>
          <w:rFonts w:ascii="Times New Roman" w:eastAsia="Times New Roman" w:hAnsi="Times New Roman" w:cs="Times New Roman"/>
          <w:color w:val="000000"/>
          <w:spacing w:val="0"/>
          <w:w w:val="100"/>
          <w:position w:val="0"/>
        </w:rPr>
        <w:t>5</w:t>
      </w:r>
      <w:r>
        <w:rPr>
          <w:color w:val="000000"/>
          <w:spacing w:val="0"/>
          <w:w w:val="100"/>
          <w:position w:val="0"/>
        </w:rPr>
        <w:t>、</w:t>
        <w:tab/>
        <w:t>其他综合收益</w:t>
      </w:r>
      <w:bookmarkEnd w:id="1569"/>
      <w:bookmarkEnd w:id="1570"/>
      <w:bookmarkEnd w:id="1572"/>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45</w:t>
      </w:r>
      <w:r>
        <w:rPr>
          <w:color w:val="000000"/>
          <w:spacing w:val="0"/>
          <w:w w:val="100"/>
          <w:position w:val="0"/>
        </w:rPr>
        <w:t>。</w:t>
      </w:r>
    </w:p>
    <w:p>
      <w:pPr>
        <w:pStyle w:val="Style32"/>
        <w:keepNext/>
        <w:keepLines/>
        <w:widowControl w:val="0"/>
        <w:shd w:val="clear" w:color="auto" w:fill="auto"/>
        <w:tabs>
          <w:tab w:pos="507" w:val="left"/>
        </w:tabs>
        <w:bidi w:val="0"/>
        <w:spacing w:before="0" w:after="34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6</w:t>
      </w:r>
      <w:bookmarkEnd w:id="1575"/>
      <w:r>
        <w:rPr>
          <w:rFonts w:ascii="Times New Roman" w:eastAsia="Times New Roman" w:hAnsi="Times New Roman" w:cs="Times New Roman"/>
          <w:color w:val="000000"/>
          <w:spacing w:val="0"/>
          <w:w w:val="100"/>
          <w:position w:val="0"/>
        </w:rPr>
        <w:t>6</w:t>
      </w:r>
      <w:r>
        <w:rPr>
          <w:color w:val="000000"/>
          <w:spacing w:val="0"/>
          <w:w w:val="100"/>
          <w:position w:val="0"/>
        </w:rPr>
        <w:t>、</w:t>
        <w:tab/>
        <w:t>现金流量表项目</w:t>
      </w:r>
      <w:bookmarkEnd w:id="1573"/>
      <w:bookmarkEnd w:id="1574"/>
      <w:bookmarkEnd w:id="1576"/>
    </w:p>
    <w:p>
      <w:pPr>
        <w:pStyle w:val="Style32"/>
        <w:keepNext/>
        <w:keepLines/>
        <w:widowControl w:val="0"/>
        <w:shd w:val="clear" w:color="auto" w:fill="auto"/>
        <w:bidi w:val="0"/>
        <w:spacing w:before="0" w:after="300" w:line="240" w:lineRule="auto"/>
        <w:ind w:left="0" w:right="0" w:firstLine="0"/>
        <w:jc w:val="left"/>
      </w:pPr>
      <w:bookmarkStart w:id="1573" w:name="bookmark1573"/>
      <w:bookmarkStart w:id="1574" w:name="bookmark1574"/>
      <w:bookmarkStart w:id="1577" w:name="bookmark15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73"/>
      <w:bookmarkEnd w:id="1574"/>
      <w:bookmarkEnd w:id="157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专项补贴、补助款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126,473,419.78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100,718,070.67</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257,499,612.14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175,635,382.96</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302,688.21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50,989.19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3,783,464.60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4,072,924.51</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收回往来款、代垫款等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156,824,385.41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21,508,274.25</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代垫基金销售业务赎回款减少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1,020,690,039.70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1,565,573,609.84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301,985,641.58</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578" w:name="bookmark1578"/>
      <w:bookmarkStart w:id="1579" w:name="bookmark1579"/>
      <w:bookmarkStart w:id="1580" w:name="bookmark15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78"/>
      <w:bookmarkEnd w:id="1579"/>
      <w:bookmarkEnd w:id="158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企业间往来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30,747,815.68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55,866,852.34</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代垫基金销售业务赎回款增加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1,714,497,296.91</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费用支出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1,044,395,111.19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752,897,039.22</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存出保证金及其他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1,081,566,668.23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1,077,436,419.36</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2,156,709,595.10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3,600,697,607.83</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581" w:name="bookmark1581"/>
      <w:bookmarkStart w:id="1582" w:name="bookmark1582"/>
      <w:bookmarkStart w:id="1583" w:name="bookmark1583"/>
      <w:bookmarkStart w:id="1584" w:name="bookmark1584"/>
      <w:r>
        <w:rPr>
          <w:color w:val="000000"/>
          <w:spacing w:val="0"/>
          <w:w w:val="100"/>
          <w:position w:val="0"/>
        </w:rPr>
        <w:t>（</w:t>
      </w:r>
      <w:bookmarkEnd w:id="158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81"/>
      <w:bookmarkEnd w:id="1582"/>
      <w:bookmarkEnd w:id="158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收购结构化主体</w:t>
            </w:r>
            <w:r>
              <w:rPr>
                <w:color w:val="000000"/>
                <w:spacing w:val="0"/>
                <w:w w:val="100"/>
                <w:position w:val="0"/>
              </w:rPr>
              <w:t>/</w:t>
            </w:r>
            <w:r>
              <w:rPr>
                <w:rFonts w:ascii="SimSun" w:eastAsia="SimSun" w:hAnsi="SimSun" w:cs="SimSun"/>
                <w:color w:val="000000"/>
                <w:spacing w:val="0"/>
                <w:w w:val="100"/>
                <w:position w:val="0"/>
              </w:rPr>
              <w:t>子公司增加的现金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78,494.93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55,124.86</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78,494.93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55,124.86</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rPr>
        <w:t>（</w:t>
      </w:r>
      <w:bookmarkEnd w:id="158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85"/>
      <w:bookmarkEnd w:id="1586"/>
      <w:bookmarkEnd w:id="158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上期发生额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71,600,274.85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71,600,274.85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bidi w:val="0"/>
        <w:spacing w:before="0" w:after="300" w:line="240" w:lineRule="auto"/>
        <w:ind w:left="0" w:right="0" w:firstLine="0"/>
        <w:jc w:val="left"/>
      </w:pPr>
      <w:bookmarkStart w:id="1589" w:name="bookmark1589"/>
      <w:bookmarkStart w:id="1590" w:name="bookmark1590"/>
      <w:bookmarkStart w:id="1591" w:name="bookmark1591"/>
      <w:bookmarkStart w:id="1592" w:name="bookmark1592"/>
      <w:r>
        <w:rPr>
          <w:color w:val="000000"/>
          <w:spacing w:val="0"/>
          <w:w w:val="100"/>
          <w:position w:val="0"/>
        </w:rPr>
        <w:t>（</w:t>
      </w:r>
      <w:bookmarkEnd w:id="159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89"/>
      <w:bookmarkEnd w:id="1590"/>
      <w:bookmarkEnd w:id="159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股指期权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263,140.00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收益互换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23,999,650.00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收资管计划投资款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28,206,546.72</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52,469,336.72</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93"/>
      <w:bookmarkEnd w:id="1594"/>
      <w:bookmarkEnd w:id="159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支付与租赁有关的现金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89,411,260.28</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89,411,260.28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6</w:t>
      </w:r>
      <w:bookmarkEnd w:id="1599"/>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597"/>
      <w:bookmarkEnd w:id="1598"/>
      <w:bookmarkEnd w:id="1600"/>
    </w:p>
    <w:p>
      <w:pPr>
        <w:pStyle w:val="Style32"/>
        <w:keepNext/>
        <w:keepLines/>
        <w:widowControl w:val="0"/>
        <w:shd w:val="clear" w:color="auto" w:fill="auto"/>
        <w:bidi w:val="0"/>
        <w:spacing w:before="0" w:after="300" w:line="240" w:lineRule="auto"/>
        <w:ind w:left="0" w:right="0" w:firstLine="0"/>
        <w:jc w:val="left"/>
      </w:pPr>
      <w:bookmarkStart w:id="1597" w:name="bookmark1597"/>
      <w:bookmarkStart w:id="1598" w:name="bookmark1598"/>
      <w:bookmarkStart w:id="1601" w:name="bookmark16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97"/>
      <w:bookmarkEnd w:id="1598"/>
      <w:bookmarkEnd w:id="1601"/>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22"/>
        <w:gridCol w:w="2582"/>
        <w:gridCol w:w="2573"/>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8,552,927,696.06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4,778,104,850.74</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力加资产减值准备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33,204,797.40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信用减值损失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28,629,154.28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54,226,604.75</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5" w:lineRule="exact"/>
              <w:ind w:left="0" w:right="0" w:firstLine="760"/>
              <w:jc w:val="both"/>
            </w:pPr>
            <w:r>
              <w:rPr>
                <w:rFonts w:ascii="SimSun" w:eastAsia="SimSun" w:hAnsi="SimSun" w:cs="SimSun"/>
                <w:color w:val="000000"/>
                <w:spacing w:val="0"/>
                <w:w w:val="100"/>
                <w:position w:val="0"/>
              </w:rPr>
              <w:t>固定资产折旧、油气资产折耗、生产性生物资 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221,898,241.78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210,474,446.63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使用权资产折旧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72,277,153.13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32,343,458.43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30,728,398.08</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25,048,953.94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29,093,754.92</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6" w:lineRule="exact"/>
              <w:ind w:left="0" w:right="0" w:firstLine="760"/>
              <w:jc w:val="both"/>
            </w:pPr>
            <w:r>
              <w:rPr>
                <w:rFonts w:ascii="SimSun" w:eastAsia="SimSun" w:hAnsi="SimSun" w:cs="SimSun"/>
                <w:color w:val="000000"/>
                <w:spacing w:val="0"/>
                <w:w w:val="100"/>
                <w:position w:val="0"/>
              </w:rPr>
              <w:t>处置固定资产、无形资产和其他长期资产的损 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214,954.06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-1,993.66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股份支付费用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48,139,540.00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固定资产报废损失（收益以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公允价值变动损失（收益以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-274,589,396.58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709,728.54</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869,156,262.44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525,687,125.06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-22,297,972.79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-18,421,683.26</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59,759,819.10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-10,100,953.33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递延所得税负债增加（减少以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-25,717,572.57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4,945,064.98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-40,128,936,793.63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-28,725,589,666.17</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rPr>
              <w:t>经营性应付项目的增加（减少以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39,515,405,684.10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27,616,106,989.28</w:t>
            </w:r>
          </w:p>
        </w:tc>
      </w:tr>
    </w:tbl>
    <w:p>
      <w:pPr>
        <w:spacing w:lineRule="exact" w:line="1"/>
        <w:rPr>
          <w:sz w:val="2"/>
          <w:szCs w:val="2"/>
        </w:rPr>
      </w:pPr>
      <w:r>
        <w:br w:type="page"/>
      </w:r>
    </w:p>
    <w:tbl>
      <w:tblPr>
        <w:tblOverlap w:val="never"/>
        <w:jc w:val="center"/>
        <w:tblLayout w:type="fixed"/>
      </w:tblPr>
      <w:tblGrid>
        <w:gridCol w:w="4522"/>
        <w:gridCol w:w="2582"/>
        <w:gridCol w:w="2573"/>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-140,822.50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8,974,259,181.75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4,529,026,641.46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69,849,643,107.70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48,031,027,413.67</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48,031,027,413.67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28,359,134,372.58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力加现金等价物的期末余额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21,818,615,694.03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19,671,893,041.09</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602" w:name="bookmark1602"/>
      <w:bookmarkStart w:id="1603" w:name="bookmark1603"/>
      <w:bookmarkStart w:id="1604" w:name="bookmark16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602"/>
      <w:bookmarkEnd w:id="1603"/>
      <w:bookmarkEnd w:id="160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7"/>
        <w:gridCol w:w="3269"/>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color w:val="000000"/>
                <w:spacing w:val="0"/>
                <w:w w:val="100"/>
                <w:position w:val="0"/>
              </w:rPr>
              <w:t>69,849,643,107.70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48,031,027,413.67</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118,831.67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174,400.35</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59,256,235,409.88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41,364,720,000.72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122,792,784.51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13,887,190.24</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可随时用于支付的结算备付金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10,470,496,081.64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6,652,245,822.36</w:t>
            </w: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color w:val="000000"/>
                <w:spacing w:val="0"/>
                <w:w w:val="100"/>
                <w:position w:val="0"/>
              </w:rPr>
              <w:t>69,849,643,107.70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48,031,027,413.67</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注：现金及现金等价物不包含母公司和集团内子公司使用受限制的现金和现金等价物,</w:t>
      </w:r>
    </w:p>
    <w:p>
      <w:pPr>
        <w:widowControl w:val="0"/>
        <w:spacing w:after="379" w:line="1" w:lineRule="exact"/>
      </w:pPr>
    </w:p>
    <w:p>
      <w:pPr>
        <w:pStyle w:val="Style32"/>
        <w:keepNext/>
        <w:keepLines/>
        <w:widowControl w:val="0"/>
        <w:shd w:val="clear" w:color="auto" w:fill="auto"/>
        <w:bidi w:val="0"/>
        <w:spacing w:before="0" w:after="30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6</w:t>
      </w:r>
      <w:bookmarkEnd w:id="1607"/>
      <w:r>
        <w:rPr>
          <w:rFonts w:ascii="Times New Roman" w:eastAsia="Times New Roman" w:hAnsi="Times New Roman" w:cs="Times New Roman"/>
          <w:color w:val="000000"/>
          <w:spacing w:val="0"/>
          <w:w w:val="100"/>
          <w:position w:val="0"/>
        </w:rPr>
        <w:t>8</w:t>
      </w:r>
      <w:r>
        <w:rPr>
          <w:color w:val="000000"/>
          <w:spacing w:val="0"/>
          <w:w w:val="100"/>
          <w:position w:val="0"/>
        </w:rPr>
        <w:t>、所有权或使用权受到限制的资产</w:t>
      </w:r>
      <w:bookmarkEnd w:id="1605"/>
      <w:bookmarkEnd w:id="1606"/>
      <w:bookmarkEnd w:id="160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7"/>
        <w:gridCol w:w="3197"/>
      </w:tblGrid>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158,480,874.54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3,807,871.06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公募基金业务一般风险准备金</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112,560,425.46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以自有资产抵押向银行申请授信及贷款</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19,368,079,483.90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卖出回购交易质押</w:t>
            </w:r>
            <w:r>
              <w:rPr>
                <w:color w:val="000000"/>
                <w:spacing w:val="0"/>
                <w:w w:val="100"/>
                <w:position w:val="0"/>
              </w:rPr>
              <w:t>/</w:t>
            </w:r>
            <w:r>
              <w:rPr>
                <w:rFonts w:ascii="SimSun" w:eastAsia="SimSun" w:hAnsi="SimSun" w:cs="SimSun"/>
                <w:color w:val="000000"/>
                <w:spacing w:val="0"/>
                <w:w w:val="100"/>
                <w:position w:val="0"/>
              </w:rPr>
              <w:t>转让、债券借贷</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726,681,578.72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融券业务融出证券</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11,442,825,200.91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卖出回购交易质押、债券借贷</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31,812,435,434.59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6</w:t>
      </w:r>
      <w:bookmarkEnd w:id="1611"/>
      <w:r>
        <w:rPr>
          <w:rFonts w:ascii="Times New Roman" w:eastAsia="Times New Roman" w:hAnsi="Times New Roman" w:cs="Times New Roman"/>
          <w:color w:val="000000"/>
          <w:spacing w:val="0"/>
          <w:w w:val="100"/>
          <w:position w:val="0"/>
        </w:rPr>
        <w:t>9</w:t>
      </w:r>
      <w:r>
        <w:rPr>
          <w:color w:val="000000"/>
          <w:spacing w:val="0"/>
          <w:w w:val="100"/>
          <w:position w:val="0"/>
        </w:rPr>
        <w:t>、外币货币性项目</w:t>
      </w:r>
      <w:bookmarkEnd w:id="1609"/>
      <w:bookmarkEnd w:id="1610"/>
      <w:bookmarkEnd w:id="1612"/>
    </w:p>
    <w:p>
      <w:pPr>
        <w:pStyle w:val="Style32"/>
        <w:keepNext/>
        <w:keepLines/>
        <w:widowControl w:val="0"/>
        <w:shd w:val="clear" w:color="auto" w:fill="auto"/>
        <w:bidi w:val="0"/>
        <w:spacing w:before="0" w:after="300" w:line="240" w:lineRule="auto"/>
        <w:ind w:left="0" w:right="0" w:firstLine="0"/>
        <w:jc w:val="left"/>
      </w:pPr>
      <w:bookmarkStart w:id="1609" w:name="bookmark1609"/>
      <w:bookmarkStart w:id="1610" w:name="bookmark1610"/>
      <w:bookmarkStart w:id="1613" w:name="bookmark16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09"/>
      <w:bookmarkEnd w:id="1610"/>
      <w:bookmarkEnd w:id="1613"/>
    </w:p>
    <w:p>
      <w:pPr>
        <w:pStyle w:val="Style24"/>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15"/>
        <w:gridCol w:w="2294"/>
        <w:gridCol w:w="2395"/>
        <w:gridCol w:w="2400"/>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60" w:firstLine="0"/>
              <w:jc w:val="right"/>
            </w:pPr>
            <w:r>
              <w:rPr>
                <w:rFonts w:ascii="SimSun" w:eastAsia="SimSun" w:hAnsi="SimSun" w:cs="SimSun"/>
                <w:color w:val="000000"/>
                <w:spacing w:val="0"/>
                <w:w w:val="100"/>
                <w:position w:val="0"/>
              </w:rPr>
              <w:t>期末折算人民币余额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3,362,785,835.61</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285,340,563.79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1,819,245,832.63</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389.86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1,887,890,916.26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1,543,539,613.12</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94,896,060.80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13,993,829.80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89,220,460.64</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6,941,781.02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5,675,600.16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融出资金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1,194,117,100.75</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42,147,122.49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268,717,408.84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1,131,848,938.24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925,399,691.91</w:t>
            </w: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1,424,323.05</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19,904.93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1,717,732.51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1,404,418.12</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存出保证金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20,385,610.17</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1,275,140.00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23,373,862.72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19,110,470.17</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1,317,706,884.11</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color w:val="000000"/>
                <w:spacing w:val="0"/>
                <w:w w:val="100"/>
                <w:position w:val="0"/>
              </w:rPr>
              <w:t>78,372,940.63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499,682,357.53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1,000,518,758.19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818,024,136.72</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389.86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45,638,113.61</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1,836,498.80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11,708,965.40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41,284,963.20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33,754,585.91</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新加坡元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4.7179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174,562.30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286,198,111.52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350,046,613.89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286,198,111.52</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1,903,805,593.14</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298,603,383.65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both"/>
            </w:pPr>
            <w:r>
              <w:rPr>
                <w:color w:val="000000"/>
                <w:spacing w:val="0"/>
                <w:w w:val="100"/>
                <w:position w:val="0"/>
              </w:rPr>
              <w:t>6.3757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1,903,805,593.14</w:t>
            </w:r>
          </w:p>
        </w:tc>
      </w:tr>
    </w:tbl>
    <w:p>
      <w:pPr>
        <w:widowControl w:val="0"/>
        <w:spacing w:after="259" w:line="1" w:lineRule="exact"/>
      </w:pPr>
    </w:p>
    <w:p>
      <w:pPr>
        <w:pStyle w:val="Style32"/>
        <w:keepNext/>
        <w:keepLines/>
        <w:widowControl w:val="0"/>
        <w:shd w:val="clear" w:color="auto" w:fill="auto"/>
        <w:bidi w:val="0"/>
        <w:spacing w:before="0" w:after="300" w:line="283" w:lineRule="exact"/>
        <w:ind w:left="0" w:right="0" w:firstLine="0"/>
        <w:jc w:val="both"/>
      </w:pPr>
      <w:bookmarkStart w:id="1614" w:name="bookmark1614"/>
      <w:bookmarkStart w:id="1615" w:name="bookmark1615"/>
      <w:bookmarkStart w:id="1616" w:name="bookmark16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14"/>
      <w:bookmarkEnd w:id="1615"/>
      <w:bookmarkEnd w:id="1616"/>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1"/>
        <w:keepNext w:val="0"/>
        <w:keepLines w:val="0"/>
        <w:widowControl w:val="0"/>
        <w:shd w:val="clear" w:color="auto" w:fill="auto"/>
        <w:bidi w:val="0"/>
        <w:spacing w:before="0" w:after="260" w:line="270" w:lineRule="exact"/>
        <w:ind w:left="0" w:right="0" w:firstLine="0"/>
        <w:jc w:val="both"/>
      </w:pPr>
      <w:r>
        <w:rPr>
          <w:color w:val="000000"/>
          <w:spacing w:val="0"/>
          <w:w w:val="100"/>
          <w:position w:val="0"/>
        </w:rPr>
        <w:t>本公司境外经营实体主要为东方财富（香港）有限公司、哈富证券有限公司、东方财富金融有限公司、哈 富期货有限公司、东方财富国际证券有限公司、东方财富国际期货有限公司、哈富网络科技有限公司及哈 富有限公司，一其经营地在香港，记账本位币为港币；东方财富证券（美国）有限公司经营地在美国，记账 本位币为美元；</w:t>
      </w:r>
      <w:r>
        <w:rPr>
          <w:rFonts w:ascii="Times New Roman" w:eastAsia="Times New Roman" w:hAnsi="Times New Roman" w:cs="Times New Roman"/>
          <w:color w:val="000000"/>
          <w:spacing w:val="0"/>
          <w:w w:val="100"/>
          <w:position w:val="0"/>
        </w:rPr>
        <w:t>Eastmoney Sea Holdings PTE. LTD.</w:t>
      </w:r>
      <w:r>
        <w:rPr>
          <w:color w:val="000000"/>
          <w:spacing w:val="0"/>
          <w:w w:val="100"/>
          <w:position w:val="0"/>
        </w:rPr>
        <w:t>和</w:t>
      </w:r>
      <w:r>
        <w:rPr>
          <w:rFonts w:ascii="Times New Roman" w:eastAsia="Times New Roman" w:hAnsi="Times New Roman" w:cs="Times New Roman"/>
          <w:color w:val="000000"/>
          <w:spacing w:val="0"/>
          <w:w w:val="100"/>
          <w:position w:val="0"/>
        </w:rPr>
        <w:t>HafOo Securities （Singapore） PTE. LTD,</w:t>
      </w:r>
      <w:r>
        <w:rPr>
          <w:color w:val="000000"/>
          <w:spacing w:val="0"/>
          <w:w w:val="100"/>
          <w:position w:val="0"/>
        </w:rPr>
        <w:t>经营地在新加 坡，记账本位币为新加坡元。</w:t>
      </w:r>
    </w:p>
    <w:p>
      <w:pPr>
        <w:pStyle w:val="Style32"/>
        <w:keepNext/>
        <w:keepLines/>
        <w:widowControl w:val="0"/>
        <w:shd w:val="clear" w:color="auto" w:fill="auto"/>
        <w:bidi w:val="0"/>
        <w:spacing w:before="0" w:after="34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7</w:t>
      </w:r>
      <w:bookmarkEnd w:id="1619"/>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617"/>
      <w:bookmarkEnd w:id="1618"/>
      <w:bookmarkEnd w:id="1620"/>
    </w:p>
    <w:p>
      <w:pPr>
        <w:pStyle w:val="Style32"/>
        <w:keepNext/>
        <w:keepLines/>
        <w:widowControl w:val="0"/>
        <w:shd w:val="clear" w:color="auto" w:fill="auto"/>
        <w:bidi w:val="0"/>
        <w:spacing w:before="0" w:after="300" w:line="240" w:lineRule="auto"/>
        <w:ind w:left="0" w:right="0" w:firstLine="0"/>
        <w:jc w:val="left"/>
      </w:pPr>
      <w:bookmarkStart w:id="1617" w:name="bookmark1617"/>
      <w:bookmarkStart w:id="1618" w:name="bookmark1618"/>
      <w:bookmarkStart w:id="1621" w:name="bookmark16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17"/>
      <w:bookmarkEnd w:id="1618"/>
      <w:bookmarkEnd w:id="1621"/>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10"/>
        <w:gridCol w:w="2395"/>
        <w:gridCol w:w="2400"/>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列报项目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计入当期损益的金额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与资产相关的政府补助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与收益相关的政府补助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121,607,011.01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121,607,011.01</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622" w:name="bookmark1622"/>
      <w:bookmarkStart w:id="1623" w:name="bookmark1623"/>
      <w:bookmarkStart w:id="1624" w:name="bookmark16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22"/>
      <w:bookmarkEnd w:id="1623"/>
      <w:bookmarkEnd w:id="1624"/>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22"/>
        <w:keepNext/>
        <w:keepLines/>
        <w:widowControl w:val="0"/>
        <w:shd w:val="clear" w:color="auto" w:fill="auto"/>
        <w:tabs>
          <w:tab w:pos="541" w:val="left"/>
        </w:tabs>
        <w:bidi w:val="0"/>
        <w:spacing w:before="0" w:after="300" w:line="240" w:lineRule="auto"/>
        <w:ind w:left="0" w:right="0" w:firstLine="0"/>
        <w:jc w:val="left"/>
      </w:pPr>
      <w:bookmarkStart w:id="1625" w:name="bookmark1625"/>
      <w:bookmarkStart w:id="1626" w:name="bookmark1626"/>
      <w:bookmarkStart w:id="1627" w:name="bookmark1627"/>
      <w:bookmarkStart w:id="1628" w:name="bookmark1628"/>
      <w:r>
        <w:rPr>
          <w:color w:val="000000"/>
          <w:spacing w:val="0"/>
          <w:w w:val="100"/>
          <w:position w:val="0"/>
          <w:sz w:val="24"/>
          <w:szCs w:val="24"/>
        </w:rPr>
        <w:t>八</w:t>
      </w:r>
      <w:bookmarkEnd w:id="1627"/>
      <w:r>
        <w:rPr>
          <w:color w:val="000000"/>
          <w:spacing w:val="0"/>
          <w:w w:val="100"/>
          <w:position w:val="0"/>
          <w:sz w:val="24"/>
          <w:szCs w:val="24"/>
        </w:rPr>
        <w:t>、</w:t>
        <w:tab/>
        <w:t>合并范围的变更</w:t>
      </w:r>
      <w:bookmarkEnd w:id="1625"/>
      <w:bookmarkEnd w:id="1626"/>
      <w:bookmarkEnd w:id="1628"/>
    </w:p>
    <w:p>
      <w:pPr>
        <w:pStyle w:val="Style32"/>
        <w:keepNext/>
        <w:keepLines/>
        <w:widowControl w:val="0"/>
        <w:shd w:val="clear" w:color="auto" w:fill="auto"/>
        <w:bidi w:val="0"/>
        <w:spacing w:before="0" w:after="300" w:line="278" w:lineRule="exact"/>
        <w:ind w:left="0" w:right="0" w:firstLine="0"/>
        <w:jc w:val="left"/>
      </w:pPr>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629"/>
      <w:bookmarkEnd w:id="1630"/>
      <w:bookmarkEnd w:id="1631"/>
    </w:p>
    <w:p>
      <w:pPr>
        <w:pStyle w:val="Style41"/>
        <w:keepNext w:val="0"/>
        <w:keepLines w:val="0"/>
        <w:widowControl w:val="0"/>
        <w:shd w:val="clear" w:color="auto" w:fill="auto"/>
        <w:bidi w:val="0"/>
        <w:spacing w:before="0" w:after="340" w:line="278" w:lineRule="exact"/>
        <w:ind w:left="0" w:right="0" w:firstLine="0"/>
        <w:jc w:val="left"/>
      </w:pPr>
      <w:r>
        <w:rPr>
          <w:color w:val="000000"/>
          <w:spacing w:val="0"/>
          <w:w w:val="100"/>
          <w:position w:val="0"/>
        </w:rPr>
        <w:t>本年合并范围内新增</w:t>
      </w:r>
      <w:r>
        <w:rPr>
          <w:rFonts w:ascii="Times New Roman" w:eastAsia="Times New Roman" w:hAnsi="Times New Roman" w:cs="Times New Roman"/>
          <w:color w:val="000000"/>
          <w:spacing w:val="0"/>
          <w:w w:val="100"/>
          <w:position w:val="0"/>
        </w:rPr>
        <w:t>9</w:t>
      </w:r>
      <w:r>
        <w:rPr>
          <w:color w:val="000000"/>
          <w:spacing w:val="0"/>
          <w:w w:val="100"/>
          <w:position w:val="0"/>
        </w:rPr>
        <w:t>家全资子公司，为上海哈富网络科技有限公司、扬州东方财富数据服务有限公司、 成都东方财富信息技术有限公司、东方财富国际证券有限公司、东方财富国际期货有限公司、哈富网络科 技有限公司、哈富有限公司、</w:t>
      </w:r>
      <w:r>
        <w:rPr>
          <w:rFonts w:ascii="Times New Roman" w:eastAsia="Times New Roman" w:hAnsi="Times New Roman" w:cs="Times New Roman"/>
          <w:color w:val="000000"/>
          <w:spacing w:val="0"/>
          <w:w w:val="100"/>
          <w:position w:val="0"/>
        </w:rPr>
        <w:t>Eastmoney Sea Holdings PTE. LTD.</w:t>
      </w:r>
      <w:r>
        <w:rPr>
          <w:color w:val="000000"/>
          <w:spacing w:val="0"/>
          <w:w w:val="100"/>
          <w:position w:val="0"/>
        </w:rPr>
        <w:t xml:space="preserve">和 </w:t>
      </w:r>
      <w:r>
        <w:rPr>
          <w:rFonts w:ascii="Times New Roman" w:eastAsia="Times New Roman" w:hAnsi="Times New Roman" w:cs="Times New Roman"/>
          <w:color w:val="000000"/>
          <w:spacing w:val="0"/>
          <w:w w:val="100"/>
          <w:position w:val="0"/>
        </w:rPr>
        <w:t>Hafoo Securities （Singapore） PTE. LTD.</w:t>
      </w:r>
      <w:r>
        <w:rPr>
          <w:color w:val="000000"/>
          <w:spacing w:val="0"/>
          <w:w w:val="100"/>
          <w:position w:val="0"/>
        </w:rPr>
        <w:t xml:space="preserve">。 </w:t>
      </w:r>
      <w:r>
        <w:rPr>
          <w:color w:val="000000"/>
          <w:spacing w:val="0"/>
          <w:w w:val="100"/>
          <w:position w:val="0"/>
        </w:rPr>
        <w:t>本公司拥有若干纳入合并范围的结构化主体，对于本公司作为管理人或投资该等结构化主体，本公司会根 据重大会计判断评估控制权。本公司纳入合并范围的结构化主体主要为本公司作为管理人或投资顾问并投 资的结构化主体。本公司参与该等结构化主体的相关活动享有的可变回报影响重大，并且有能力运用对该 等结构化主体的权力影响其回报金额。本年合并范围内新增</w:t>
      </w:r>
      <w:r>
        <w:rPr>
          <w:rFonts w:ascii="Times New Roman" w:eastAsia="Times New Roman" w:hAnsi="Times New Roman" w:cs="Times New Roman"/>
          <w:color w:val="000000"/>
          <w:spacing w:val="0"/>
          <w:w w:val="100"/>
          <w:position w:val="0"/>
        </w:rPr>
        <w:t>24</w:t>
      </w:r>
      <w:r>
        <w:rPr>
          <w:color w:val="000000"/>
          <w:spacing w:val="0"/>
          <w:w w:val="100"/>
          <w:position w:val="0"/>
        </w:rPr>
        <w:t>家结构化主体，减少</w:t>
      </w:r>
      <w:r>
        <w:rPr>
          <w:rFonts w:ascii="Times New Roman" w:eastAsia="Times New Roman" w:hAnsi="Times New Roman" w:cs="Times New Roman"/>
          <w:color w:val="000000"/>
          <w:spacing w:val="0"/>
          <w:w w:val="100"/>
          <w:position w:val="0"/>
        </w:rPr>
        <w:t>2</w:t>
      </w:r>
      <w:r>
        <w:rPr>
          <w:color w:val="000000"/>
          <w:spacing w:val="0"/>
          <w:w w:val="100"/>
          <w:position w:val="0"/>
        </w:rPr>
        <w:t>家结构化主体。截 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日，共有</w:t>
      </w:r>
      <w:r>
        <w:rPr>
          <w:rFonts w:ascii="Times New Roman" w:eastAsia="Times New Roman" w:hAnsi="Times New Roman" w:cs="Times New Roman"/>
          <w:color w:val="000000"/>
          <w:spacing w:val="0"/>
          <w:w w:val="100"/>
          <w:position w:val="0"/>
        </w:rPr>
        <w:t>26</w:t>
      </w:r>
      <w:r>
        <w:rPr>
          <w:color w:val="000000"/>
          <w:spacing w:val="0"/>
          <w:w w:val="100"/>
          <w:position w:val="0"/>
        </w:rPr>
        <w:t>只产品因本公司享有的可变回报重大而纳入本公司财务报表的合并范围。</w:t>
      </w:r>
    </w:p>
    <w:p>
      <w:pPr>
        <w:pStyle w:val="Style22"/>
        <w:keepNext/>
        <w:keepLines/>
        <w:widowControl w:val="0"/>
        <w:shd w:val="clear" w:color="auto" w:fill="auto"/>
        <w:tabs>
          <w:tab w:pos="541" w:val="left"/>
        </w:tabs>
        <w:bidi w:val="0"/>
        <w:spacing w:before="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sz w:val="24"/>
          <w:szCs w:val="24"/>
        </w:rPr>
        <w:t>九</w:t>
      </w:r>
      <w:bookmarkEnd w:id="1634"/>
      <w:r>
        <w:rPr>
          <w:color w:val="000000"/>
          <w:spacing w:val="0"/>
          <w:w w:val="100"/>
          <w:position w:val="0"/>
          <w:sz w:val="24"/>
          <w:szCs w:val="24"/>
        </w:rPr>
        <w:t>、</w:t>
        <w:tab/>
        <w:t>在其他主体中的权益</w:t>
      </w:r>
      <w:bookmarkEnd w:id="1632"/>
      <w:bookmarkEnd w:id="1633"/>
      <w:bookmarkEnd w:id="1635"/>
    </w:p>
    <w:p>
      <w:pPr>
        <w:pStyle w:val="Style32"/>
        <w:keepNext/>
        <w:keepLines/>
        <w:widowControl w:val="0"/>
        <w:shd w:val="clear" w:color="auto" w:fill="auto"/>
        <w:bidi w:val="0"/>
        <w:spacing w:before="0" w:after="300" w:line="290" w:lineRule="auto"/>
        <w:ind w:left="0" w:right="0" w:firstLine="0"/>
        <w:jc w:val="left"/>
      </w:pPr>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36"/>
      <w:bookmarkEnd w:id="1637"/>
      <w:bookmarkEnd w:id="1638"/>
    </w:p>
    <w:p>
      <w:pPr>
        <w:pStyle w:val="Style32"/>
        <w:keepNext/>
        <w:keepLines/>
        <w:widowControl w:val="0"/>
        <w:shd w:val="clear" w:color="auto" w:fill="auto"/>
        <w:bidi w:val="0"/>
        <w:spacing w:before="0" w:after="300" w:line="240" w:lineRule="auto"/>
        <w:ind w:left="0" w:right="0" w:firstLine="0"/>
        <w:jc w:val="left"/>
      </w:pPr>
      <w:bookmarkStart w:id="1636" w:name="bookmark1636"/>
      <w:bookmarkStart w:id="1637" w:name="bookmark1637"/>
      <w:bookmarkStart w:id="1639" w:name="bookmark16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36"/>
      <w:bookmarkEnd w:id="1637"/>
      <w:bookmarkEnd w:id="1639"/>
    </w:p>
    <w:tbl>
      <w:tblPr>
        <w:tblOverlap w:val="never"/>
        <w:jc w:val="center"/>
        <w:tblLayout w:type="fixed"/>
      </w:tblPr>
      <w:tblGrid>
        <w:gridCol w:w="2995"/>
        <w:gridCol w:w="821"/>
        <w:gridCol w:w="850"/>
        <w:gridCol w:w="2453"/>
        <w:gridCol w:w="706"/>
        <w:gridCol w:w="706"/>
        <w:gridCol w:w="1075"/>
      </w:tblGrid>
      <w:tr>
        <w:trPr>
          <w:trHeight w:val="33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1" w:lineRule="exact"/>
              <w:ind w:left="320" w:right="0" w:hanging="320"/>
              <w:jc w:val="left"/>
            </w:pPr>
            <w:r>
              <w:rPr>
                <w:rFonts w:ascii="SimSun" w:eastAsia="SimSun" w:hAnsi="SimSun" w:cs="SimSun"/>
                <w:color w:val="000000"/>
                <w:spacing w:val="0"/>
                <w:w w:val="100"/>
                <w:position w:val="0"/>
              </w:rPr>
              <w:t>主要经营 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取得方式</w:t>
            </w:r>
          </w:p>
        </w:tc>
      </w:tr>
      <w:tr>
        <w:trPr>
          <w:trHeight w:val="33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31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上海优优商务咨询有限公司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信息技术服务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5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上海东方财富证券投资咨询有限公司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证券投资咨询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下企业合并</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北京京东财信息科技有限公司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广州东财信息科技有限公司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上海天天基金销售有限公司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上海东方财富金融数据服务有限公司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上海东方财富置业有限公司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非居住房地产租赁，物业管理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上海东方财富网络科技有限公司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电子商务服务及各类商品拍卖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55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东方财富（香港）有限公司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互联网信息服务、互联网金融 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995"/>
        <w:gridCol w:w="821"/>
        <w:gridCol w:w="850"/>
        <w:gridCol w:w="2453"/>
        <w:gridCol w:w="706"/>
        <w:gridCol w:w="706"/>
        <w:gridCol w:w="1075"/>
      </w:tblGrid>
      <w:tr>
        <w:trPr>
          <w:trHeight w:val="32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上海优优财富投资管理有限公司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投资管理、资产管理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深圳东财金融数据服务有限公司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扬州东方财富金融信息服务有限公司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扬州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扬州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上海微兆信息科技有限公司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5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东方财富证券股份有限公司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拉萨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证券经纪、融资融券业务等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99.93%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下企业合并</w:t>
            </w:r>
          </w:p>
        </w:tc>
      </w:tr>
      <w:tr>
        <w:trPr>
          <w:trHeight w:val="54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上海东方财富期货有限公司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期货经纪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下企业合并</w:t>
            </w:r>
          </w:p>
        </w:tc>
      </w:tr>
      <w:tr>
        <w:trPr>
          <w:trHeight w:val="5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西藏东方财富投资管理有限公司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拉萨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下企业合并</w:t>
            </w:r>
          </w:p>
        </w:tc>
      </w:tr>
      <w:tr>
        <w:trPr>
          <w:trHeight w:val="5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哈富证券有限公司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证券经纪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下企业合并</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南京东方财富信息技术有限公司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上海哈富网络科技有限公司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成都东方财富信息技术有限公司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浪客网络科技有限公司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上海沪阅信息技术有限公司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54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西藏东财基金管理有限公司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拉萨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公开募集证券投资基金管理、 基金销售等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西藏东方财富创新资本有限公司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拉萨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另类投资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5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东财保险经纪有限公司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保险经纪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下企业合并</w:t>
            </w:r>
          </w:p>
        </w:tc>
      </w:tr>
      <w:tr>
        <w:trPr>
          <w:trHeight w:val="54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成都京合企业管理有限责任公司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房屋租赁、物业管理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非同一控制</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下企业合并</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扬州东方财富数据服务有限公司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扬州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扬州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东方财富征信有限公司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东方财富证券(美国)有限公司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美国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美国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哈富网络科技有限公司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哈富期货有限公司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东方财富金融有限公司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开曼群岛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东方财富国际证券有限公司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东方财富国际期货有限公司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Eastmoney Sea Holdings PTE.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新加坡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新加坡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50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33" w:lineRule="auto"/>
              <w:ind w:left="0" w:right="0" w:firstLine="0"/>
              <w:jc w:val="left"/>
            </w:pPr>
            <w:r>
              <w:rPr>
                <w:color w:val="000000"/>
                <w:spacing w:val="0"/>
                <w:w w:val="100"/>
                <w:position w:val="0"/>
              </w:rPr>
              <w:t>Hafoo Securities (Singapore) PTE. LTD.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新加坡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新加坡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r>
        <w:trPr>
          <w:trHeight w:val="57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哈富有限公司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英属维尔 京群岛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设立</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640"/>
      <w:bookmarkEnd w:id="1641"/>
      <w:bookmarkEnd w:id="1642"/>
    </w:p>
    <w:p>
      <w:pPr>
        <w:pStyle w:val="Style32"/>
        <w:keepNext/>
        <w:keepLines/>
        <w:widowControl w:val="0"/>
        <w:shd w:val="clear" w:color="auto" w:fill="auto"/>
        <w:bidi w:val="0"/>
        <w:spacing w:before="0" w:after="300" w:line="240" w:lineRule="auto"/>
        <w:ind w:left="0" w:right="0" w:firstLine="0"/>
        <w:jc w:val="left"/>
      </w:pPr>
      <w:bookmarkStart w:id="1640" w:name="bookmark1640"/>
      <w:bookmarkStart w:id="1641" w:name="bookmark1641"/>
      <w:bookmarkStart w:id="1643" w:name="bookmark16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40"/>
      <w:bookmarkEnd w:id="1641"/>
      <w:bookmarkEnd w:id="1643"/>
    </w:p>
    <w:tbl>
      <w:tblPr>
        <w:tblOverlap w:val="never"/>
        <w:jc w:val="center"/>
        <w:tblLayout w:type="fixed"/>
      </w:tblPr>
      <w:tblGrid>
        <w:gridCol w:w="1392"/>
        <w:gridCol w:w="1363"/>
        <w:gridCol w:w="1363"/>
        <w:gridCol w:w="1368"/>
        <w:gridCol w:w="1373"/>
        <w:gridCol w:w="1368"/>
        <w:gridCol w:w="1378"/>
      </w:tblGrid>
      <w:tr>
        <w:trPr>
          <w:trHeight w:val="34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合营企业或 联营企业名称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对合营企业或联</w:t>
            </w:r>
          </w:p>
        </w:tc>
      </w:tr>
      <w:tr>
        <w:trPr>
          <w:trHeight w:val="47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tcBorders>
              <w:top w:val="single" w:sz="4"/>
              <w:left w:val="single" w:sz="4"/>
              <w:bottom w:val="single" w:sz="4"/>
              <w:right w:val="single" w:sz="4"/>
            </w:tcBorders>
            <w:shd w:val="clear" w:color="auto" w:fill="D3D3D3"/>
            <w:vAlign w:val="top"/>
          </w:tcPr>
          <w:p>
            <w:pPr>
              <w:pStyle w:val="Style6"/>
              <w:keepNext w:val="0"/>
              <w:keepLines w:val="0"/>
              <w:widowControl w:val="0"/>
              <w:shd w:val="clear" w:color="auto" w:fill="auto"/>
              <w:bidi w:val="0"/>
              <w:spacing w:before="0" w:after="0" w:line="216" w:lineRule="exact"/>
              <w:ind w:left="0" w:right="0" w:firstLine="0"/>
              <w:jc w:val="center"/>
            </w:pPr>
            <w:r>
              <w:rPr>
                <w:rFonts w:ascii="SimSun" w:eastAsia="SimSun" w:hAnsi="SimSun" w:cs="SimSun"/>
                <w:color w:val="000000"/>
                <w:spacing w:val="0"/>
                <w:w w:val="100"/>
                <w:position w:val="0"/>
              </w:rPr>
              <w:t>营企业投资的会 计处理方法</w:t>
            </w:r>
          </w:p>
        </w:tc>
      </w:tr>
    </w:tbl>
    <w:p>
      <w:pPr>
        <w:spacing w:lineRule="exact" w:line="1"/>
        <w:rPr>
          <w:sz w:val="2"/>
          <w:szCs w:val="2"/>
        </w:rPr>
      </w:pPr>
      <w:r>
        <w:br w:type="page"/>
      </w:r>
    </w:p>
    <w:tbl>
      <w:tblPr>
        <w:tblOverlap w:val="never"/>
        <w:jc w:val="center"/>
        <w:tblLayout w:type="fixed"/>
      </w:tblPr>
      <w:tblGrid>
        <w:gridCol w:w="1392"/>
        <w:gridCol w:w="1358"/>
        <w:gridCol w:w="1368"/>
        <w:gridCol w:w="1368"/>
        <w:gridCol w:w="1373"/>
        <w:gridCol w:w="1368"/>
        <w:gridCol w:w="1378"/>
      </w:tblGrid>
      <w:tr>
        <w:trPr>
          <w:trHeight w:val="33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漫道数字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信用服务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权益法</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644" w:name="bookmark1644"/>
      <w:bookmarkStart w:id="1645" w:name="bookmark1645"/>
      <w:bookmarkStart w:id="1646" w:name="bookmark16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644"/>
      <w:bookmarkEnd w:id="1645"/>
      <w:bookmarkEnd w:id="1646"/>
    </w:p>
    <w:p>
      <w:pPr>
        <w:pStyle w:val="Style20"/>
        <w:keepNext w:val="0"/>
        <w:keepLines w:val="0"/>
        <w:widowControl w:val="0"/>
        <w:shd w:val="clear" w:color="auto" w:fill="auto"/>
        <w:tabs>
          <w:tab w:pos="8923" w:val="left"/>
        </w:tabs>
        <w:bidi w:val="0"/>
        <w:spacing w:before="0" w:after="0" w:line="240" w:lineRule="auto"/>
        <w:ind w:left="0" w:right="0" w:firstLine="0"/>
        <w:jc w:val="left"/>
      </w:pPr>
      <w:r>
        <w:rPr>
          <w:color w:val="000000"/>
          <w:spacing w:val="0"/>
          <w:w w:val="100"/>
          <w:position w:val="0"/>
        </w:rPr>
        <w:t>企业名称：上海漫道数字信息技术股份有限公司</w:t>
        <w:tab/>
        <w:t>单位：元</w:t>
      </w:r>
    </w:p>
    <w:tbl>
      <w:tblPr>
        <w:tblOverlap w:val="never"/>
        <w:jc w:val="center"/>
        <w:tblLayout w:type="fixed"/>
      </w:tblPr>
      <w:tblGrid>
        <w:gridCol w:w="3211"/>
        <w:gridCol w:w="3178"/>
        <w:gridCol w:w="3216"/>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3,761,696,852.09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2,788,180,640.73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132,492,061.75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147,513,141.75</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3,894,188,913.84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2,935,693,782.48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3,049,220,683.56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1,839,433,119.30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21,915.39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974,000.00</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3,049,242,598.95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1,840,407,119.30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844,946,314.89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1,095,286,663.18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228,135,505.02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295,727,399.06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调整事项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110,128,501.91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110,128,501.91</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110,128,501.91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110,128,501.91</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338,264,006.93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405,855,900.97</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771,866,364.29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569,096,647.17</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20,525,549.78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13,727,413.77</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20,525,549.78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13,727,413.77</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本年度收到的来自联营企业的股利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647" w:name="bookmark1647"/>
      <w:bookmarkStart w:id="1648" w:name="bookmark1648"/>
      <w:bookmarkStart w:id="1649" w:name="bookmark1649"/>
      <w:bookmarkStart w:id="1650" w:name="bookmark1650"/>
      <w:r>
        <w:rPr>
          <w:color w:val="000000"/>
          <w:spacing w:val="0"/>
          <w:w w:val="100"/>
          <w:position w:val="0"/>
        </w:rPr>
        <w:t>（</w:t>
      </w:r>
      <w:bookmarkEnd w:id="1649"/>
      <w:r>
        <w:rPr>
          <w:rFonts w:ascii="Times New Roman" w:eastAsia="Times New Roman" w:hAnsi="Times New Roman" w:cs="Times New Roman"/>
          <w:color w:val="000000"/>
          <w:spacing w:val="0"/>
          <w:w w:val="100"/>
          <w:position w:val="0"/>
        </w:rPr>
        <w:t>3</w:t>
      </w:r>
      <w:r>
        <w:rPr>
          <w:color w:val="000000"/>
          <w:spacing w:val="0"/>
          <w:w w:val="100"/>
          <w:position w:val="0"/>
        </w:rPr>
        <w:t>）不重要的合营企业和联营企业的汇总财务信息</w:t>
      </w:r>
      <w:bookmarkEnd w:id="1647"/>
      <w:bookmarkEnd w:id="1648"/>
      <w:bookmarkEnd w:id="1650"/>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企业名称：中证信用云（科技）股份有限公司</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7"/>
        <w:gridCol w:w="3269"/>
      </w:tblGrid>
      <w:tr>
        <w:trPr>
          <w:trHeight w:val="34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42,699,164.05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45,666,841.87</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w:t>
            </w: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4,032,322.18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6,556,940.73</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4,032,322.18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6,556,940.73</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3</w:t>
      </w:r>
      <w:bookmarkEnd w:id="1653"/>
      <w:r>
        <w:rPr>
          <w:color w:val="000000"/>
          <w:spacing w:val="0"/>
          <w:w w:val="100"/>
          <w:position w:val="0"/>
        </w:rPr>
        <w:t>、在未纳入合并财务报表范围的结构化主体中的权益</w:t>
      </w:r>
      <w:bookmarkEnd w:id="1651"/>
      <w:bookmarkEnd w:id="1652"/>
      <w:bookmarkEnd w:id="1654"/>
    </w:p>
    <w:p>
      <w:pPr>
        <w:pStyle w:val="Style41"/>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日，本公司未纳入合并财务报表范围的结构化主体主要为本公司 管理的证券投资基金、私募投资基金及资产管理计划。这些证券投资基金、私募投资基金及资产管理计划 根据合同约定投资于各类许可的金融产品。</w:t>
      </w:r>
    </w:p>
    <w:p>
      <w:pPr>
        <w:pStyle w:val="Style41"/>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日，本公司在上述证券投资基金、私募投资基金及资产管理计划中的投资之账面价 值共计约人民币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45,487,550.09</w:t>
      </w:r>
      <w:r>
        <w:rPr>
          <w:color w:val="000000"/>
          <w:spacing w:val="0"/>
          <w:w w:val="100"/>
          <w:position w:val="0"/>
        </w:rPr>
        <w:t>元，全部分类为交易性金融资产。上述证券投资基金、私募投资基金及资产 管理计划投资的最大损失敞口与其账面价值相近。</w:t>
      </w:r>
    </w:p>
    <w:p>
      <w:pPr>
        <w:pStyle w:val="Style41"/>
        <w:keepNext w:val="0"/>
        <w:keepLines w:val="0"/>
        <w:widowControl w:val="0"/>
        <w:shd w:val="clear" w:color="auto" w:fill="auto"/>
        <w:bidi w:val="0"/>
        <w:spacing w:before="0" w:after="300" w:line="274" w:lineRule="exact"/>
        <w:ind w:left="0" w:right="0" w:firstLine="420"/>
        <w:jc w:val="both"/>
      </w:pPr>
      <w:r>
        <w:rPr>
          <w:color w:val="000000"/>
          <w:spacing w:val="0"/>
          <w:w w:val="100"/>
          <w:position w:val="0"/>
        </w:rPr>
        <w:t>本年度本公司从由本公司发起设立但未纳入合并财务报表范围的、且资产负债表日在该结构化主体中 没有权益的证券投资基金、私募投资基金及资产管理计划中获取的管理费收入为人民币</w:t>
      </w:r>
      <w:r>
        <w:rPr>
          <w:rFonts w:ascii="Times New Roman" w:eastAsia="Times New Roman" w:hAnsi="Times New Roman" w:cs="Times New Roman"/>
          <w:color w:val="000000"/>
          <w:spacing w:val="0"/>
          <w:w w:val="100"/>
          <w:position w:val="0"/>
        </w:rPr>
        <w:t>9,842,173.11</w:t>
      </w:r>
      <w:r>
        <w:rPr>
          <w:color w:val="000000"/>
          <w:spacing w:val="0"/>
          <w:w w:val="100"/>
          <w:position w:val="0"/>
        </w:rPr>
        <w:t>元。</w:t>
      </w:r>
      <w:r>
        <w:br w:type="page"/>
      </w:r>
    </w:p>
    <w:p>
      <w:pPr>
        <w:pStyle w:val="Style22"/>
        <w:keepNext/>
        <w:keepLines/>
        <w:widowControl w:val="0"/>
        <w:shd w:val="clear" w:color="auto" w:fill="auto"/>
        <w:bidi w:val="0"/>
        <w:spacing w:before="0" w:after="300" w:line="240" w:lineRule="auto"/>
        <w:ind w:left="0" w:right="0" w:firstLine="0"/>
        <w:jc w:val="left"/>
      </w:pPr>
      <w:bookmarkStart w:id="1655" w:name="bookmark1655"/>
      <w:bookmarkStart w:id="1656" w:name="bookmark1656"/>
      <w:bookmarkStart w:id="1657" w:name="bookmark1657"/>
      <w:r>
        <w:rPr>
          <w:color w:val="000000"/>
          <w:spacing w:val="0"/>
          <w:w w:val="100"/>
          <w:position w:val="0"/>
          <w:sz w:val="24"/>
          <w:szCs w:val="24"/>
        </w:rPr>
        <w:t>十、与金融工具相关的风险</w:t>
      </w:r>
      <w:bookmarkEnd w:id="1655"/>
      <w:bookmarkEnd w:id="1656"/>
      <w:bookmarkEnd w:id="1657"/>
    </w:p>
    <w:p>
      <w:pPr>
        <w:pStyle w:val="Style32"/>
        <w:keepNext/>
        <w:keepLines/>
        <w:widowControl w:val="0"/>
        <w:numPr>
          <w:ilvl w:val="0"/>
          <w:numId w:val="33"/>
        </w:numPr>
        <w:shd w:val="clear" w:color="auto" w:fill="auto"/>
        <w:bidi w:val="0"/>
        <w:spacing w:before="0" w:after="140" w:line="240" w:lineRule="auto"/>
        <w:ind w:left="0" w:right="0" w:firstLine="0"/>
        <w:jc w:val="left"/>
      </w:pPr>
      <w:bookmarkStart w:id="1658" w:name="bookmark1658"/>
      <w:bookmarkStart w:id="1659" w:name="bookmark1659"/>
      <w:bookmarkStart w:id="1660" w:name="bookmark1660"/>
      <w:bookmarkStart w:id="1661" w:name="bookmark1661"/>
      <w:bookmarkEnd w:id="1660"/>
      <w:r>
        <w:rPr>
          <w:color w:val="000000"/>
          <w:spacing w:val="0"/>
          <w:w w:val="100"/>
          <w:position w:val="0"/>
        </w:rPr>
        <w:t>金融工具分类</w:t>
      </w:r>
      <w:bookmarkEnd w:id="1658"/>
      <w:bookmarkEnd w:id="1659"/>
      <w:bookmarkEnd w:id="1661"/>
    </w:p>
    <w:p>
      <w:pPr>
        <w:pStyle w:val="Style4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资产负债表日的各类金融工具的账面价值如下:</w:t>
      </w:r>
    </w:p>
    <w:tbl>
      <w:tblPr>
        <w:tblOverlap w:val="never"/>
        <w:jc w:val="center"/>
        <w:tblLayout w:type="fixed"/>
      </w:tblPr>
      <w:tblGrid>
        <w:gridCol w:w="2270"/>
        <w:gridCol w:w="1848"/>
        <w:gridCol w:w="1771"/>
        <w:gridCol w:w="1762"/>
        <w:gridCol w:w="2011"/>
      </w:tblGrid>
      <w:tr>
        <w:trPr>
          <w:trHeight w:val="80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以公允价值计量且其 变动计入当期损益的 金融资产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8" w:lineRule="exact"/>
              <w:ind w:left="0" w:right="0" w:firstLine="0"/>
              <w:jc w:val="center"/>
            </w:pPr>
            <w:r>
              <w:rPr>
                <w:rFonts w:ascii="SimSun" w:eastAsia="SimSun" w:hAnsi="SimSun" w:cs="SimSun"/>
                <w:color w:val="000000"/>
                <w:spacing w:val="0"/>
                <w:w w:val="100"/>
                <w:position w:val="0"/>
              </w:rPr>
              <w:t>以公允价值计量且 其变动计入其他综 合收益的金融资产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以摊余成本计量的 金融资产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合计</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59,610,593,783.57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59,610,593,783.57</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10,475,675,745.56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10,475,675,745.56</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融出资金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43,407,081,598.64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43,407,081,598.64</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33,570,836,530.79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33,570,836,530.79</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110,767,197.62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110,767,197.62</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1,819,259,030.82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1,819,259,030.82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8,338,749,508.38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8,338,749,508.38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存出保证金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3,142,236,877.04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3,142,236,877.04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3,477,819,258.48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3,477,819,258.48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14,030,143,691.09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14,030,143,691.09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327,377,741.46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20"/>
              <w:jc w:val="left"/>
            </w:pPr>
            <w:r>
              <w:rPr>
                <w:color w:val="000000"/>
                <w:spacing w:val="0"/>
                <w:w w:val="100"/>
                <w:position w:val="0"/>
              </w:rPr>
              <w:t>327,377,741.46</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34,008,981,469.87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14,030,143,691.09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130,271,415,802.49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178,310,540,963.45</w:t>
            </w:r>
          </w:p>
        </w:tc>
      </w:tr>
    </w:tbl>
    <w:p>
      <w:pPr>
        <w:widowControl w:val="0"/>
        <w:spacing w:after="219" w:line="1" w:lineRule="exact"/>
      </w:pPr>
    </w:p>
    <w:tbl>
      <w:tblPr>
        <w:tblOverlap w:val="never"/>
        <w:jc w:val="center"/>
        <w:tblLayout w:type="fixed"/>
      </w:tblPr>
      <w:tblGrid>
        <w:gridCol w:w="2213"/>
        <w:gridCol w:w="1920"/>
        <w:gridCol w:w="1786"/>
        <w:gridCol w:w="1762"/>
        <w:gridCol w:w="1997"/>
      </w:tblGrid>
      <w:tr>
        <w:trPr>
          <w:trHeight w:val="614"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以公允价值计量且其变动计入当期损益的 金融负债</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以摊余成本计量的 金融负债</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合计</w:t>
            </w:r>
          </w:p>
        </w:tc>
      </w:tr>
      <w:tr>
        <w:trPr>
          <w:trHeight w:val="31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准则要求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指定</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2,809,602,383.88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2,809,602,383.88</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应付短期融资券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13,122,179,421.45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13,122,179,421.45</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1,206,662,888.89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1,206,662,888.89</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2,903,711,243.37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28,453,726.64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2,932,164,970.01</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57,665,679.69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57,665,679.69</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229,011,620.11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229,011,620.11</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26,707,665,609.89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26,707,665,609.89</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63,928,842,159.88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63,928,842,159.88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2,904,456,599.69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2,904,456,599.69</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83" w:lineRule="exact"/>
              <w:ind w:left="0" w:right="0" w:firstLine="32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5,964,411,189.48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5,964,411,189.48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1,842,482.56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1,842,482.56</w:t>
            </w: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19,710,301,844.62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19,710,301,844.62</w:t>
            </w:r>
          </w:p>
        </w:tc>
      </w:tr>
    </w:tbl>
    <w:p>
      <w:pPr>
        <w:spacing w:lineRule="exact" w:line="1"/>
        <w:rPr>
          <w:sz w:val="2"/>
          <w:szCs w:val="2"/>
        </w:rPr>
      </w:pPr>
      <w:r>
        <w:br w:type="page"/>
      </w:r>
    </w:p>
    <w:tbl>
      <w:tblPr>
        <w:tblOverlap w:val="never"/>
        <w:jc w:val="center"/>
        <w:tblLayout w:type="fixed"/>
      </w:tblPr>
      <w:tblGrid>
        <w:gridCol w:w="2213"/>
        <w:gridCol w:w="1920"/>
        <w:gridCol w:w="1786"/>
        <w:gridCol w:w="1762"/>
        <w:gridCol w:w="1997"/>
      </w:tblGrid>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2,961,376,923.06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28,453,726.64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136,584,976,200.45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139,574,806,850.15</w:t>
            </w:r>
          </w:p>
        </w:tc>
      </w:tr>
    </w:tbl>
    <w:p>
      <w:pPr>
        <w:widowControl w:val="0"/>
        <w:spacing w:after="239" w:line="1" w:lineRule="exact"/>
      </w:pPr>
    </w:p>
    <w:tbl>
      <w:tblPr>
        <w:tblOverlap w:val="never"/>
        <w:jc w:val="center"/>
        <w:tblLayout w:type="fixed"/>
      </w:tblPr>
      <w:tblGrid>
        <w:gridCol w:w="2213"/>
        <w:gridCol w:w="1906"/>
        <w:gridCol w:w="1786"/>
        <w:gridCol w:w="1762"/>
        <w:gridCol w:w="1997"/>
      </w:tblGrid>
      <w:tr>
        <w:trPr>
          <w:trHeight w:val="109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以公允价值计量且其 变动计入当期损益的 金融资产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8" w:lineRule="exact"/>
              <w:ind w:left="0" w:right="0" w:firstLine="0"/>
              <w:jc w:val="center"/>
            </w:pPr>
            <w:r>
              <w:rPr>
                <w:rFonts w:ascii="SimSun" w:eastAsia="SimSun" w:hAnsi="SimSun" w:cs="SimSun"/>
                <w:color w:val="000000"/>
                <w:spacing w:val="0"/>
                <w:w w:val="100"/>
                <w:position w:val="0"/>
              </w:rPr>
              <w:t>以公允价值计量且 其变动计入其他综 合收益的金融资产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以摊余成本计量的 金融资产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合计</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41,420,490,433.77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41,420,490,433.77</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6,652,245,869.33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6,652,245,869.33</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融出资金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30,072,385,470.42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30,072,385,470.42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12,831,853,398.85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12,831,853,398.85</w:t>
            </w: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726,021,922.60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726,021,922.60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9,801,549,035.32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9,801,549,035.32</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存出保证金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2,070,467,729.03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2,070,467,729.03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895,038,591.26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895,038,591.26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69,620,678.62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pPr>
            <w:r>
              <w:rPr>
                <w:color w:val="000000"/>
                <w:spacing w:val="0"/>
                <w:w w:val="100"/>
                <w:position w:val="0"/>
              </w:rPr>
              <w:t>69,620,678.62</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37,138,141.39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left"/>
            </w:pPr>
            <w:r>
              <w:rPr>
                <w:color w:val="000000"/>
                <w:spacing w:val="0"/>
                <w:w w:val="100"/>
                <w:position w:val="0"/>
              </w:rPr>
              <w:t>37,138,141.39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123,926,074.02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123,926,074.02</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12,955,779,472.87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91,744,957,871.74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104,700,737,344.61</w:t>
            </w:r>
          </w:p>
        </w:tc>
      </w:tr>
    </w:tbl>
    <w:p>
      <w:pPr>
        <w:widowControl w:val="0"/>
        <w:spacing w:after="239" w:line="1" w:lineRule="exact"/>
      </w:pPr>
    </w:p>
    <w:tbl>
      <w:tblPr>
        <w:tblOverlap w:val="never"/>
        <w:jc w:val="center"/>
        <w:tblLayout w:type="fixed"/>
      </w:tblPr>
      <w:tblGrid>
        <w:gridCol w:w="2414"/>
        <w:gridCol w:w="1704"/>
        <w:gridCol w:w="1757"/>
        <w:gridCol w:w="1805"/>
        <w:gridCol w:w="1982"/>
      </w:tblGrid>
      <w:tr>
        <w:trPr>
          <w:trHeight w:val="60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以公允价值计量且其变动 计入当期损益的金融负债</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以摊余成本计量 的金融负债</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合计</w:t>
            </w:r>
          </w:p>
        </w:tc>
      </w:tr>
      <w:tr>
        <w:trPr>
          <w:trHeight w:val="33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准则要求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指定</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2,940,214,165.22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2,940,214,165.22</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应付短期融资券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8,402,188,109.28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8,402,188,109.28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1,012,222,222.22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1,012,222,222.22</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94,231,907.71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29,437,897.37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123,669,805.08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430,968.80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430,968.80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211,046,973.13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211,046,973.13</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8,533,225,079.65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8,533,225,079.65</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49,797,784,255.00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49,797,784,255.00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1,699,679,046.37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1,699,679,046.37</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2,239,377,911.52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2,239,377,911.52</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1,589,463.76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1,589,463.76</w:t>
            </w: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1,218,986,301.37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1,218,986,301.37</w:t>
            </w:r>
          </w:p>
        </w:tc>
      </w:tr>
      <w:tr>
        <w:trPr>
          <w:trHeight w:val="2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94,662,876.51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29,437,897.37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76,056,313,527.52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76,180,414,301.40</w:t>
            </w:r>
          </w:p>
        </w:tc>
      </w:tr>
    </w:tbl>
    <w:p>
      <w:pPr>
        <w:widowControl w:val="0"/>
        <w:spacing w:after="359" w:line="1" w:lineRule="exact"/>
      </w:pPr>
    </w:p>
    <w:p>
      <w:pPr>
        <w:pStyle w:val="Style32"/>
        <w:keepNext/>
        <w:keepLines/>
        <w:widowControl w:val="0"/>
        <w:shd w:val="clear" w:color="auto" w:fill="auto"/>
        <w:bidi w:val="0"/>
        <w:spacing w:before="0" w:after="300" w:line="240" w:lineRule="auto"/>
        <w:ind w:left="0" w:right="0" w:firstLine="440"/>
        <w:jc w:val="left"/>
      </w:pPr>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2.</w:t>
      </w:r>
      <w:r>
        <w:rPr>
          <w:color w:val="000000"/>
          <w:spacing w:val="0"/>
          <w:w w:val="100"/>
          <w:position w:val="0"/>
        </w:rPr>
        <w:t>金融资产转移</w:t>
      </w:r>
      <w:bookmarkEnd w:id="1662"/>
      <w:bookmarkEnd w:id="1663"/>
      <w:bookmarkEnd w:id="1664"/>
    </w:p>
    <w:p>
      <w:pPr>
        <w:pStyle w:val="Style41"/>
        <w:keepNext w:val="0"/>
        <w:keepLines w:val="0"/>
        <w:widowControl w:val="0"/>
        <w:shd w:val="clear" w:color="auto" w:fill="auto"/>
        <w:bidi w:val="0"/>
        <w:spacing w:before="0" w:after="160" w:line="278" w:lineRule="exact"/>
        <w:ind w:left="0" w:right="0" w:firstLine="420"/>
        <w:jc w:val="both"/>
      </w:pPr>
      <w:r>
        <w:rPr>
          <w:color w:val="000000"/>
          <w:spacing w:val="0"/>
          <w:w w:val="100"/>
          <w:position w:val="0"/>
        </w:rPr>
        <w:t>在日常业务中，本公司部分交易将已确认的金融资产转让给第三方或客户，但本公司尚保留该部分已 转让金融资产的风险与回报，因此并未于资产负债表终止确认此类金融资产。</w:t>
      </w:r>
    </w:p>
    <w:p>
      <w:pPr>
        <w:pStyle w:val="Style41"/>
        <w:keepNext w:val="0"/>
        <w:keepLines w:val="0"/>
        <w:widowControl w:val="0"/>
        <w:numPr>
          <w:ilvl w:val="0"/>
          <w:numId w:val="35"/>
        </w:numPr>
        <w:shd w:val="clear" w:color="auto" w:fill="auto"/>
        <w:tabs>
          <w:tab w:pos="840" w:val="left"/>
        </w:tabs>
        <w:bidi w:val="0"/>
        <w:spacing w:before="0" w:after="0" w:line="283" w:lineRule="auto"/>
        <w:ind w:left="0" w:right="0" w:firstLine="420"/>
        <w:jc w:val="both"/>
      </w:pPr>
      <w:bookmarkStart w:id="1665" w:name="bookmark1665"/>
      <w:bookmarkEnd w:id="1665"/>
      <w:r>
        <w:rPr>
          <w:b/>
          <w:bCs/>
          <w:color w:val="000000"/>
          <w:spacing w:val="0"/>
          <w:w w:val="100"/>
          <w:position w:val="0"/>
        </w:rPr>
        <w:t>融出证券</w:t>
      </w:r>
    </w:p>
    <w:p>
      <w:pPr>
        <w:pStyle w:val="Style41"/>
        <w:keepNext w:val="0"/>
        <w:keepLines w:val="0"/>
        <w:widowControl w:val="0"/>
        <w:shd w:val="clear" w:color="auto" w:fill="auto"/>
        <w:bidi w:val="0"/>
        <w:spacing w:before="0" w:after="160" w:line="271" w:lineRule="exact"/>
        <w:ind w:left="0" w:right="0" w:firstLine="420"/>
        <w:jc w:val="both"/>
      </w:pPr>
      <w:r>
        <w:rPr>
          <w:color w:val="000000"/>
          <w:spacing w:val="0"/>
          <w:w w:val="100"/>
          <w:position w:val="0"/>
        </w:rPr>
        <w:t>本公司与客户订立协议，融出股票及基金予客户，以客户的证券或押金为抵押，由于本公司仍保留有 关证券的全部风险，因此并未于资产负债表终止确认这些证券。截至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日，上述转让资产的账 面价值为人民币</w:t>
      </w:r>
      <w:r>
        <w:rPr>
          <w:rFonts w:ascii="Times New Roman" w:eastAsia="Times New Roman" w:hAnsi="Times New Roman" w:cs="Times New Roman"/>
          <w:color w:val="000000"/>
          <w:spacing w:val="0"/>
          <w:w w:val="100"/>
          <w:position w:val="0"/>
        </w:rPr>
        <w:t>726,681,578.7</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41"/>
        <w:keepNext w:val="0"/>
        <w:keepLines w:val="0"/>
        <w:widowControl w:val="0"/>
        <w:numPr>
          <w:ilvl w:val="0"/>
          <w:numId w:val="35"/>
        </w:numPr>
        <w:shd w:val="clear" w:color="auto" w:fill="auto"/>
        <w:tabs>
          <w:tab w:pos="840" w:val="left"/>
        </w:tabs>
        <w:bidi w:val="0"/>
        <w:spacing w:before="0" w:after="0" w:line="283" w:lineRule="auto"/>
        <w:ind w:left="0" w:right="0" w:firstLine="420"/>
        <w:jc w:val="both"/>
      </w:pPr>
      <w:bookmarkStart w:id="1666" w:name="bookmark1666"/>
      <w:bookmarkEnd w:id="1666"/>
      <w:r>
        <w:rPr>
          <w:b/>
          <w:bCs/>
          <w:color w:val="000000"/>
          <w:spacing w:val="0"/>
          <w:w w:val="100"/>
          <w:position w:val="0"/>
        </w:rPr>
        <w:t>转融通业务</w:t>
      </w:r>
    </w:p>
    <w:p>
      <w:pPr>
        <w:pStyle w:val="Style41"/>
        <w:keepNext w:val="0"/>
        <w:keepLines w:val="0"/>
        <w:widowControl w:val="0"/>
        <w:shd w:val="clear" w:color="auto" w:fill="auto"/>
        <w:bidi w:val="0"/>
        <w:spacing w:before="0" w:after="160" w:line="270" w:lineRule="exact"/>
        <w:ind w:left="0" w:right="0" w:firstLine="420"/>
        <w:jc w:val="both"/>
      </w:pPr>
      <w:r>
        <w:rPr>
          <w:color w:val="000000"/>
          <w:spacing w:val="0"/>
          <w:w w:val="100"/>
          <w:position w:val="0"/>
        </w:rPr>
        <w:t>本公司与证金公司签订转融通业务合同，并将股票交存至证金公司作为保证金。对于本公司提交的担 保证券，证金公司行使股票享有的权利时，应当按照本公司指示办理。本公司认为上述金融资产的风险与 回报均未转移，因此并未于资产负债表终止确认上述金融资产。截至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日，上述转让资产的账 面价值为人民币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90,921,018.7</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41"/>
        <w:keepNext w:val="0"/>
        <w:keepLines w:val="0"/>
        <w:widowControl w:val="0"/>
        <w:numPr>
          <w:ilvl w:val="0"/>
          <w:numId w:val="35"/>
        </w:numPr>
        <w:shd w:val="clear" w:color="auto" w:fill="auto"/>
        <w:tabs>
          <w:tab w:pos="840" w:val="left"/>
        </w:tabs>
        <w:bidi w:val="0"/>
        <w:spacing w:before="0" w:after="0" w:line="286" w:lineRule="auto"/>
        <w:ind w:left="0" w:right="0" w:firstLine="420"/>
        <w:jc w:val="both"/>
      </w:pPr>
      <w:bookmarkStart w:id="1667" w:name="bookmark1667"/>
      <w:bookmarkEnd w:id="1667"/>
      <w:r>
        <w:rPr>
          <w:b/>
          <w:bCs/>
          <w:color w:val="000000"/>
          <w:spacing w:val="0"/>
          <w:w w:val="100"/>
          <w:position w:val="0"/>
        </w:rPr>
        <w:t>卖出回购协议</w:t>
      </w:r>
    </w:p>
    <w:p>
      <w:pPr>
        <w:pStyle w:val="Style41"/>
        <w:keepNext w:val="0"/>
        <w:keepLines w:val="0"/>
        <w:widowControl w:val="0"/>
        <w:shd w:val="clear" w:color="auto" w:fill="auto"/>
        <w:bidi w:val="0"/>
        <w:spacing w:before="0" w:after="60" w:line="272" w:lineRule="exact"/>
        <w:ind w:left="0" w:right="0" w:firstLine="420"/>
        <w:jc w:val="both"/>
      </w:pPr>
      <w:r>
        <w:rPr>
          <w:color w:val="000000"/>
          <w:spacing w:val="0"/>
          <w:w w:val="100"/>
          <w:position w:val="0"/>
        </w:rPr>
        <w:t>本公司通过转让交易性金融资产予交易对手取得款项，并与其签订回购上述资产的协议。根据协议， 交易对手拥有收取上述证券协议期间合同现金流和再次将上述证券用于担保的权利，同时承担在协议规定 的到期日将上述证券归还本公司的义务。本公司认为上述金融资产的风险与回报均未转移，因此并未于资 产负债表终止确认上述金融资产。截至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日，上述转让资产的账面价值为人民币</w:t>
      </w:r>
      <w:r>
        <w:rPr>
          <w:rFonts w:ascii="Times New Roman" w:eastAsia="Times New Roman" w:hAnsi="Times New Roman" w:cs="Times New Roman"/>
          <w:color w:val="000000"/>
          <w:spacing w:val="0"/>
          <w:w w:val="100"/>
          <w:position w:val="0"/>
        </w:rPr>
        <w:t xml:space="preserve">228,255,195.20 </w:t>
      </w:r>
      <w:r>
        <w:rPr>
          <w:color w:val="000000"/>
          <w:spacing w:val="0"/>
          <w:w w:val="100"/>
          <w:position w:val="0"/>
        </w:rPr>
        <w:t>元。</w:t>
      </w:r>
    </w:p>
    <w:p>
      <w:pPr>
        <w:pStyle w:val="Style32"/>
        <w:keepNext/>
        <w:keepLines/>
        <w:widowControl w:val="0"/>
        <w:numPr>
          <w:ilvl w:val="0"/>
          <w:numId w:val="37"/>
        </w:numPr>
        <w:shd w:val="clear" w:color="auto" w:fill="auto"/>
        <w:bidi w:val="0"/>
        <w:spacing w:before="0" w:after="60" w:line="286" w:lineRule="auto"/>
        <w:ind w:left="0" w:right="0" w:firstLine="420"/>
        <w:jc w:val="both"/>
      </w:pPr>
      <w:bookmarkStart w:id="1668" w:name="bookmark1668"/>
      <w:bookmarkStart w:id="1669" w:name="bookmark1669"/>
      <w:bookmarkStart w:id="1670" w:name="bookmark1670"/>
      <w:bookmarkStart w:id="1671" w:name="bookmark1671"/>
      <w:bookmarkEnd w:id="1670"/>
      <w:r>
        <w:rPr>
          <w:color w:val="000000"/>
          <w:spacing w:val="0"/>
          <w:w w:val="100"/>
          <w:position w:val="0"/>
        </w:rPr>
        <w:t>金融工具风险</w:t>
      </w:r>
      <w:bookmarkEnd w:id="1668"/>
      <w:bookmarkEnd w:id="1669"/>
      <w:bookmarkEnd w:id="1671"/>
    </w:p>
    <w:p>
      <w:pPr>
        <w:pStyle w:val="Style41"/>
        <w:keepNext w:val="0"/>
        <w:keepLines w:val="0"/>
        <w:widowControl w:val="0"/>
        <w:shd w:val="clear" w:color="auto" w:fill="auto"/>
        <w:bidi w:val="0"/>
        <w:spacing w:before="0" w:after="160" w:line="278" w:lineRule="exact"/>
        <w:ind w:left="0" w:right="0" w:firstLine="420"/>
        <w:jc w:val="both"/>
      </w:pPr>
      <w:r>
        <w:rPr>
          <w:color w:val="000000"/>
          <w:spacing w:val="0"/>
          <w:w w:val="100"/>
          <w:position w:val="0"/>
        </w:rPr>
        <w:t>本公司在经营过程中面临各种金融风险：信用风险、流动性风险和市场风险(包括利率风险、汇率风 险和其他价格风险)。上述金融风险以及本公司为降低这些风险所采取的风险管理政策如下所述：</w:t>
      </w:r>
    </w:p>
    <w:p>
      <w:pPr>
        <w:pStyle w:val="Style41"/>
        <w:keepNext w:val="0"/>
        <w:keepLines w:val="0"/>
        <w:widowControl w:val="0"/>
        <w:shd w:val="clear" w:color="auto" w:fill="auto"/>
        <w:bidi w:val="0"/>
        <w:spacing w:before="0" w:after="0" w:line="286" w:lineRule="auto"/>
        <w:ind w:left="0" w:right="0" w:firstLine="42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信用风险</w:t>
      </w:r>
    </w:p>
    <w:p>
      <w:pPr>
        <w:pStyle w:val="Style41"/>
        <w:keepNext w:val="0"/>
        <w:keepLines w:val="0"/>
        <w:widowControl w:val="0"/>
        <w:shd w:val="clear" w:color="auto" w:fill="auto"/>
        <w:bidi w:val="0"/>
        <w:spacing w:before="0" w:after="0" w:line="274" w:lineRule="exact"/>
        <w:ind w:left="0" w:right="0" w:firstLine="420"/>
        <w:jc w:val="both"/>
      </w:pPr>
      <w:r>
        <w:rPr>
          <w:color w:val="000000"/>
          <w:spacing w:val="0"/>
          <w:w w:val="100"/>
          <w:position w:val="0"/>
        </w:rPr>
        <w:t>信用风险是指交易对手未能履行合同义务而导致本公司发生财务损失的风险</w:t>
      </w:r>
    </w:p>
    <w:p>
      <w:pPr>
        <w:pStyle w:val="Style41"/>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本公司信用风险主要产生于货币资金、结算备付金、融出资金、买入返售金融资产、应收账款、其他 应收款、其他债权投资、交易性金融资产、衍生金融资产等。于资产负债表日，本公司金融资产的账面价 值已代表其最大信用风险敞口。</w:t>
      </w:r>
    </w:p>
    <w:p>
      <w:pPr>
        <w:pStyle w:val="Style41"/>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本公司货币资金主要为存放于声誉良好并拥有较高信用评级的国有银行和其他大中型上市银行的银 行存款，结算备付金存放在中国证券登记结算有限责任公司，本公司认为其不存在重大的信用风险，几乎 不会产生因银行违约而导致的重大损失。</w:t>
      </w:r>
    </w:p>
    <w:p>
      <w:pPr>
        <w:pStyle w:val="Style41"/>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本公司的信用风险主要来自以下业务：</w:t>
      </w:r>
    </w:p>
    <w:p>
      <w:pPr>
        <w:pStyle w:val="Style41"/>
        <w:keepNext w:val="0"/>
        <w:keepLines w:val="0"/>
        <w:widowControl w:val="0"/>
        <w:numPr>
          <w:ilvl w:val="0"/>
          <w:numId w:val="39"/>
        </w:numPr>
        <w:shd w:val="clear" w:color="auto" w:fill="auto"/>
        <w:tabs>
          <w:tab w:pos="840" w:val="left"/>
        </w:tabs>
        <w:bidi w:val="0"/>
        <w:spacing w:before="0" w:after="0" w:line="274" w:lineRule="exact"/>
        <w:ind w:left="0" w:right="0" w:firstLine="420"/>
        <w:jc w:val="both"/>
      </w:pPr>
      <w:bookmarkStart w:id="1672" w:name="bookmark1672"/>
      <w:bookmarkEnd w:id="1672"/>
      <w:r>
        <w:rPr>
          <w:color w:val="000000"/>
          <w:spacing w:val="0"/>
          <w:w w:val="100"/>
          <w:position w:val="0"/>
        </w:rPr>
        <w:t>对于应收账款及其他应收款，本公司设定相关政策以控制信用风险敞口。本公司基于对客户的财 务状况、从第三方获取担保的可能性、信用记录及其他因素诸如目前市场状况等评估客户的信用资质并设 置相应信用期。本公司会定期对客户信用记录进行监控，对于信用记录不良的客户，本公司会采用书面催 款、缩短信用期或取消信用期等方式，以确保本公司的整体信用风险在可控的范围内。</w:t>
      </w:r>
    </w:p>
    <w:p>
      <w:pPr>
        <w:pStyle w:val="Style41"/>
        <w:keepNext w:val="0"/>
        <w:keepLines w:val="0"/>
        <w:widowControl w:val="0"/>
        <w:numPr>
          <w:ilvl w:val="0"/>
          <w:numId w:val="39"/>
        </w:numPr>
        <w:shd w:val="clear" w:color="auto" w:fill="auto"/>
        <w:tabs>
          <w:tab w:pos="840" w:val="left"/>
        </w:tabs>
        <w:bidi w:val="0"/>
        <w:spacing w:before="0" w:after="0" w:line="274" w:lineRule="exact"/>
        <w:ind w:left="0" w:right="0" w:firstLine="420"/>
        <w:jc w:val="both"/>
      </w:pPr>
      <w:bookmarkStart w:id="1673" w:name="bookmark1673"/>
      <w:bookmarkEnd w:id="1673"/>
      <w:r>
        <w:rPr>
          <w:color w:val="000000"/>
          <w:spacing w:val="0"/>
          <w:w w:val="100"/>
          <w:position w:val="0"/>
        </w:rPr>
        <w:t>证券融资类业务的信用风险主要涉及客户提供虚假资料、未及时足额偿还负债、持仓规模及结构 违反合同约定、交易行为违反监管规定、提供的担保物资产涉及法律纠纷等。本公司主要通过投资者适当 性管理、信用额度审批、逐日盯市、客户风险提示、强制平仓、司法追索等方式，控制信用业务的信用风 险。</w:t>
      </w:r>
    </w:p>
    <w:p>
      <w:pPr>
        <w:pStyle w:val="Style41"/>
        <w:keepNext w:val="0"/>
        <w:keepLines w:val="0"/>
        <w:widowControl w:val="0"/>
        <w:numPr>
          <w:ilvl w:val="0"/>
          <w:numId w:val="39"/>
        </w:numPr>
        <w:shd w:val="clear" w:color="auto" w:fill="auto"/>
        <w:tabs>
          <w:tab w:pos="840" w:val="left"/>
        </w:tabs>
        <w:bidi w:val="0"/>
        <w:spacing w:before="0" w:after="0" w:line="274" w:lineRule="exact"/>
        <w:ind w:left="0" w:right="0" w:firstLine="420"/>
        <w:jc w:val="both"/>
      </w:pPr>
      <w:bookmarkStart w:id="1674" w:name="bookmark1674"/>
      <w:bookmarkEnd w:id="1674"/>
      <w:r>
        <w:rPr>
          <w:color w:val="000000"/>
          <w:spacing w:val="0"/>
          <w:w w:val="100"/>
          <w:position w:val="0"/>
        </w:rPr>
        <w:t>本公司建立了信用风险管理流程，通过对投资品种信用等级评估来控制证券发行人的信用风险， 且通过分散化投资以分散信用风险。本公司债券投资的信用评级情况按《中国人民银行信用评级管理指导 意见》设定的标准统计及汇总。</w:t>
      </w:r>
    </w:p>
    <w:p>
      <w:pPr>
        <w:pStyle w:val="Style41"/>
        <w:keepNext w:val="0"/>
        <w:keepLines w:val="0"/>
        <w:widowControl w:val="0"/>
        <w:shd w:val="clear" w:color="auto" w:fill="auto"/>
        <w:bidi w:val="0"/>
        <w:spacing w:before="0" w:after="0" w:line="274" w:lineRule="exact"/>
        <w:ind w:left="0" w:right="0" w:firstLine="420"/>
        <w:jc w:val="both"/>
      </w:pPr>
      <w:r>
        <w:rPr>
          <w:color w:val="000000"/>
          <w:spacing w:val="0"/>
          <w:w w:val="100"/>
          <w:position w:val="0"/>
        </w:rPr>
        <w:t>对于应收账款及其他应收款，本公司基于历史信用损失经验，考虑了与债务人及经济环境等相关信息， 采用简化计量方法计量减值准备。</w:t>
      </w:r>
    </w:p>
    <w:p>
      <w:pPr>
        <w:pStyle w:val="Style41"/>
        <w:keepNext w:val="0"/>
        <w:keepLines w:val="0"/>
        <w:widowControl w:val="0"/>
        <w:shd w:val="clear" w:color="auto" w:fill="auto"/>
        <w:bidi w:val="0"/>
        <w:spacing w:before="0" w:after="60" w:line="274" w:lineRule="exact"/>
        <w:ind w:left="0" w:right="0" w:firstLine="420"/>
        <w:jc w:val="both"/>
      </w:pPr>
      <w:r>
        <w:rPr>
          <w:color w:val="000000"/>
          <w:spacing w:val="0"/>
          <w:w w:val="100"/>
          <w:position w:val="0"/>
        </w:rPr>
        <w:t>本公司对于按照简化计量方法计量的金融工具之外，初始按照相当于该金融工具未来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 用损失的金额计量其损失准备。未来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rPr>
        <w:t>12</w:t>
      </w:r>
      <w:r>
        <w:rPr>
          <w:color w:val="000000"/>
          <w:spacing w:val="0"/>
          <w:w w:val="100"/>
          <w:position w:val="0"/>
        </w:rPr>
        <w:t>个月内(若金融工 具的预计存续期少于</w:t>
      </w:r>
      <w:r>
        <w:rPr>
          <w:rFonts w:ascii="Times New Roman" w:eastAsia="Times New Roman" w:hAnsi="Times New Roman" w:cs="Times New Roman"/>
          <w:color w:val="000000"/>
          <w:spacing w:val="0"/>
          <w:w w:val="100"/>
          <w:position w:val="0"/>
        </w:rPr>
        <w:t>12</w:t>
      </w:r>
      <w:r>
        <w:rPr>
          <w:color w:val="000000"/>
          <w:spacing w:val="0"/>
          <w:w w:val="100"/>
          <w:position w:val="0"/>
        </w:rPr>
        <w:t>个月，则为预计存续期)可能发生的金融工具违约事件而导致的预期信用损失，是 整个存续期预期信用损失的一部分。如果该金融工具的信用风险自初始确认后已显著增加，本公司将按照 相当于该金融工具整个存续期内预期信用损失的金额计量其损失准备。</w:t>
      </w:r>
    </w:p>
    <w:p>
      <w:pPr>
        <w:pStyle w:val="Style41"/>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整个存续期内或未来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个月内的预期信用损失均基于金融工具本身的性质，以单项金融工具或是金融 工具组合进行计算。</w:t>
      </w:r>
    </w:p>
    <w:p>
      <w:pPr>
        <w:pStyle w:val="Style41"/>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本公司已经制定了相应的预期信用损失政策，于资产负债表日，本公司通过考虑金融工具剩余期间内 违约风险的变化，对金融工具的信用风险自初始确认后是否显著增加进行评估。基于以上程序，本公司将 债务工具投资分为以下阶段：</w:t>
      </w:r>
    </w:p>
    <w:p>
      <w:pPr>
        <w:pStyle w:val="Style41"/>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第一阶段：当债务工具投资初始确认时，本公司确认未来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个月内的预期信用损失。第一阶段的债务 工具投资也包括因信用风险改善而由第二阶段重分类至第一阶段的投资。</w:t>
      </w:r>
    </w:p>
    <w:p>
      <w:pPr>
        <w:pStyle w:val="Style41"/>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第二阶段：当债务工具投资的信用风险自初始确认后已显著增加，本公司确认整个存续期内预期信用 损失。第二阶段的债务工具投资也包括因信用风险改善而由第三阶段重分类至第二阶段的投资。</w:t>
      </w:r>
    </w:p>
    <w:p>
      <w:pPr>
        <w:pStyle w:val="Style41"/>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第三阶段：已经发生信用减值的债务工具投资。本公司确认整个存续期内的信用减值。</w:t>
      </w:r>
    </w:p>
    <w:p>
      <w:pPr>
        <w:pStyle w:val="Style41"/>
        <w:keepNext w:val="0"/>
        <w:keepLines w:val="0"/>
        <w:widowControl w:val="0"/>
        <w:shd w:val="clear" w:color="auto" w:fill="auto"/>
        <w:bidi w:val="0"/>
        <w:spacing w:before="0" w:after="0" w:line="273" w:lineRule="exact"/>
        <w:ind w:left="0" w:right="0" w:firstLine="440"/>
        <w:jc w:val="both"/>
      </w:pPr>
      <w:r>
        <w:rPr>
          <w:color w:val="000000"/>
          <w:spacing w:val="0"/>
          <w:w w:val="100"/>
          <w:position w:val="0"/>
        </w:rPr>
        <w:t>购买或源生的已发生信用减值：购买或源生的已发生信用减值系在初始确认时即确认信用减值的资产。 购买或源生的已发生信用减值的资产在初始确认时以公允价值计量，在后续计量时应基于经信用调整后的 实际利率计算利息收入。预期信用损失仅随金融工具在后续期间预期信用风险变化而相应变化。</w:t>
      </w:r>
    </w:p>
    <w:p>
      <w:pPr>
        <w:pStyle w:val="Style41"/>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本公司合理预期金融资产合同现金流量不再能够全部或部分收回的，应当直接减记该金融资产的账面 余额。这种减记构成相关金融资产的（部分）终止确认。</w:t>
      </w:r>
    </w:p>
    <w:p>
      <w:pPr>
        <w:pStyle w:val="Style41"/>
        <w:keepNext w:val="0"/>
        <w:keepLines w:val="0"/>
        <w:widowControl w:val="0"/>
        <w:shd w:val="clear" w:color="auto" w:fill="auto"/>
        <w:bidi w:val="0"/>
        <w:spacing w:before="0" w:after="0" w:line="273" w:lineRule="exact"/>
        <w:ind w:left="0" w:right="0" w:firstLine="440"/>
        <w:jc w:val="both"/>
      </w:pPr>
      <w:r>
        <w:rPr>
          <w:color w:val="000000"/>
          <w:spacing w:val="0"/>
          <w:w w:val="100"/>
          <w:position w:val="0"/>
        </w:rPr>
        <w:t>估计预期信用损失时，本公司会考虑不同的情景。每种情景与不同的违约概率关联。不同情景的评估 考虑了违约债务的偿还方式，包括债务工具偿还的可能性、担保物的价值或者处置资产可能回收的金额。</w:t>
      </w:r>
    </w:p>
    <w:p>
      <w:pPr>
        <w:pStyle w:val="Style41"/>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影响买入返售金融资产及融出资金预期信用损失减值准备的重大变动因素主要是由于股市波动导致 用于抵押的有价证券价值下跌，进而担保物价值不能覆盖融资金额。本公司综合考虑债务人信用状况、还 款能力、第三方增信措施、担保品实际可变现能力和处置周期等因素后，确认了买入返售金融资产及融出 资金信用减值损失。</w:t>
      </w:r>
    </w:p>
    <w:p>
      <w:pPr>
        <w:pStyle w:val="Style41"/>
        <w:keepNext w:val="0"/>
        <w:keepLines w:val="0"/>
        <w:widowControl w:val="0"/>
        <w:shd w:val="clear" w:color="auto" w:fill="auto"/>
        <w:bidi w:val="0"/>
        <w:spacing w:before="0" w:after="0" w:line="273" w:lineRule="exact"/>
        <w:ind w:left="0" w:right="0" w:firstLine="440"/>
        <w:jc w:val="both"/>
      </w:pPr>
      <w:r>
        <w:rPr>
          <w:b/>
          <w:bCs/>
          <w:color w:val="000000"/>
          <w:spacing w:val="0"/>
          <w:w w:val="100"/>
          <w:position w:val="0"/>
        </w:rPr>
        <w:t>信用风险显著增加判断标准</w:t>
      </w:r>
    </w:p>
    <w:p>
      <w:pPr>
        <w:pStyle w:val="Style41"/>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本公司在每个资产负债表日评估相关金融工具的信用风险自初始确认后是否已显著增加。在确定信用 风险自初始确认后是否显著增加时，本公司考虑在无须付出不必要的额外成本或努力即可获得合理且有依 据的信息，包括基于本公司历史数据的定性和定量分析、内外部信用风险评级以及前瞻性信息。本公司以 单项金融工具或者具有相似信用风险特征的金融工具组合为基础，通过比较金融工具在资产负债表日发生 违约的风险与在初始确认日发生违约的风险，以确定金融工具预计存续期内发生违约风险的变化情况。</w:t>
      </w:r>
    </w:p>
    <w:p>
      <w:pPr>
        <w:pStyle w:val="Style41"/>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本公司评估金融工具的信用风险是否已发生显著增加时主要考虑的因素有：报告日剩余存续期违约概 率较初始确认时是否显著上升、债务人经营或财务情况是否出现重大不利变化、维持担保比例是否低于平 仓线、最新评级是否在投资级以下等。无论采用何种方式评估信用风险是否显著增加，如果合同付款逾期 超过（含）</w:t>
      </w:r>
      <w:r>
        <w:rPr>
          <w:rFonts w:ascii="Times New Roman" w:eastAsia="Times New Roman" w:hAnsi="Times New Roman" w:cs="Times New Roman"/>
          <w:color w:val="000000"/>
          <w:spacing w:val="0"/>
          <w:w w:val="100"/>
          <w:position w:val="0"/>
        </w:rPr>
        <w:t>30</w:t>
      </w:r>
      <w:r>
        <w:rPr>
          <w:color w:val="000000"/>
          <w:spacing w:val="0"/>
          <w:w w:val="100"/>
          <w:position w:val="0"/>
        </w:rPr>
        <w:t>日，则通常可以推定金融资产的信用风险显著增加，除非以合理成本即可获得合理且有依据 的信息，证明即使逾期超过</w:t>
      </w:r>
      <w:r>
        <w:rPr>
          <w:rFonts w:ascii="Times New Roman" w:eastAsia="Times New Roman" w:hAnsi="Times New Roman" w:cs="Times New Roman"/>
          <w:color w:val="000000"/>
          <w:spacing w:val="0"/>
          <w:w w:val="100"/>
          <w:position w:val="0"/>
        </w:rPr>
        <w:t>30</w:t>
      </w:r>
      <w:r>
        <w:rPr>
          <w:color w:val="000000"/>
          <w:spacing w:val="0"/>
          <w:w w:val="100"/>
          <w:position w:val="0"/>
        </w:rPr>
        <w:t>日，信用风险仍未显著增加。</w:t>
      </w:r>
    </w:p>
    <w:p>
      <w:pPr>
        <w:pStyle w:val="Style41"/>
        <w:keepNext w:val="0"/>
        <w:keepLines w:val="0"/>
        <w:widowControl w:val="0"/>
        <w:shd w:val="clear" w:color="auto" w:fill="auto"/>
        <w:bidi w:val="0"/>
        <w:spacing w:before="0" w:after="0" w:line="273" w:lineRule="exact"/>
        <w:ind w:left="0" w:right="0" w:firstLine="440"/>
        <w:jc w:val="both"/>
      </w:pPr>
      <w:r>
        <w:rPr>
          <w:b/>
          <w:bCs/>
          <w:color w:val="000000"/>
          <w:spacing w:val="0"/>
          <w:w w:val="100"/>
          <w:position w:val="0"/>
        </w:rPr>
        <w:t>已发生信用减值资产的定义</w:t>
      </w:r>
    </w:p>
    <w:p>
      <w:pPr>
        <w:pStyle w:val="Style41"/>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金融资产发生信用减值，有可能是多个事件的共同作用所致，未必是可单独识别的事件所致。为确定 是否发生信用减值，本公司主要考虑以下一项或多项定量、定性指标：</w:t>
      </w:r>
    </w:p>
    <w:p>
      <w:pPr>
        <w:pStyle w:val="Style41"/>
        <w:keepNext w:val="0"/>
        <w:keepLines w:val="0"/>
        <w:widowControl w:val="0"/>
        <w:numPr>
          <w:ilvl w:val="0"/>
          <w:numId w:val="41"/>
        </w:numPr>
        <w:shd w:val="clear" w:color="auto" w:fill="auto"/>
        <w:tabs>
          <w:tab w:pos="865" w:val="left"/>
        </w:tabs>
        <w:bidi w:val="0"/>
        <w:spacing w:before="0" w:after="0" w:line="273" w:lineRule="exact"/>
        <w:ind w:left="0" w:right="0" w:firstLine="440"/>
        <w:jc w:val="left"/>
      </w:pPr>
      <w:bookmarkStart w:id="1675" w:name="bookmark1675"/>
      <w:bookmarkEnd w:id="1675"/>
      <w:r>
        <w:rPr>
          <w:color w:val="000000"/>
          <w:spacing w:val="0"/>
          <w:w w:val="100"/>
          <w:position w:val="0"/>
        </w:rPr>
        <w:t>金融资产逾期超过</w:t>
      </w:r>
      <w:r>
        <w:rPr>
          <w:rFonts w:ascii="Times New Roman" w:eastAsia="Times New Roman" w:hAnsi="Times New Roman" w:cs="Times New Roman"/>
          <w:color w:val="000000"/>
          <w:spacing w:val="0"/>
          <w:w w:val="100"/>
          <w:position w:val="0"/>
        </w:rPr>
        <w:t>90</w:t>
      </w:r>
      <w:r>
        <w:rPr>
          <w:color w:val="000000"/>
          <w:spacing w:val="0"/>
          <w:w w:val="100"/>
          <w:position w:val="0"/>
        </w:rPr>
        <w:t>日；</w:t>
      </w:r>
    </w:p>
    <w:p>
      <w:pPr>
        <w:pStyle w:val="Style41"/>
        <w:keepNext w:val="0"/>
        <w:keepLines w:val="0"/>
        <w:widowControl w:val="0"/>
        <w:numPr>
          <w:ilvl w:val="0"/>
          <w:numId w:val="41"/>
        </w:numPr>
        <w:shd w:val="clear" w:color="auto" w:fill="auto"/>
        <w:tabs>
          <w:tab w:pos="865" w:val="left"/>
        </w:tabs>
        <w:bidi w:val="0"/>
        <w:spacing w:before="0" w:after="0" w:line="273" w:lineRule="exact"/>
        <w:ind w:left="0" w:right="0" w:firstLine="440"/>
        <w:jc w:val="left"/>
      </w:pPr>
      <w:bookmarkStart w:id="1676" w:name="bookmark1676"/>
      <w:bookmarkEnd w:id="1676"/>
      <w:r>
        <w:rPr>
          <w:color w:val="000000"/>
          <w:spacing w:val="0"/>
          <w:w w:val="100"/>
          <w:position w:val="0"/>
        </w:rPr>
        <w:t>担保物价值已经不能覆盖融资金额；</w:t>
      </w:r>
    </w:p>
    <w:p>
      <w:pPr>
        <w:pStyle w:val="Style41"/>
        <w:keepNext w:val="0"/>
        <w:keepLines w:val="0"/>
        <w:widowControl w:val="0"/>
        <w:numPr>
          <w:ilvl w:val="0"/>
          <w:numId w:val="41"/>
        </w:numPr>
        <w:shd w:val="clear" w:color="auto" w:fill="auto"/>
        <w:tabs>
          <w:tab w:pos="865" w:val="left"/>
        </w:tabs>
        <w:bidi w:val="0"/>
        <w:spacing w:before="0" w:after="0" w:line="273" w:lineRule="exact"/>
        <w:ind w:left="0" w:right="0" w:firstLine="440"/>
        <w:jc w:val="left"/>
      </w:pPr>
      <w:bookmarkStart w:id="1677" w:name="bookmark1677"/>
      <w:bookmarkEnd w:id="1677"/>
      <w:r>
        <w:rPr>
          <w:color w:val="000000"/>
          <w:spacing w:val="0"/>
          <w:w w:val="100"/>
          <w:position w:val="0"/>
        </w:rPr>
        <w:t>最新评级存在违约级别；</w:t>
      </w:r>
    </w:p>
    <w:p>
      <w:pPr>
        <w:pStyle w:val="Style41"/>
        <w:keepNext w:val="0"/>
        <w:keepLines w:val="0"/>
        <w:widowControl w:val="0"/>
        <w:numPr>
          <w:ilvl w:val="0"/>
          <w:numId w:val="41"/>
        </w:numPr>
        <w:shd w:val="clear" w:color="auto" w:fill="auto"/>
        <w:tabs>
          <w:tab w:pos="865" w:val="left"/>
        </w:tabs>
        <w:bidi w:val="0"/>
        <w:spacing w:before="0" w:after="0" w:line="273" w:lineRule="exact"/>
        <w:ind w:left="0" w:right="0" w:firstLine="440"/>
        <w:jc w:val="left"/>
      </w:pPr>
      <w:bookmarkStart w:id="1678" w:name="bookmark1678"/>
      <w:bookmarkEnd w:id="1678"/>
      <w:r>
        <w:rPr>
          <w:color w:val="000000"/>
          <w:spacing w:val="0"/>
          <w:w w:val="100"/>
          <w:position w:val="0"/>
        </w:rPr>
        <w:t>发行方或债务人发生重大财务困难；</w:t>
      </w:r>
    </w:p>
    <w:p>
      <w:pPr>
        <w:pStyle w:val="Style41"/>
        <w:keepNext w:val="0"/>
        <w:keepLines w:val="0"/>
        <w:widowControl w:val="0"/>
        <w:numPr>
          <w:ilvl w:val="0"/>
          <w:numId w:val="41"/>
        </w:numPr>
        <w:shd w:val="clear" w:color="auto" w:fill="auto"/>
        <w:tabs>
          <w:tab w:pos="865" w:val="left"/>
        </w:tabs>
        <w:bidi w:val="0"/>
        <w:spacing w:before="0" w:after="0" w:line="273" w:lineRule="exact"/>
        <w:ind w:left="0" w:right="0" w:firstLine="440"/>
        <w:jc w:val="left"/>
      </w:pPr>
      <w:bookmarkStart w:id="1679" w:name="bookmark1679"/>
      <w:bookmarkEnd w:id="1679"/>
      <w:r>
        <w:rPr>
          <w:color w:val="000000"/>
          <w:spacing w:val="0"/>
          <w:w w:val="100"/>
          <w:position w:val="0"/>
        </w:rPr>
        <w:t>由于发行方或债务人财务困难导致相关金融资产的活跃市场消失；</w:t>
      </w:r>
    </w:p>
    <w:p>
      <w:pPr>
        <w:pStyle w:val="Style41"/>
        <w:keepNext w:val="0"/>
        <w:keepLines w:val="0"/>
        <w:widowControl w:val="0"/>
        <w:numPr>
          <w:ilvl w:val="0"/>
          <w:numId w:val="41"/>
        </w:numPr>
        <w:shd w:val="clear" w:color="auto" w:fill="auto"/>
        <w:tabs>
          <w:tab w:pos="865" w:val="left"/>
        </w:tabs>
        <w:bidi w:val="0"/>
        <w:spacing w:before="0" w:after="0" w:line="273" w:lineRule="exact"/>
        <w:ind w:left="0" w:right="0" w:firstLine="440"/>
        <w:jc w:val="both"/>
      </w:pPr>
      <w:bookmarkStart w:id="1680" w:name="bookmark1680"/>
      <w:bookmarkEnd w:id="1680"/>
      <w:r>
        <w:rPr>
          <w:color w:val="000000"/>
          <w:spacing w:val="0"/>
          <w:w w:val="100"/>
          <w:position w:val="0"/>
        </w:rPr>
        <w:t>公司出于与债务人财务困难有关的经济或合同考虑，给予债务人在任何其他情况下都不会做出的 让步；</w:t>
      </w:r>
    </w:p>
    <w:p>
      <w:pPr>
        <w:pStyle w:val="Style41"/>
        <w:keepNext w:val="0"/>
        <w:keepLines w:val="0"/>
        <w:widowControl w:val="0"/>
        <w:numPr>
          <w:ilvl w:val="0"/>
          <w:numId w:val="41"/>
        </w:numPr>
        <w:shd w:val="clear" w:color="auto" w:fill="auto"/>
        <w:tabs>
          <w:tab w:pos="865" w:val="left"/>
        </w:tabs>
        <w:bidi w:val="0"/>
        <w:spacing w:before="0" w:after="0" w:line="273" w:lineRule="exact"/>
        <w:ind w:left="0" w:right="0" w:firstLine="440"/>
        <w:jc w:val="both"/>
      </w:pPr>
      <w:bookmarkStart w:id="1681" w:name="bookmark1681"/>
      <w:bookmarkEnd w:id="1681"/>
      <w:r>
        <w:rPr>
          <w:color w:val="000000"/>
          <w:spacing w:val="0"/>
          <w:w w:val="100"/>
          <w:position w:val="0"/>
        </w:rPr>
        <w:t>债务人很可能破产或进行其他财务重组；</w:t>
      </w:r>
    </w:p>
    <w:p>
      <w:pPr>
        <w:pStyle w:val="Style41"/>
        <w:keepNext w:val="0"/>
        <w:keepLines w:val="0"/>
        <w:widowControl w:val="0"/>
        <w:numPr>
          <w:ilvl w:val="0"/>
          <w:numId w:val="41"/>
        </w:numPr>
        <w:shd w:val="clear" w:color="auto" w:fill="auto"/>
        <w:tabs>
          <w:tab w:pos="865" w:val="left"/>
        </w:tabs>
        <w:bidi w:val="0"/>
        <w:spacing w:before="0" w:after="60" w:line="273" w:lineRule="exact"/>
        <w:ind w:left="0" w:right="0" w:firstLine="440"/>
        <w:jc w:val="both"/>
      </w:pPr>
      <w:bookmarkStart w:id="1682" w:name="bookmark1682"/>
      <w:bookmarkEnd w:id="1682"/>
      <w:r>
        <w:rPr>
          <w:color w:val="000000"/>
          <w:spacing w:val="0"/>
          <w:w w:val="100"/>
          <w:position w:val="0"/>
        </w:rPr>
        <w:t>其他表明金融资产已发生信用减值的情形。</w:t>
      </w:r>
    </w:p>
    <w:p>
      <w:pPr>
        <w:pStyle w:val="Style41"/>
        <w:keepNext w:val="0"/>
        <w:keepLines w:val="0"/>
        <w:widowControl w:val="0"/>
        <w:shd w:val="clear" w:color="auto" w:fill="auto"/>
        <w:bidi w:val="0"/>
        <w:spacing w:before="0" w:after="120" w:line="281" w:lineRule="exact"/>
        <w:ind w:left="0" w:right="0" w:firstLine="440"/>
        <w:jc w:val="both"/>
      </w:pPr>
      <w:r>
        <w:rPr>
          <w:color w:val="000000"/>
          <w:spacing w:val="0"/>
          <w:w w:val="100"/>
          <w:position w:val="0"/>
        </w:rPr>
        <w:t>对于信用类业务，本公司充分考虑融资主体的信用状况，合同期限，以及担保证券所属板块、流动性、 限售情况、集中度、波动性、履约保障情况、发行人经营情况等因素，为不同融资主体或合约设置不同的 平仓线，其中平仓线一般不低于</w:t>
      </w:r>
      <w:r>
        <w:rPr>
          <w:rFonts w:ascii="Times New Roman" w:eastAsia="Times New Roman" w:hAnsi="Times New Roman" w:cs="Times New Roman"/>
          <w:color w:val="000000"/>
          <w:spacing w:val="0"/>
          <w:w w:val="100"/>
          <w:position w:val="0"/>
        </w:rPr>
        <w:t>130%</w:t>
      </w:r>
      <w:r>
        <w:rPr>
          <w:color w:val="000000"/>
          <w:spacing w:val="0"/>
          <w:w w:val="100"/>
          <w:position w:val="0"/>
        </w:rPr>
        <w:t>。</w:t>
      </w:r>
    </w:p>
    <w:p>
      <w:pPr>
        <w:pStyle w:val="Style41"/>
        <w:keepNext w:val="0"/>
        <w:keepLines w:val="0"/>
        <w:widowControl w:val="0"/>
        <w:numPr>
          <w:ilvl w:val="0"/>
          <w:numId w:val="41"/>
        </w:numPr>
        <w:shd w:val="clear" w:color="auto" w:fill="auto"/>
        <w:tabs>
          <w:tab w:pos="865" w:val="left"/>
        </w:tabs>
        <w:bidi w:val="0"/>
        <w:spacing w:before="0" w:after="0" w:line="273" w:lineRule="exact"/>
        <w:ind w:left="0" w:right="0" w:firstLine="440"/>
        <w:jc w:val="left"/>
      </w:pPr>
      <w:bookmarkStart w:id="1683" w:name="bookmark1683"/>
      <w:bookmarkEnd w:id="1683"/>
      <w:r>
        <w:rPr>
          <w:color w:val="000000"/>
          <w:spacing w:val="0"/>
          <w:w w:val="100"/>
          <w:position w:val="0"/>
        </w:rPr>
        <w:t>维持担保比例</w:t>
      </w:r>
      <w:r>
        <w:rPr>
          <w:rFonts w:ascii="Times New Roman" w:eastAsia="Times New Roman" w:hAnsi="Times New Roman" w:cs="Times New Roman"/>
          <w:color w:val="000000"/>
          <w:spacing w:val="0"/>
          <w:w w:val="100"/>
          <w:position w:val="0"/>
        </w:rPr>
        <w:t>/</w:t>
      </w:r>
      <w:r>
        <w:rPr>
          <w:color w:val="000000"/>
          <w:spacing w:val="0"/>
          <w:w w:val="100"/>
          <w:position w:val="0"/>
        </w:rPr>
        <w:t>履约保障比例大于</w:t>
      </w:r>
      <w:r>
        <w:rPr>
          <w:rFonts w:ascii="Times New Roman" w:eastAsia="Times New Roman" w:hAnsi="Times New Roman" w:cs="Times New Roman"/>
          <w:color w:val="000000"/>
          <w:spacing w:val="0"/>
          <w:w w:val="100"/>
          <w:position w:val="0"/>
        </w:rPr>
        <w:t>150%</w:t>
      </w:r>
      <w:r>
        <w:rPr>
          <w:color w:val="000000"/>
          <w:spacing w:val="0"/>
          <w:w w:val="100"/>
          <w:position w:val="0"/>
        </w:rPr>
        <w:t>，且逾期天数小于</w:t>
      </w:r>
      <w:r>
        <w:rPr>
          <w:rFonts w:ascii="Times New Roman" w:eastAsia="Times New Roman" w:hAnsi="Times New Roman" w:cs="Times New Roman"/>
          <w:color w:val="000000"/>
          <w:spacing w:val="0"/>
          <w:w w:val="100"/>
          <w:position w:val="0"/>
        </w:rPr>
        <w:t>30</w:t>
      </w:r>
      <w:r>
        <w:rPr>
          <w:color w:val="000000"/>
          <w:spacing w:val="0"/>
          <w:w w:val="100"/>
          <w:position w:val="0"/>
        </w:rPr>
        <w:t>天的信用类业务属于</w:t>
      </w:r>
      <w:r>
        <w:rPr>
          <w:rFonts w:ascii="Times New Roman" w:eastAsia="Times New Roman" w:hAnsi="Times New Roman" w:cs="Times New Roman"/>
          <w:color w:val="000000"/>
          <w:spacing w:val="0"/>
          <w:w w:val="100"/>
          <w:position w:val="0"/>
        </w:rPr>
        <w:t>“</w:t>
      </w:r>
      <w:r>
        <w:rPr>
          <w:color w:val="000000"/>
          <w:spacing w:val="0"/>
          <w:w w:val="100"/>
          <w:position w:val="0"/>
        </w:rPr>
        <w:t>第一阶段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1"/>
        <w:keepNext w:val="0"/>
        <w:keepLines w:val="0"/>
        <w:widowControl w:val="0"/>
        <w:numPr>
          <w:ilvl w:val="0"/>
          <w:numId w:val="41"/>
        </w:numPr>
        <w:shd w:val="clear" w:color="auto" w:fill="auto"/>
        <w:tabs>
          <w:tab w:pos="842" w:val="left"/>
        </w:tabs>
        <w:bidi w:val="0"/>
        <w:spacing w:before="0" w:after="0" w:line="293" w:lineRule="exact"/>
        <w:ind w:left="0" w:right="0" w:firstLine="420"/>
        <w:jc w:val="both"/>
      </w:pPr>
      <w:bookmarkStart w:id="1684" w:name="bookmark1684"/>
      <w:bookmarkEnd w:id="1684"/>
      <w:r>
        <w:rPr>
          <w:color w:val="000000"/>
          <w:spacing w:val="0"/>
          <w:w w:val="100"/>
          <w:position w:val="0"/>
        </w:rPr>
        <w:t>维持担保比例</w:t>
      </w:r>
      <w:r>
        <w:rPr>
          <w:rFonts w:ascii="Times New Roman" w:eastAsia="Times New Roman" w:hAnsi="Times New Roman" w:cs="Times New Roman"/>
          <w:color w:val="000000"/>
          <w:spacing w:val="0"/>
          <w:w w:val="100"/>
          <w:position w:val="0"/>
        </w:rPr>
        <w:t>/</w:t>
      </w:r>
      <w:r>
        <w:rPr>
          <w:color w:val="000000"/>
          <w:spacing w:val="0"/>
          <w:w w:val="100"/>
          <w:position w:val="0"/>
        </w:rPr>
        <w:t>履约保障比例大于</w:t>
      </w:r>
      <w:r>
        <w:rPr>
          <w:rFonts w:ascii="Times New Roman" w:eastAsia="Times New Roman" w:hAnsi="Times New Roman" w:cs="Times New Roman"/>
          <w:color w:val="000000"/>
          <w:spacing w:val="0"/>
          <w:w w:val="100"/>
          <w:position w:val="0"/>
        </w:rPr>
        <w:t>100%</w:t>
      </w:r>
      <w:r>
        <w:rPr>
          <w:color w:val="000000"/>
          <w:spacing w:val="0"/>
          <w:w w:val="100"/>
          <w:position w:val="0"/>
        </w:rPr>
        <w:t>小于</w:t>
      </w:r>
      <w:r>
        <w:rPr>
          <w:rFonts w:ascii="Times New Roman" w:eastAsia="Times New Roman" w:hAnsi="Times New Roman" w:cs="Times New Roman"/>
          <w:color w:val="000000"/>
          <w:spacing w:val="0"/>
          <w:w w:val="100"/>
          <w:position w:val="0"/>
        </w:rPr>
        <w:t>150%</w:t>
      </w:r>
      <w:r>
        <w:rPr>
          <w:color w:val="000000"/>
          <w:spacing w:val="0"/>
          <w:w w:val="100"/>
          <w:position w:val="0"/>
        </w:rPr>
        <w:t>,或逾期天数大于</w:t>
      </w:r>
      <w:r>
        <w:rPr>
          <w:rFonts w:ascii="Times New Roman" w:eastAsia="Times New Roman" w:hAnsi="Times New Roman" w:cs="Times New Roman"/>
          <w:color w:val="000000"/>
          <w:spacing w:val="0"/>
          <w:w w:val="100"/>
          <w:position w:val="0"/>
        </w:rPr>
        <w:t>30</w:t>
      </w:r>
      <w:r>
        <w:rPr>
          <w:color w:val="000000"/>
          <w:spacing w:val="0"/>
          <w:w w:val="100"/>
          <w:position w:val="0"/>
        </w:rPr>
        <w:t>天小于</w:t>
      </w:r>
      <w:r>
        <w:rPr>
          <w:rFonts w:ascii="Times New Roman" w:eastAsia="Times New Roman" w:hAnsi="Times New Roman" w:cs="Times New Roman"/>
          <w:color w:val="000000"/>
          <w:spacing w:val="0"/>
          <w:w w:val="100"/>
          <w:position w:val="0"/>
        </w:rPr>
        <w:t>90</w:t>
      </w:r>
      <w:r>
        <w:rPr>
          <w:color w:val="000000"/>
          <w:spacing w:val="0"/>
          <w:w w:val="100"/>
          <w:position w:val="0"/>
        </w:rPr>
        <w:t>天的信用类业务属 于</w:t>
      </w:r>
      <w:r>
        <w:rPr>
          <w:rFonts w:ascii="Times New Roman" w:eastAsia="Times New Roman" w:hAnsi="Times New Roman" w:cs="Times New Roman"/>
          <w:color w:val="000000"/>
          <w:spacing w:val="0"/>
          <w:w w:val="100"/>
          <w:position w:val="0"/>
        </w:rPr>
        <w:t>“</w:t>
      </w:r>
      <w:r>
        <w:rPr>
          <w:color w:val="000000"/>
          <w:spacing w:val="0"/>
          <w:w w:val="100"/>
          <w:position w:val="0"/>
        </w:rPr>
        <w:t>第二阶段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1"/>
        <w:keepNext w:val="0"/>
        <w:keepLines w:val="0"/>
        <w:widowControl w:val="0"/>
        <w:numPr>
          <w:ilvl w:val="0"/>
          <w:numId w:val="41"/>
        </w:numPr>
        <w:shd w:val="clear" w:color="auto" w:fill="auto"/>
        <w:tabs>
          <w:tab w:pos="842" w:val="left"/>
        </w:tabs>
        <w:bidi w:val="0"/>
        <w:spacing w:before="0" w:after="0" w:line="272" w:lineRule="exact"/>
        <w:ind w:left="0" w:right="0" w:firstLine="420"/>
        <w:jc w:val="both"/>
      </w:pPr>
      <w:bookmarkStart w:id="1685" w:name="bookmark1685"/>
      <w:bookmarkEnd w:id="1685"/>
      <w:r>
        <w:rPr>
          <w:color w:val="000000"/>
          <w:spacing w:val="0"/>
          <w:w w:val="100"/>
          <w:position w:val="0"/>
        </w:rPr>
        <w:t>维持担保比例</w:t>
      </w:r>
      <w:r>
        <w:rPr>
          <w:rFonts w:ascii="Times New Roman" w:eastAsia="Times New Roman" w:hAnsi="Times New Roman" w:cs="Times New Roman"/>
          <w:color w:val="000000"/>
          <w:spacing w:val="0"/>
          <w:w w:val="100"/>
          <w:position w:val="0"/>
        </w:rPr>
        <w:t>/</w:t>
      </w:r>
      <w:r>
        <w:rPr>
          <w:color w:val="000000"/>
          <w:spacing w:val="0"/>
          <w:w w:val="100"/>
          <w:position w:val="0"/>
        </w:rPr>
        <w:t>履约保障比例小于</w:t>
      </w:r>
      <w:r>
        <w:rPr>
          <w:rFonts w:ascii="Times New Roman" w:eastAsia="Times New Roman" w:hAnsi="Times New Roman" w:cs="Times New Roman"/>
          <w:color w:val="000000"/>
          <w:spacing w:val="0"/>
          <w:w w:val="100"/>
          <w:position w:val="0"/>
        </w:rPr>
        <w:t>100%</w:t>
      </w:r>
      <w:r>
        <w:rPr>
          <w:color w:val="000000"/>
          <w:spacing w:val="0"/>
          <w:w w:val="100"/>
          <w:position w:val="0"/>
        </w:rPr>
        <w:t>，或逾期天数大于</w:t>
      </w:r>
      <w:r>
        <w:rPr>
          <w:rFonts w:ascii="Times New Roman" w:eastAsia="Times New Roman" w:hAnsi="Times New Roman" w:cs="Times New Roman"/>
          <w:color w:val="000000"/>
          <w:spacing w:val="0"/>
          <w:w w:val="100"/>
          <w:position w:val="0"/>
        </w:rPr>
        <w:t>90</w:t>
      </w:r>
      <w:r>
        <w:rPr>
          <w:color w:val="000000"/>
          <w:spacing w:val="0"/>
          <w:w w:val="100"/>
          <w:position w:val="0"/>
        </w:rPr>
        <w:t>天的信用类业务属于</w:t>
      </w:r>
      <w:r>
        <w:rPr>
          <w:rFonts w:ascii="Times New Roman" w:eastAsia="Times New Roman" w:hAnsi="Times New Roman" w:cs="Times New Roman"/>
          <w:color w:val="000000"/>
          <w:spacing w:val="0"/>
          <w:w w:val="100"/>
          <w:position w:val="0"/>
        </w:rPr>
        <w:t>“</w:t>
      </w:r>
      <w:r>
        <w:rPr>
          <w:color w:val="000000"/>
          <w:spacing w:val="0"/>
          <w:w w:val="100"/>
          <w:position w:val="0"/>
        </w:rPr>
        <w:t>第三阶段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1"/>
        <w:keepNext w:val="0"/>
        <w:keepLines w:val="0"/>
        <w:widowControl w:val="0"/>
        <w:shd w:val="clear" w:color="auto" w:fill="auto"/>
        <w:bidi w:val="0"/>
        <w:spacing w:before="0" w:after="0" w:line="272" w:lineRule="exact"/>
        <w:ind w:left="0" w:right="0" w:firstLine="420"/>
        <w:jc w:val="both"/>
      </w:pPr>
      <w:r>
        <w:rPr>
          <w:b/>
          <w:bCs/>
          <w:color w:val="000000"/>
          <w:spacing w:val="0"/>
          <w:w w:val="100"/>
          <w:position w:val="0"/>
        </w:rPr>
        <w:t>预期信用损失计量的参数</w:t>
      </w:r>
    </w:p>
    <w:p>
      <w:pPr>
        <w:pStyle w:val="Style41"/>
        <w:keepNext w:val="0"/>
        <w:keepLines w:val="0"/>
        <w:widowControl w:val="0"/>
        <w:shd w:val="clear" w:color="auto" w:fill="auto"/>
        <w:bidi w:val="0"/>
        <w:spacing w:before="0" w:after="240" w:line="272" w:lineRule="exact"/>
        <w:ind w:left="0" w:right="0" w:firstLine="420"/>
        <w:jc w:val="both"/>
      </w:pPr>
      <w:r>
        <w:rPr>
          <w:color w:val="000000"/>
          <w:spacing w:val="0"/>
          <w:w w:val="100"/>
          <w:position w:val="0"/>
        </w:rPr>
        <w:t>根据信用风险是否发生显著增加以及是否已发生信用减值，本公司对不同的资产分别以</w:t>
      </w:r>
      <w:r>
        <w:rPr>
          <w:rFonts w:ascii="Times New Roman" w:eastAsia="Times New Roman" w:hAnsi="Times New Roman" w:cs="Times New Roman"/>
          <w:color w:val="000000"/>
          <w:spacing w:val="0"/>
          <w:w w:val="100"/>
          <w:position w:val="0"/>
        </w:rPr>
        <w:t>12</w:t>
      </w:r>
      <w:r>
        <w:rPr>
          <w:color w:val="000000"/>
          <w:spacing w:val="0"/>
          <w:w w:val="100"/>
          <w:position w:val="0"/>
        </w:rPr>
        <w:t>个月或整个 存续期的预期信用损失计量减值准备。预期信用损失计量的关键参数包括违约概率、违约损失率和违约风 险敞口。本公司考虑历史统计数据（如交易对手评级、担保方式及抵质押物类别、还款方式等）的定量分 析及前瞻性信息，建立违约概率、违约损失率及违约风险敞口模型。</w:t>
      </w:r>
    </w:p>
    <w:p>
      <w:pPr>
        <w:pStyle w:val="Style32"/>
        <w:keepNext/>
        <w:keepLines/>
        <w:widowControl w:val="0"/>
        <w:shd w:val="clear" w:color="auto" w:fill="auto"/>
        <w:bidi w:val="0"/>
        <w:spacing w:before="0" w:after="0" w:line="288" w:lineRule="exact"/>
        <w:ind w:left="0" w:right="0" w:firstLine="420"/>
        <w:jc w:val="both"/>
      </w:pPr>
      <w:bookmarkStart w:id="1686" w:name="bookmark1686"/>
      <w:bookmarkStart w:id="1687" w:name="bookmark1687"/>
      <w:bookmarkStart w:id="1688" w:name="bookmark1688"/>
      <w:r>
        <w:rPr>
          <w:color w:val="000000"/>
          <w:spacing w:val="0"/>
          <w:w w:val="100"/>
          <w:position w:val="0"/>
        </w:rPr>
        <w:t>三个阶段的减值计提方法</w:t>
      </w:r>
      <w:bookmarkEnd w:id="1686"/>
      <w:bookmarkEnd w:id="1687"/>
      <w:bookmarkEnd w:id="1688"/>
    </w:p>
    <w:p>
      <w:pPr>
        <w:pStyle w:val="Style41"/>
        <w:keepNext w:val="0"/>
        <w:keepLines w:val="0"/>
        <w:widowControl w:val="0"/>
        <w:shd w:val="clear" w:color="auto" w:fill="auto"/>
        <w:bidi w:val="0"/>
        <w:spacing w:before="0" w:after="0" w:line="288" w:lineRule="exact"/>
        <w:ind w:left="0" w:right="0" w:firstLine="420"/>
        <w:jc w:val="both"/>
      </w:pPr>
      <w:r>
        <w:rPr>
          <w:color w:val="000000"/>
          <w:spacing w:val="0"/>
          <w:w w:val="100"/>
          <w:position w:val="0"/>
        </w:rPr>
        <w:t>本公司采用违约概率</w:t>
      </w:r>
      <w:r>
        <w:rPr>
          <w:color w:val="000000"/>
          <w:spacing w:val="0"/>
          <w:w w:val="100"/>
          <w:position w:val="0"/>
        </w:rPr>
        <w:t>（</w:t>
      </w:r>
      <w:r>
        <w:rPr>
          <w:rFonts w:ascii="Times New Roman" w:eastAsia="Times New Roman" w:hAnsi="Times New Roman" w:cs="Times New Roman"/>
          <w:color w:val="000000"/>
          <w:spacing w:val="0"/>
          <w:w w:val="100"/>
          <w:position w:val="0"/>
        </w:rPr>
        <w:t>PD</w:t>
      </w:r>
      <w:r>
        <w:rPr>
          <w:color w:val="000000"/>
          <w:spacing w:val="0"/>
          <w:w w:val="100"/>
          <w:position w:val="0"/>
        </w:rPr>
        <w:t>）</w:t>
      </w:r>
      <w:r>
        <w:rPr>
          <w:color w:val="000000"/>
          <w:spacing w:val="0"/>
          <w:w w:val="100"/>
          <w:position w:val="0"/>
        </w:rPr>
        <w:t>、违约损失率</w:t>
      </w:r>
      <w:r>
        <w:rPr>
          <w:color w:val="000000"/>
          <w:spacing w:val="0"/>
          <w:w w:val="100"/>
          <w:position w:val="0"/>
        </w:rPr>
        <w:t>（</w:t>
      </w:r>
      <w:r>
        <w:rPr>
          <w:rFonts w:ascii="Times New Roman" w:eastAsia="Times New Roman" w:hAnsi="Times New Roman" w:cs="Times New Roman"/>
          <w:color w:val="000000"/>
          <w:spacing w:val="0"/>
          <w:w w:val="100"/>
          <w:position w:val="0"/>
        </w:rPr>
        <w:t>LGD</w:t>
      </w:r>
      <w:r>
        <w:rPr>
          <w:color w:val="000000"/>
          <w:spacing w:val="0"/>
          <w:w w:val="100"/>
          <w:position w:val="0"/>
        </w:rPr>
        <w:t>）</w:t>
      </w:r>
      <w:r>
        <w:rPr>
          <w:color w:val="000000"/>
          <w:spacing w:val="0"/>
          <w:w w:val="100"/>
          <w:position w:val="0"/>
        </w:rPr>
        <w:t>及违约风险敞口（</w:t>
      </w:r>
      <w:r>
        <w:rPr>
          <w:rFonts w:ascii="Times New Roman" w:eastAsia="Times New Roman" w:hAnsi="Times New Roman" w:cs="Times New Roman"/>
          <w:color w:val="000000"/>
          <w:spacing w:val="0"/>
          <w:w w:val="100"/>
          <w:position w:val="0"/>
        </w:rPr>
        <w:t>EAD</w:t>
      </w:r>
      <w:r>
        <w:rPr>
          <w:color w:val="000000"/>
          <w:spacing w:val="0"/>
          <w:w w:val="100"/>
          <w:position w:val="0"/>
        </w:rPr>
        <w:t>）</w:t>
      </w:r>
      <w:r>
        <w:rPr>
          <w:color w:val="000000"/>
          <w:spacing w:val="0"/>
          <w:w w:val="100"/>
          <w:position w:val="0"/>
        </w:rPr>
        <w:t>方法进行减值计量：</w:t>
      </w:r>
    </w:p>
    <w:p>
      <w:pPr>
        <w:pStyle w:val="Style41"/>
        <w:keepNext w:val="0"/>
        <w:keepLines w:val="0"/>
        <w:widowControl w:val="0"/>
        <w:numPr>
          <w:ilvl w:val="0"/>
          <w:numId w:val="41"/>
        </w:numPr>
        <w:shd w:val="clear" w:color="auto" w:fill="auto"/>
        <w:tabs>
          <w:tab w:pos="842" w:val="left"/>
        </w:tabs>
        <w:bidi w:val="0"/>
        <w:spacing w:before="0" w:after="0" w:line="288" w:lineRule="exact"/>
        <w:ind w:left="0" w:right="0" w:firstLine="420"/>
        <w:jc w:val="both"/>
      </w:pPr>
      <w:bookmarkStart w:id="1689" w:name="bookmark1689"/>
      <w:bookmarkEnd w:id="1689"/>
      <w:r>
        <w:rPr>
          <w:color w:val="000000"/>
          <w:spacing w:val="0"/>
          <w:w w:val="100"/>
          <w:position w:val="0"/>
        </w:rPr>
        <w:t>违约概率</w:t>
      </w:r>
      <w:r>
        <w:rPr>
          <w:color w:val="000000"/>
          <w:spacing w:val="0"/>
          <w:w w:val="100"/>
          <w:position w:val="0"/>
        </w:rPr>
        <w:t>（</w:t>
      </w:r>
      <w:r>
        <w:rPr>
          <w:rFonts w:ascii="Times New Roman" w:eastAsia="Times New Roman" w:hAnsi="Times New Roman" w:cs="Times New Roman"/>
          <w:color w:val="000000"/>
          <w:spacing w:val="0"/>
          <w:w w:val="100"/>
          <w:position w:val="0"/>
        </w:rPr>
        <w:t>PD</w:t>
      </w:r>
      <w:r>
        <w:rPr>
          <w:color w:val="000000"/>
          <w:spacing w:val="0"/>
          <w:w w:val="100"/>
          <w:position w:val="0"/>
        </w:rPr>
        <w:t>）</w:t>
      </w:r>
      <w:r>
        <w:rPr>
          <w:color w:val="000000"/>
          <w:spacing w:val="0"/>
          <w:w w:val="100"/>
          <w:position w:val="0"/>
        </w:rPr>
        <w:t>是指债务人在未来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个月或在整个剩余存续期，无法履行其偿付义务的可能性。 本公司基于历史违约数据、内部及外部评级信息、前瞻性信息等因素估计违约概率；</w:t>
      </w:r>
    </w:p>
    <w:p>
      <w:pPr>
        <w:pStyle w:val="Style41"/>
        <w:keepNext w:val="0"/>
        <w:keepLines w:val="0"/>
        <w:widowControl w:val="0"/>
        <w:numPr>
          <w:ilvl w:val="0"/>
          <w:numId w:val="41"/>
        </w:numPr>
        <w:shd w:val="clear" w:color="auto" w:fill="auto"/>
        <w:tabs>
          <w:tab w:pos="842" w:val="left"/>
        </w:tabs>
        <w:bidi w:val="0"/>
        <w:spacing w:before="0" w:after="0" w:line="281" w:lineRule="exact"/>
        <w:ind w:left="0" w:right="0" w:firstLine="420"/>
        <w:jc w:val="both"/>
      </w:pPr>
      <w:bookmarkStart w:id="1690" w:name="bookmark1690"/>
      <w:bookmarkEnd w:id="1690"/>
      <w:r>
        <w:rPr>
          <w:color w:val="000000"/>
          <w:spacing w:val="0"/>
          <w:w w:val="100"/>
          <w:position w:val="0"/>
        </w:rPr>
        <w:t>违约损失率</w:t>
      </w:r>
      <w:r>
        <w:rPr>
          <w:color w:val="000000"/>
          <w:spacing w:val="0"/>
          <w:w w:val="100"/>
          <w:position w:val="0"/>
        </w:rPr>
        <w:t>（</w:t>
      </w:r>
      <w:r>
        <w:rPr>
          <w:rFonts w:ascii="Times New Roman" w:eastAsia="Times New Roman" w:hAnsi="Times New Roman" w:cs="Times New Roman"/>
          <w:color w:val="000000"/>
          <w:spacing w:val="0"/>
          <w:w w:val="100"/>
          <w:position w:val="0"/>
        </w:rPr>
        <w:t>LGD</w:t>
      </w:r>
      <w:r>
        <w:rPr>
          <w:color w:val="000000"/>
          <w:spacing w:val="0"/>
          <w:w w:val="100"/>
          <w:position w:val="0"/>
        </w:rPr>
        <w:t>）</w:t>
      </w:r>
      <w:r>
        <w:rPr>
          <w:color w:val="000000"/>
          <w:spacing w:val="0"/>
          <w:w w:val="100"/>
          <w:position w:val="0"/>
        </w:rPr>
        <w:t>是指本公司对违约风险暴露发生损失程度作出的预期。根据交易对手的类型、 追索的方式和优先级，以及担保品的不同，违约损失率也有所不同。违约损失率以违约发生时风险敞口损 失的百分比表示；</w:t>
      </w:r>
    </w:p>
    <w:p>
      <w:pPr>
        <w:pStyle w:val="Style41"/>
        <w:keepNext w:val="0"/>
        <w:keepLines w:val="0"/>
        <w:widowControl w:val="0"/>
        <w:numPr>
          <w:ilvl w:val="0"/>
          <w:numId w:val="41"/>
        </w:numPr>
        <w:shd w:val="clear" w:color="auto" w:fill="auto"/>
        <w:tabs>
          <w:tab w:pos="842" w:val="left"/>
        </w:tabs>
        <w:bidi w:val="0"/>
        <w:spacing w:before="0" w:after="0" w:line="285" w:lineRule="exact"/>
        <w:ind w:left="0" w:right="0" w:firstLine="420"/>
        <w:jc w:val="both"/>
      </w:pPr>
      <w:bookmarkStart w:id="1691" w:name="bookmark1691"/>
      <w:bookmarkEnd w:id="1691"/>
      <w:r>
        <w:rPr>
          <w:color w:val="000000"/>
          <w:spacing w:val="0"/>
          <w:w w:val="100"/>
          <w:position w:val="0"/>
        </w:rPr>
        <w:t>违约风险敞口</w:t>
      </w:r>
      <w:r>
        <w:rPr>
          <w:color w:val="000000"/>
          <w:spacing w:val="0"/>
          <w:w w:val="100"/>
          <w:position w:val="0"/>
        </w:rPr>
        <w:t>（</w:t>
      </w:r>
      <w:r>
        <w:rPr>
          <w:rFonts w:ascii="Times New Roman" w:eastAsia="Times New Roman" w:hAnsi="Times New Roman" w:cs="Times New Roman"/>
          <w:color w:val="000000"/>
          <w:spacing w:val="0"/>
          <w:w w:val="100"/>
          <w:position w:val="0"/>
        </w:rPr>
        <w:t>EAD</w:t>
      </w:r>
      <w:r>
        <w:rPr>
          <w:color w:val="000000"/>
          <w:spacing w:val="0"/>
          <w:w w:val="100"/>
          <w:position w:val="0"/>
        </w:rPr>
        <w:t>）</w:t>
      </w:r>
      <w:r>
        <w:rPr>
          <w:color w:val="000000"/>
          <w:spacing w:val="0"/>
          <w:w w:val="100"/>
          <w:position w:val="0"/>
        </w:rPr>
        <w:t>是指在未来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个月或在整个剩余存续期中，在违约发生时，本公司应被偿 付的金额；</w:t>
      </w:r>
    </w:p>
    <w:p>
      <w:pPr>
        <w:pStyle w:val="Style41"/>
        <w:keepNext w:val="0"/>
        <w:keepLines w:val="0"/>
        <w:widowControl w:val="0"/>
        <w:numPr>
          <w:ilvl w:val="0"/>
          <w:numId w:val="41"/>
        </w:numPr>
        <w:shd w:val="clear" w:color="auto" w:fill="auto"/>
        <w:tabs>
          <w:tab w:pos="842" w:val="left"/>
        </w:tabs>
        <w:bidi w:val="0"/>
        <w:spacing w:before="0" w:after="80" w:line="285" w:lineRule="exact"/>
        <w:ind w:left="0" w:right="0" w:firstLine="420"/>
        <w:jc w:val="both"/>
      </w:pPr>
      <w:bookmarkStart w:id="1692" w:name="bookmark1692"/>
      <w:bookmarkEnd w:id="1692"/>
      <w:r>
        <w:rPr>
          <w:color w:val="000000"/>
          <w:spacing w:val="0"/>
          <w:w w:val="100"/>
          <w:position w:val="0"/>
        </w:rPr>
        <w:t>前瞻性信息，信用风险显著增加的评估及预期信用损失的计算均涉及前瞻性信息。本公司通过进 行历史数据分析，识别出影响各业务类型信用风险及预期信用损失的关键经济指标，定期根据经济指标预 测以及专家评估，确定前瞻性信息对违约概率等参数的影响。</w:t>
      </w:r>
    </w:p>
    <w:p>
      <w:pPr>
        <w:pStyle w:val="Style41"/>
        <w:keepNext w:val="0"/>
        <w:keepLines w:val="0"/>
        <w:widowControl w:val="0"/>
        <w:shd w:val="clear" w:color="auto" w:fill="auto"/>
        <w:bidi w:val="0"/>
        <w:spacing w:before="0" w:after="0" w:line="276" w:lineRule="exact"/>
        <w:ind w:left="0" w:right="0" w:firstLine="420"/>
        <w:jc w:val="both"/>
      </w:pPr>
      <w:r>
        <w:rPr>
          <w:color w:val="000000"/>
          <w:spacing w:val="0"/>
          <w:w w:val="100"/>
          <w:position w:val="0"/>
        </w:rPr>
        <w:t>对于信用类业务，本公司基于可获取的内外部信息，如：历史违约数据、履约保障比例、担保物变现 能力等因素，定期对融资人进行风险评估。本年末各阶段减值损失率（综合考虑违约概率和违约损失率） 区间如下：</w:t>
      </w:r>
    </w:p>
    <w:p>
      <w:pPr>
        <w:pStyle w:val="Style41"/>
        <w:keepNext w:val="0"/>
        <w:keepLines w:val="0"/>
        <w:widowControl w:val="0"/>
        <w:shd w:val="clear" w:color="auto" w:fill="auto"/>
        <w:bidi w:val="0"/>
        <w:spacing w:before="0" w:after="0" w:line="276" w:lineRule="exact"/>
        <w:ind w:left="0" w:right="0" w:firstLine="420"/>
        <w:jc w:val="both"/>
      </w:pPr>
      <w:r>
        <w:rPr>
          <w:color w:val="000000"/>
          <w:spacing w:val="0"/>
          <w:w w:val="100"/>
          <w:position w:val="0"/>
        </w:rPr>
        <w:t>第一阶段：根据不同的维持担保比例</w:t>
      </w:r>
      <w:r>
        <w:rPr>
          <w:rFonts w:ascii="Times New Roman" w:eastAsia="Times New Roman" w:hAnsi="Times New Roman" w:cs="Times New Roman"/>
          <w:color w:val="000000"/>
          <w:spacing w:val="0"/>
          <w:w w:val="100"/>
          <w:position w:val="0"/>
        </w:rPr>
        <w:t>/</w:t>
      </w:r>
      <w:r>
        <w:rPr>
          <w:color w:val="000000"/>
          <w:spacing w:val="0"/>
          <w:w w:val="100"/>
          <w:position w:val="0"/>
        </w:rPr>
        <w:t>履约保障比例，减值损失率一般为</w:t>
      </w:r>
      <w:r>
        <w:rPr>
          <w:rFonts w:ascii="Times New Roman" w:eastAsia="Times New Roman" w:hAnsi="Times New Roman" w:cs="Times New Roman"/>
          <w:color w:val="000000"/>
          <w:spacing w:val="0"/>
          <w:w w:val="100"/>
          <w:position w:val="0"/>
        </w:rPr>
        <w:t>0.06%-1.34%</w:t>
      </w:r>
      <w:r>
        <w:rPr>
          <w:color w:val="000000"/>
          <w:spacing w:val="0"/>
          <w:w w:val="100"/>
          <w:position w:val="0"/>
        </w:rPr>
        <w:t>；</w:t>
      </w:r>
    </w:p>
    <w:p>
      <w:pPr>
        <w:pStyle w:val="Style41"/>
        <w:keepNext w:val="0"/>
        <w:keepLines w:val="0"/>
        <w:widowControl w:val="0"/>
        <w:shd w:val="clear" w:color="auto" w:fill="auto"/>
        <w:bidi w:val="0"/>
        <w:spacing w:before="0" w:after="0" w:line="275" w:lineRule="exact"/>
        <w:ind w:left="0" w:right="0" w:firstLine="420"/>
        <w:jc w:val="both"/>
      </w:pPr>
      <w:r>
        <w:rPr>
          <w:color w:val="000000"/>
          <w:spacing w:val="0"/>
          <w:w w:val="100"/>
          <w:position w:val="0"/>
        </w:rPr>
        <w:t>第二阶段：根据不同的维持担保比例</w:t>
      </w:r>
      <w:r>
        <w:rPr>
          <w:rFonts w:ascii="Times New Roman" w:eastAsia="Times New Roman" w:hAnsi="Times New Roman" w:cs="Times New Roman"/>
          <w:color w:val="000000"/>
          <w:spacing w:val="0"/>
          <w:w w:val="100"/>
          <w:position w:val="0"/>
        </w:rPr>
        <w:t>/</w:t>
      </w:r>
      <w:r>
        <w:rPr>
          <w:color w:val="000000"/>
          <w:spacing w:val="0"/>
          <w:w w:val="100"/>
          <w:position w:val="0"/>
        </w:rPr>
        <w:t>履约保障比例，减值损失率一般不低于</w:t>
      </w:r>
      <w:r>
        <w:rPr>
          <w:rFonts w:ascii="Times New Roman" w:eastAsia="Times New Roman" w:hAnsi="Times New Roman" w:cs="Times New Roman"/>
          <w:color w:val="000000"/>
          <w:spacing w:val="0"/>
          <w:w w:val="100"/>
          <w:position w:val="0"/>
        </w:rPr>
        <w:t>4.11%</w:t>
      </w:r>
      <w:r>
        <w:rPr>
          <w:color w:val="000000"/>
          <w:spacing w:val="0"/>
          <w:w w:val="100"/>
          <w:position w:val="0"/>
        </w:rPr>
        <w:t>；</w:t>
      </w:r>
    </w:p>
    <w:p>
      <w:pPr>
        <w:pStyle w:val="Style41"/>
        <w:keepNext w:val="0"/>
        <w:keepLines w:val="0"/>
        <w:widowControl w:val="0"/>
        <w:shd w:val="clear" w:color="auto" w:fill="auto"/>
        <w:bidi w:val="0"/>
        <w:spacing w:before="0" w:after="0" w:line="275" w:lineRule="exact"/>
        <w:ind w:left="0" w:right="0" w:firstLine="420"/>
        <w:jc w:val="both"/>
      </w:pPr>
      <w:r>
        <w:rPr>
          <w:color w:val="000000"/>
          <w:spacing w:val="0"/>
          <w:w w:val="100"/>
          <w:position w:val="0"/>
        </w:rPr>
        <w:t>第三阶段：综合考虑质押物总估值、维持担保比例</w:t>
      </w:r>
      <w:r>
        <w:rPr>
          <w:rFonts w:ascii="Times New Roman" w:eastAsia="Times New Roman" w:hAnsi="Times New Roman" w:cs="Times New Roman"/>
          <w:color w:val="000000"/>
          <w:spacing w:val="0"/>
          <w:w w:val="100"/>
          <w:position w:val="0"/>
        </w:rPr>
        <w:t>/</w:t>
      </w:r>
      <w:r>
        <w:rPr>
          <w:color w:val="000000"/>
          <w:spacing w:val="0"/>
          <w:w w:val="100"/>
          <w:position w:val="0"/>
        </w:rPr>
        <w:t>履约保障比例、融资人信用状况及还款能力、其他 担保资产价值情况、第三方提供连带担保等定性与定量指标，逐项评估每笔业务的可收回金额，确定减值 准备金额。</w:t>
      </w:r>
    </w:p>
    <w:p>
      <w:pPr>
        <w:pStyle w:val="Style41"/>
        <w:keepNext w:val="0"/>
        <w:keepLines w:val="0"/>
        <w:widowControl w:val="0"/>
        <w:shd w:val="clear" w:color="auto" w:fill="auto"/>
        <w:bidi w:val="0"/>
        <w:spacing w:before="0" w:after="0" w:line="275" w:lineRule="exact"/>
        <w:ind w:left="0" w:right="0" w:firstLine="420"/>
        <w:jc w:val="both"/>
      </w:pPr>
      <w:r>
        <w:rPr>
          <w:b/>
          <w:bCs/>
          <w:color w:val="000000"/>
          <w:spacing w:val="0"/>
          <w:w w:val="100"/>
          <w:position w:val="0"/>
        </w:rPr>
        <w:t>最大信用风险敞口</w:t>
      </w:r>
    </w:p>
    <w:p>
      <w:pPr>
        <w:pStyle w:val="Style41"/>
        <w:keepNext w:val="0"/>
        <w:keepLines w:val="0"/>
        <w:widowControl w:val="0"/>
        <w:shd w:val="clear" w:color="auto" w:fill="auto"/>
        <w:bidi w:val="0"/>
        <w:spacing w:before="0" w:after="240" w:line="275" w:lineRule="exact"/>
        <w:ind w:left="0" w:right="0" w:firstLine="420"/>
        <w:jc w:val="both"/>
      </w:pPr>
      <w:r>
        <w:rPr>
          <w:color w:val="000000"/>
          <w:spacing w:val="0"/>
          <w:w w:val="100"/>
          <w:position w:val="0"/>
        </w:rPr>
        <w:t>下表列示了本公司财务状况表项目的最大信用风险敞口。该最大敞口为考虑担保或其他信用增级方法 影响前的金额。</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59,610,474,951.90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1820" w:right="0" w:firstLine="0"/>
              <w:jc w:val="both"/>
            </w:pPr>
            <w:r>
              <w:rPr>
                <w:color w:val="000000"/>
                <w:spacing w:val="0"/>
                <w:w w:val="100"/>
                <w:position w:val="0"/>
              </w:rPr>
              <w:t>41,420,316,033.42</w:t>
            </w: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10,475,675,745.56</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6,652,245,869.33</w:t>
            </w:r>
          </w:p>
        </w:tc>
      </w:tr>
      <w:tr>
        <w:trPr>
          <w:trHeight w:val="331"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融出资金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43,407,081,598.64</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30,072,385,470.42</w:t>
            </w: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33,245,692,483.69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12,515,486,058.69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110,767,197.62</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880" w:right="0" w:firstLine="0"/>
              <w:jc w:val="left"/>
            </w:pPr>
            <w:r>
              <w:rPr>
                <w:color w:val="000000"/>
                <w:spacing w:val="0"/>
                <w:w w:val="100"/>
                <w:position w:val="0"/>
              </w:rPr>
              <w:t>1,819,259,030.82</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726,021,922.60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pPr>
            <w:r>
              <w:rPr>
                <w:color w:val="000000"/>
                <w:spacing w:val="0"/>
                <w:w w:val="100"/>
                <w:position w:val="0"/>
              </w:rPr>
              <w:t>8,338,749,508.38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rPr>
              <w:t>9,801,549,035.32</w:t>
            </w: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存出保证金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880" w:right="0" w:firstLine="0"/>
              <w:jc w:val="left"/>
            </w:pPr>
            <w:r>
              <w:rPr>
                <w:color w:val="000000"/>
                <w:spacing w:val="0"/>
                <w:w w:val="100"/>
                <w:position w:val="0"/>
              </w:rPr>
              <w:t>3,142,236,877.04</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2,070,467,729.03</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80" w:right="0" w:firstLine="0"/>
              <w:jc w:val="left"/>
            </w:pPr>
            <w:r>
              <w:rPr>
                <w:color w:val="000000"/>
                <w:spacing w:val="0"/>
                <w:w w:val="100"/>
                <w:position w:val="0"/>
              </w:rPr>
              <w:t>3,477,819,258.48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895,038,591.26</w:t>
            </w: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69,620,678.62</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37,138,141.39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14,030,143,691.09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最大信用风险敞口</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177,657,900,343.22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104,260,269,530.08</w:t>
            </w:r>
          </w:p>
        </w:tc>
      </w:tr>
    </w:tbl>
    <w:p>
      <w:pPr>
        <w:pStyle w:val="Style20"/>
        <w:keepNext w:val="0"/>
        <w:keepLines w:val="0"/>
        <w:widowControl w:val="0"/>
        <w:shd w:val="clear" w:color="auto" w:fill="auto"/>
        <w:bidi w:val="0"/>
        <w:spacing w:before="0" w:after="0" w:line="240" w:lineRule="auto"/>
        <w:ind w:left="53"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流动性风险</w:t>
      </w:r>
    </w:p>
    <w:p>
      <w:pPr>
        <w:widowControl w:val="0"/>
        <w:spacing w:after="179" w:line="1" w:lineRule="exact"/>
      </w:pPr>
    </w:p>
    <w:p>
      <w:pPr>
        <w:pStyle w:val="Style41"/>
        <w:keepNext w:val="0"/>
        <w:keepLines w:val="0"/>
        <w:widowControl w:val="0"/>
        <w:shd w:val="clear" w:color="auto" w:fill="auto"/>
        <w:bidi w:val="0"/>
        <w:spacing w:before="0" w:after="0" w:line="276" w:lineRule="exact"/>
        <w:ind w:left="0" w:right="0" w:firstLine="420"/>
        <w:jc w:val="both"/>
      </w:pPr>
      <w:r>
        <w:rPr>
          <w:color w:val="000000"/>
          <w:spacing w:val="0"/>
          <w:w w:val="100"/>
          <w:position w:val="0"/>
        </w:rPr>
        <w:t>流动性风险一般是指在履行与金融负债有关的义务时遇到资金短缺的风险。而流动性是指资产在不受 价值损失的条件下是否具有迅速变现的能力，资金的流动性影响到本公司偿还到期债务的能力。由于本公 司的流动资产绝大部分为现金及银行存款，因此具有能于到期日应付可预见的融资承诺或资金被客户提取 的需求。</w:t>
      </w:r>
    </w:p>
    <w:p>
      <w:pPr>
        <w:pStyle w:val="Style41"/>
        <w:keepNext w:val="0"/>
        <w:keepLines w:val="0"/>
        <w:widowControl w:val="0"/>
        <w:shd w:val="clear" w:color="auto" w:fill="auto"/>
        <w:bidi w:val="0"/>
        <w:spacing w:before="0" w:after="0" w:line="276" w:lineRule="exact"/>
        <w:ind w:left="0" w:right="0" w:firstLine="420"/>
        <w:jc w:val="both"/>
      </w:pPr>
      <w:r>
        <w:rPr>
          <w:color w:val="000000"/>
          <w:spacing w:val="0"/>
          <w:w w:val="100"/>
          <w:position w:val="0"/>
        </w:rPr>
        <w:t>本公司内各子公司负责其自身的现金流量预测。总部财务部门在汇总各子公司现金流量预测的基础上， 持续监控短期和长期的资金需求，以确保维持充裕的现金储备和可供随时变现的有价证券，以满足日常营 运以及偿付有关到期债务的资金需求。</w:t>
      </w:r>
    </w:p>
    <w:p>
      <w:pPr>
        <w:pStyle w:val="Style41"/>
        <w:keepNext w:val="0"/>
        <w:keepLines w:val="0"/>
        <w:widowControl w:val="0"/>
        <w:shd w:val="clear" w:color="auto" w:fill="auto"/>
        <w:bidi w:val="0"/>
        <w:spacing w:before="0" w:after="0" w:line="276" w:lineRule="exact"/>
        <w:ind w:left="0" w:right="0" w:firstLine="420"/>
        <w:jc w:val="both"/>
        <w:sectPr>
          <w:footnotePr>
            <w:pos w:val="pageBottom"/>
            <w:numFmt w:val="upperRoman"/>
            <w:numStart w:val="1"/>
            <w:numRestart w:val="continuous"/>
            <w15:footnoteColumns w:val="1"/>
          </w:footnotePr>
          <w:pgSz w:w="11900" w:h="16840"/>
          <w:pgMar w:top="1798" w:right="965" w:bottom="1443" w:left="1018" w:header="0" w:footer="3" w:gutter="0"/>
          <w:cols w:space="720"/>
          <w:noEndnote/>
          <w:rtlGutter w:val="0"/>
          <w:docGrid w:linePitch="360"/>
        </w:sectPr>
      </w:pPr>
      <w:r>
        <w:rPr>
          <w:color w:val="000000"/>
          <w:spacing w:val="0"/>
          <w:w w:val="100"/>
          <w:position w:val="0"/>
        </w:rPr>
        <w:t>于资产负债表日，本公司各项金融负债以未折现的合同现金流量按到期日列示如下：</w:t>
      </w:r>
    </w:p>
    <w:tbl>
      <w:tblPr>
        <w:tblOverlap w:val="never"/>
        <w:jc w:val="center"/>
        <w:tblLayout w:type="fixed"/>
      </w:tblPr>
      <w:tblGrid>
        <w:gridCol w:w="2573"/>
        <w:gridCol w:w="1675"/>
        <w:gridCol w:w="1584"/>
        <w:gridCol w:w="1498"/>
        <w:gridCol w:w="1555"/>
        <w:gridCol w:w="1488"/>
        <w:gridCol w:w="1598"/>
        <w:gridCol w:w="1666"/>
      </w:tblGrid>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即期偿还</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1</w:t>
            </w:r>
            <w:r>
              <w:rPr>
                <w:rFonts w:ascii="SimSun" w:eastAsia="SimSun" w:hAnsi="SimSun" w:cs="SimSun"/>
                <w:color w:val="000000"/>
                <w:spacing w:val="0"/>
                <w:w w:val="100"/>
                <w:position w:val="0"/>
              </w:rPr>
              <w:t>个月内</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个月</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r>
              <w:rPr>
                <w:rFonts w:ascii="SimSun" w:eastAsia="SimSun" w:hAnsi="SimSun" w:cs="SimSun"/>
                <w:color w:val="000000"/>
                <w:spacing w:val="0"/>
                <w:w w:val="100"/>
                <w:position w:val="0"/>
              </w:rPr>
              <w:t>个月至</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2,081,828,111.52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747,003,694.58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2,828,831,806.10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应付短期融资券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916,786,181.47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4,321,756,520.03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7,998,611,575.34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13,237,154,276.84</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1,207,168,388.89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1,207,168,388.89</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28,453,726.64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417,773,704.35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1,010,735,615.28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1,483,583,859.81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2,940,546,906.08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49,490.12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40,560,777.83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17,055,411.74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57,665,679.69</w:t>
            </w: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241,420.14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32,900,078.91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194,548,492.86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1,321,628.20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229,011,620.11</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26,719,133,701.97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26,719,133,701.97</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63,928,842,159.88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63,928,842,159.88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2,721,994,228.22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101,137.16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182,361,234.31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2,904,456,599.69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712,124,144.44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14,231,615.26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5,443,736,527.16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6,170,092,286.86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1,842,482.56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1,842,482.56</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99,772,523.00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6,865,299,345.93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15,387,986,730.00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22,428,058,598.93</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82,319,937.54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82,319,937.54</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66,679,531,534.88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32,164,707,421.39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5,581,833,021.26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15,973,446,454.14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6,947,619,283.47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15,387,986,730.00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142,735,124,445.14</w:t>
            </w:r>
          </w:p>
        </w:tc>
      </w:tr>
    </w:tbl>
    <w:p>
      <w:pPr>
        <w:widowControl w:val="0"/>
        <w:spacing w:after="459" w:line="1" w:lineRule="exact"/>
      </w:pPr>
    </w:p>
    <w:tbl>
      <w:tblPr>
        <w:tblOverlap w:val="never"/>
        <w:jc w:val="center"/>
        <w:tblLayout w:type="fixed"/>
      </w:tblPr>
      <w:tblGrid>
        <w:gridCol w:w="2328"/>
        <w:gridCol w:w="1642"/>
        <w:gridCol w:w="1502"/>
        <w:gridCol w:w="1368"/>
        <w:gridCol w:w="1584"/>
        <w:gridCol w:w="1512"/>
        <w:gridCol w:w="912"/>
        <w:gridCol w:w="1267"/>
        <w:gridCol w:w="1579"/>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即期偿还</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个月内</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个月</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3</w:t>
            </w:r>
            <w:r>
              <w:rPr>
                <w:rFonts w:ascii="SimSun" w:eastAsia="SimSun" w:hAnsi="SimSun" w:cs="SimSun"/>
                <w:color w:val="000000"/>
                <w:spacing w:val="0"/>
                <w:w w:val="100"/>
                <w:position w:val="0"/>
              </w:rPr>
              <w:t>个月至</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22"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2,687,196,346.04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253,017,819.18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2,940,214,165.22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应付短期融资券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167,017,208.95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8,235,170,900.33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8,402,188,109.28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1,012,222,222.22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1,012,222,222.22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29,846,977.37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905,359.28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10,095,485.45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82,821,982.98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123,669,805.08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2,316.79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100,841.73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15,360.28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430,968.80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211,046,973.13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211,046,973.13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5,249,086,480.32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800,948,750.00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2,483,189,849.33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8,533,225,079.65</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代理买卖证券款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49,797,784,255.00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49,797,784,255.00</w:t>
            </w:r>
          </w:p>
        </w:tc>
      </w:tr>
    </w:tbl>
    <w:p>
      <w:pPr>
        <w:sectPr>
          <w:footnotePr>
            <w:pos w:val="pageBottom"/>
            <w:numFmt w:val="upperRoman"/>
            <w:numStart w:val="1"/>
            <w:numRestart w:val="continuous"/>
            <w15:footnoteColumns w:val="1"/>
          </w:footnotePr>
          <w:pgSz w:w="16840" w:h="11900" w:orient="landscape"/>
          <w:pgMar w:top="1263" w:right="1774" w:bottom="1263" w:left="1371" w:header="0" w:footer="3" w:gutter="0"/>
          <w:cols w:space="720"/>
          <w:noEndnote/>
          <w:rtlGutter w:val="0"/>
          <w:docGrid w:linePitch="360"/>
        </w:sectPr>
      </w:pPr>
    </w:p>
    <w:tbl>
      <w:tblPr>
        <w:tblOverlap w:val="never"/>
        <w:jc w:val="center"/>
        <w:tblLayout w:type="fixed"/>
      </w:tblPr>
      <w:tblGrid>
        <w:gridCol w:w="2328"/>
        <w:gridCol w:w="1642"/>
        <w:gridCol w:w="1502"/>
        <w:gridCol w:w="1368"/>
        <w:gridCol w:w="1584"/>
        <w:gridCol w:w="1512"/>
        <w:gridCol w:w="912"/>
        <w:gridCol w:w="1267"/>
        <w:gridCol w:w="1579"/>
      </w:tblGrid>
      <w:tr>
        <w:trPr>
          <w:trHeight w:val="451" w:hRule="exact"/>
        </w:trPr>
        <w:tc>
          <w:tcPr>
            <w:gridSpan w:val="9"/>
            <w:tcBorders/>
            <w:shd w:val="clear" w:color="auto" w:fill="FFFFFF"/>
            <w:vAlign w:val="top"/>
          </w:tcPr>
          <w:p>
            <w:pPr>
              <w:pStyle w:val="Style6"/>
              <w:keepNext w:val="0"/>
              <w:keepLines w:val="0"/>
              <w:widowControl w:val="0"/>
              <w:shd w:val="clear" w:color="auto" w:fill="auto"/>
              <w:tabs>
                <w:tab w:pos="3067" w:val="left"/>
                <w:tab w:pos="5501" w:val="left"/>
              </w:tabs>
              <w:bidi w:val="0"/>
              <w:spacing w:before="0" w:after="0" w:line="240" w:lineRule="auto"/>
              <w:ind w:left="0" w:right="0" w:firstLine="0"/>
              <w:jc w:val="right"/>
            </w:pPr>
            <w:r>
              <w:rPr>
                <w:color w:val="EA5405"/>
                <w:spacing w:val="0"/>
                <w:w w:val="100"/>
                <w:position w:val="0"/>
              </w:rPr>
              <w:t>W</w:t>
            </w:r>
            <w:r>
              <w:rPr>
                <w:rFonts w:ascii="SimSun" w:eastAsia="SimSun" w:hAnsi="SimSun" w:cs="SimSun"/>
                <w:color w:val="EA5405"/>
                <w:spacing w:val="0"/>
                <w:w w:val="100"/>
                <w:position w:val="0"/>
              </w:rPr>
              <w:t>镖息愚</w:t>
            </w:r>
            <w:r>
              <w:rPr>
                <w:rFonts w:ascii="SimSun" w:eastAsia="SimSun" w:hAnsi="SimSun" w:cs="SimSun"/>
                <w:color w:val="B56134"/>
                <w:spacing w:val="0"/>
                <w:w w:val="100"/>
                <w:position w:val="0"/>
              </w:rPr>
              <w:t>康</w:t>
              <w:tab/>
            </w:r>
            <w:r>
              <w:rPr>
                <w:color w:val="000000"/>
                <w:spacing w:val="0"/>
                <w:w w:val="100"/>
                <w:position w:val="0"/>
              </w:rPr>
              <w:t>300059</w:t>
              <w:tab/>
            </w:r>
            <w:r>
              <w:rPr>
                <w:rFonts w:ascii="SimSun" w:eastAsia="SimSun" w:hAnsi="SimSun" w:cs="SimSun"/>
                <w:color w:val="000000"/>
                <w:spacing w:val="0"/>
                <w:w w:val="100"/>
                <w:position w:val="0"/>
              </w:rPr>
              <w:t>东方财富信息股份有限公司</w:t>
            </w:r>
            <w:r>
              <w:rPr>
                <w:color w:val="000000"/>
                <w:spacing w:val="0"/>
                <w:w w:val="100"/>
                <w:position w:val="0"/>
              </w:rPr>
              <w:t>2021</w:t>
            </w:r>
            <w:r>
              <w:rPr>
                <w:rFonts w:ascii="SimSun" w:eastAsia="SimSun" w:hAnsi="SimSun" w:cs="SimSun"/>
                <w:color w:val="000000"/>
                <w:spacing w:val="0"/>
                <w:w w:val="100"/>
                <w:position w:val="0"/>
              </w:rPr>
              <w:t>年年度报告全文</w:t>
            </w:r>
          </w:p>
        </w:tc>
      </w:tr>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1,601,149,350.61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111,928,044.69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46,564,436.77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1,759,641,832.07</w:t>
            </w:r>
          </w:p>
        </w:tc>
      </w:tr>
      <w:tr>
        <w:trPr>
          <w:trHeight w:val="54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83" w:lineRule="exact"/>
              <w:ind w:left="0" w:right="0" w:firstLine="400"/>
              <w:jc w:val="left"/>
            </w:pPr>
            <w:r>
              <w:rPr>
                <w:rFonts w:ascii="SimSun" w:eastAsia="SimSun" w:hAnsi="SimSun" w:cs="SimSun"/>
                <w:color w:val="000000"/>
                <w:spacing w:val="0"/>
                <w:w w:val="100"/>
                <w:position w:val="0"/>
              </w:rPr>
              <w:t>一年内到期的非流动负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24,266,184.40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2,215,111,727.12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2,239,377,911.52</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1,589,463.76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1,589,463.76</w:t>
            </w: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1,218,986,301.37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1,218,986,301.37</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51,428,782,899.77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9,142,384,106.70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811,059,595.73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13,592,599,746.76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1,218,986,301.37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46,564,436.77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76,240,377,087.10</w:t>
            </w:r>
          </w:p>
        </w:tc>
      </w:tr>
    </w:tbl>
    <w:p>
      <w:pPr>
        <w:sectPr>
          <w:footnotePr>
            <w:pos w:val="pageBottom"/>
            <w:numFmt w:val="upperRoman"/>
            <w:numStart w:val="1"/>
            <w:numRestart w:val="continuous"/>
            <w15:footnoteColumns w:val="1"/>
          </w:footnotePr>
          <w:pgSz w:w="16840" w:h="11900" w:orient="landscape"/>
          <w:pgMar w:top="826" w:right="1774" w:bottom="1142" w:left="1371" w:header="0" w:footer="3" w:gutter="0"/>
          <w:cols w:space="720"/>
          <w:noEndnote/>
          <w:rtlGutter w:val="0"/>
          <w:docGrid w:linePitch="360"/>
        </w:sectPr>
      </w:pPr>
    </w:p>
    <w:p>
      <w:pPr>
        <w:pStyle w:val="Style41"/>
        <w:keepNext w:val="0"/>
        <w:keepLines w:val="0"/>
        <w:widowControl w:val="0"/>
        <w:shd w:val="clear" w:color="auto" w:fill="auto"/>
        <w:bidi w:val="0"/>
        <w:spacing w:before="0" w:after="0" w:line="270" w:lineRule="exact"/>
        <w:ind w:left="0" w:right="0" w:firstLine="440"/>
        <w:jc w:val="both"/>
      </w:pPr>
      <w:r>
        <w:rPr>
          <w:color w:val="000000"/>
          <w:spacing w:val="0"/>
          <w:w w:val="100"/>
          <w:position w:val="0"/>
        </w:rPr>
        <w:t>保持资产和负债到期日结构的匹配以及有效控制匹配差异对本公司的管理极为重要。由于业务具有不 确定的期限和不同的类别，公司很少能保持资产和负债项目的完全匹配。未匹配的头寸可能会提高收益， 但同时也增大了损失的风险。</w:t>
      </w:r>
    </w:p>
    <w:p>
      <w:pPr>
        <w:pStyle w:val="Style41"/>
        <w:keepNext w:val="0"/>
        <w:keepLines w:val="0"/>
        <w:widowControl w:val="0"/>
        <w:shd w:val="clear" w:color="auto" w:fill="auto"/>
        <w:bidi w:val="0"/>
        <w:spacing w:before="0" w:after="160" w:line="270" w:lineRule="exact"/>
        <w:ind w:left="0" w:right="0" w:firstLine="440"/>
        <w:jc w:val="both"/>
      </w:pPr>
      <w:r>
        <w:rPr>
          <w:color w:val="000000"/>
          <w:spacing w:val="0"/>
          <w:w w:val="100"/>
          <w:position w:val="0"/>
        </w:rPr>
        <w:t>资产和负债项目到期日结构的匹配情况和公司对到期负债以可接受成本进行替换的能力都是评价公 司流动风险的重要因素。</w:t>
      </w:r>
    </w:p>
    <w:p>
      <w:pPr>
        <w:pStyle w:val="Style41"/>
        <w:keepNext w:val="0"/>
        <w:keepLines w:val="0"/>
        <w:widowControl w:val="0"/>
        <w:numPr>
          <w:ilvl w:val="0"/>
          <w:numId w:val="43"/>
        </w:numPr>
        <w:shd w:val="clear" w:color="auto" w:fill="auto"/>
        <w:bidi w:val="0"/>
        <w:spacing w:before="0" w:after="60" w:line="286" w:lineRule="auto"/>
        <w:ind w:left="0" w:right="0" w:firstLine="440"/>
        <w:jc w:val="both"/>
      </w:pPr>
      <w:bookmarkStart w:id="1693" w:name="bookmark1693"/>
      <w:bookmarkEnd w:id="1693"/>
      <w:r>
        <w:rPr>
          <w:b/>
          <w:bCs/>
          <w:color w:val="000000"/>
          <w:spacing w:val="0"/>
          <w:w w:val="100"/>
          <w:position w:val="0"/>
        </w:rPr>
        <w:t>市场风险</w:t>
      </w:r>
    </w:p>
    <w:p>
      <w:pPr>
        <w:pStyle w:val="Style41"/>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市场风险是由于市场的一般或特定变化对货币、利率和衍生金融工具交易敞口头寸造成影响而产生。 本公司主要涉及的市场风险是指在以自有资金进行各类投资时因证券市场价格变动、利率变动或汇率变动 而产生盈利或亏损。</w:t>
      </w:r>
    </w:p>
    <w:p>
      <w:pPr>
        <w:pStyle w:val="Style41"/>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本公司亦从事股票及债券承销业务，并需要对部分首次发行新股的申购及债券承销作出余额认购承诺。 该等情况下，任何未完成承销的部分由于市场环境变化造成的市场价低于承销价所产生的价格变动风险将 由本公司承担。</w:t>
      </w:r>
    </w:p>
    <w:p>
      <w:pPr>
        <w:pStyle w:val="Style41"/>
        <w:keepNext w:val="0"/>
        <w:keepLines w:val="0"/>
        <w:widowControl w:val="0"/>
        <w:shd w:val="clear" w:color="auto" w:fill="auto"/>
        <w:bidi w:val="0"/>
        <w:spacing w:before="0" w:after="160" w:line="274" w:lineRule="exact"/>
        <w:ind w:left="0" w:right="0" w:firstLine="440"/>
        <w:jc w:val="both"/>
      </w:pPr>
      <w:r>
        <w:rPr>
          <w:color w:val="000000"/>
          <w:spacing w:val="0"/>
          <w:w w:val="100"/>
          <w:position w:val="0"/>
        </w:rPr>
        <w:t>管理层制定了本公司所能承担的最大市场风险敞口。该风险敞口的衡量和监察是根据本金及止损额度 而制定，并规定整体的市场风险均控制在管理层已制定的范围内。</w:t>
      </w:r>
    </w:p>
    <w:p>
      <w:pPr>
        <w:pStyle w:val="Style41"/>
        <w:keepNext w:val="0"/>
        <w:keepLines w:val="0"/>
        <w:widowControl w:val="0"/>
        <w:numPr>
          <w:ilvl w:val="0"/>
          <w:numId w:val="45"/>
        </w:numPr>
        <w:shd w:val="clear" w:color="auto" w:fill="auto"/>
        <w:bidi w:val="0"/>
        <w:spacing w:before="0" w:after="0" w:line="295" w:lineRule="auto"/>
        <w:ind w:left="0" w:right="0" w:firstLine="440"/>
        <w:jc w:val="both"/>
      </w:pPr>
      <w:bookmarkStart w:id="1694" w:name="bookmark1694"/>
      <w:bookmarkEnd w:id="1694"/>
      <w:r>
        <w:rPr>
          <w:b/>
          <w:bCs/>
          <w:color w:val="000000"/>
          <w:spacing w:val="0"/>
          <w:w w:val="100"/>
          <w:position w:val="0"/>
        </w:rPr>
        <w:t>利率风险</w:t>
      </w:r>
    </w:p>
    <w:p>
      <w:pPr>
        <w:pStyle w:val="Style41"/>
        <w:keepNext w:val="0"/>
        <w:keepLines w:val="0"/>
        <w:widowControl w:val="0"/>
        <w:shd w:val="clear" w:color="auto" w:fill="auto"/>
        <w:bidi w:val="0"/>
        <w:spacing w:before="0" w:after="0" w:line="283" w:lineRule="exact"/>
        <w:ind w:left="0" w:right="0" w:firstLine="440"/>
        <w:jc w:val="left"/>
      </w:pPr>
      <w:r>
        <w:rPr>
          <w:color w:val="000000"/>
          <w:spacing w:val="0"/>
          <w:w w:val="100"/>
          <w:position w:val="0"/>
        </w:rPr>
        <w:t>利率风险是指金融工具的公允价值或未来现金流量因市场利率变动而波动的风险。</w:t>
      </w:r>
    </w:p>
    <w:p>
      <w:pPr>
        <w:pStyle w:val="Style41"/>
        <w:keepNext w:val="0"/>
        <w:keepLines w:val="0"/>
        <w:widowControl w:val="0"/>
        <w:shd w:val="clear" w:color="auto" w:fill="auto"/>
        <w:bidi w:val="0"/>
        <w:spacing w:before="0" w:after="0" w:line="283" w:lineRule="exact"/>
        <w:ind w:left="0" w:right="0" w:firstLine="440"/>
        <w:jc w:val="left"/>
      </w:pPr>
      <w:r>
        <w:rPr>
          <w:color w:val="000000"/>
          <w:spacing w:val="0"/>
          <w:w w:val="100"/>
          <w:position w:val="0"/>
        </w:rPr>
        <w:t>本公司的利率风险敞口主要与生息资产有关。</w:t>
      </w:r>
    </w:p>
    <w:p>
      <w:pPr>
        <w:pStyle w:val="Style41"/>
        <w:keepNext w:val="0"/>
        <w:keepLines w:val="0"/>
        <w:widowControl w:val="0"/>
        <w:shd w:val="clear" w:color="auto" w:fill="auto"/>
        <w:bidi w:val="0"/>
        <w:spacing w:before="0" w:after="120" w:line="283" w:lineRule="exact"/>
        <w:ind w:left="0" w:right="0" w:firstLine="440"/>
        <w:jc w:val="both"/>
        <w:sectPr>
          <w:footnotePr>
            <w:pos w:val="pageBottom"/>
            <w:numFmt w:val="upperRoman"/>
            <w:numStart w:val="1"/>
            <w:numRestart w:val="continuous"/>
            <w15:footnoteColumns w:val="1"/>
          </w:footnotePr>
          <w:pgSz w:w="11900" w:h="16840"/>
          <w:pgMar w:top="1818" w:right="884" w:bottom="1818" w:left="1109" w:header="0" w:footer="3" w:gutter="0"/>
          <w:cols w:space="720"/>
          <w:noEndnote/>
          <w:rtlGutter w:val="0"/>
          <w:docGrid w:linePitch="360"/>
        </w:sectPr>
      </w:pPr>
      <w:r>
        <w:rPr>
          <w:color w:val="000000"/>
          <w:spacing w:val="0"/>
          <w:w w:val="100"/>
          <w:position w:val="0"/>
        </w:rPr>
        <w:t>下表汇总了本公司的利率风险。表内的金融资产和金融负债项目，按合约重新定价日与到期日两者较 早者分类，以账面价值列示：</w:t>
      </w:r>
    </w:p>
    <w:tbl>
      <w:tblPr>
        <w:tblOverlap w:val="never"/>
        <w:jc w:val="center"/>
        <w:tblLayout w:type="fixed"/>
      </w:tblPr>
      <w:tblGrid>
        <w:gridCol w:w="2155"/>
        <w:gridCol w:w="1670"/>
        <w:gridCol w:w="1531"/>
        <w:gridCol w:w="1598"/>
        <w:gridCol w:w="1670"/>
        <w:gridCol w:w="1632"/>
        <w:gridCol w:w="1613"/>
        <w:gridCol w:w="1752"/>
      </w:tblGrid>
      <w:tr>
        <w:trPr>
          <w:trHeight w:val="446" w:hRule="exact"/>
        </w:trPr>
        <w:tc>
          <w:tcPr>
            <w:gridSpan w:val="2"/>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20"/>
              <w:jc w:val="left"/>
              <w:rPr>
                <w:sz w:val="22"/>
                <w:szCs w:val="22"/>
              </w:rPr>
            </w:pPr>
            <w:r>
              <w:rPr>
                <w:rFonts w:ascii="SimHei" w:eastAsia="SimHei" w:hAnsi="SimHei" w:cs="SimHei"/>
                <w:color w:val="EA5405"/>
                <w:spacing w:val="0"/>
                <w:w w:val="100"/>
                <w:position w:val="0"/>
                <w:sz w:val="22"/>
                <w:szCs w:val="22"/>
              </w:rPr>
              <w:t>吻东方财富</w:t>
            </w:r>
          </w:p>
          <w:p>
            <w:pPr>
              <w:pStyle w:val="Style6"/>
              <w:keepNext w:val="0"/>
              <w:keepLines w:val="0"/>
              <w:widowControl w:val="0"/>
              <w:shd w:val="clear" w:color="auto" w:fill="auto"/>
              <w:bidi w:val="0"/>
              <w:spacing w:before="0" w:after="0" w:line="180" w:lineRule="auto"/>
              <w:ind w:left="0" w:right="0" w:firstLine="580"/>
              <w:jc w:val="left"/>
              <w:rPr>
                <w:sz w:val="9"/>
                <w:szCs w:val="9"/>
              </w:rPr>
            </w:pPr>
            <w:r>
              <w:rPr>
                <w:rFonts w:ascii="Arial" w:eastAsia="Arial" w:hAnsi="Arial" w:cs="Arial"/>
                <w:b/>
                <w:bCs/>
                <w:color w:val="717171"/>
                <w:spacing w:val="0"/>
                <w:w w:val="100"/>
                <w:position w:val="0"/>
                <w:sz w:val="9"/>
                <w:szCs w:val="9"/>
              </w:rPr>
              <w:t xml:space="preserve">east </w:t>
            </w:r>
            <w:r>
              <w:rPr>
                <w:rFonts w:ascii="Arial" w:eastAsia="Arial" w:hAnsi="Arial" w:cs="Arial"/>
                <w:b/>
                <w:bCs/>
                <w:color w:val="B56134"/>
                <w:spacing w:val="0"/>
                <w:w w:val="100"/>
                <w:position w:val="0"/>
                <w:sz w:val="9"/>
                <w:szCs w:val="9"/>
              </w:rPr>
              <w:t>money.com</w:t>
            </w:r>
          </w:p>
        </w:tc>
        <w:tc>
          <w:tcPr>
            <w:gridSpan w:val="2"/>
            <w:tcBorders/>
            <w:shd w:val="clear" w:color="auto" w:fill="FFFFFF"/>
            <w:vAlign w:val="bottom"/>
          </w:tcPr>
          <w:p>
            <w:pPr>
              <w:pStyle w:val="Style6"/>
              <w:keepNext w:val="0"/>
              <w:keepLines w:val="0"/>
              <w:widowControl w:val="0"/>
              <w:shd w:val="clear" w:color="auto" w:fill="auto"/>
              <w:bidi w:val="0"/>
              <w:spacing w:before="0" w:after="0" w:line="240" w:lineRule="auto"/>
              <w:ind w:left="1880" w:right="0" w:firstLine="0"/>
              <w:jc w:val="left"/>
            </w:pPr>
            <w:r>
              <w:rPr>
                <w:color w:val="000000"/>
                <w:spacing w:val="0"/>
                <w:w w:val="100"/>
                <w:position w:val="0"/>
              </w:rPr>
              <w:t>300059</w:t>
            </w:r>
          </w:p>
        </w:tc>
        <w:tc>
          <w:tcPr>
            <w:gridSpan w:val="3"/>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东方财富信息股份有限公司</w:t>
            </w:r>
            <w:r>
              <w:rPr>
                <w:color w:val="000000"/>
                <w:spacing w:val="0"/>
                <w:w w:val="100"/>
                <w:position w:val="0"/>
              </w:rPr>
              <w:t>2021</w:t>
            </w:r>
            <w:r>
              <w:rPr>
                <w:rFonts w:ascii="SimSun" w:eastAsia="SimSun" w:hAnsi="SimSun" w:cs="SimSun"/>
                <w:color w:val="000000"/>
                <w:spacing w:val="0"/>
                <w:w w:val="100"/>
                <w:position w:val="0"/>
              </w:rPr>
              <w:t>年年度报告全文</w:t>
            </w:r>
          </w:p>
        </w:tc>
      </w:tr>
      <w:tr>
        <w:trPr>
          <w:trHeight w:val="259" w:hRule="exact"/>
        </w:trPr>
        <w:tc>
          <w:tcPr>
            <w:gridSpan w:val="8"/>
            <w:tcBorders>
              <w:top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w:t>
            </w:r>
            <w:r>
              <w:rPr>
                <w:rFonts w:ascii="SimSun" w:eastAsia="SimSun" w:hAnsi="SimSun" w:cs="SimSun"/>
                <w:color w:val="000000"/>
                <w:spacing w:val="0"/>
                <w:w w:val="100"/>
                <w:position w:val="0"/>
              </w:rPr>
              <w:t>个月内</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个月</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3</w:t>
            </w:r>
            <w:r>
              <w:rPr>
                <w:rFonts w:ascii="SimSun" w:eastAsia="SimSun" w:hAnsi="SimSun" w:cs="SimSun"/>
                <w:color w:val="000000"/>
                <w:spacing w:val="0"/>
                <w:w w:val="100"/>
                <w:position w:val="0"/>
              </w:rPr>
              <w:t>个月至</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不计息</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59,541,316,939.99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69,276,843.58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59,610,593,783.57</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10,470,496,081.64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5,179,663.92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10,475,675,745.56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融出资金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1,812,249,724.95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8,863,915,658.97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32,278,987,609.97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451,928,604.75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43,407,081,598.64</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373,718,887.56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194,165,700.00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4,152,856,050.00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13,955,372,994.06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3,330,287,360.99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11,564,435,538.18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33,570,836,530.79</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110,767,197.62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110,767,197.62</w:t>
            </w: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1,819,259,030.82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1,819,259,030.82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8,338,749,508.38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8,338,749,508.38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存出保证金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3,142,236,877.04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3,142,236,877.04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3,101,600,203.00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374,412,622.39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1,806,433.09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3,477,819,258.48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60"/>
              <w:jc w:val="left"/>
            </w:pPr>
            <w:r>
              <w:rPr>
                <w:color w:val="000000"/>
                <w:spacing w:val="0"/>
                <w:w w:val="100"/>
                <w:position w:val="0"/>
              </w:rPr>
              <w:t>1,000.77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7,102,147,098.56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6,707,561,864.61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220,433,727.15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14,030,143,691.09</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327,377,741.46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327,377,741.46</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金融资产总计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78,441,619,714.95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9,058,081,358.97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36,806,256,282.36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21,057,520,092.62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10,037,849,225.60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22,909,214,288.95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178,310,540,963.45</w:t>
            </w:r>
          </w:p>
        </w:tc>
      </w:tr>
    </w:tbl>
    <w:p>
      <w:pPr>
        <w:widowControl w:val="0"/>
        <w:spacing w:after="219" w:line="1" w:lineRule="exact"/>
      </w:pPr>
    </w:p>
    <w:tbl>
      <w:tblPr>
        <w:tblOverlap w:val="never"/>
        <w:jc w:val="center"/>
        <w:tblLayout w:type="fixed"/>
      </w:tblPr>
      <w:tblGrid>
        <w:gridCol w:w="2141"/>
        <w:gridCol w:w="1670"/>
        <w:gridCol w:w="1531"/>
        <w:gridCol w:w="1598"/>
        <w:gridCol w:w="1670"/>
        <w:gridCol w:w="1632"/>
        <w:gridCol w:w="1613"/>
        <w:gridCol w:w="1709"/>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w:t>
            </w:r>
            <w:r>
              <w:rPr>
                <w:rFonts w:ascii="SimSun" w:eastAsia="SimSun" w:hAnsi="SimSun" w:cs="SimSun"/>
                <w:color w:val="000000"/>
                <w:spacing w:val="0"/>
                <w:w w:val="100"/>
                <w:position w:val="0"/>
              </w:rPr>
              <w:t>个月内</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个月</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3</w:t>
            </w:r>
            <w:r>
              <w:rPr>
                <w:rFonts w:ascii="SimSun" w:eastAsia="SimSun" w:hAnsi="SimSun" w:cs="SimSun"/>
                <w:color w:val="000000"/>
                <w:spacing w:val="0"/>
                <w:w w:val="100"/>
                <w:position w:val="0"/>
              </w:rPr>
              <w:t>个月至</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不计息</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2,076,198,111.52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700,000,000.00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33,404,272.36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2,809,602,383.88</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应付短期融资券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900,743,000.00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4,236,216,000.00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7,870,000,000.00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115,220,421.45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13,122,179,421.45</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6,662,888.89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1,206,662,888.89</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413,192,000.00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871,653,000.00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594,803,000.00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1,052,516,970.01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2,932,164,970.01</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57,665,679.69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57,665,679.69</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229,011,620.11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229,011,620.11</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26,686,309,440.00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21,356,169.89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26,707,665,609.89</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63,923,638,163.11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5,203,996.77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63,928,842,159.88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2,904,456,599.69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2,904,456,599.69</w:t>
            </w:r>
          </w:p>
        </w:tc>
      </w:tr>
      <w:tr>
        <w:trPr>
          <w:trHeight w:val="2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一年内到期的非流动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680,021,000.00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5,200,000,000.00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84,390,189.48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5,964,411,189.48</w:t>
            </w:r>
          </w:p>
        </w:tc>
      </w:tr>
    </w:tbl>
    <w:p>
      <w:pPr>
        <w:spacing w:lineRule="exact" w:line="1"/>
        <w:rPr>
          <w:sz w:val="2"/>
          <w:szCs w:val="2"/>
        </w:rPr>
      </w:pPr>
      <w:r>
        <w:br w:type="page"/>
      </w:r>
    </w:p>
    <w:tbl>
      <w:tblPr>
        <w:tblOverlap w:val="never"/>
        <w:jc w:val="center"/>
        <w:tblLayout w:type="fixed"/>
      </w:tblPr>
      <w:tblGrid>
        <w:gridCol w:w="2155"/>
        <w:gridCol w:w="1670"/>
        <w:gridCol w:w="1531"/>
        <w:gridCol w:w="1598"/>
        <w:gridCol w:w="1670"/>
        <w:gridCol w:w="1632"/>
        <w:gridCol w:w="1608"/>
        <w:gridCol w:w="1757"/>
      </w:tblGrid>
      <w:tr>
        <w:trPr>
          <w:trHeight w:val="451" w:hRule="exact"/>
        </w:trPr>
        <w:tc>
          <w:tcPr>
            <w:gridSpan w:val="7"/>
            <w:tcBorders/>
            <w:shd w:val="clear" w:color="auto" w:fill="FFFFFF"/>
            <w:vAlign w:val="top"/>
          </w:tcPr>
          <w:p>
            <w:pPr>
              <w:pStyle w:val="Style6"/>
              <w:keepNext w:val="0"/>
              <w:keepLines w:val="0"/>
              <w:widowControl w:val="0"/>
              <w:shd w:val="clear" w:color="auto" w:fill="auto"/>
              <w:tabs>
                <w:tab w:pos="3058" w:val="left"/>
                <w:tab w:pos="5506" w:val="left"/>
              </w:tabs>
              <w:bidi w:val="0"/>
              <w:spacing w:before="0" w:after="0" w:line="240" w:lineRule="auto"/>
              <w:ind w:left="0" w:right="0" w:firstLine="0"/>
              <w:jc w:val="right"/>
            </w:pPr>
            <w:r>
              <w:rPr>
                <w:color w:val="EA5405"/>
                <w:spacing w:val="0"/>
                <w:w w:val="100"/>
                <w:position w:val="0"/>
              </w:rPr>
              <w:t>W</w:t>
            </w:r>
            <w:r>
              <w:rPr>
                <w:rFonts w:ascii="SimSun" w:eastAsia="SimSun" w:hAnsi="SimSun" w:cs="SimSun"/>
                <w:color w:val="EA5405"/>
                <w:spacing w:val="0"/>
                <w:w w:val="100"/>
                <w:position w:val="0"/>
              </w:rPr>
              <w:t>柬惠期</w:t>
            </w:r>
            <w:r>
              <w:rPr>
                <w:rFonts w:ascii="SimSun" w:eastAsia="SimSun" w:hAnsi="SimSun" w:cs="SimSun"/>
                <w:color w:val="B56134"/>
                <w:spacing w:val="0"/>
                <w:w w:val="100"/>
                <w:position w:val="0"/>
              </w:rPr>
              <w:t>＜康</w:t>
              <w:tab/>
            </w:r>
            <w:r>
              <w:rPr>
                <w:color w:val="000000"/>
                <w:spacing w:val="0"/>
                <w:w w:val="100"/>
                <w:position w:val="0"/>
              </w:rPr>
              <w:t>300059</w:t>
              <w:tab/>
            </w:r>
            <w:r>
              <w:rPr>
                <w:rFonts w:ascii="SimSun" w:eastAsia="SimSun" w:hAnsi="SimSun" w:cs="SimSun"/>
                <w:color w:val="000000"/>
                <w:spacing w:val="0"/>
                <w:w w:val="100"/>
                <w:position w:val="0"/>
              </w:rPr>
              <w:t>东方财富信息股份有限公司</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年年度报告全文</w:t>
            </w:r>
          </w:p>
        </w:tc>
      </w:tr>
      <w:tr>
        <w:trPr>
          <w:trHeight w:val="298"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140"/>
              <w:jc w:val="both"/>
            </w:pPr>
            <w:r>
              <w:rPr>
                <w:rFonts w:ascii="SimSun" w:eastAsia="SimSun" w:hAnsi="SimSun" w:cs="SimSun"/>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1,842,482.56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1,842,482.56</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6,203,805,593.14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13,410,566,088.94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95,930,162.54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19,710,301,844.62</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金融负债总计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95,880,101,714.63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5,107,869,000.00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14,364,803,000.00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6,203,805,593.14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13,410,566,088.94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4,607,661,453.44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139,574,806,850.15</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利率敏感度缺口总计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-17,438,481,999.68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3,950,212,358.97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22,441,453,282.36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14,853,714,499.48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-3,372,716,863.34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18,301,552,835.51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38,735,734,113.30</w:t>
            </w:r>
          </w:p>
        </w:tc>
      </w:tr>
    </w:tbl>
    <w:p>
      <w:pPr>
        <w:widowControl w:val="0"/>
        <w:spacing w:after="459" w:line="1" w:lineRule="exact"/>
      </w:pPr>
    </w:p>
    <w:tbl>
      <w:tblPr>
        <w:tblOverlap w:val="never"/>
        <w:jc w:val="center"/>
        <w:tblLayout w:type="fixed"/>
      </w:tblPr>
      <w:tblGrid>
        <w:gridCol w:w="2184"/>
        <w:gridCol w:w="1584"/>
        <w:gridCol w:w="1574"/>
        <w:gridCol w:w="1570"/>
        <w:gridCol w:w="1570"/>
        <w:gridCol w:w="1574"/>
        <w:gridCol w:w="1584"/>
        <w:gridCol w:w="1709"/>
      </w:tblGrid>
      <w:tr>
        <w:trPr>
          <w:trHeight w:val="34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个月内</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个月</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3</w:t>
            </w:r>
            <w:r>
              <w:rPr>
                <w:rFonts w:ascii="SimSun" w:eastAsia="SimSun" w:hAnsi="SimSun" w:cs="SimSun"/>
                <w:color w:val="000000"/>
                <w:spacing w:val="0"/>
                <w:w w:val="100"/>
                <w:position w:val="0"/>
              </w:rPr>
              <w:t>个月至</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不计息</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41,384,822,492.60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35,667,941.17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41,420,490,433.77</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6,652,245,869.33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6,652,245,869.33</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融出资金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1,551,913,541.14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5,946,924,139.83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22,208,734,469.64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364,813,319.81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30,072,385,470.42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2,250,059,430.00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463,445,340.00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1,297,648,230.00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5,383,673,220.26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919,704,942.00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2,517,322,236.59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12,831,853,398.85</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726,021,922.60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726,021,922.60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9,801,549,035.32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9,801,549,035.32</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存出保证金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2,070,467,729.03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2,070,467,729.03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39,963,761.50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1,331,158.35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549,532,586.55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299,745,458.09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4,465,626.77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895,038,591.26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320,678.62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69,620,678.62</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1,606,380.85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5,608,867.60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29,670,350.37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252,542.57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37,138,141.39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123,926,074.02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123,926,074.02</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53,951,079,204.45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6,437,109,505.78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24,135,085,636.56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5,683,418,678.35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919,704,942.00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13,574,339,377.47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104,700,737,344.61</w:t>
            </w:r>
          </w:p>
        </w:tc>
      </w:tr>
    </w:tbl>
    <w:p>
      <w:pPr>
        <w:widowControl w:val="0"/>
        <w:spacing w:after="239" w:line="1" w:lineRule="exact"/>
      </w:pPr>
    </w:p>
    <w:tbl>
      <w:tblPr>
        <w:tblOverlap w:val="never"/>
        <w:jc w:val="center"/>
        <w:tblLayout w:type="fixed"/>
      </w:tblPr>
      <w:tblGrid>
        <w:gridCol w:w="2357"/>
        <w:gridCol w:w="1555"/>
        <w:gridCol w:w="1488"/>
        <w:gridCol w:w="1570"/>
        <w:gridCol w:w="1541"/>
        <w:gridCol w:w="1531"/>
        <w:gridCol w:w="1627"/>
        <w:gridCol w:w="1680"/>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个月内</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个月</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r>
              <w:rPr>
                <w:rFonts w:ascii="SimSun" w:eastAsia="SimSun" w:hAnsi="SimSun" w:cs="SimSun"/>
                <w:color w:val="000000"/>
                <w:spacing w:val="0"/>
                <w:w w:val="100"/>
                <w:position w:val="0"/>
              </w:rPr>
              <w:t>个月至</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不计息</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2,669,999,992.00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252,723,093.20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17,491,080.02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2,940,214,165.22</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应付短期融资券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164,034,000.00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2,388,040,000.00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5,780,312,000.00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69,802,109.28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8,402,188,109.28</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拆入资金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12,222,222.22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1,012,222,222.22</w:t>
            </w:r>
          </w:p>
        </w:tc>
      </w:tr>
    </w:tbl>
    <w:p>
      <w:pPr>
        <w:sectPr>
          <w:footnotePr>
            <w:pos w:val="pageBottom"/>
            <w:numFmt w:val="upperRoman"/>
            <w:numStart w:val="1"/>
            <w:numRestart w:val="continuous"/>
            <w15:footnoteColumns w:val="1"/>
          </w:footnotePr>
          <w:pgSz w:w="16840" w:h="11900" w:orient="landscape"/>
          <w:pgMar w:top="801" w:right="1803" w:bottom="1217" w:left="1414" w:header="0" w:footer="3" w:gutter="0"/>
          <w:cols w:space="720"/>
          <w:noEndnote/>
          <w:rtlGutter w:val="0"/>
          <w:docGrid w:linePitch="360"/>
        </w:sectPr>
      </w:pPr>
    </w:p>
    <w:tbl>
      <w:tblPr>
        <w:tblOverlap w:val="never"/>
        <w:jc w:val="center"/>
        <w:tblLayout w:type="fixed"/>
      </w:tblPr>
      <w:tblGrid>
        <w:gridCol w:w="2357"/>
        <w:gridCol w:w="1555"/>
        <w:gridCol w:w="1488"/>
        <w:gridCol w:w="1570"/>
        <w:gridCol w:w="1541"/>
        <w:gridCol w:w="1536"/>
        <w:gridCol w:w="1622"/>
        <w:gridCol w:w="1680"/>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900,000.00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9,995,000.00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58,614,000.00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54,160,805.08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123,669,805.08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430,968.80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430,968.80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211,046,973.13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211,046,973.13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5,246,361,000.00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6,864,079.65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8,533,225,079.65</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49,794,381,404.68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3,402,850.32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49,797,784,255.00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1,699,679,046.37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1,699,679,046.37</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83" w:lineRule="exact"/>
              <w:ind w:left="0" w:right="0" w:firstLine="300"/>
              <w:jc w:val="left"/>
            </w:pPr>
            <w:r>
              <w:rPr>
                <w:rFonts w:ascii="SimSun" w:eastAsia="SimSun" w:hAnsi="SimSun" w:cs="SimSun"/>
                <w:color w:val="000000"/>
                <w:spacing w:val="0"/>
                <w:w w:val="100"/>
                <w:position w:val="0"/>
              </w:rPr>
              <w:t>一年内到期的非流动负 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23,331,000.00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2,204,121,000.00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11,925,911.52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2,239,377,911.52</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1,589,463.76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1,589,463.76</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18,986,301.37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1,218,986,301.37</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58,899,007,396.68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3,198,035,000.00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10,775,770,093.20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2,107,601,811.52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76,180,414,301.40</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利率敏感度缺口总计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-4,947,928,192.23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3,239,074,505.78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13,359,315,543.36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4,483,418,678.35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919,704,942.00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11,466,737,565.95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28,520,323,043.21</w:t>
            </w:r>
          </w:p>
        </w:tc>
      </w:tr>
    </w:tbl>
    <w:p>
      <w:pPr>
        <w:sectPr>
          <w:footnotePr>
            <w:pos w:val="pageBottom"/>
            <w:numFmt w:val="upperRoman"/>
            <w:numStart w:val="1"/>
            <w:numRestart w:val="continuous"/>
            <w15:footnoteColumns w:val="1"/>
          </w:footnotePr>
          <w:pgSz w:w="16840" w:h="11900" w:orient="landscape"/>
          <w:pgMar w:top="1263" w:right="1947" w:bottom="1263" w:left="1544" w:header="0" w:footer="3" w:gutter="0"/>
          <w:cols w:space="720"/>
          <w:noEndnote/>
          <w:rtlGutter w:val="0"/>
          <w:docGrid w:linePitch="360"/>
        </w:sectPr>
      </w:pPr>
    </w:p>
    <w:p>
      <w:pPr>
        <w:pStyle w:val="Style32"/>
        <w:keepNext/>
        <w:keepLines/>
        <w:widowControl w:val="0"/>
        <w:shd w:val="clear" w:color="auto" w:fill="auto"/>
        <w:bidi w:val="0"/>
        <w:spacing w:before="100" w:after="0" w:line="275" w:lineRule="exact"/>
        <w:ind w:left="0" w:right="0" w:firstLine="420"/>
        <w:jc w:val="both"/>
      </w:pPr>
      <w:bookmarkStart w:id="1695" w:name="bookmark1695"/>
      <w:bookmarkStart w:id="1696" w:name="bookmark1696"/>
      <w:bookmarkStart w:id="1697" w:name="bookmark1697"/>
      <w:r>
        <w:rPr>
          <w:color w:val="000000"/>
          <w:spacing w:val="0"/>
          <w:w w:val="100"/>
          <w:position w:val="0"/>
        </w:rPr>
        <w:t>敏感性分析</w:t>
      </w:r>
      <w:bookmarkEnd w:id="1695"/>
      <w:bookmarkEnd w:id="1696"/>
      <w:bookmarkEnd w:id="1697"/>
    </w:p>
    <w:p>
      <w:pPr>
        <w:pStyle w:val="Style41"/>
        <w:keepNext w:val="0"/>
        <w:keepLines w:val="0"/>
        <w:widowControl w:val="0"/>
        <w:shd w:val="clear" w:color="auto" w:fill="auto"/>
        <w:bidi w:val="0"/>
        <w:spacing w:before="0" w:after="0" w:line="275" w:lineRule="exact"/>
        <w:ind w:left="0" w:right="0" w:firstLine="420"/>
        <w:jc w:val="both"/>
      </w:pPr>
      <w:r>
        <w:rPr>
          <w:color w:val="000000"/>
          <w:spacing w:val="0"/>
          <w:w w:val="100"/>
          <w:position w:val="0"/>
        </w:rPr>
        <w:t>本公司采用敏感性分析衡量利率变化对公司利息净收入，公允价值变动损益和权益的可能影响</w:t>
      </w:r>
      <w:r>
        <w:rPr>
          <w:rFonts w:ascii="Times New Roman" w:eastAsia="Times New Roman" w:hAnsi="Times New Roman" w:cs="Times New Roman"/>
          <w:color w:val="000000"/>
          <w:spacing w:val="0"/>
          <w:w w:val="100"/>
          <w:position w:val="0"/>
        </w:rPr>
        <w:t>（</w:t>
      </w:r>
      <w:r>
        <w:rPr>
          <w:color w:val="000000"/>
          <w:spacing w:val="0"/>
          <w:w w:val="100"/>
          <w:position w:val="0"/>
        </w:rPr>
        <w:t>税后</w:t>
      </w:r>
      <w:r>
        <w:rPr>
          <w:rFonts w:ascii="Times New Roman" w:eastAsia="Times New Roman" w:hAnsi="Times New Roman" w:cs="Times New Roman"/>
          <w:color w:val="000000"/>
          <w:spacing w:val="0"/>
          <w:w w:val="100"/>
          <w:position w:val="0"/>
        </w:rPr>
        <w:t>）</w:t>
      </w:r>
      <w:r>
        <w:rPr>
          <w:color w:val="000000"/>
          <w:spacing w:val="0"/>
          <w:w w:val="100"/>
          <w:position w:val="0"/>
        </w:rPr>
        <w:t>。 利息净收入的敏感性是基于一定利率变动对期末持有的预计未来一年内进行利率重定的金融资产及负债 的影响所产生的利息净收入的影响。公允价值变动损益敏感性和权益敏感性的计算是基于在一定利率变动 时对期末持有的固定利率以公允价值计量且其变动计入当期损益的金融资产和以公允价值计量且其变动 计入其他综合收益的债务工具进行重估的影响。</w:t>
      </w:r>
    </w:p>
    <w:p>
      <w:pPr>
        <w:pStyle w:val="Style41"/>
        <w:keepNext w:val="0"/>
        <w:keepLines w:val="0"/>
        <w:widowControl w:val="0"/>
        <w:shd w:val="clear" w:color="auto" w:fill="auto"/>
        <w:bidi w:val="0"/>
        <w:spacing w:before="0" w:after="0" w:line="281" w:lineRule="exact"/>
        <w:ind w:left="0" w:right="0" w:firstLine="420"/>
        <w:jc w:val="both"/>
      </w:pPr>
      <w:r>
        <w:rPr>
          <w:color w:val="000000"/>
          <w:spacing w:val="0"/>
          <w:w w:val="100"/>
          <w:position w:val="0"/>
        </w:rPr>
        <w:t>下表列出了截至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日按当日资产和负债进行利率敏感性分析结果，反映 了在所有其他变量保持不变且不考虑相关税费的假设下，利率发生合理、可能的变动时，将对利润总额和 其他综合收益产生的影响。</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906"/>
        <w:gridCol w:w="1915"/>
        <w:gridCol w:w="1906"/>
        <w:gridCol w:w="1910"/>
      </w:tblGrid>
      <w:tr>
        <w:trPr>
          <w:trHeight w:val="60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基点增加</w:t>
            </w:r>
            <w:r>
              <w:rPr>
                <w:color w:val="000000"/>
                <w:spacing w:val="0"/>
                <w:w w:val="100"/>
                <w:position w:val="0"/>
              </w:rPr>
              <w:t>/（</w:t>
            </w:r>
            <w:r>
              <w:rPr>
                <w:rFonts w:ascii="SimSun" w:eastAsia="SimSun" w:hAnsi="SimSun" w:cs="SimSun"/>
                <w:color w:val="000000"/>
                <w:spacing w:val="0"/>
                <w:w w:val="100"/>
                <w:position w:val="0"/>
              </w:rPr>
              <w:t>减少</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利润总额增加</w:t>
            </w:r>
            <w:r>
              <w:rPr>
                <w:color w:val="000000"/>
                <w:spacing w:val="0"/>
                <w:w w:val="100"/>
                <w:position w:val="0"/>
              </w:rPr>
              <w:t>/（</w:t>
            </w:r>
            <w:r>
              <w:rPr>
                <w:rFonts w:ascii="SimSun" w:eastAsia="SimSun" w:hAnsi="SimSun" w:cs="SimSun"/>
                <w:color w:val="000000"/>
                <w:spacing w:val="0"/>
                <w:w w:val="100"/>
                <w:position w:val="0"/>
              </w:rPr>
              <w:t>减少</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9" w:lineRule="exact"/>
              <w:ind w:left="0" w:right="0" w:firstLine="0"/>
              <w:jc w:val="center"/>
            </w:pPr>
            <w:r>
              <w:rPr>
                <w:rFonts w:ascii="SimSun" w:eastAsia="SimSun" w:hAnsi="SimSun" w:cs="SimSun"/>
                <w:color w:val="000000"/>
                <w:spacing w:val="0"/>
                <w:w w:val="100"/>
                <w:position w:val="0"/>
              </w:rPr>
              <w:t>其他综合收益 增加</w:t>
            </w:r>
            <w:r>
              <w:rPr>
                <w:color w:val="000000"/>
                <w:spacing w:val="0"/>
                <w:w w:val="100"/>
                <w:position w:val="0"/>
              </w:rPr>
              <w:t>/（</w:t>
            </w:r>
            <w:r>
              <w:rPr>
                <w:rFonts w:ascii="SimSun" w:eastAsia="SimSun" w:hAnsi="SimSun" w:cs="SimSun"/>
                <w:color w:val="000000"/>
                <w:spacing w:val="0"/>
                <w:w w:val="100"/>
                <w:position w:val="0"/>
              </w:rPr>
              <w:t>减少</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64" w:lineRule="exact"/>
              <w:ind w:left="0" w:right="0" w:firstLine="0"/>
              <w:jc w:val="center"/>
            </w:pPr>
            <w:r>
              <w:rPr>
                <w:rFonts w:ascii="SimSun" w:eastAsia="SimSun" w:hAnsi="SimSun" w:cs="SimSun"/>
                <w:color w:val="000000"/>
                <w:spacing w:val="0"/>
                <w:w w:val="100"/>
                <w:position w:val="0"/>
              </w:rPr>
              <w:t>所有者权益合计 增加</w:t>
            </w:r>
            <w:r>
              <w:rPr>
                <w:color w:val="000000"/>
                <w:spacing w:val="0"/>
                <w:w w:val="100"/>
                <w:position w:val="0"/>
              </w:rPr>
              <w:t>/（</w:t>
            </w:r>
            <w:r>
              <w:rPr>
                <w:rFonts w:ascii="SimSun" w:eastAsia="SimSun" w:hAnsi="SimSun" w:cs="SimSun"/>
                <w:color w:val="000000"/>
                <w:spacing w:val="0"/>
                <w:w w:val="100"/>
                <w:position w:val="0"/>
              </w:rPr>
              <w:t>减少</w:t>
            </w:r>
            <w:r>
              <w:rPr>
                <w:rFonts w:ascii="SimSun" w:eastAsia="SimSun" w:hAnsi="SimSun" w:cs="SimSun"/>
                <w:color w:val="000000"/>
                <w:spacing w:val="0"/>
                <w:w w:val="100"/>
                <w:position w:val="0"/>
              </w:rPr>
              <w:t>）</w:t>
            </w: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r>
              <w:rPr>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-372,518,958.39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-278,491,694.09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-651,010,652.48</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金融工具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385,762,439.06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287,576,246.05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673,338,685.11</w:t>
            </w:r>
          </w:p>
        </w:tc>
      </w:tr>
    </w:tbl>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906"/>
        <w:gridCol w:w="1915"/>
        <w:gridCol w:w="1906"/>
        <w:gridCol w:w="1910"/>
      </w:tblGrid>
      <w:tr>
        <w:trPr>
          <w:trHeight w:val="61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基点增加</w:t>
            </w:r>
            <w:r>
              <w:rPr>
                <w:color w:val="000000"/>
                <w:spacing w:val="0"/>
                <w:w w:val="100"/>
                <w:position w:val="0"/>
              </w:rPr>
              <w:t>/（</w:t>
            </w:r>
            <w:r>
              <w:rPr>
                <w:rFonts w:ascii="SimSun" w:eastAsia="SimSun" w:hAnsi="SimSun" w:cs="SimSun"/>
                <w:color w:val="000000"/>
                <w:spacing w:val="0"/>
                <w:w w:val="100"/>
                <w:position w:val="0"/>
              </w:rPr>
              <w:t>减少</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利润总额增加</w:t>
            </w:r>
            <w:r>
              <w:rPr>
                <w:color w:val="000000"/>
                <w:spacing w:val="0"/>
                <w:w w:val="100"/>
                <w:position w:val="0"/>
              </w:rPr>
              <w:t>/（</w:t>
            </w:r>
            <w:r>
              <w:rPr>
                <w:rFonts w:ascii="SimSun" w:eastAsia="SimSun" w:hAnsi="SimSun" w:cs="SimSun"/>
                <w:color w:val="000000"/>
                <w:spacing w:val="0"/>
                <w:w w:val="100"/>
                <w:position w:val="0"/>
              </w:rPr>
              <w:t>减少</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其他综合收益 增加</w:t>
            </w:r>
            <w:r>
              <w:rPr>
                <w:color w:val="000000"/>
                <w:spacing w:val="0"/>
                <w:w w:val="100"/>
                <w:position w:val="0"/>
              </w:rPr>
              <w:t>/（</w:t>
            </w:r>
            <w:r>
              <w:rPr>
                <w:rFonts w:ascii="SimSun" w:eastAsia="SimSun" w:hAnsi="SimSun" w:cs="SimSun"/>
                <w:color w:val="000000"/>
                <w:spacing w:val="0"/>
                <w:w w:val="100"/>
                <w:position w:val="0"/>
              </w:rPr>
              <w:t>减少</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所有者权益合计 增加</w:t>
            </w:r>
            <w:r>
              <w:rPr>
                <w:color w:val="000000"/>
                <w:spacing w:val="0"/>
                <w:w w:val="100"/>
                <w:position w:val="0"/>
              </w:rPr>
              <w:t>/（</w:t>
            </w:r>
            <w:r>
              <w:rPr>
                <w:rFonts w:ascii="SimSun" w:eastAsia="SimSun" w:hAnsi="SimSun" w:cs="SimSun"/>
                <w:color w:val="000000"/>
                <w:spacing w:val="0"/>
                <w:w w:val="100"/>
                <w:position w:val="0"/>
              </w:rPr>
              <w:t>减少</w:t>
            </w:r>
            <w:r>
              <w:rPr>
                <w:rFonts w:ascii="SimSun" w:eastAsia="SimSun" w:hAnsi="SimSun" w:cs="SimSun"/>
                <w:color w:val="000000"/>
                <w:spacing w:val="0"/>
                <w:w w:val="100"/>
                <w:position w:val="0"/>
              </w:rPr>
              <w:t>）</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r>
              <w:rPr>
                <w:color w:val="000000"/>
                <w:spacing w:val="0"/>
                <w:w w:val="100"/>
                <w:position w:val="0"/>
              </w:rPr>
              <w:t>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-55,854,553.74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-55,854,553.74</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金融工具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58,034,281.34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58,034,281.34</w:t>
            </w:r>
          </w:p>
        </w:tc>
      </w:tr>
    </w:tbl>
    <w:p>
      <w:pPr>
        <w:widowControl w:val="0"/>
        <w:spacing w:after="99" w:line="1" w:lineRule="exact"/>
      </w:pPr>
    </w:p>
    <w:p>
      <w:pPr>
        <w:pStyle w:val="Style32"/>
        <w:keepNext/>
        <w:keepLines/>
        <w:widowControl w:val="0"/>
        <w:shd w:val="clear" w:color="auto" w:fill="auto"/>
        <w:tabs>
          <w:tab w:pos="838" w:val="left"/>
        </w:tabs>
        <w:bidi w:val="0"/>
        <w:spacing w:before="0" w:after="0" w:line="274" w:lineRule="exact"/>
        <w:ind w:left="0" w:right="0" w:firstLine="420"/>
        <w:jc w:val="both"/>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w:t>
      </w:r>
      <w:bookmarkEnd w:id="1700"/>
      <w:r>
        <w:rPr>
          <w:rFonts w:ascii="Times New Roman" w:eastAsia="Times New Roman" w:hAnsi="Times New Roman" w:cs="Times New Roman"/>
          <w:color w:val="000000"/>
          <w:spacing w:val="0"/>
          <w:w w:val="100"/>
          <w:position w:val="0"/>
        </w:rPr>
        <w:t>b）</w:t>
        <w:tab/>
      </w:r>
      <w:r>
        <w:rPr>
          <w:color w:val="000000"/>
          <w:spacing w:val="0"/>
          <w:w w:val="100"/>
          <w:position w:val="0"/>
        </w:rPr>
        <w:t>汇率风险</w:t>
      </w:r>
      <w:bookmarkEnd w:id="1698"/>
      <w:bookmarkEnd w:id="1699"/>
      <w:bookmarkEnd w:id="1701"/>
    </w:p>
    <w:p>
      <w:pPr>
        <w:pStyle w:val="Style41"/>
        <w:keepNext w:val="0"/>
        <w:keepLines w:val="0"/>
        <w:widowControl w:val="0"/>
        <w:shd w:val="clear" w:color="auto" w:fill="auto"/>
        <w:bidi w:val="0"/>
        <w:spacing w:before="0" w:after="100" w:line="274" w:lineRule="exact"/>
        <w:ind w:left="0" w:right="0" w:firstLine="420"/>
        <w:jc w:val="both"/>
      </w:pPr>
      <w:r>
        <w:rPr>
          <w:color w:val="000000"/>
          <w:spacing w:val="0"/>
          <w:w w:val="100"/>
          <w:position w:val="0"/>
        </w:rPr>
        <w:t>汇率风险，是指金融工具的公允价值或未来现金流量因外汇汇率变动而发生波动的风险。本公司的外 币金融工具主要为客户存款和客户备付金，相关金融工具的汇率变动风险由客户承担；外币借款和应付债 券主要为境外子公司的对外融资；因此本公司面临的汇率变动风险主要与本公司的经营活动（当收支以不 同于本公司记账本位币的外币结算时）有关。</w:t>
      </w:r>
    </w:p>
    <w:p>
      <w:pPr>
        <w:pStyle w:val="Style41"/>
        <w:keepNext w:val="0"/>
        <w:keepLines w:val="0"/>
        <w:widowControl w:val="0"/>
        <w:shd w:val="clear" w:color="auto" w:fill="auto"/>
        <w:tabs>
          <w:tab w:pos="838" w:val="left"/>
        </w:tabs>
        <w:bidi w:val="0"/>
        <w:spacing w:before="0" w:after="0" w:line="273" w:lineRule="exact"/>
        <w:ind w:left="0" w:right="0" w:firstLine="420"/>
        <w:jc w:val="both"/>
      </w:pPr>
      <w:bookmarkStart w:id="1702" w:name="bookmark1702"/>
      <w:r>
        <w:rPr>
          <w:rFonts w:ascii="Times New Roman" w:eastAsia="Times New Roman" w:hAnsi="Times New Roman" w:cs="Times New Roman"/>
          <w:b/>
          <w:bCs/>
          <w:color w:val="000000"/>
          <w:spacing w:val="0"/>
          <w:w w:val="100"/>
          <w:position w:val="0"/>
        </w:rPr>
        <w:t>（</w:t>
      </w:r>
      <w:bookmarkEnd w:id="1702"/>
      <w:r>
        <w:rPr>
          <w:rFonts w:ascii="Times New Roman" w:eastAsia="Times New Roman" w:hAnsi="Times New Roman" w:cs="Times New Roman"/>
          <w:b/>
          <w:bCs/>
          <w:color w:val="000000"/>
          <w:spacing w:val="0"/>
          <w:w w:val="100"/>
          <w:position w:val="0"/>
        </w:rPr>
        <w:t>c）</w:t>
        <w:tab/>
      </w:r>
      <w:r>
        <w:rPr>
          <w:b/>
          <w:bCs/>
          <w:color w:val="000000"/>
          <w:spacing w:val="0"/>
          <w:w w:val="100"/>
          <w:position w:val="0"/>
        </w:rPr>
        <w:t>其他价格风险</w:t>
      </w:r>
    </w:p>
    <w:p>
      <w:pPr>
        <w:pStyle w:val="Style41"/>
        <w:keepNext w:val="0"/>
        <w:keepLines w:val="0"/>
        <w:widowControl w:val="0"/>
        <w:shd w:val="clear" w:color="auto" w:fill="auto"/>
        <w:bidi w:val="0"/>
        <w:spacing w:before="0" w:after="0" w:line="273" w:lineRule="exact"/>
        <w:ind w:left="0" w:right="0" w:firstLine="420"/>
        <w:jc w:val="both"/>
      </w:pPr>
      <w:r>
        <w:rPr>
          <w:color w:val="000000"/>
          <w:spacing w:val="0"/>
          <w:w w:val="100"/>
          <w:position w:val="0"/>
        </w:rPr>
        <w:t>价格风险是指本公司所持金融工具的公允价值或未来现金流量因除市场利率和外汇汇率以外的市场 价格因素变动而发生波动的风险。本公司主要投资于证券交易所上市或银行间同业市场交易的股票、基金 和期货，所面临的其他价格风险来源于单个证券发行主体自身经营情况或特殊事项的影响，也可能来源于 证券市场整体波动的影响。</w:t>
      </w:r>
    </w:p>
    <w:p>
      <w:pPr>
        <w:pStyle w:val="Style41"/>
        <w:keepNext w:val="0"/>
        <w:keepLines w:val="0"/>
        <w:widowControl w:val="0"/>
        <w:shd w:val="clear" w:color="auto" w:fill="auto"/>
        <w:bidi w:val="0"/>
        <w:spacing w:before="0" w:after="100" w:line="273" w:lineRule="exact"/>
        <w:ind w:left="0" w:right="0" w:firstLine="420"/>
        <w:jc w:val="both"/>
      </w:pPr>
      <w:r>
        <w:rPr>
          <w:color w:val="000000"/>
          <w:spacing w:val="0"/>
          <w:w w:val="100"/>
          <w:position w:val="0"/>
        </w:rPr>
        <w:t>本公司的管理层在构建和管理投资组合的过程中，采用</w:t>
      </w:r>
      <w:r>
        <w:rPr>
          <w:rFonts w:ascii="Times New Roman" w:eastAsia="Times New Roman" w:hAnsi="Times New Roman" w:cs="Times New Roman"/>
          <w:color w:val="000000"/>
          <w:spacing w:val="0"/>
          <w:w w:val="100"/>
          <w:position w:val="0"/>
        </w:rPr>
        <w:t>“</w:t>
      </w:r>
      <w:r>
        <w:rPr>
          <w:color w:val="000000"/>
          <w:spacing w:val="0"/>
          <w:w w:val="100"/>
          <w:position w:val="0"/>
        </w:rPr>
        <w:t>自上而下</w:t>
      </w:r>
      <w:r>
        <w:rPr>
          <w:rFonts w:ascii="Times New Roman" w:eastAsia="Times New Roman" w:hAnsi="Times New Roman" w:cs="Times New Roman"/>
          <w:color w:val="000000"/>
          <w:spacing w:val="0"/>
          <w:w w:val="100"/>
          <w:position w:val="0"/>
        </w:rPr>
        <w:t>''</w:t>
      </w:r>
      <w:r>
        <w:rPr>
          <w:color w:val="000000"/>
          <w:spacing w:val="0"/>
          <w:w w:val="100"/>
          <w:position w:val="0"/>
        </w:rPr>
        <w:t>的策略，通过对宏观经济情况及政 策的分析，结合证券市场运行情况，做出资产配置及组合构建的决定；通过对单个证券的定性分析及定量 分析，选择适当的投资品种进行投资。本公司的管理层定期结合宏观及微观环境的变化，对投资策略、资 产配置、投资组合进行修正，来主动应对可能发生的市场价格风险。</w:t>
      </w:r>
    </w:p>
    <w:p>
      <w:pPr>
        <w:pStyle w:val="Style41"/>
        <w:keepNext w:val="0"/>
        <w:keepLines w:val="0"/>
        <w:widowControl w:val="0"/>
        <w:shd w:val="clear" w:color="auto" w:fill="auto"/>
        <w:bidi w:val="0"/>
        <w:spacing w:before="0" w:after="0" w:line="266" w:lineRule="exact"/>
        <w:ind w:left="0" w:right="0" w:firstLine="420"/>
        <w:jc w:val="both"/>
      </w:pPr>
      <w:r>
        <w:rPr>
          <w:b/>
          <w:bCs/>
          <w:color w:val="000000"/>
          <w:spacing w:val="0"/>
          <w:w w:val="100"/>
          <w:position w:val="0"/>
        </w:rPr>
        <w:t>敏感性分析</w:t>
      </w:r>
    </w:p>
    <w:p>
      <w:pPr>
        <w:pStyle w:val="Style41"/>
        <w:keepNext w:val="0"/>
        <w:keepLines w:val="0"/>
        <w:widowControl w:val="0"/>
        <w:shd w:val="clear" w:color="auto" w:fill="auto"/>
        <w:bidi w:val="0"/>
        <w:spacing w:before="0" w:after="0" w:line="266" w:lineRule="exact"/>
        <w:ind w:left="0" w:right="0" w:firstLine="420"/>
        <w:jc w:val="both"/>
      </w:pPr>
      <w:r>
        <w:rPr>
          <w:color w:val="000000"/>
          <w:spacing w:val="0"/>
          <w:w w:val="100"/>
          <w:position w:val="0"/>
        </w:rPr>
        <w:t>市场价格的波动主要影响本公司持有的以公允价值计量的权益投资。于资产负债表日，当所有其他变 量保持不变且不考虑相关税费，如果市场价格提高或降低</w:t>
      </w:r>
      <w:r>
        <w:rPr>
          <w:rFonts w:ascii="Times New Roman" w:eastAsia="Times New Roman" w:hAnsi="Times New Roman" w:cs="Times New Roman"/>
          <w:color w:val="000000"/>
          <w:spacing w:val="0"/>
          <w:w w:val="100"/>
          <w:position w:val="0"/>
        </w:rPr>
        <w:t>10%</w:t>
      </w:r>
      <w:r>
        <w:rPr>
          <w:color w:val="000000"/>
          <w:spacing w:val="0"/>
          <w:w w:val="100"/>
          <w:position w:val="0"/>
        </w:rPr>
        <w:t>，将对本公司该年度利润总额和其他综合收 益产生的影响如下：</w:t>
      </w:r>
    </w:p>
    <w:p>
      <w:pPr>
        <w:pStyle w:val="Style24"/>
        <w:keepNext w:val="0"/>
        <w:keepLines w:val="0"/>
        <w:widowControl w:val="0"/>
        <w:shd w:val="clear" w:color="auto" w:fill="auto"/>
        <w:bidi w:val="0"/>
        <w:spacing w:before="0" w:after="100" w:line="266" w:lineRule="exact"/>
        <w:ind w:left="0" w:right="0" w:firstLine="0"/>
        <w:jc w:val="right"/>
      </w:pPr>
      <w:r>
        <w:rPr>
          <w:color w:val="000000"/>
          <w:spacing w:val="0"/>
          <w:w w:val="100"/>
          <w:position w:val="0"/>
        </w:rPr>
        <w:t>单位：元</w:t>
      </w:r>
    </w:p>
    <w:tbl>
      <w:tblPr>
        <w:tblOverlap w:val="never"/>
        <w:jc w:val="center"/>
        <w:tblLayout w:type="fixed"/>
      </w:tblPr>
      <w:tblGrid>
        <w:gridCol w:w="2371"/>
        <w:gridCol w:w="1690"/>
        <w:gridCol w:w="1742"/>
        <w:gridCol w:w="1776"/>
        <w:gridCol w:w="1968"/>
      </w:tblGrid>
      <w:tr>
        <w:trPr>
          <w:trHeight w:val="61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公允价值增加</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减少</w:t>
            </w: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利润总额增加</w:t>
            </w:r>
            <w:r>
              <w:rPr>
                <w:color w:val="000000"/>
                <w:spacing w:val="0"/>
                <w:w w:val="100"/>
                <w:position w:val="0"/>
              </w:rPr>
              <w:t>/</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减少</w:t>
            </w: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其他综合收益 增加</w:t>
            </w:r>
            <w:r>
              <w:rPr>
                <w:color w:val="000000"/>
                <w:spacing w:val="0"/>
                <w:w w:val="100"/>
                <w:position w:val="0"/>
              </w:rPr>
              <w:t>/（</w:t>
            </w:r>
            <w:r>
              <w:rPr>
                <w:rFonts w:ascii="SimSun" w:eastAsia="SimSun" w:hAnsi="SimSun" w:cs="SimSun"/>
                <w:color w:val="000000"/>
                <w:spacing w:val="0"/>
                <w:w w:val="100"/>
                <w:position w:val="0"/>
              </w:rPr>
              <w:t>减少</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83" w:lineRule="exact"/>
              <w:ind w:left="0" w:right="0" w:firstLine="0"/>
              <w:jc w:val="center"/>
            </w:pPr>
            <w:r>
              <w:rPr>
                <w:rFonts w:ascii="SimSun" w:eastAsia="SimSun" w:hAnsi="SimSun" w:cs="SimSun"/>
                <w:color w:val="000000"/>
                <w:spacing w:val="0"/>
                <w:w w:val="100"/>
                <w:position w:val="0"/>
              </w:rPr>
              <w:t>所有者权益合计 增加</w:t>
            </w:r>
            <w:r>
              <w:rPr>
                <w:color w:val="000000"/>
                <w:spacing w:val="0"/>
                <w:w w:val="100"/>
                <w:position w:val="0"/>
              </w:rPr>
              <w:t>/（</w:t>
            </w:r>
            <w:r>
              <w:rPr>
                <w:rFonts w:ascii="SimSun" w:eastAsia="SimSun" w:hAnsi="SimSun" w:cs="SimSun"/>
                <w:color w:val="000000"/>
                <w:spacing w:val="0"/>
                <w:w w:val="100"/>
                <w:position w:val="0"/>
              </w:rPr>
              <w:t>减少</w:t>
            </w:r>
            <w:r>
              <w:rPr>
                <w:rFonts w:ascii="SimSun" w:eastAsia="SimSun" w:hAnsi="SimSun" w:cs="SimSun"/>
                <w:color w:val="000000"/>
                <w:spacing w:val="0"/>
                <w:w w:val="100"/>
                <w:position w:val="0"/>
              </w:rPr>
              <w:t>）</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499,937,554.03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499,937,554.03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-499,937,554.03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-499,937,554.03</w:t>
            </w:r>
          </w:p>
        </w:tc>
      </w:tr>
      <w:tr>
        <w:trPr>
          <w:trHeight w:val="331" w:hRule="exact"/>
        </w:trPr>
        <w:tc>
          <w:tcPr>
            <w:gridSpan w:val="5"/>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274"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公允价值</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利润总额增加</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其他综合收益</w:t>
            </w:r>
          </w:p>
        </w:tc>
        <w:tc>
          <w:tcPr>
            <w:tcBorders>
              <w:top w:val="single" w:sz="4"/>
              <w:left w:val="single" w:sz="4"/>
              <w:righ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所有者权益合计</w:t>
            </w:r>
          </w:p>
        </w:tc>
      </w:tr>
      <w:tr>
        <w:trPr>
          <w:trHeight w:val="326"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增加</w:t>
            </w:r>
            <w:r>
              <w:rPr>
                <w:color w:val="000000"/>
                <w:spacing w:val="0"/>
                <w:w w:val="100"/>
                <w:position w:val="0"/>
              </w:rPr>
              <w:t>/（</w:t>
            </w:r>
            <w:r>
              <w:rPr>
                <w:rFonts w:ascii="SimSun" w:eastAsia="SimSun" w:hAnsi="SimSun" w:cs="SimSun"/>
                <w:color w:val="000000"/>
                <w:spacing w:val="0"/>
                <w:w w:val="100"/>
                <w:position w:val="0"/>
              </w:rPr>
              <w:t>减少</w:t>
            </w:r>
            <w:r>
              <w:rPr>
                <w:rFonts w:ascii="SimSun" w:eastAsia="SimSun" w:hAnsi="SimSun" w:cs="SimSun"/>
                <w:color w:val="000000"/>
                <w:spacing w:val="0"/>
                <w:w w:val="100"/>
                <w:position w:val="0"/>
              </w:rPr>
              <w:t>）</w:t>
            </w: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减少</w:t>
            </w:r>
            <w:r>
              <w:rPr>
                <w:rFonts w:ascii="SimSun" w:eastAsia="SimSun" w:hAnsi="SimSun" w:cs="SimSun"/>
                <w:color w:val="000000"/>
                <w:spacing w:val="0"/>
                <w:w w:val="100"/>
                <w:position w:val="0"/>
              </w:rPr>
              <w:t>）</w:t>
            </w: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增加</w:t>
            </w:r>
            <w:r>
              <w:rPr>
                <w:color w:val="000000"/>
                <w:spacing w:val="0"/>
                <w:w w:val="100"/>
                <w:position w:val="0"/>
              </w:rPr>
              <w:t>/（</w:t>
            </w:r>
            <w:r>
              <w:rPr>
                <w:rFonts w:ascii="SimSun" w:eastAsia="SimSun" w:hAnsi="SimSun" w:cs="SimSun"/>
                <w:color w:val="000000"/>
                <w:spacing w:val="0"/>
                <w:w w:val="100"/>
                <w:position w:val="0"/>
              </w:rPr>
              <w:t>减少</w:t>
            </w:r>
            <w:r>
              <w:rPr>
                <w:rFonts w:ascii="SimSun" w:eastAsia="SimSun" w:hAnsi="SimSun" w:cs="SimSun"/>
                <w:color w:val="000000"/>
                <w:spacing w:val="0"/>
                <w:w w:val="100"/>
                <w:position w:val="0"/>
              </w:rPr>
              <w:t>）</w:t>
            </w:r>
          </w:p>
        </w:tc>
        <w:tc>
          <w:tcPr>
            <w:tcBorders>
              <w:left w:val="single" w:sz="4"/>
              <w:bottom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增加</w:t>
            </w:r>
            <w:r>
              <w:rPr>
                <w:color w:val="000000"/>
                <w:spacing w:val="0"/>
                <w:w w:val="100"/>
                <w:position w:val="0"/>
              </w:rPr>
              <w:t>/（</w:t>
            </w:r>
            <w:r>
              <w:rPr>
                <w:rFonts w:ascii="SimSun" w:eastAsia="SimSun" w:hAnsi="SimSun" w:cs="SimSun"/>
                <w:color w:val="000000"/>
                <w:spacing w:val="0"/>
                <w:w w:val="100"/>
                <w:position w:val="0"/>
              </w:rPr>
              <w:t>减少</w:t>
            </w:r>
            <w:r>
              <w:rPr>
                <w:rFonts w:ascii="SimSun" w:eastAsia="SimSun" w:hAnsi="SimSun" w:cs="SimSu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371"/>
        <w:gridCol w:w="1690"/>
        <w:gridCol w:w="1742"/>
        <w:gridCol w:w="1776"/>
        <w:gridCol w:w="1968"/>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605,521,073.39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605,521,073.39</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金融工具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-605,521,073.39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-605,521,073.39</w:t>
            </w:r>
          </w:p>
        </w:tc>
      </w:tr>
    </w:tbl>
    <w:p>
      <w:pPr>
        <w:widowControl w:val="0"/>
        <w:spacing w:after="119" w:line="1" w:lineRule="exact"/>
      </w:pPr>
    </w:p>
    <w:p>
      <w:pPr>
        <w:pStyle w:val="Style32"/>
        <w:keepNext/>
        <w:keepLines/>
        <w:widowControl w:val="0"/>
        <w:shd w:val="clear" w:color="auto" w:fill="auto"/>
        <w:bidi w:val="0"/>
        <w:spacing w:before="0" w:after="0" w:line="240" w:lineRule="auto"/>
        <w:ind w:left="0" w:right="0" w:firstLine="420"/>
        <w:jc w:val="both"/>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w:t>
      </w:r>
      <w:bookmarkEnd w:id="1705"/>
      <w:r>
        <w:rPr>
          <w:rFonts w:ascii="Times New Roman" w:eastAsia="Times New Roman" w:hAnsi="Times New Roman" w:cs="Times New Roman"/>
          <w:color w:val="000000"/>
          <w:spacing w:val="0"/>
          <w:w w:val="100"/>
          <w:position w:val="0"/>
        </w:rPr>
        <w:t>4）</w:t>
      </w:r>
      <w:r>
        <w:rPr>
          <w:color w:val="000000"/>
          <w:spacing w:val="0"/>
          <w:w w:val="100"/>
          <w:position w:val="0"/>
        </w:rPr>
        <w:t>资本管理</w:t>
      </w:r>
      <w:bookmarkEnd w:id="1703"/>
      <w:bookmarkEnd w:id="1704"/>
      <w:bookmarkEnd w:id="1706"/>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本公司资本管理的主要目标是确保本公司持续经营的能力，以支持业务发展并使股东价值最大化。</w:t>
      </w:r>
    </w:p>
    <w:p>
      <w:pPr>
        <w:pStyle w:val="Style41"/>
        <w:keepNext w:val="0"/>
        <w:keepLines w:val="0"/>
        <w:widowControl w:val="0"/>
        <w:shd w:val="clear" w:color="auto" w:fill="auto"/>
        <w:bidi w:val="0"/>
        <w:spacing w:before="0" w:after="340" w:line="278" w:lineRule="exact"/>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2021</w:t>
      </w:r>
      <w:r>
        <w:rPr>
          <w:color w:val="000000"/>
          <w:spacing w:val="0"/>
          <w:w w:val="100"/>
          <w:position w:val="0"/>
        </w:rPr>
        <w:t>年度及</w:t>
      </w:r>
      <w:r>
        <w:rPr>
          <w:rFonts w:ascii="Times New Roman" w:eastAsia="Times New Roman" w:hAnsi="Times New Roman" w:cs="Times New Roman"/>
          <w:color w:val="000000"/>
          <w:spacing w:val="0"/>
          <w:w w:val="100"/>
          <w:position w:val="0"/>
        </w:rPr>
        <w:t>2020</w:t>
      </w:r>
      <w:r>
        <w:rPr>
          <w:color w:val="000000"/>
          <w:spacing w:val="0"/>
          <w:w w:val="100"/>
          <w:position w:val="0"/>
        </w:rPr>
        <w:t>年度，资本管理目标、政策或程序未发生变化。</w:t>
      </w:r>
    </w:p>
    <w:p>
      <w:pPr>
        <w:pStyle w:val="Style22"/>
        <w:keepNext/>
        <w:keepLines/>
        <w:widowControl w:val="0"/>
        <w:shd w:val="clear" w:color="auto" w:fill="auto"/>
        <w:bidi w:val="0"/>
        <w:spacing w:before="0" w:after="280" w:line="240" w:lineRule="auto"/>
        <w:ind w:left="0" w:right="0" w:firstLine="0"/>
        <w:jc w:val="left"/>
      </w:pPr>
      <w:bookmarkStart w:id="1707" w:name="bookmark1707"/>
      <w:bookmarkStart w:id="1708" w:name="bookmark1708"/>
      <w:bookmarkStart w:id="1709" w:name="bookmark1709"/>
      <w:r>
        <w:rPr>
          <w:color w:val="000000"/>
          <w:spacing w:val="0"/>
          <w:w w:val="100"/>
          <w:position w:val="0"/>
          <w:sz w:val="24"/>
          <w:szCs w:val="24"/>
        </w:rPr>
        <w:t>十一、公允价值的披露</w:t>
      </w:r>
      <w:bookmarkEnd w:id="1707"/>
      <w:bookmarkEnd w:id="1708"/>
      <w:bookmarkEnd w:id="1709"/>
    </w:p>
    <w:p>
      <w:pPr>
        <w:pStyle w:val="Style41"/>
        <w:keepNext w:val="0"/>
        <w:keepLines w:val="0"/>
        <w:widowControl w:val="0"/>
        <w:shd w:val="clear" w:color="auto" w:fill="auto"/>
        <w:bidi w:val="0"/>
        <w:spacing w:before="0" w:after="0" w:line="278" w:lineRule="exact"/>
        <w:ind w:left="0" w:right="0" w:firstLine="420"/>
        <w:jc w:val="both"/>
      </w:pPr>
      <w:r>
        <w:rPr>
          <w:color w:val="000000"/>
          <w:spacing w:val="0"/>
          <w:w w:val="100"/>
          <w:position w:val="0"/>
        </w:rPr>
        <w:t>公允价值是指在公平交易中，熟悉情况的交易双方自愿进行资产交换或者债务清偿所收到或支付的金 额。以下是评估公允价值的方法和假设。</w:t>
      </w:r>
    </w:p>
    <w:p>
      <w:pPr>
        <w:pStyle w:val="Style41"/>
        <w:keepNext w:val="0"/>
        <w:keepLines w:val="0"/>
        <w:widowControl w:val="0"/>
        <w:shd w:val="clear" w:color="auto" w:fill="auto"/>
        <w:bidi w:val="0"/>
        <w:spacing w:before="0" w:after="0" w:line="278" w:lineRule="exact"/>
        <w:ind w:left="0" w:right="0" w:firstLine="420"/>
        <w:jc w:val="left"/>
      </w:pPr>
      <w:r>
        <w:rPr>
          <w:color w:val="000000"/>
          <w:spacing w:val="0"/>
          <w:w w:val="100"/>
          <w:position w:val="0"/>
        </w:rPr>
        <w:t>本公司采用以下公允价值层次计量和披露金融工具的公允价值：</w:t>
      </w:r>
    </w:p>
    <w:p>
      <w:pPr>
        <w:pStyle w:val="Style41"/>
        <w:keepNext w:val="0"/>
        <w:keepLines w:val="0"/>
        <w:widowControl w:val="0"/>
        <w:shd w:val="clear" w:color="auto" w:fill="auto"/>
        <w:bidi w:val="0"/>
        <w:spacing w:before="0" w:after="0" w:line="278" w:lineRule="exact"/>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根据同类资产或负债在活跃市场上（未经调整）的报价确定公允价值（</w:t>
      </w:r>
      <w:r>
        <w:rPr>
          <w:rFonts w:ascii="Times New Roman" w:eastAsia="Times New Roman" w:hAnsi="Times New Roman" w:cs="Times New Roman"/>
          <w:color w:val="000000"/>
          <w:spacing w:val="0"/>
          <w:w w:val="100"/>
          <w:position w:val="0"/>
        </w:rPr>
        <w:t>“</w:t>
      </w:r>
      <w:r>
        <w:rPr>
          <w:color w:val="000000"/>
          <w:spacing w:val="0"/>
          <w:w w:val="100"/>
          <w:position w:val="0"/>
        </w:rPr>
        <w:t>第一层次</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1"/>
        <w:keepNext w:val="0"/>
        <w:keepLines w:val="0"/>
        <w:widowControl w:val="0"/>
        <w:shd w:val="clear" w:color="auto" w:fill="auto"/>
        <w:bidi w:val="0"/>
        <w:spacing w:before="0" w:after="0" w:line="278" w:lineRule="exact"/>
        <w:ind w:left="0" w:right="0" w:firstLine="420"/>
        <w:jc w:val="both"/>
      </w:pPr>
      <w:r>
        <w:rPr>
          <w:color w:val="000000"/>
          <w:spacing w:val="0"/>
          <w:w w:val="100"/>
          <w:position w:val="0"/>
        </w:rPr>
        <w:t>⑵根据直接（比如取自价格）或间接（比如根据价格推算的）可观察到的、除市场报价以外的有关资 产或负债的输入值确定公允价值（</w:t>
      </w:r>
      <w:r>
        <w:rPr>
          <w:rFonts w:ascii="Times New Roman" w:eastAsia="Times New Roman" w:hAnsi="Times New Roman" w:cs="Times New Roman"/>
          <w:color w:val="000000"/>
          <w:spacing w:val="0"/>
          <w:w w:val="100"/>
          <w:position w:val="0"/>
        </w:rPr>
        <w:t>“</w:t>
      </w:r>
      <w:r>
        <w:rPr>
          <w:color w:val="000000"/>
          <w:spacing w:val="0"/>
          <w:w w:val="100"/>
          <w:position w:val="0"/>
        </w:rPr>
        <w:t>第二层次</w:t>
      </w:r>
      <w:r>
        <w:rPr>
          <w:rFonts w:ascii="Times New Roman" w:eastAsia="Times New Roman" w:hAnsi="Times New Roman" w:cs="Times New Roman"/>
          <w:color w:val="000000"/>
          <w:spacing w:val="0"/>
          <w:w w:val="100"/>
          <w:position w:val="0"/>
        </w:rPr>
        <w:t>”</w:t>
      </w:r>
      <w:r>
        <w:rPr>
          <w:color w:val="000000"/>
          <w:spacing w:val="0"/>
          <w:w w:val="100"/>
          <w:position w:val="0"/>
        </w:rPr>
        <w:t>）；及</w:t>
      </w:r>
    </w:p>
    <w:p>
      <w:pPr>
        <w:pStyle w:val="Style41"/>
        <w:keepNext w:val="0"/>
        <w:keepLines w:val="0"/>
        <w:widowControl w:val="0"/>
        <w:shd w:val="clear" w:color="auto" w:fill="auto"/>
        <w:bidi w:val="0"/>
        <w:spacing w:before="0" w:after="280" w:line="288" w:lineRule="exact"/>
        <w:ind w:left="0" w:right="0" w:firstLine="420"/>
        <w:jc w:val="both"/>
      </w:pPr>
      <w:bookmarkStart w:id="1710" w:name="bookmark1710"/>
      <w:r>
        <w:rPr>
          <w:rFonts w:ascii="Times New Roman" w:eastAsia="Times New Roman" w:hAnsi="Times New Roman" w:cs="Times New Roman"/>
          <w:color w:val="000000"/>
          <w:spacing w:val="0"/>
          <w:w w:val="100"/>
          <w:position w:val="0"/>
        </w:rPr>
        <w:t>（</w:t>
      </w:r>
      <w:bookmarkEnd w:id="1710"/>
      <w:r>
        <w:rPr>
          <w:rFonts w:ascii="Times New Roman" w:eastAsia="Times New Roman" w:hAnsi="Times New Roman" w:cs="Times New Roman"/>
          <w:color w:val="000000"/>
          <w:spacing w:val="0"/>
          <w:w w:val="100"/>
          <w:position w:val="0"/>
        </w:rPr>
        <w:t>3）</w:t>
      </w:r>
      <w:r>
        <w:rPr>
          <w:color w:val="000000"/>
          <w:spacing w:val="0"/>
          <w:w w:val="100"/>
          <w:position w:val="0"/>
        </w:rPr>
        <w:t>根据可观察到的市场数据以外的变量为基础确定的资产或负债的输入值（不可观察输入值）确定 公允价值（</w:t>
      </w:r>
      <w:r>
        <w:rPr>
          <w:rFonts w:ascii="Times New Roman" w:eastAsia="Times New Roman" w:hAnsi="Times New Roman" w:cs="Times New Roman"/>
          <w:color w:val="000000"/>
          <w:spacing w:val="0"/>
          <w:w w:val="100"/>
          <w:position w:val="0"/>
        </w:rPr>
        <w:t>“</w:t>
      </w:r>
      <w:r>
        <w:rPr>
          <w:color w:val="000000"/>
          <w:spacing w:val="0"/>
          <w:w w:val="100"/>
          <w:position w:val="0"/>
        </w:rPr>
        <w:t>第三层次</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keepLines/>
        <w:widowControl w:val="0"/>
        <w:shd w:val="clear" w:color="auto" w:fill="auto"/>
        <w:bidi w:val="0"/>
        <w:spacing w:before="0" w:after="280" w:line="278" w:lineRule="exact"/>
        <w:ind w:left="0" w:right="0" w:firstLine="0"/>
        <w:jc w:val="left"/>
      </w:pPr>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11"/>
      <w:bookmarkEnd w:id="1712"/>
      <w:bookmarkEnd w:id="171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51"/>
        <w:gridCol w:w="1800"/>
        <w:gridCol w:w="1642"/>
        <w:gridCol w:w="1646"/>
        <w:gridCol w:w="1709"/>
      </w:tblGrid>
      <w:tr>
        <w:trPr>
          <w:trHeight w:val="34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r>
      <w:tr>
        <w:trPr>
          <w:trHeight w:val="54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第一层次公允价值 计量</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第二层次公允价 值计量</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第三层次公允价 值计量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持续的公允价值计量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9,016,860,227.67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23,755,928,799.43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798,047,503.69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33,570,836,530.79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529,300.00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22,382,882,576.00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22,383,411,876.00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8,689,128,255.35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784,622,083.09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9,473,750,338.44</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）股票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327,127,902.32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14,960,706.58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342,088,608.90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）银行理财和结构性存款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583,349,140.34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583,349,140.34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74,770.00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783,086,797.11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788,236,567.11</w:t>
            </w: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3,397,141.20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107,370,056.42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110,767,197.62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14,030,143,691.09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14,030,143,691.09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327,377,741.46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327,377,741.46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327,377,741.46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327,377,741.46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持续以公允价值计量的资产总额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9,020,257,368.87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37,786,072,490.52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1,232,795,301.57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48,039,125,160.96</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289,905,976.64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2,642,258,993.37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2,932,164,970.01</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）短期收益凭证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1,635,450,566.40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1,635,450,566.40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）资管计划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28,453,726.64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28,453,726.64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261,452,250.00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261,452,250.00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）收益互换及其他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1,006,808,426.97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1,006,808,426.97</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427,079.70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57,238,599.99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57,665,679.69</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持续以公允价值计量的负债总额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427,079.70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289,905,976.64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2,699,497,593.36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2,989,830,649.70</w:t>
            </w:r>
          </w:p>
        </w:tc>
      </w:tr>
    </w:tbl>
    <w:p>
      <w:pPr>
        <w:spacing w:lineRule="exact" w:line="1"/>
        <w:rPr>
          <w:sz w:val="2"/>
          <w:szCs w:val="2"/>
        </w:rPr>
      </w:pPr>
      <w:r>
        <w:br w:type="page"/>
      </w:r>
    </w:p>
    <w:p>
      <w:pPr>
        <w:pStyle w:val="Style32"/>
        <w:keepNext/>
        <w:keepLines/>
        <w:widowControl w:val="0"/>
        <w:shd w:val="clear" w:color="auto" w:fill="auto"/>
        <w:tabs>
          <w:tab w:pos="380" w:val="left"/>
        </w:tabs>
        <w:bidi w:val="0"/>
        <w:spacing w:before="0" w:after="40" w:line="278" w:lineRule="exact"/>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2</w:t>
      </w:r>
      <w:bookmarkEnd w:id="1716"/>
      <w:r>
        <w:rPr>
          <w:color w:val="000000"/>
          <w:spacing w:val="0"/>
          <w:w w:val="100"/>
          <w:position w:val="0"/>
        </w:rPr>
        <w:t>、</w:t>
        <w:tab/>
        <w:t>持续和非持续第一层次公允价值计量项目市价的确定依据</w:t>
      </w:r>
      <w:bookmarkEnd w:id="1714"/>
      <w:bookmarkEnd w:id="1715"/>
      <w:bookmarkEnd w:id="1717"/>
    </w:p>
    <w:p>
      <w:pPr>
        <w:pStyle w:val="Style41"/>
        <w:keepNext w:val="0"/>
        <w:keepLines w:val="0"/>
        <w:widowControl w:val="0"/>
        <w:shd w:val="clear" w:color="auto" w:fill="auto"/>
        <w:bidi w:val="0"/>
        <w:spacing w:before="0" w:after="120" w:line="278" w:lineRule="exact"/>
        <w:ind w:left="0" w:right="0" w:firstLine="0"/>
        <w:jc w:val="left"/>
      </w:pPr>
      <w:r>
        <w:rPr>
          <w:color w:val="000000"/>
          <w:spacing w:val="0"/>
          <w:w w:val="100"/>
          <w:position w:val="0"/>
        </w:rPr>
        <w:t>金融工具的公允价值是在计量日能够取得的相同资产或者负债在活跃市场上（未经调整）的报价。</w:t>
      </w:r>
    </w:p>
    <w:p>
      <w:pPr>
        <w:pStyle w:val="Style32"/>
        <w:keepNext/>
        <w:keepLines/>
        <w:widowControl w:val="0"/>
        <w:shd w:val="clear" w:color="auto" w:fill="auto"/>
        <w:tabs>
          <w:tab w:pos="380" w:val="left"/>
        </w:tabs>
        <w:bidi w:val="0"/>
        <w:spacing w:before="0" w:after="120" w:line="278" w:lineRule="exact"/>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3</w:t>
      </w:r>
      <w:bookmarkEnd w:id="1720"/>
      <w:r>
        <w:rPr>
          <w:color w:val="000000"/>
          <w:spacing w:val="0"/>
          <w:w w:val="100"/>
          <w:position w:val="0"/>
        </w:rPr>
        <w:t>、</w:t>
        <w:tab/>
        <w:t>持续和非持续第二层次公允价值计量项目，采用的估值技术和重要参数的定性及定量信息</w:t>
      </w:r>
      <w:bookmarkEnd w:id="1718"/>
      <w:bookmarkEnd w:id="1719"/>
      <w:bookmarkEnd w:id="1721"/>
    </w:p>
    <w:p>
      <w:pPr>
        <w:pStyle w:val="Style41"/>
        <w:keepNext w:val="0"/>
        <w:keepLines w:val="0"/>
        <w:widowControl w:val="0"/>
        <w:shd w:val="clear" w:color="auto" w:fill="auto"/>
        <w:bidi w:val="0"/>
        <w:spacing w:before="0" w:after="40" w:line="278" w:lineRule="exact"/>
        <w:ind w:left="0" w:right="0" w:firstLine="440"/>
        <w:jc w:val="left"/>
      </w:pPr>
      <w:r>
        <w:rPr>
          <w:color w:val="000000"/>
          <w:spacing w:val="0"/>
          <w:w w:val="100"/>
          <w:position w:val="0"/>
        </w:rPr>
        <w:t>对于交易性金融资产及负债中的债券投资，其公允价值是按相关债券登记结算机构估值系统报价确定 的。相关报价机构在形成报价过程中采用了反映市场状况的可观察输入值。</w:t>
      </w:r>
    </w:p>
    <w:p>
      <w:pPr>
        <w:pStyle w:val="Style41"/>
        <w:keepNext w:val="0"/>
        <w:keepLines w:val="0"/>
        <w:widowControl w:val="0"/>
        <w:shd w:val="clear" w:color="auto" w:fill="auto"/>
        <w:bidi w:val="0"/>
        <w:spacing w:before="0" w:after="40" w:line="278" w:lineRule="exact"/>
        <w:ind w:left="0" w:right="0" w:firstLine="440"/>
        <w:jc w:val="left"/>
      </w:pPr>
      <w:r>
        <w:rPr>
          <w:color w:val="000000"/>
          <w:spacing w:val="0"/>
          <w:w w:val="100"/>
          <w:position w:val="0"/>
        </w:rPr>
        <w:t>对于交易性金融资产及负债中不存在公开市场的基金、债券、银行理财及结构性存款产品等，其公允 价值以估值技术确定。估值技术所需的可观察输入值包括但不限于收益率曲线等估值参数。</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10"/>
        <w:gridCol w:w="2726"/>
        <w:gridCol w:w="2069"/>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年末公允价值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估值技术</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重要参数</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债券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22,382,882,576.00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登记结算机构估值系统的报价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到期收益率</w:t>
            </w: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784,622,083.09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管理人的净值报价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底层资产公允价值</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银行理财和结构性存款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583,349,140.34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现金流量折现法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预期收益率</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管理人的净值报价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底层资产公允价值</w:t>
            </w: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债券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14,030,143,691.09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登记结算机构估值系统的报价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到期收益率</w:t>
            </w:r>
          </w:p>
        </w:tc>
      </w:tr>
    </w:tbl>
    <w:p>
      <w:pPr>
        <w:widowControl w:val="0"/>
        <w:spacing w:after="119" w:line="1" w:lineRule="exact"/>
      </w:pPr>
    </w:p>
    <w:p>
      <w:pPr>
        <w:pStyle w:val="Style32"/>
        <w:keepNext/>
        <w:keepLines/>
        <w:widowControl w:val="0"/>
        <w:shd w:val="clear" w:color="auto" w:fill="auto"/>
        <w:bidi w:val="0"/>
        <w:spacing w:before="0" w:after="12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4</w:t>
      </w:r>
      <w:bookmarkEnd w:id="1724"/>
      <w:r>
        <w:rPr>
          <w:color w:val="000000"/>
          <w:spacing w:val="0"/>
          <w:w w:val="100"/>
          <w:position w:val="0"/>
        </w:rPr>
        <w:t>、持续和非持续第三层次公允价值计量项目，采用的估值技术和重要参数的定性及定量信息</w:t>
      </w:r>
      <w:bookmarkEnd w:id="1722"/>
      <w:bookmarkEnd w:id="1723"/>
      <w:bookmarkEnd w:id="1725"/>
    </w:p>
    <w:p>
      <w:pPr>
        <w:pStyle w:val="Style41"/>
        <w:keepNext w:val="0"/>
        <w:keepLines w:val="0"/>
        <w:widowControl w:val="0"/>
        <w:shd w:val="clear" w:color="auto" w:fill="auto"/>
        <w:bidi w:val="0"/>
        <w:spacing w:before="0" w:after="40" w:line="271" w:lineRule="exact"/>
        <w:ind w:left="0" w:right="0" w:firstLine="440"/>
        <w:jc w:val="both"/>
      </w:pPr>
      <w:r>
        <w:rPr>
          <w:color w:val="000000"/>
          <w:spacing w:val="0"/>
          <w:w w:val="100"/>
          <w:position w:val="0"/>
        </w:rPr>
        <w:t>金融工具的公允价值是以估值技术确定的，且其对公允价值计量整体而言具有重要意义的最低层次输 入值是不可观察的。对于某些非上市权益性证券和债务证券，本公司采用估值技术或者引用交易对手的报 价确定公允价值。估值技术包括现金流折现法和市场比较法等。这些金融工具公允价值的计量可能采用了 不可观察参数，例如信用差价、市净率、市盈率和流动性折让等。因上述不可观察参数变动引起的公允价 值变动金额均不重大。财务部定期审阅所有用于计量第三层次金融工具公允价值的重大无法观察参数及估 值调整。</w:t>
      </w:r>
    </w:p>
    <w:p>
      <w:pPr>
        <w:pStyle w:val="Style41"/>
        <w:keepNext w:val="0"/>
        <w:keepLines w:val="0"/>
        <w:widowControl w:val="0"/>
        <w:shd w:val="clear" w:color="auto" w:fill="auto"/>
        <w:bidi w:val="0"/>
        <w:spacing w:before="0" w:after="280" w:line="274" w:lineRule="exact"/>
        <w:ind w:left="0" w:right="0" w:firstLine="440"/>
        <w:jc w:val="both"/>
      </w:pPr>
      <w:r>
        <w:rPr>
          <w:color w:val="000000"/>
          <w:spacing w:val="0"/>
          <w:w w:val="100"/>
          <w:position w:val="0"/>
        </w:rPr>
        <w:t>就第三层次的金融工具而言，价格采用现金流量折现模型及其他类似技术等估值技术确定。第三层次 公允价值计量的分类，一般基于不可观察输入数据对计量总体公允价值的重要性厘定。下表列示第三层次 主要金融工具的相关估值技术和输入数据。</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560"/>
        <w:gridCol w:w="1656"/>
        <w:gridCol w:w="1699"/>
        <w:gridCol w:w="3269"/>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估值技术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不可观察输入值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对公允价值的影响</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w:t>
            </w:r>
            <w:r>
              <w:rPr>
                <w:color w:val="000000"/>
                <w:spacing w:val="0"/>
                <w:w w:val="100"/>
                <w:position w:val="0"/>
              </w:rPr>
              <w:t>/</w:t>
            </w:r>
            <w:r>
              <w:rPr>
                <w:rFonts w:ascii="SimSun" w:eastAsia="SimSun" w:hAnsi="SimSun" w:cs="SimSun"/>
                <w:color w:val="000000"/>
                <w:spacing w:val="0"/>
                <w:w w:val="100"/>
                <w:position w:val="0"/>
              </w:rPr>
              <w:t>非上市股权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342,338,448.04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流动性折扣</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流动性折扣越大，公允价值越低</w:t>
            </w:r>
          </w:p>
        </w:tc>
      </w:tr>
      <w:tr>
        <w:trPr>
          <w:trHeight w:val="55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526,454,007.24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现金流量折现法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预期未来现金流量</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预期未来现金流量净额越高，公允价 值越高</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256,632,789.87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期权定价模型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波动率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波动率越大，公允价值越高</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101,664,864.74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现金流量折现法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预期未来现金流量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预期未来现金流量净额越高，公允价 值越高</w:t>
            </w: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40"/>
              <w:jc w:val="left"/>
            </w:pPr>
            <w:r>
              <w:rPr>
                <w:color w:val="000000"/>
                <w:spacing w:val="0"/>
                <w:w w:val="100"/>
                <w:position w:val="0"/>
              </w:rPr>
              <w:t>5,705,191.68</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期权定价模型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波动率</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波动率越大，公允价值越高</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2,385,877,700.46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现金流量折现法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预期未来现金流量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预期未来现金流量净额越高，公允价 值越高</w:t>
            </w: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256,381,292.91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期权定价模型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波动率</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波动率越大，公允价值越高</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57,187,276.95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现金流量折现法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预期未来现金流量</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预期未来现金流量净额越高，公允价 值越高</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衍生金融负债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51,323.04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期权定价模型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波动率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波动率越大，公允价值越高</w:t>
            </w:r>
          </w:p>
        </w:tc>
      </w:tr>
    </w:tbl>
    <w:p>
      <w:pPr>
        <w:spacing w:lineRule="exact" w:line="1"/>
        <w:rPr>
          <w:sz w:val="2"/>
          <w:szCs w:val="2"/>
        </w:rPr>
      </w:pPr>
      <w:r>
        <w:br w:type="page"/>
      </w:r>
    </w:p>
    <w:p>
      <w:pPr>
        <w:pStyle w:val="Style32"/>
        <w:keepNext/>
        <w:keepLines/>
        <w:widowControl w:val="0"/>
        <w:shd w:val="clear" w:color="auto" w:fill="auto"/>
        <w:bidi w:val="0"/>
        <w:spacing w:before="0" w:after="28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5</w:t>
      </w:r>
      <w:bookmarkEnd w:id="1728"/>
      <w:r>
        <w:rPr>
          <w:color w:val="000000"/>
          <w:spacing w:val="0"/>
          <w:w w:val="100"/>
          <w:position w:val="0"/>
        </w:rPr>
        <w:t>、持续的第三层次公允价值计量项目，期初与期末账面价值间的调节信息及不可观察参数敏感性分析</w:t>
      </w:r>
      <w:bookmarkEnd w:id="1726"/>
      <w:bookmarkEnd w:id="1727"/>
      <w:bookmarkEnd w:id="1729"/>
    </w:p>
    <w:p>
      <w:pPr>
        <w:pStyle w:val="Style24"/>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459"/>
        <w:gridCol w:w="1814"/>
        <w:gridCol w:w="1531"/>
        <w:gridCol w:w="1339"/>
        <w:gridCol w:w="1349"/>
      </w:tblGrid>
      <w:tr>
        <w:trPr>
          <w:trHeight w:val="48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54" w:lineRule="exact"/>
              <w:ind w:left="0" w:right="0" w:firstLine="0"/>
              <w:jc w:val="center"/>
            </w:pPr>
            <w:r>
              <w:rPr>
                <w:rFonts w:ascii="SimSun" w:eastAsia="SimSun" w:hAnsi="SimSun" w:cs="SimSun"/>
                <w:color w:val="000000"/>
                <w:spacing w:val="0"/>
                <w:w w:val="100"/>
                <w:position w:val="0"/>
              </w:rPr>
              <w:t>交易性金融 资产</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其他非流动 金融资产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衍生金融资产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衍生金融负债</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85,416,337.26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123,926,074.02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转出第三层次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-10,429,810.00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当期利得或损失总额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63,864,158.85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11,451,667.44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115,881,855.15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107,370,056.42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57,238,599.99</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w:t>
            </w:r>
            <w:r>
              <w:rPr>
                <w:color w:val="000000"/>
                <w:spacing w:val="0"/>
                <w:w w:val="100"/>
                <w:position w:val="0"/>
              </w:rPr>
              <w:t>/</w:t>
            </w:r>
            <w:r>
              <w:rPr>
                <w:rFonts w:ascii="SimSun" w:eastAsia="SimSun" w:hAnsi="SimSun" w:cs="SimSun"/>
                <w:color w:val="000000"/>
                <w:spacing w:val="0"/>
                <w:w w:val="100"/>
                <w:position w:val="0"/>
              </w:rPr>
              <w:t>发行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669,156,021.63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192,000,000.00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2,620,148,928.22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出售</w:t>
            </w:r>
            <w:r>
              <w:rPr>
                <w:color w:val="000000"/>
                <w:spacing w:val="0"/>
                <w:w w:val="100"/>
                <w:position w:val="0"/>
              </w:rPr>
              <w:t>/</w:t>
            </w:r>
            <w:r>
              <w:rPr>
                <w:rFonts w:ascii="SimSun" w:eastAsia="SimSun" w:hAnsi="SimSun" w:cs="SimSun"/>
                <w:color w:val="000000"/>
                <w:spacing w:val="0"/>
                <w:w w:val="100"/>
                <w:position w:val="0"/>
              </w:rPr>
              <w:t>结算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-9,959,204.05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-93,771,790.00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798,047,503.69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327,377,741.46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2,642,258,993.37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107,370,056.42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57,238,599.99</w:t>
            </w:r>
          </w:p>
        </w:tc>
      </w:tr>
      <w:tr>
        <w:trPr>
          <w:trHeight w:val="57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计入损益的当期未实 现利得或损失的变动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58,512,968.87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11,451,667.44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92,131,776.33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107,370,056.42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57,238,599.99</w:t>
            </w:r>
          </w:p>
        </w:tc>
      </w:tr>
    </w:tbl>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39" w:line="1" w:lineRule="exact"/>
      </w:pPr>
    </w:p>
    <w:tbl>
      <w:tblPr>
        <w:tblOverlap w:val="never"/>
        <w:jc w:val="center"/>
        <w:tblLayout w:type="fixed"/>
      </w:tblPr>
      <w:tblGrid>
        <w:gridCol w:w="1954"/>
        <w:gridCol w:w="1445"/>
        <w:gridCol w:w="1829"/>
        <w:gridCol w:w="1546"/>
        <w:gridCol w:w="1310"/>
        <w:gridCol w:w="1349"/>
      </w:tblGrid>
      <w:tr>
        <w:trPr>
          <w:trHeight w:val="61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0"/>
              <w:jc w:val="center"/>
            </w:pPr>
            <w:r>
              <w:rPr>
                <w:rFonts w:ascii="SimSun" w:eastAsia="SimSun" w:hAnsi="SimSun" w:cs="SimSun"/>
                <w:color w:val="000000"/>
                <w:spacing w:val="0"/>
                <w:w w:val="100"/>
                <w:position w:val="0"/>
              </w:rPr>
              <w:t>交易性金融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440"/>
              <w:jc w:val="left"/>
            </w:pPr>
            <w:r>
              <w:rPr>
                <w:rFonts w:ascii="SimSun" w:eastAsia="SimSun" w:hAnsi="SimSun" w:cs="SimSun"/>
                <w:color w:val="000000"/>
                <w:spacing w:val="0"/>
                <w:w w:val="100"/>
                <w:position w:val="0"/>
              </w:rPr>
              <w:t>其他非流动</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金融资产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衍生金融资产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衍生金融负债</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79,161,922.70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119,127,036.06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转入第三层次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转出第三层次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当期利得或损失总额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407,050.51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4,799,037.96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w:t>
            </w:r>
            <w:r>
              <w:rPr>
                <w:color w:val="000000"/>
                <w:spacing w:val="0"/>
                <w:w w:val="100"/>
                <w:position w:val="0"/>
              </w:rPr>
              <w:t>/</w:t>
            </w:r>
            <w:r>
              <w:rPr>
                <w:rFonts w:ascii="SimSun" w:eastAsia="SimSun" w:hAnsi="SimSun" w:cs="SimSun"/>
                <w:color w:val="000000"/>
                <w:spacing w:val="0"/>
                <w:w w:val="100"/>
                <w:position w:val="0"/>
              </w:rPr>
              <w:t>发行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5,847,364.05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出售</w:t>
            </w:r>
            <w:r>
              <w:rPr>
                <w:color w:val="000000"/>
                <w:spacing w:val="0"/>
                <w:w w:val="100"/>
                <w:position w:val="0"/>
              </w:rPr>
              <w:t>/</w:t>
            </w:r>
            <w:r>
              <w:rPr>
                <w:rFonts w:ascii="SimSun" w:eastAsia="SimSun" w:hAnsi="SimSun" w:cs="SimSun"/>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85,416,337.26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123,926,074.02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计入损益的当期未实 现利得或损失的变动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407,050.51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4,799,037.96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2"/>
        <w:keepNext/>
        <w:keepLines/>
        <w:widowControl w:val="0"/>
        <w:shd w:val="clear" w:color="auto" w:fill="auto"/>
        <w:tabs>
          <w:tab w:pos="392" w:val="left"/>
        </w:tabs>
        <w:bidi w:val="0"/>
        <w:spacing w:before="0" w:after="280" w:line="271" w:lineRule="exact"/>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6</w:t>
      </w:r>
      <w:bookmarkEnd w:id="1732"/>
      <w:r>
        <w:rPr>
          <w:color w:val="000000"/>
          <w:spacing w:val="0"/>
          <w:w w:val="100"/>
          <w:position w:val="0"/>
        </w:rPr>
        <w:t>、</w:t>
        <w:tab/>
        <w:t>持续的公允价值计量项目，本期内发生各层级之间转换的，转换的原因及确定转换时点的政策</w:t>
      </w:r>
      <w:bookmarkEnd w:id="1730"/>
      <w:bookmarkEnd w:id="1731"/>
      <w:bookmarkEnd w:id="1733"/>
    </w:p>
    <w:p>
      <w:pPr>
        <w:pStyle w:val="Style41"/>
        <w:keepNext w:val="0"/>
        <w:keepLines w:val="0"/>
        <w:widowControl w:val="0"/>
        <w:shd w:val="clear" w:color="auto" w:fill="auto"/>
        <w:bidi w:val="0"/>
        <w:spacing w:before="0" w:after="40" w:line="274" w:lineRule="exact"/>
        <w:ind w:left="0" w:right="0" w:firstLine="440"/>
        <w:jc w:val="left"/>
      </w:pPr>
      <w:r>
        <w:rPr>
          <w:color w:val="000000"/>
          <w:spacing w:val="0"/>
          <w:w w:val="100"/>
          <w:position w:val="0"/>
        </w:rPr>
        <w:t>对于持续的以公允价值计量的资产和负债，本公司在每个报告年末通过重新评估分类（基于对整体公 允价值计量有重大影响的最低层次输入值），判断各层次之间是否存在转换。</w:t>
      </w:r>
    </w:p>
    <w:p>
      <w:pPr>
        <w:pStyle w:val="Style41"/>
        <w:keepNext w:val="0"/>
        <w:keepLines w:val="0"/>
        <w:widowControl w:val="0"/>
        <w:shd w:val="clear" w:color="auto" w:fill="auto"/>
        <w:bidi w:val="0"/>
        <w:spacing w:before="0" w:after="280" w:line="271" w:lineRule="exact"/>
        <w:ind w:left="0" w:right="0" w:firstLine="440"/>
        <w:jc w:val="left"/>
      </w:pPr>
      <w:r>
        <w:rPr>
          <w:color w:val="000000"/>
          <w:spacing w:val="0"/>
          <w:w w:val="100"/>
          <w:position w:val="0"/>
        </w:rPr>
        <w:t>于财务报告期间，本公司持有的按公允价值计量的金融工具在第一层次和第二层次之间无重大转换。</w:t>
      </w:r>
    </w:p>
    <w:p>
      <w:pPr>
        <w:pStyle w:val="Style32"/>
        <w:keepNext/>
        <w:keepLines/>
        <w:widowControl w:val="0"/>
        <w:shd w:val="clear" w:color="auto" w:fill="auto"/>
        <w:tabs>
          <w:tab w:pos="392" w:val="left"/>
        </w:tabs>
        <w:bidi w:val="0"/>
        <w:spacing w:before="0" w:after="280" w:line="271" w:lineRule="exact"/>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7</w:t>
      </w:r>
      <w:bookmarkEnd w:id="1736"/>
      <w:r>
        <w:rPr>
          <w:color w:val="000000"/>
          <w:spacing w:val="0"/>
          <w:w w:val="100"/>
          <w:position w:val="0"/>
        </w:rPr>
        <w:t>、</w:t>
        <w:tab/>
        <w:t>不以公允价值计量的金融资产和金融负债的公允价值情况</w:t>
      </w:r>
      <w:bookmarkEnd w:id="1734"/>
      <w:bookmarkEnd w:id="1735"/>
      <w:bookmarkEnd w:id="1737"/>
    </w:p>
    <w:p>
      <w:pPr>
        <w:pStyle w:val="Style41"/>
        <w:keepNext w:val="0"/>
        <w:keepLines w:val="0"/>
        <w:widowControl w:val="0"/>
        <w:shd w:val="clear" w:color="auto" w:fill="auto"/>
        <w:bidi w:val="0"/>
        <w:spacing w:before="0" w:after="40" w:line="269" w:lineRule="exact"/>
        <w:ind w:left="0" w:right="0" w:firstLine="440"/>
        <w:jc w:val="left"/>
      </w:pPr>
      <w:r>
        <w:rPr>
          <w:color w:val="000000"/>
          <w:spacing w:val="0"/>
          <w:w w:val="100"/>
          <w:position w:val="0"/>
        </w:rPr>
        <w:t>除应付债券外，以成本或摊余成本计量的金融资产和负债的公允价值和账面价值相若。截至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日，本公司应付债券的账面价值及公允价值列示如下：</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23,770,907,440.96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3,458,364,212.89</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35,851,544,550.14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3,497,586,245.76</w:t>
            </w:r>
          </w:p>
        </w:tc>
      </w:tr>
    </w:tbl>
    <w:p>
      <w:pPr>
        <w:pStyle w:val="Style22"/>
        <w:keepNext/>
        <w:keepLines/>
        <w:widowControl w:val="0"/>
        <w:shd w:val="clear" w:color="auto" w:fill="auto"/>
        <w:bidi w:val="0"/>
        <w:spacing w:before="0" w:after="360" w:line="240" w:lineRule="auto"/>
        <w:ind w:left="0" w:right="0" w:firstLine="0"/>
        <w:jc w:val="left"/>
      </w:pPr>
      <w:bookmarkStart w:id="1738" w:name="bookmark1738"/>
      <w:bookmarkStart w:id="1739" w:name="bookmark1739"/>
      <w:bookmarkStart w:id="1740" w:name="bookmark1740"/>
      <w:r>
        <w:rPr>
          <w:color w:val="000000"/>
          <w:spacing w:val="0"/>
          <w:w w:val="100"/>
          <w:position w:val="0"/>
          <w:sz w:val="24"/>
          <w:szCs w:val="24"/>
        </w:rPr>
        <w:t>十二、关联方及关联交易</w:t>
      </w:r>
      <w:bookmarkEnd w:id="1738"/>
      <w:bookmarkEnd w:id="1739"/>
      <w:bookmarkEnd w:id="1740"/>
    </w:p>
    <w:p>
      <w:pPr>
        <w:pStyle w:val="Style32"/>
        <w:keepNext/>
        <w:keepLines/>
        <w:widowControl w:val="0"/>
        <w:shd w:val="clear" w:color="auto" w:fill="auto"/>
        <w:tabs>
          <w:tab w:pos="382" w:val="left"/>
        </w:tabs>
        <w:bidi w:val="0"/>
        <w:spacing w:before="0" w:after="30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1</w:t>
      </w:r>
      <w:bookmarkEnd w:id="1743"/>
      <w:r>
        <w:rPr>
          <w:color w:val="000000"/>
          <w:spacing w:val="0"/>
          <w:w w:val="100"/>
          <w:position w:val="0"/>
        </w:rPr>
        <w:t>、</w:t>
        <w:tab/>
        <w:t>本企业的母公司情况</w:t>
      </w:r>
      <w:bookmarkEnd w:id="1741"/>
      <w:bookmarkEnd w:id="1742"/>
      <w:bookmarkEnd w:id="1744"/>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本企业最终控制方是其实先生。</w:t>
      </w:r>
    </w:p>
    <w:p>
      <w:pPr>
        <w:pStyle w:val="Style32"/>
        <w:keepNext/>
        <w:keepLines/>
        <w:widowControl w:val="0"/>
        <w:shd w:val="clear" w:color="auto" w:fill="auto"/>
        <w:tabs>
          <w:tab w:pos="392" w:val="left"/>
        </w:tabs>
        <w:bidi w:val="0"/>
        <w:spacing w:before="0" w:after="300" w:line="240" w:lineRule="auto"/>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2</w:t>
      </w:r>
      <w:bookmarkEnd w:id="1747"/>
      <w:r>
        <w:rPr>
          <w:color w:val="000000"/>
          <w:spacing w:val="0"/>
          <w:w w:val="100"/>
          <w:position w:val="0"/>
        </w:rPr>
        <w:t>、</w:t>
        <w:tab/>
        <w:t>本企业的子公司情况</w:t>
      </w:r>
      <w:bookmarkEnd w:id="1745"/>
      <w:bookmarkEnd w:id="1746"/>
      <w:bookmarkEnd w:id="1748"/>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本企业子公司的情况详见附注九、在其他主体中的权益。</w:t>
      </w:r>
    </w:p>
    <w:p>
      <w:pPr>
        <w:pStyle w:val="Style32"/>
        <w:keepNext/>
        <w:keepLines/>
        <w:widowControl w:val="0"/>
        <w:shd w:val="clear" w:color="auto" w:fill="auto"/>
        <w:tabs>
          <w:tab w:pos="392" w:val="left"/>
        </w:tabs>
        <w:bidi w:val="0"/>
        <w:spacing w:before="0" w:after="30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3</w:t>
      </w:r>
      <w:bookmarkEnd w:id="1751"/>
      <w:r>
        <w:rPr>
          <w:color w:val="000000"/>
          <w:spacing w:val="0"/>
          <w:w w:val="100"/>
          <w:position w:val="0"/>
        </w:rPr>
        <w:t>、</w:t>
        <w:tab/>
        <w:t>本企业合营和联营企业情况</w:t>
      </w:r>
      <w:bookmarkEnd w:id="1749"/>
      <w:bookmarkEnd w:id="1750"/>
      <w:bookmarkEnd w:id="1752"/>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本企业重要的合营或联营企业详见附注九、在其他主体中的权益。</w:t>
      </w:r>
    </w:p>
    <w:p>
      <w:pPr>
        <w:pStyle w:val="Style32"/>
        <w:keepNext/>
        <w:keepLines/>
        <w:widowControl w:val="0"/>
        <w:shd w:val="clear" w:color="auto" w:fill="auto"/>
        <w:bidi w:val="0"/>
        <w:spacing w:before="0" w:after="30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4</w:t>
      </w:r>
      <w:bookmarkEnd w:id="1755"/>
      <w:r>
        <w:rPr>
          <w:color w:val="000000"/>
          <w:spacing w:val="0"/>
          <w:w w:val="100"/>
          <w:position w:val="0"/>
        </w:rPr>
        <w:t>、其他关联方情况</w:t>
      </w:r>
      <w:bookmarkEnd w:id="1753"/>
      <w:bookmarkEnd w:id="1754"/>
      <w:bookmarkEnd w:id="1756"/>
    </w:p>
    <w:tbl>
      <w:tblPr>
        <w:tblOverlap w:val="never"/>
        <w:jc w:val="center"/>
        <w:tblLayout w:type="fixed"/>
      </w:tblPr>
      <w:tblGrid>
        <w:gridCol w:w="4795"/>
        <w:gridCol w:w="4810"/>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上海境庐科技有限公司（以下简称</w:t>
            </w:r>
            <w:r>
              <w:rPr>
                <w:color w:val="000000"/>
                <w:spacing w:val="0"/>
                <w:w w:val="100"/>
                <w:position w:val="0"/>
              </w:rPr>
              <w:t>“</w:t>
            </w:r>
            <w:r>
              <w:rPr>
                <w:rFonts w:ascii="SimSun" w:eastAsia="SimSun" w:hAnsi="SimSun" w:cs="SimSun"/>
                <w:color w:val="000000"/>
                <w:spacing w:val="0"/>
                <w:w w:val="100"/>
                <w:position w:val="0"/>
              </w:rPr>
              <w:t>上海境庐</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实际控制人控制的公司</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上海长三角商业创新研究院</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实际控制人担任理事</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5</w:t>
      </w:r>
      <w:bookmarkEnd w:id="1759"/>
      <w:r>
        <w:rPr>
          <w:color w:val="000000"/>
          <w:spacing w:val="0"/>
          <w:w w:val="100"/>
          <w:position w:val="0"/>
        </w:rPr>
        <w:t>、关联交易情况</w:t>
      </w:r>
      <w:bookmarkEnd w:id="1757"/>
      <w:bookmarkEnd w:id="1758"/>
      <w:bookmarkEnd w:id="1760"/>
    </w:p>
    <w:p>
      <w:pPr>
        <w:pStyle w:val="Style32"/>
        <w:keepNext/>
        <w:keepLines/>
        <w:widowControl w:val="0"/>
        <w:shd w:val="clear" w:color="auto" w:fill="auto"/>
        <w:bidi w:val="0"/>
        <w:spacing w:before="0" w:after="300" w:line="240" w:lineRule="auto"/>
        <w:ind w:left="0" w:right="0" w:firstLine="0"/>
        <w:jc w:val="left"/>
      </w:pPr>
      <w:bookmarkStart w:id="1757" w:name="bookmark1757"/>
      <w:bookmarkStart w:id="1758" w:name="bookmark1758"/>
      <w:bookmarkStart w:id="1761" w:name="bookmark17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）关联租赁情况</w:t>
      </w:r>
      <w:bookmarkEnd w:id="1757"/>
      <w:bookmarkEnd w:id="1758"/>
      <w:bookmarkEnd w:id="1761"/>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本公司作为承租方：</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10"/>
        <w:gridCol w:w="2395"/>
        <w:gridCol w:w="2400"/>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租赁资产种类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上期确认的租赁费</w:t>
            </w:r>
          </w:p>
        </w:tc>
      </w:tr>
      <w:tr>
        <w:trPr>
          <w:trHeight w:val="32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上海境庐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房屋租赁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2,229,154.45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1,266,666.66</w:t>
            </w:r>
          </w:p>
        </w:tc>
      </w:tr>
    </w:tbl>
    <w:p>
      <w:pPr>
        <w:widowControl w:val="0"/>
        <w:spacing w:after="59" w:line="1" w:lineRule="exact"/>
      </w:pPr>
    </w:p>
    <w:p>
      <w:pPr>
        <w:pStyle w:val="Style24"/>
        <w:keepNext w:val="0"/>
        <w:keepLines w:val="0"/>
        <w:widowControl w:val="0"/>
        <w:shd w:val="clear" w:color="auto" w:fill="auto"/>
        <w:bidi w:val="0"/>
        <w:spacing w:before="0" w:after="300" w:line="245" w:lineRule="exact"/>
        <w:ind w:left="0" w:right="0" w:firstLine="0"/>
        <w:jc w:val="left"/>
      </w:pPr>
      <w:r>
        <w:rPr>
          <w:color w:val="000000"/>
          <w:spacing w:val="0"/>
          <w:w w:val="100"/>
          <w:position w:val="0"/>
        </w:rPr>
        <w:t>公司承租上海境庐科技有限公司位于上海市南丹路房产，建筑面积</w:t>
      </w:r>
      <w:r>
        <w:rPr>
          <w:rFonts w:ascii="Times New Roman" w:eastAsia="Times New Roman" w:hAnsi="Times New Roman" w:cs="Times New Roman"/>
          <w:color w:val="000000"/>
          <w:spacing w:val="0"/>
          <w:w w:val="100"/>
          <w:position w:val="0"/>
        </w:rPr>
        <w:t>625.13</w:t>
      </w:r>
      <w:r>
        <w:rPr>
          <w:color w:val="000000"/>
          <w:spacing w:val="0"/>
          <w:w w:val="100"/>
          <w:position w:val="0"/>
        </w:rPr>
        <w:t>平方米，房产性质及用途为：商办。房产租赁期 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日，共计</w:t>
      </w:r>
      <w:r>
        <w:rPr>
          <w:rFonts w:ascii="Times New Roman" w:eastAsia="Times New Roman" w:hAnsi="Times New Roman" w:cs="Times New Roman"/>
          <w:color w:val="000000"/>
          <w:spacing w:val="0"/>
          <w:w w:val="100"/>
          <w:position w:val="0"/>
        </w:rPr>
        <w:t>3</w:t>
      </w:r>
      <w:r>
        <w:rPr>
          <w:color w:val="000000"/>
          <w:spacing w:val="0"/>
          <w:w w:val="100"/>
          <w:position w:val="0"/>
        </w:rPr>
        <w:t>年，月租金为</w:t>
      </w:r>
      <w:r>
        <w:rPr>
          <w:rFonts w:ascii="Times New Roman" w:eastAsia="Times New Roman" w:hAnsi="Times New Roman" w:cs="Times New Roman"/>
          <w:color w:val="000000"/>
          <w:spacing w:val="0"/>
          <w:w w:val="100"/>
          <w:position w:val="0"/>
        </w:rPr>
        <w:t>190,000.00</w:t>
      </w:r>
      <w:r>
        <w:rPr>
          <w:color w:val="000000"/>
          <w:spacing w:val="0"/>
          <w:w w:val="100"/>
          <w:position w:val="0"/>
        </w:rPr>
        <w:t>元（含税价）。</w:t>
      </w:r>
    </w:p>
    <w:p>
      <w:pPr>
        <w:pStyle w:val="Style32"/>
        <w:keepNext/>
        <w:keepLines/>
        <w:widowControl w:val="0"/>
        <w:shd w:val="clear" w:color="auto" w:fill="auto"/>
        <w:bidi w:val="0"/>
        <w:spacing w:before="0" w:after="300" w:line="240" w:lineRule="auto"/>
        <w:ind w:left="0" w:right="0" w:firstLine="0"/>
        <w:jc w:val="left"/>
      </w:pPr>
      <w:bookmarkStart w:id="1762" w:name="bookmark1762"/>
      <w:bookmarkStart w:id="1763" w:name="bookmark1763"/>
      <w:bookmarkStart w:id="1764" w:name="bookmark17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762"/>
      <w:bookmarkEnd w:id="1763"/>
      <w:bookmarkEnd w:id="1764"/>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本公司作为担保方：</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单位：万元</w:t>
      </w:r>
    </w:p>
    <w:tbl>
      <w:tblPr>
        <w:tblOverlap w:val="never"/>
        <w:jc w:val="center"/>
        <w:tblLayout w:type="fixed"/>
      </w:tblPr>
      <w:tblGrid>
        <w:gridCol w:w="3226"/>
        <w:gridCol w:w="3211"/>
        <w:gridCol w:w="3139"/>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担保是否已经履行完毕</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上海东方财富置业有限公司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上海天天基金销售有限公司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哈富有限公司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202,866.80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299" w:line="1" w:lineRule="exact"/>
      </w:pPr>
    </w:p>
    <w:p>
      <w:pPr>
        <w:pStyle w:val="Style24"/>
        <w:keepNext w:val="0"/>
        <w:keepLines w:val="0"/>
        <w:widowControl w:val="0"/>
        <w:shd w:val="clear" w:color="auto" w:fill="auto"/>
        <w:bidi w:val="0"/>
        <w:spacing w:before="0" w:after="60" w:line="232" w:lineRule="exact"/>
        <w:ind w:left="0" w:right="0" w:firstLine="0"/>
        <w:jc w:val="both"/>
      </w:pPr>
      <w:r>
        <w:rPr>
          <w:color w:val="000000"/>
          <w:spacing w:val="0"/>
          <w:w w:val="100"/>
          <w:position w:val="0"/>
        </w:rPr>
        <w:t>关联担保情况说明：</w:t>
      </w:r>
    </w:p>
    <w:p>
      <w:pPr>
        <w:pStyle w:val="Style24"/>
        <w:keepNext w:val="0"/>
        <w:keepLines w:val="0"/>
        <w:widowControl w:val="0"/>
        <w:shd w:val="clear" w:color="auto" w:fill="auto"/>
        <w:bidi w:val="0"/>
        <w:spacing w:before="0" w:after="300" w:line="232" w:lineRule="exact"/>
        <w:ind w:left="0" w:right="0" w:firstLine="0"/>
        <w:jc w:val="both"/>
      </w:pPr>
      <w:r>
        <w:rPr>
          <w:color w:val="000000"/>
          <w:spacing w:val="0"/>
          <w:w w:val="100"/>
          <w:position w:val="0"/>
        </w:rPr>
        <w:t>根据第五届董事会第十二次会议和</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年年度股东大会审议通过，本公司为天天基金向银行申请授信及银行借款等提供担 保，授信、借款额度不超过人民币</w:t>
      </w:r>
      <w:r>
        <w:rPr>
          <w:rFonts w:ascii="Times New Roman" w:eastAsia="Times New Roman" w:hAnsi="Times New Roman" w:cs="Times New Roman"/>
          <w:color w:val="000000"/>
          <w:spacing w:val="0"/>
          <w:w w:val="100"/>
          <w:position w:val="0"/>
        </w:rPr>
        <w:t>150.00</w:t>
      </w:r>
      <w:r>
        <w:rPr>
          <w:color w:val="000000"/>
          <w:spacing w:val="0"/>
          <w:w w:val="100"/>
          <w:position w:val="0"/>
        </w:rPr>
        <w:t>亿元，截至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日，公司为天天基金提供担保可用额度剩余人民币 </w:t>
      </w:r>
      <w:r>
        <w:rPr>
          <w:rFonts w:ascii="Times New Roman" w:eastAsia="Times New Roman" w:hAnsi="Times New Roman" w:cs="Times New Roman"/>
          <w:color w:val="000000"/>
          <w:spacing w:val="0"/>
          <w:w w:val="100"/>
          <w:position w:val="0"/>
        </w:rPr>
        <w:t>74.00</w:t>
      </w:r>
      <w:r>
        <w:rPr>
          <w:color w:val="000000"/>
          <w:spacing w:val="0"/>
          <w:w w:val="100"/>
          <w:position w:val="0"/>
        </w:rPr>
        <w:t>亿元;本公司为上海东方财富置业有限公司向银行申请授信及银行借款等提供担保，授信、借款额度不超过人民币</w:t>
      </w:r>
      <w:r>
        <w:rPr>
          <w:rFonts w:ascii="Times New Roman" w:eastAsia="Times New Roman" w:hAnsi="Times New Roman" w:cs="Times New Roman"/>
          <w:color w:val="000000"/>
          <w:spacing w:val="0"/>
          <w:w w:val="100"/>
          <w:position w:val="0"/>
        </w:rPr>
        <w:t xml:space="preserve">11.00 </w:t>
      </w:r>
      <w:r>
        <w:rPr>
          <w:color w:val="000000"/>
          <w:spacing w:val="0"/>
          <w:w w:val="100"/>
          <w:position w:val="0"/>
        </w:rPr>
        <w:t>亿元，截至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日，公司为上海东方财富置业有限公司提供担保可用额度剩余人民币</w:t>
      </w:r>
      <w:r>
        <w:rPr>
          <w:rFonts w:ascii="Times New Roman" w:eastAsia="Times New Roman" w:hAnsi="Times New Roman" w:cs="Times New Roman"/>
          <w:color w:val="000000"/>
          <w:spacing w:val="0"/>
          <w:w w:val="100"/>
          <w:position w:val="0"/>
        </w:rPr>
        <w:t>11.00</w:t>
      </w:r>
      <w:r>
        <w:rPr>
          <w:color w:val="000000"/>
          <w:spacing w:val="0"/>
          <w:w w:val="100"/>
          <w:position w:val="0"/>
        </w:rPr>
        <w:t>亿元；根据第五届 董事会第十三次会议及公司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年第一次临时股东大会会议审议通过，本公司为哈富有限公司境外债券项下的清偿义务提 供无条件及不可撤销的跨境担保，担保范围包括哈富有限公司在境外债券项下应支付的全部款项。</w:t>
      </w:r>
      <w:r>
        <w:br w:type="page"/>
      </w:r>
    </w:p>
    <w:p>
      <w:pPr>
        <w:pStyle w:val="Style32"/>
        <w:keepNext/>
        <w:keepLines/>
        <w:widowControl w:val="0"/>
        <w:shd w:val="clear" w:color="auto" w:fill="auto"/>
        <w:bidi w:val="0"/>
        <w:spacing w:before="0" w:after="300" w:line="240" w:lineRule="auto"/>
        <w:ind w:left="0" w:right="0" w:firstLine="0"/>
        <w:jc w:val="both"/>
      </w:pPr>
      <w:bookmarkStart w:id="1765" w:name="bookmark1765"/>
      <w:bookmarkStart w:id="1766" w:name="bookmark1766"/>
      <w:bookmarkStart w:id="1767" w:name="bookmark1767"/>
      <w:bookmarkStart w:id="1768" w:name="bookmark1768"/>
      <w:r>
        <w:rPr>
          <w:color w:val="000000"/>
          <w:spacing w:val="0"/>
          <w:w w:val="100"/>
          <w:position w:val="0"/>
        </w:rPr>
        <w:t>（</w:t>
      </w:r>
      <w:bookmarkEnd w:id="1767"/>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765"/>
      <w:bookmarkEnd w:id="1766"/>
      <w:bookmarkEnd w:id="176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2,871.76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1,912.97</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注：不含限制性股票激励计划非现金利益</w:t>
      </w:r>
    </w:p>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both"/>
      </w:pPr>
      <w:bookmarkStart w:id="1769" w:name="bookmark1769"/>
      <w:bookmarkStart w:id="1770" w:name="bookmark1770"/>
      <w:bookmarkStart w:id="1771" w:name="bookmark1771"/>
      <w:bookmarkStart w:id="1772" w:name="bookmark1772"/>
      <w:r>
        <w:rPr>
          <w:color w:val="000000"/>
          <w:spacing w:val="0"/>
          <w:w w:val="100"/>
          <w:position w:val="0"/>
        </w:rPr>
        <w:t>（</w:t>
      </w:r>
      <w:bookmarkEnd w:id="1771"/>
      <w:r>
        <w:rPr>
          <w:rFonts w:ascii="Times New Roman" w:eastAsia="Times New Roman" w:hAnsi="Times New Roman" w:cs="Times New Roman"/>
          <w:color w:val="000000"/>
          <w:spacing w:val="0"/>
          <w:w w:val="100"/>
          <w:position w:val="0"/>
        </w:rPr>
        <w:t>4</w:t>
      </w:r>
      <w:r>
        <w:rPr>
          <w:color w:val="000000"/>
          <w:spacing w:val="0"/>
          <w:w w:val="100"/>
          <w:position w:val="0"/>
        </w:rPr>
        <w:t>）其他关联交易</w:t>
      </w:r>
      <w:bookmarkEnd w:id="1769"/>
      <w:bookmarkEnd w:id="1770"/>
      <w:bookmarkEnd w:id="1772"/>
    </w:p>
    <w:p>
      <w:pPr>
        <w:pStyle w:val="Style24"/>
        <w:keepNext w:val="0"/>
        <w:keepLines w:val="0"/>
        <w:widowControl w:val="0"/>
        <w:shd w:val="clear" w:color="auto" w:fill="auto"/>
        <w:bidi w:val="0"/>
        <w:spacing w:before="0" w:after="0" w:line="216" w:lineRule="exact"/>
        <w:ind w:left="0" w:right="0" w:firstLine="0"/>
        <w:jc w:val="both"/>
      </w:pPr>
      <w:r>
        <w:rPr>
          <w:color w:val="000000"/>
          <w:spacing w:val="0"/>
          <w:w w:val="100"/>
          <w:position w:val="0"/>
        </w:rPr>
        <w:t>本年公司实际控制人、董监高及其亲属通过东方财富证券、天天基金等子公司购买股票、基金等金融产品共计支付手续费等 人民币</w:t>
      </w:r>
      <w:r>
        <w:rPr>
          <w:rFonts w:ascii="Times New Roman" w:eastAsia="Times New Roman" w:hAnsi="Times New Roman" w:cs="Times New Roman"/>
          <w:color w:val="000000"/>
          <w:spacing w:val="0"/>
          <w:w w:val="100"/>
          <w:position w:val="0"/>
        </w:rPr>
        <w:t>62,304.58</w:t>
      </w:r>
      <w:r>
        <w:rPr>
          <w:color w:val="000000"/>
          <w:spacing w:val="0"/>
          <w:w w:val="100"/>
          <w:position w:val="0"/>
        </w:rPr>
        <w:t>元。</w:t>
      </w:r>
    </w:p>
    <w:p>
      <w:pPr>
        <w:pStyle w:val="Style24"/>
        <w:keepNext w:val="0"/>
        <w:keepLines w:val="0"/>
        <w:widowControl w:val="0"/>
        <w:shd w:val="clear" w:color="auto" w:fill="auto"/>
        <w:bidi w:val="0"/>
        <w:spacing w:before="0" w:after="0" w:line="216" w:lineRule="exact"/>
        <w:ind w:left="0" w:right="0" w:firstLine="0"/>
        <w:jc w:val="both"/>
      </w:pPr>
      <w:r>
        <w:rPr>
          <w:color w:val="000000"/>
          <w:spacing w:val="0"/>
          <w:w w:val="100"/>
          <w:position w:val="0"/>
        </w:rPr>
        <w:t>公司与实际控制人在其他任职企业关联交易金额如下：</w:t>
      </w:r>
    </w:p>
    <w:p>
      <w:pPr>
        <w:pStyle w:val="Style24"/>
        <w:keepNext w:val="0"/>
        <w:keepLines w:val="0"/>
        <w:widowControl w:val="0"/>
        <w:shd w:val="clear" w:color="auto" w:fill="auto"/>
        <w:bidi w:val="0"/>
        <w:spacing w:before="0" w:after="80" w:line="216" w:lineRule="exact"/>
        <w:ind w:left="0" w:right="0" w:firstLine="0"/>
        <w:jc w:val="right"/>
      </w:pPr>
      <w:r>
        <w:rPr>
          <w:color w:val="000000"/>
          <w:spacing w:val="0"/>
          <w:w w:val="100"/>
          <w:position w:val="0"/>
        </w:rPr>
        <w:t>单位：元</w:t>
      </w:r>
    </w:p>
    <w:tbl>
      <w:tblPr>
        <w:tblOverlap w:val="never"/>
        <w:jc w:val="center"/>
        <w:tblLayout w:type="fixed"/>
      </w:tblPr>
      <w:tblGrid>
        <w:gridCol w:w="2400"/>
        <w:gridCol w:w="2410"/>
        <w:gridCol w:w="2395"/>
        <w:gridCol w:w="2400"/>
      </w:tblGrid>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2020</w:t>
            </w:r>
            <w:r>
              <w:rPr>
                <w:rFonts w:ascii="SimSun" w:eastAsia="SimSun" w:hAnsi="SimSun" w:cs="SimSun"/>
                <w:color w:val="000000"/>
                <w:spacing w:val="0"/>
                <w:w w:val="100"/>
                <w:position w:val="0"/>
              </w:rPr>
              <w:t>年度</w:t>
            </w:r>
          </w:p>
        </w:tc>
      </w:tr>
      <w:tr>
        <w:trPr>
          <w:trHeight w:val="32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上海长三角商业创新研究院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r>
    </w:tbl>
    <w:p>
      <w:pPr>
        <w:widowControl w:val="0"/>
        <w:spacing w:after="299" w:line="1" w:lineRule="exact"/>
      </w:pPr>
    </w:p>
    <w:p>
      <w:pPr>
        <w:pStyle w:val="Style32"/>
        <w:keepNext/>
        <w:keepLines/>
        <w:widowControl w:val="0"/>
        <w:shd w:val="clear" w:color="auto" w:fill="auto"/>
        <w:bidi w:val="0"/>
        <w:spacing w:before="0" w:after="34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6</w:t>
      </w:r>
      <w:bookmarkEnd w:id="1775"/>
      <w:r>
        <w:rPr>
          <w:color w:val="000000"/>
          <w:spacing w:val="0"/>
          <w:w w:val="100"/>
          <w:position w:val="0"/>
        </w:rPr>
        <w:t>、关联方应收应付款项</w:t>
      </w:r>
      <w:bookmarkEnd w:id="1773"/>
      <w:bookmarkEnd w:id="1774"/>
      <w:bookmarkEnd w:id="1776"/>
    </w:p>
    <w:p>
      <w:pPr>
        <w:pStyle w:val="Style32"/>
        <w:keepNext/>
        <w:keepLines/>
        <w:widowControl w:val="0"/>
        <w:shd w:val="clear" w:color="auto" w:fill="auto"/>
        <w:bidi w:val="0"/>
        <w:spacing w:before="0" w:after="300" w:line="240" w:lineRule="auto"/>
        <w:ind w:left="0" w:right="0" w:firstLine="0"/>
        <w:jc w:val="left"/>
      </w:pPr>
      <w:bookmarkStart w:id="1773" w:name="bookmark1773"/>
      <w:bookmarkStart w:id="1774" w:name="bookmark1774"/>
      <w:bookmarkStart w:id="1777" w:name="bookmark17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73"/>
      <w:bookmarkEnd w:id="1774"/>
      <w:bookmarkEnd w:id="1777"/>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603"/>
        <w:gridCol w:w="1598"/>
        <w:gridCol w:w="1584"/>
        <w:gridCol w:w="1603"/>
        <w:gridCol w:w="1608"/>
      </w:tblGrid>
      <w:tr>
        <w:trPr>
          <w:trHeight w:val="32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w:t>
            </w:r>
          </w:p>
        </w:tc>
      </w:tr>
      <w:tr>
        <w:trPr>
          <w:trHeight w:val="32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上海境庐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190,000.00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778" w:name="bookmark1778"/>
      <w:bookmarkStart w:id="1779" w:name="bookmark1779"/>
      <w:bookmarkStart w:id="1780" w:name="bookmark17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778"/>
      <w:bookmarkEnd w:id="1779"/>
      <w:bookmarkEnd w:id="1780"/>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10"/>
        <w:gridCol w:w="2395"/>
        <w:gridCol w:w="2400"/>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期初账面余额</w:t>
            </w:r>
          </w:p>
        </w:tc>
      </w:tr>
      <w:tr>
        <w:trPr>
          <w:trHeight w:val="31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上海境庐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3,178,716.84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上海境庐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180,952.38</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781" w:name="bookmark1781"/>
      <w:bookmarkStart w:id="1782" w:name="bookmark1782"/>
      <w:bookmarkStart w:id="1783" w:name="bookmark1783"/>
      <w:bookmarkStart w:id="1784" w:name="bookmark1784"/>
      <w:r>
        <w:rPr>
          <w:color w:val="000000"/>
          <w:spacing w:val="0"/>
          <w:w w:val="100"/>
          <w:position w:val="0"/>
        </w:rPr>
        <w:t>（</w:t>
      </w:r>
      <w:bookmarkEnd w:id="1783"/>
      <w:r>
        <w:rPr>
          <w:rFonts w:ascii="Times New Roman" w:eastAsia="Times New Roman" w:hAnsi="Times New Roman" w:cs="Times New Roman"/>
          <w:color w:val="000000"/>
          <w:spacing w:val="0"/>
          <w:w w:val="100"/>
          <w:position w:val="0"/>
        </w:rPr>
        <w:t>3</w:t>
      </w:r>
      <w:r>
        <w:rPr>
          <w:color w:val="000000"/>
          <w:spacing w:val="0"/>
          <w:w w:val="100"/>
          <w:position w:val="0"/>
        </w:rPr>
        <w:t>）使用权资产</w:t>
      </w:r>
      <w:bookmarkEnd w:id="1781"/>
      <w:bookmarkEnd w:id="1782"/>
      <w:bookmarkEnd w:id="1784"/>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10"/>
        <w:gridCol w:w="2395"/>
        <w:gridCol w:w="2400"/>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期初账面余额</w:t>
            </w:r>
          </w:p>
        </w:tc>
      </w:tr>
      <w:tr>
        <w:trPr>
          <w:trHeight w:val="32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上海境庐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2,940,038.70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1785" w:name="bookmark1785"/>
      <w:bookmarkStart w:id="1786" w:name="bookmark1786"/>
      <w:bookmarkStart w:id="1787" w:name="bookmark1787"/>
      <w:r>
        <w:rPr>
          <w:color w:val="000000"/>
          <w:spacing w:val="0"/>
          <w:w w:val="100"/>
          <w:position w:val="0"/>
          <w:sz w:val="24"/>
          <w:szCs w:val="24"/>
        </w:rPr>
        <w:t>十三、股份支付</w:t>
      </w:r>
      <w:bookmarkEnd w:id="1785"/>
      <w:bookmarkEnd w:id="1786"/>
      <w:bookmarkEnd w:id="1787"/>
    </w:p>
    <w:p>
      <w:pPr>
        <w:pStyle w:val="Style32"/>
        <w:keepNext/>
        <w:keepLines/>
        <w:widowControl w:val="0"/>
        <w:shd w:val="clear" w:color="auto" w:fill="auto"/>
        <w:bidi w:val="0"/>
        <w:spacing w:before="0" w:after="300" w:line="240" w:lineRule="auto"/>
        <w:ind w:left="0" w:right="0" w:firstLine="0"/>
        <w:jc w:val="left"/>
      </w:pPr>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788"/>
      <w:bookmarkEnd w:id="1789"/>
      <w:bookmarkEnd w:id="1790"/>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单位：份</w:t>
      </w:r>
    </w:p>
    <w:tbl>
      <w:tblPr>
        <w:tblOverlap w:val="never"/>
        <w:jc w:val="center"/>
        <w:tblLayout w:type="fixed"/>
      </w:tblPr>
      <w:tblGrid>
        <w:gridCol w:w="5126"/>
        <w:gridCol w:w="4550"/>
      </w:tblGrid>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公司本期授予的各项权益工具总额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45,000,000.00</w:t>
            </w:r>
          </w:p>
        </w:tc>
      </w:tr>
    </w:tbl>
    <w:tbl>
      <w:tblPr>
        <w:tblOverlap w:val="never"/>
        <w:jc w:val="center"/>
        <w:tblLayout w:type="fixed"/>
      </w:tblPr>
      <w:tblGrid>
        <w:gridCol w:w="5126"/>
        <w:gridCol w:w="4550"/>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公司本期行权的各项权益工具总额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303,000.00</w:t>
            </w:r>
          </w:p>
        </w:tc>
      </w:tr>
      <w:tr>
        <w:trPr>
          <w:trHeight w:val="55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2021</w:t>
            </w:r>
            <w:r>
              <w:rPr>
                <w:rFonts w:ascii="SimSun" w:eastAsia="SimSun" w:hAnsi="SimSun" w:cs="SimSun"/>
                <w:color w:val="000000"/>
                <w:spacing w:val="0"/>
                <w:w w:val="100"/>
                <w:position w:val="0"/>
              </w:rPr>
              <w:t>年股票激励计划于</w:t>
            </w:r>
            <w:r>
              <w:rPr>
                <w:color w:val="000000"/>
                <w:spacing w:val="0"/>
                <w:w w:val="100"/>
                <w:position w:val="0"/>
              </w:rPr>
              <w:t>2025</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日到期，行 权价格为</w:t>
            </w:r>
            <w:r>
              <w:rPr>
                <w:color w:val="000000"/>
                <w:spacing w:val="0"/>
                <w:w w:val="100"/>
                <w:position w:val="0"/>
              </w:rPr>
              <w:t>34.74</w:t>
            </w:r>
            <w:r>
              <w:rPr>
                <w:rFonts w:ascii="SimSun" w:eastAsia="SimSun" w:hAnsi="SimSun" w:cs="SimSun"/>
                <w:color w:val="000000"/>
                <w:spacing w:val="0"/>
                <w:w w:val="100"/>
                <w:position w:val="0"/>
              </w:rPr>
              <w:t>元</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791"/>
      <w:bookmarkEnd w:id="1792"/>
      <w:bookmarkEnd w:id="1793"/>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608"/>
      </w:tblGrid>
      <w:tr>
        <w:trPr>
          <w:trHeight w:val="57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公司采用</w:t>
            </w:r>
            <w:r>
              <w:rPr>
                <w:color w:val="000000"/>
                <w:spacing w:val="0"/>
                <w:w w:val="100"/>
                <w:position w:val="0"/>
              </w:rPr>
              <w:t>BS</w:t>
            </w:r>
            <w:r>
              <w:rPr>
                <w:rFonts w:ascii="SimSun" w:eastAsia="SimSun" w:hAnsi="SimSun" w:cs="SimSun"/>
                <w:color w:val="000000"/>
                <w:spacing w:val="0"/>
                <w:w w:val="100"/>
                <w:position w:val="0"/>
              </w:rPr>
              <w:t>模型，在合理设定各项参数的基础上，确定 股票期权激励计划在授予日的公允价值。</w:t>
            </w:r>
          </w:p>
        </w:tc>
      </w:tr>
      <w:tr>
        <w:trPr>
          <w:trHeight w:val="55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根据截至本财务报告批准日最新取得的可行权职工人数变 动等后续信息进行最佳估计。</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48,139,540.00</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48,139,540.00</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20" w:line="23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年股票期权激励计划授予第二类限制性股票根据《东方财富信息股份有限公司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年限制性股票激励计划（草案）》， 拟向激励对象授予的限制性股票数量为</w:t>
      </w:r>
      <w:r>
        <w:rPr>
          <w:rFonts w:ascii="Times New Roman" w:eastAsia="Times New Roman" w:hAnsi="Times New Roman" w:cs="Times New Roman"/>
          <w:color w:val="000000"/>
          <w:spacing w:val="0"/>
          <w:w w:val="100"/>
          <w:position w:val="0"/>
        </w:rPr>
        <w:t>50,000,000.00</w:t>
      </w:r>
      <w:r>
        <w:rPr>
          <w:color w:val="000000"/>
          <w:spacing w:val="0"/>
          <w:w w:val="100"/>
          <w:position w:val="0"/>
        </w:rPr>
        <w:t>股，其中首次授予限制性股票数量</w:t>
      </w:r>
      <w:r>
        <w:rPr>
          <w:rFonts w:ascii="Times New Roman" w:eastAsia="Times New Roman" w:hAnsi="Times New Roman" w:cs="Times New Roman"/>
          <w:color w:val="000000"/>
          <w:spacing w:val="0"/>
          <w:w w:val="100"/>
          <w:position w:val="0"/>
        </w:rPr>
        <w:t>45,000,000.00</w:t>
      </w:r>
      <w:r>
        <w:rPr>
          <w:color w:val="000000"/>
          <w:spacing w:val="0"/>
          <w:w w:val="100"/>
          <w:position w:val="0"/>
        </w:rPr>
        <w:t>股，预留授予限制性股 票数量</w:t>
      </w:r>
      <w:r>
        <w:rPr>
          <w:rFonts w:ascii="Times New Roman" w:eastAsia="Times New Roman" w:hAnsi="Times New Roman" w:cs="Times New Roman"/>
          <w:color w:val="000000"/>
          <w:spacing w:val="0"/>
          <w:w w:val="100"/>
          <w:position w:val="0"/>
        </w:rPr>
        <w:t>5,000,000.00</w:t>
      </w:r>
      <w:r>
        <w:rPr>
          <w:color w:val="000000"/>
          <w:spacing w:val="0"/>
          <w:w w:val="100"/>
          <w:position w:val="0"/>
        </w:rPr>
        <w:t>股。另根据</w:t>
      </w:r>
      <w:r>
        <w:rPr>
          <w:rFonts w:ascii="Times New Roman" w:eastAsia="Times New Roman" w:hAnsi="Times New Roman" w:cs="Times New Roman"/>
          <w:color w:val="000000"/>
          <w:spacing w:val="0"/>
          <w:w w:val="100"/>
          <w:position w:val="0"/>
        </w:rPr>
        <w:t>2021</w:t>
      </w:r>
      <w:r>
        <w:rPr>
          <w:color w:val="000000"/>
          <w:spacing w:val="0"/>
          <w:w w:val="100"/>
          <w:position w:val="0"/>
        </w:rPr>
        <w:t>年第五届董事会第十五次会议审议通过的《关于向激励对象首次授予限制性股票的议案》， 董事会同意将</w:t>
      </w:r>
      <w:r>
        <w:rPr>
          <w:rFonts w:ascii="Times New Roman" w:eastAsia="Times New Roman" w:hAnsi="Times New Roman" w:cs="Times New Roman"/>
          <w:color w:val="000000"/>
          <w:spacing w:val="0"/>
          <w:w w:val="100"/>
          <w:position w:val="0"/>
        </w:rPr>
        <w:t>45,000,000.00</w:t>
      </w:r>
      <w:r>
        <w:rPr>
          <w:color w:val="000000"/>
          <w:spacing w:val="0"/>
          <w:w w:val="100"/>
          <w:position w:val="0"/>
        </w:rPr>
        <w:t>份限制性股票授出，授予日期为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日，行权价格为</w:t>
      </w:r>
      <w:r>
        <w:rPr>
          <w:rFonts w:ascii="Times New Roman" w:eastAsia="Times New Roman" w:hAnsi="Times New Roman" w:cs="Times New Roman"/>
          <w:color w:val="000000"/>
          <w:spacing w:val="0"/>
          <w:w w:val="100"/>
          <w:position w:val="0"/>
        </w:rPr>
        <w:t>34.74</w:t>
      </w:r>
      <w:r>
        <w:rPr>
          <w:color w:val="000000"/>
          <w:spacing w:val="0"/>
          <w:w w:val="100"/>
          <w:position w:val="0"/>
        </w:rPr>
        <w:t>元，实际授出股票为</w:t>
      </w:r>
      <w:r>
        <w:rPr>
          <w:rFonts w:ascii="Times New Roman" w:eastAsia="Times New Roman" w:hAnsi="Times New Roman" w:cs="Times New Roman"/>
          <w:color w:val="000000"/>
          <w:spacing w:val="0"/>
          <w:w w:val="100"/>
          <w:position w:val="0"/>
        </w:rPr>
        <w:t xml:space="preserve">45,000,000 </w:t>
      </w:r>
      <w:r>
        <w:rPr>
          <w:color w:val="000000"/>
          <w:spacing w:val="0"/>
          <w:w w:val="100"/>
          <w:position w:val="0"/>
        </w:rPr>
        <w:t>份。在满足预定的业绩指标和任职期限后，在首次授予之日起</w:t>
      </w:r>
      <w:r>
        <w:rPr>
          <w:rFonts w:ascii="Times New Roman" w:eastAsia="Times New Roman" w:hAnsi="Times New Roman" w:cs="Times New Roman"/>
          <w:color w:val="000000"/>
          <w:spacing w:val="0"/>
          <w:w w:val="100"/>
          <w:position w:val="0"/>
        </w:rPr>
        <w:t>12</w:t>
      </w:r>
      <w:r>
        <w:rPr>
          <w:color w:val="000000"/>
          <w:spacing w:val="0"/>
          <w:w w:val="100"/>
          <w:position w:val="0"/>
        </w:rPr>
        <w:t>个月后至首次授予之日起</w:t>
      </w:r>
      <w:r>
        <w:rPr>
          <w:rFonts w:ascii="Times New Roman" w:eastAsia="Times New Roman" w:hAnsi="Times New Roman" w:cs="Times New Roman"/>
          <w:color w:val="000000"/>
          <w:spacing w:val="0"/>
          <w:w w:val="100"/>
          <w:position w:val="0"/>
        </w:rPr>
        <w:t>24</w:t>
      </w:r>
      <w:r>
        <w:rPr>
          <w:color w:val="000000"/>
          <w:spacing w:val="0"/>
          <w:w w:val="100"/>
          <w:position w:val="0"/>
        </w:rPr>
        <w:t>个月内，归属首次授予</w:t>
      </w:r>
      <w:r>
        <w:rPr>
          <w:rFonts w:ascii="Times New Roman" w:eastAsia="Times New Roman" w:hAnsi="Times New Roman" w:cs="Times New Roman"/>
          <w:color w:val="000000"/>
          <w:spacing w:val="0"/>
          <w:w w:val="100"/>
          <w:position w:val="0"/>
        </w:rPr>
        <w:t>40%</w:t>
      </w:r>
      <w:r>
        <w:rPr>
          <w:color w:val="000000"/>
          <w:spacing w:val="0"/>
          <w:w w:val="100"/>
          <w:position w:val="0"/>
        </w:rPr>
        <w:t>的限 制性股票数，在首次授予之日起</w:t>
      </w:r>
      <w:r>
        <w:rPr>
          <w:rFonts w:ascii="Times New Roman" w:eastAsia="Times New Roman" w:hAnsi="Times New Roman" w:cs="Times New Roman"/>
          <w:color w:val="000000"/>
          <w:spacing w:val="0"/>
          <w:w w:val="100"/>
          <w:position w:val="0"/>
        </w:rPr>
        <w:t>24</w:t>
      </w:r>
      <w:r>
        <w:rPr>
          <w:color w:val="000000"/>
          <w:spacing w:val="0"/>
          <w:w w:val="100"/>
          <w:position w:val="0"/>
        </w:rPr>
        <w:t>个月后至首次授予之日起</w:t>
      </w:r>
      <w:r>
        <w:rPr>
          <w:rFonts w:ascii="Times New Roman" w:eastAsia="Times New Roman" w:hAnsi="Times New Roman" w:cs="Times New Roman"/>
          <w:color w:val="000000"/>
          <w:spacing w:val="0"/>
          <w:w w:val="100"/>
          <w:position w:val="0"/>
        </w:rPr>
        <w:t>36</w:t>
      </w:r>
      <w:r>
        <w:rPr>
          <w:color w:val="000000"/>
          <w:spacing w:val="0"/>
          <w:w w:val="100"/>
          <w:position w:val="0"/>
        </w:rPr>
        <w:t>个月内，归属首次授予</w:t>
      </w:r>
      <w:r>
        <w:rPr>
          <w:rFonts w:ascii="Times New Roman" w:eastAsia="Times New Roman" w:hAnsi="Times New Roman" w:cs="Times New Roman"/>
          <w:color w:val="000000"/>
          <w:spacing w:val="0"/>
          <w:w w:val="100"/>
          <w:position w:val="0"/>
        </w:rPr>
        <w:t>30%</w:t>
      </w:r>
      <w:r>
        <w:rPr>
          <w:color w:val="000000"/>
          <w:spacing w:val="0"/>
          <w:w w:val="100"/>
          <w:position w:val="0"/>
        </w:rPr>
        <w:t>的限制性股票数，在首次授予之日 起</w:t>
      </w:r>
      <w:r>
        <w:rPr>
          <w:rFonts w:ascii="Times New Roman" w:eastAsia="Times New Roman" w:hAnsi="Times New Roman" w:cs="Times New Roman"/>
          <w:color w:val="000000"/>
          <w:spacing w:val="0"/>
          <w:w w:val="100"/>
          <w:position w:val="0"/>
        </w:rPr>
        <w:t>36</w:t>
      </w:r>
      <w:r>
        <w:rPr>
          <w:color w:val="000000"/>
          <w:spacing w:val="0"/>
          <w:w w:val="100"/>
          <w:position w:val="0"/>
        </w:rPr>
        <w:t>个月后至首次授予之日起</w:t>
      </w:r>
      <w:r>
        <w:rPr>
          <w:rFonts w:ascii="Times New Roman" w:eastAsia="Times New Roman" w:hAnsi="Times New Roman" w:cs="Times New Roman"/>
          <w:color w:val="000000"/>
          <w:spacing w:val="0"/>
          <w:w w:val="100"/>
          <w:position w:val="0"/>
        </w:rPr>
        <w:t>48</w:t>
      </w:r>
      <w:r>
        <w:rPr>
          <w:color w:val="000000"/>
          <w:spacing w:val="0"/>
          <w:w w:val="100"/>
          <w:position w:val="0"/>
        </w:rPr>
        <w:t>个月内，归属首次授予</w:t>
      </w:r>
      <w:r>
        <w:rPr>
          <w:rFonts w:ascii="Times New Roman" w:eastAsia="Times New Roman" w:hAnsi="Times New Roman" w:cs="Times New Roman"/>
          <w:color w:val="000000"/>
          <w:spacing w:val="0"/>
          <w:w w:val="100"/>
          <w:position w:val="0"/>
        </w:rPr>
        <w:t>30%</w:t>
      </w:r>
      <w:r>
        <w:rPr>
          <w:color w:val="000000"/>
          <w:spacing w:val="0"/>
          <w:w w:val="100"/>
          <w:position w:val="0"/>
        </w:rPr>
        <w:t>的限制性股票数。</w:t>
      </w:r>
    </w:p>
    <w:p>
      <w:pPr>
        <w:pStyle w:val="Style22"/>
        <w:keepNext/>
        <w:keepLines/>
        <w:widowControl w:val="0"/>
        <w:shd w:val="clear" w:color="auto" w:fill="auto"/>
        <w:bidi w:val="0"/>
        <w:spacing w:before="0" w:after="320" w:line="240" w:lineRule="auto"/>
        <w:ind w:left="0" w:right="0" w:firstLine="0"/>
        <w:jc w:val="left"/>
      </w:pPr>
      <w:bookmarkStart w:id="1794" w:name="bookmark1794"/>
      <w:bookmarkStart w:id="1795" w:name="bookmark1795"/>
      <w:bookmarkStart w:id="1796" w:name="bookmark1796"/>
      <w:r>
        <w:rPr>
          <w:color w:val="000000"/>
          <w:spacing w:val="0"/>
          <w:w w:val="100"/>
          <w:position w:val="0"/>
          <w:sz w:val="24"/>
          <w:szCs w:val="24"/>
        </w:rPr>
        <w:t>十四、承诺及或有事项</w:t>
      </w:r>
      <w:bookmarkEnd w:id="1794"/>
      <w:bookmarkEnd w:id="1795"/>
      <w:bookmarkEnd w:id="1796"/>
    </w:p>
    <w:p>
      <w:pPr>
        <w:pStyle w:val="Style32"/>
        <w:keepNext/>
        <w:keepLines/>
        <w:widowControl w:val="0"/>
        <w:shd w:val="clear" w:color="auto" w:fill="auto"/>
        <w:bidi w:val="0"/>
        <w:spacing w:before="0" w:line="240" w:lineRule="auto"/>
        <w:ind w:left="0" w:right="0" w:firstLine="0"/>
        <w:jc w:val="left"/>
      </w:pPr>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97"/>
      <w:bookmarkEnd w:id="1798"/>
      <w:bookmarkEnd w:id="1799"/>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资产负债表日存在的重要承诺</w:t>
      </w:r>
    </w:p>
    <w:p>
      <w:pPr>
        <w:pStyle w:val="Style24"/>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4752"/>
        <w:gridCol w:w="4694"/>
      </w:tblGrid>
      <w:tr>
        <w:trPr>
          <w:trHeight w:val="31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0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已签约但未拨备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480" w:right="0" w:firstLine="0"/>
              <w:jc w:val="left"/>
            </w:pPr>
            <w:r>
              <w:rPr>
                <w:color w:val="000000"/>
                <w:spacing w:val="0"/>
                <w:w w:val="100"/>
                <w:position w:val="0"/>
              </w:rPr>
              <w:t>788,113,516.39</w:t>
            </w:r>
          </w:p>
        </w:tc>
      </w:tr>
      <w:tr>
        <w:trPr>
          <w:trHeight w:val="30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其中：资本承诺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480" w:right="0" w:firstLine="0"/>
              <w:jc w:val="left"/>
            </w:pPr>
            <w:r>
              <w:rPr>
                <w:color w:val="000000"/>
                <w:spacing w:val="0"/>
                <w:w w:val="100"/>
                <w:position w:val="0"/>
              </w:rPr>
              <w:t>638,113,516.39</w:t>
            </w:r>
          </w:p>
        </w:tc>
      </w:tr>
      <w:tr>
        <w:trPr>
          <w:trHeight w:val="29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投资承诺</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480" w:right="0" w:firstLine="0"/>
              <w:jc w:val="left"/>
            </w:pPr>
            <w:r>
              <w:rPr>
                <w:color w:val="000000"/>
                <w:spacing w:val="0"/>
                <w:w w:val="100"/>
                <w:position w:val="0"/>
              </w:rPr>
              <w:t>150,000,000.00</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800"/>
      <w:bookmarkEnd w:id="1801"/>
      <w:bookmarkEnd w:id="1802"/>
    </w:p>
    <w:p>
      <w:pPr>
        <w:pStyle w:val="Style32"/>
        <w:keepNext/>
        <w:keepLines/>
        <w:widowControl w:val="0"/>
        <w:shd w:val="clear" w:color="auto" w:fill="auto"/>
        <w:tabs>
          <w:tab w:pos="522" w:val="left"/>
        </w:tabs>
        <w:bidi w:val="0"/>
        <w:spacing w:before="0" w:line="240" w:lineRule="auto"/>
        <w:ind w:left="0" w:right="0" w:firstLine="0"/>
        <w:jc w:val="left"/>
      </w:pPr>
      <w:bookmarkStart w:id="1800" w:name="bookmark1800"/>
      <w:bookmarkStart w:id="1801" w:name="bookmark1801"/>
      <w:bookmarkStart w:id="1803" w:name="bookmark1803"/>
      <w:bookmarkStart w:id="1804" w:name="bookmark1804"/>
      <w:r>
        <w:rPr>
          <w:color w:val="000000"/>
          <w:spacing w:val="0"/>
          <w:w w:val="100"/>
          <w:position w:val="0"/>
        </w:rPr>
        <w:t>（</w:t>
      </w:r>
      <w:bookmarkEnd w:id="1803"/>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800"/>
      <w:bookmarkEnd w:id="1801"/>
      <w:bookmarkEnd w:id="1804"/>
    </w:p>
    <w:p>
      <w:pPr>
        <w:pStyle w:val="Style41"/>
        <w:keepNext w:val="0"/>
        <w:keepLines w:val="0"/>
        <w:widowControl w:val="0"/>
        <w:shd w:val="clear" w:color="auto" w:fill="auto"/>
        <w:bidi w:val="0"/>
        <w:spacing w:before="0" w:after="320" w:line="240" w:lineRule="auto"/>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日，本公司未决诉讼涉案金额为</w:t>
      </w:r>
      <w:r>
        <w:rPr>
          <w:rFonts w:ascii="Times New Roman" w:eastAsia="Times New Roman" w:hAnsi="Times New Roman" w:cs="Times New Roman"/>
          <w:color w:val="000000"/>
          <w:spacing w:val="0"/>
          <w:w w:val="100"/>
          <w:position w:val="0"/>
        </w:rPr>
        <w:t>2,044.88</w:t>
      </w:r>
      <w:r>
        <w:rPr>
          <w:color w:val="000000"/>
          <w:spacing w:val="0"/>
          <w:w w:val="100"/>
          <w:position w:val="0"/>
        </w:rPr>
        <w:t>万元。</w:t>
      </w:r>
    </w:p>
    <w:p>
      <w:pPr>
        <w:pStyle w:val="Style32"/>
        <w:keepNext/>
        <w:keepLines/>
        <w:widowControl w:val="0"/>
        <w:shd w:val="clear" w:color="auto" w:fill="auto"/>
        <w:tabs>
          <w:tab w:pos="522" w:val="left"/>
        </w:tabs>
        <w:bidi w:val="0"/>
        <w:spacing w:before="0" w:line="240" w:lineRule="auto"/>
        <w:ind w:left="0" w:right="0" w:firstLine="0"/>
        <w:jc w:val="left"/>
      </w:pPr>
      <w:bookmarkStart w:id="1805" w:name="bookmark1805"/>
      <w:bookmarkStart w:id="1806" w:name="bookmark1806"/>
      <w:bookmarkStart w:id="1807" w:name="bookmark1807"/>
      <w:bookmarkStart w:id="1808" w:name="bookmark1808"/>
      <w:r>
        <w:rPr>
          <w:color w:val="000000"/>
          <w:spacing w:val="0"/>
          <w:w w:val="100"/>
          <w:position w:val="0"/>
        </w:rPr>
        <w:t>（</w:t>
      </w:r>
      <w:bookmarkEnd w:id="1807"/>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805"/>
      <w:bookmarkEnd w:id="1806"/>
      <w:bookmarkEnd w:id="1808"/>
    </w:p>
    <w:p>
      <w:pPr>
        <w:pStyle w:val="Style41"/>
        <w:keepNext w:val="0"/>
        <w:keepLines w:val="0"/>
        <w:widowControl w:val="0"/>
        <w:shd w:val="clear" w:color="auto" w:fill="auto"/>
        <w:bidi w:val="0"/>
        <w:spacing w:before="0" w:after="320" w:line="240" w:lineRule="auto"/>
        <w:ind w:left="0" w:right="0" w:firstLine="440"/>
        <w:jc w:val="both"/>
      </w:pPr>
      <w:r>
        <w:rPr>
          <w:color w:val="000000"/>
          <w:spacing w:val="0"/>
          <w:w w:val="100"/>
          <w:position w:val="0"/>
        </w:rPr>
        <w:t>公司不存在需要披露的重要或有事项。</w:t>
      </w:r>
    </w:p>
    <w:p>
      <w:pPr>
        <w:pStyle w:val="Style22"/>
        <w:keepNext/>
        <w:keepLines/>
        <w:widowControl w:val="0"/>
        <w:shd w:val="clear" w:color="auto" w:fill="auto"/>
        <w:bidi w:val="0"/>
        <w:spacing w:before="0" w:after="320" w:line="240" w:lineRule="auto"/>
        <w:ind w:left="0" w:right="0" w:firstLine="0"/>
        <w:jc w:val="left"/>
      </w:pPr>
      <w:bookmarkStart w:id="1809" w:name="bookmark1809"/>
      <w:bookmarkStart w:id="1810" w:name="bookmark1810"/>
      <w:bookmarkStart w:id="1811" w:name="bookmark1811"/>
      <w:r>
        <w:rPr>
          <w:color w:val="000000"/>
          <w:spacing w:val="0"/>
          <w:w w:val="100"/>
          <w:position w:val="0"/>
          <w:sz w:val="24"/>
          <w:szCs w:val="24"/>
        </w:rPr>
        <w:t>十五、资产负债表日后事项</w:t>
      </w:r>
      <w:bookmarkEnd w:id="1809"/>
      <w:bookmarkEnd w:id="1810"/>
      <w:bookmarkEnd w:id="1811"/>
    </w:p>
    <w:p>
      <w:pPr>
        <w:pStyle w:val="Style32"/>
        <w:keepNext/>
        <w:keepLines/>
        <w:widowControl w:val="0"/>
        <w:shd w:val="clear" w:color="auto" w:fill="auto"/>
        <w:bidi w:val="0"/>
        <w:spacing w:before="0" w:after="80" w:line="277" w:lineRule="exact"/>
        <w:ind w:left="0" w:right="0" w:firstLine="0"/>
        <w:jc w:val="both"/>
      </w:pPr>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812"/>
      <w:bookmarkEnd w:id="1813"/>
      <w:bookmarkEnd w:id="1814"/>
    </w:p>
    <w:p>
      <w:pPr>
        <w:pStyle w:val="Style41"/>
        <w:keepNext w:val="0"/>
        <w:keepLines w:val="0"/>
        <w:widowControl w:val="0"/>
        <w:shd w:val="clear" w:color="auto" w:fill="auto"/>
        <w:bidi w:val="0"/>
        <w:spacing w:before="0" w:after="320" w:line="277" w:lineRule="exact"/>
        <w:ind w:left="0" w:right="0" w:firstLine="0"/>
        <w:jc w:val="both"/>
      </w:pPr>
      <w:r>
        <w:rPr>
          <w:color w:val="000000"/>
          <w:spacing w:val="0"/>
          <w:w w:val="100"/>
          <w:position w:val="0"/>
        </w:rPr>
        <w:t>根据公司于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日召开的第五届董事会第二十次会议决议，本公司拟实施以下资本公积转增股 本及利润分配方案：以总股本</w:t>
      </w:r>
      <w:r>
        <w:rPr>
          <w:rFonts w:ascii="Times New Roman" w:eastAsia="Times New Roman" w:hAnsi="Times New Roman" w:cs="Times New Roman"/>
          <w:color w:val="000000"/>
          <w:spacing w:val="0"/>
          <w:w w:val="100"/>
          <w:position w:val="0"/>
        </w:rPr>
        <w:t>11,011,802,120</w:t>
      </w:r>
      <w:r>
        <w:rPr>
          <w:color w:val="000000"/>
          <w:spacing w:val="0"/>
          <w:w w:val="100"/>
          <w:position w:val="0"/>
        </w:rPr>
        <w:t>股为基数，用资本公积金向全体股东每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股，共转 增</w:t>
      </w:r>
      <w:r>
        <w:rPr>
          <w:rFonts w:ascii="Times New Roman" w:eastAsia="Times New Roman" w:hAnsi="Times New Roman" w:cs="Times New Roman"/>
          <w:color w:val="000000"/>
          <w:spacing w:val="0"/>
          <w:w w:val="100"/>
          <w:position w:val="0"/>
        </w:rPr>
        <w:t>2,202,360,424</w:t>
      </w:r>
      <w:r>
        <w:rPr>
          <w:color w:val="000000"/>
          <w:spacing w:val="0"/>
          <w:w w:val="100"/>
          <w:position w:val="0"/>
        </w:rPr>
        <w:t>股，转增后公司总股本为</w:t>
      </w:r>
      <w:r>
        <w:rPr>
          <w:rFonts w:ascii="Times New Roman" w:eastAsia="Times New Roman" w:hAnsi="Times New Roman" w:cs="Times New Roman"/>
          <w:color w:val="000000"/>
          <w:spacing w:val="0"/>
          <w:w w:val="100"/>
          <w:position w:val="0"/>
        </w:rPr>
        <w:t>13,214,162,544</w:t>
      </w:r>
      <w:r>
        <w:rPr>
          <w:color w:val="000000"/>
          <w:spacing w:val="0"/>
          <w:w w:val="100"/>
          <w:position w:val="0"/>
        </w:rPr>
        <w:t>股。以总股本</w:t>
      </w:r>
      <w:r>
        <w:rPr>
          <w:rFonts w:ascii="Times New Roman" w:eastAsia="Times New Roman" w:hAnsi="Times New Roman" w:cs="Times New Roman"/>
          <w:color w:val="000000"/>
          <w:spacing w:val="0"/>
          <w:w w:val="100"/>
          <w:position w:val="0"/>
        </w:rPr>
        <w:t>11,011,802,120</w:t>
      </w:r>
      <w:r>
        <w:rPr>
          <w:color w:val="000000"/>
          <w:spacing w:val="0"/>
          <w:w w:val="100"/>
          <w:position w:val="0"/>
        </w:rPr>
        <w:t>股为基数，向全体 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0.80</w:t>
      </w:r>
      <w:r>
        <w:rPr>
          <w:color w:val="000000"/>
          <w:spacing w:val="0"/>
          <w:w w:val="100"/>
          <w:position w:val="0"/>
        </w:rPr>
        <w:t>元（含税），合计派发现金</w:t>
      </w:r>
      <w:r>
        <w:rPr>
          <w:rFonts w:ascii="Times New Roman" w:eastAsia="Times New Roman" w:hAnsi="Times New Roman" w:cs="Times New Roman"/>
          <w:color w:val="000000"/>
          <w:spacing w:val="0"/>
          <w:w w:val="100"/>
          <w:position w:val="0"/>
        </w:rPr>
        <w:t>880,944,169.60</w:t>
      </w:r>
      <w:r>
        <w:rPr>
          <w:color w:val="000000"/>
          <w:spacing w:val="0"/>
          <w:w w:val="100"/>
          <w:position w:val="0"/>
        </w:rPr>
        <w:t>元。剩余未分配利润结转至下 年度。该议案需报请公司股东大会会议批准。</w:t>
      </w:r>
    </w:p>
    <w:p>
      <w:pPr>
        <w:pStyle w:val="Style22"/>
        <w:keepNext/>
        <w:keepLines/>
        <w:widowControl w:val="0"/>
        <w:shd w:val="clear" w:color="auto" w:fill="auto"/>
        <w:bidi w:val="0"/>
        <w:spacing w:before="0" w:after="320" w:line="240" w:lineRule="auto"/>
        <w:ind w:left="0" w:right="0" w:firstLine="0"/>
        <w:jc w:val="both"/>
      </w:pPr>
      <w:bookmarkStart w:id="1815" w:name="bookmark1815"/>
      <w:bookmarkStart w:id="1816" w:name="bookmark1816"/>
      <w:bookmarkStart w:id="1817" w:name="bookmark1817"/>
      <w:r>
        <w:rPr>
          <w:color w:val="000000"/>
          <w:spacing w:val="0"/>
          <w:w w:val="100"/>
          <w:position w:val="0"/>
          <w:sz w:val="24"/>
          <w:szCs w:val="24"/>
        </w:rPr>
        <w:t>十六、其他重要事项</w:t>
      </w:r>
      <w:bookmarkEnd w:id="1815"/>
      <w:bookmarkEnd w:id="1816"/>
      <w:bookmarkEnd w:id="1817"/>
    </w:p>
    <w:p>
      <w:pPr>
        <w:pStyle w:val="Style32"/>
        <w:keepNext/>
        <w:keepLines/>
        <w:widowControl w:val="0"/>
        <w:shd w:val="clear" w:color="auto" w:fill="auto"/>
        <w:bidi w:val="0"/>
        <w:spacing w:before="0" w:after="80" w:line="277" w:lineRule="exact"/>
        <w:ind w:left="0" w:right="0" w:firstLine="0"/>
        <w:jc w:val="both"/>
      </w:pPr>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818"/>
      <w:bookmarkEnd w:id="1819"/>
      <w:bookmarkEnd w:id="1820"/>
    </w:p>
    <w:p>
      <w:pPr>
        <w:pStyle w:val="Style32"/>
        <w:keepNext/>
        <w:keepLines/>
        <w:widowControl w:val="0"/>
        <w:shd w:val="clear" w:color="auto" w:fill="auto"/>
        <w:tabs>
          <w:tab w:pos="522" w:val="left"/>
        </w:tabs>
        <w:bidi w:val="0"/>
        <w:spacing w:before="0" w:after="80" w:line="277" w:lineRule="exact"/>
        <w:ind w:left="0" w:right="0" w:firstLine="0"/>
        <w:jc w:val="both"/>
      </w:pPr>
      <w:bookmarkStart w:id="1818" w:name="bookmark1818"/>
      <w:bookmarkStart w:id="1819" w:name="bookmark1819"/>
      <w:bookmarkStart w:id="1821" w:name="bookmark1821"/>
      <w:bookmarkStart w:id="1822" w:name="bookmark1822"/>
      <w:r>
        <w:rPr>
          <w:color w:val="000000"/>
          <w:spacing w:val="0"/>
          <w:w w:val="100"/>
          <w:position w:val="0"/>
        </w:rPr>
        <w:t>（</w:t>
      </w:r>
      <w:bookmarkEnd w:id="1821"/>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818"/>
      <w:bookmarkEnd w:id="1819"/>
      <w:bookmarkEnd w:id="1822"/>
    </w:p>
    <w:p>
      <w:pPr>
        <w:pStyle w:val="Style41"/>
        <w:keepNext w:val="0"/>
        <w:keepLines w:val="0"/>
        <w:widowControl w:val="0"/>
        <w:shd w:val="clear" w:color="auto" w:fill="auto"/>
        <w:bidi w:val="0"/>
        <w:spacing w:before="0" w:after="320" w:line="269" w:lineRule="exact"/>
        <w:ind w:left="0" w:right="0" w:firstLine="420"/>
        <w:jc w:val="both"/>
      </w:pPr>
      <w:r>
        <w:rPr>
          <w:color w:val="000000"/>
          <w:spacing w:val="0"/>
          <w:w w:val="100"/>
          <w:position w:val="0"/>
        </w:rPr>
        <w:t>根据本公司的内部组织结构、管理要求及内部报告制度确定经营分部，各个报告分部分别提供不同的 产品或服务，本公司以产品或服务内容确定报告分部，但因相关业务混合经营，故资产总额和负债总额及 期间费用未进行分配。</w:t>
      </w:r>
    </w:p>
    <w:p>
      <w:pPr>
        <w:pStyle w:val="Style32"/>
        <w:keepNext/>
        <w:keepLines/>
        <w:widowControl w:val="0"/>
        <w:shd w:val="clear" w:color="auto" w:fill="auto"/>
        <w:tabs>
          <w:tab w:pos="522" w:val="left"/>
        </w:tabs>
        <w:bidi w:val="0"/>
        <w:spacing w:before="0" w:line="277" w:lineRule="exact"/>
        <w:ind w:left="0" w:right="0" w:firstLine="0"/>
        <w:jc w:val="both"/>
      </w:pPr>
      <w:bookmarkStart w:id="1823" w:name="bookmark1823"/>
      <w:bookmarkStart w:id="1824" w:name="bookmark1824"/>
      <w:bookmarkStart w:id="1825" w:name="bookmark1825"/>
      <w:bookmarkStart w:id="1826" w:name="bookmark1826"/>
      <w:r>
        <w:rPr>
          <w:color w:val="000000"/>
          <w:spacing w:val="0"/>
          <w:w w:val="100"/>
          <w:position w:val="0"/>
        </w:rPr>
        <w:t>（</w:t>
      </w:r>
      <w:bookmarkEnd w:id="1825"/>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823"/>
      <w:bookmarkEnd w:id="1824"/>
      <w:bookmarkEnd w:id="182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416"/>
        <w:gridCol w:w="1670"/>
        <w:gridCol w:w="1306"/>
        <w:gridCol w:w="1997"/>
        <w:gridCol w:w="142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金融数据服务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金融电子商务服务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互联网广告服务业务等</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253,338,643.55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5,072,507,947.30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78,958,416.70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5,404,805,007.55</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2,317,975,771.72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2,953,510.14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2,320,929,281.86</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手续费及佣金净收入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5,368,583,034.48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3,324.35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5,368,586,358.83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营业总收入合计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253,338,643.55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5,072,507,947.30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7,686,558,806.20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81,915,251.19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13,094,320,648.24</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241,187,090.42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328,734,211.38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93,519,808.22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663,441,110.02</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241,187,090.42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328,734,211.38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93,519,808.22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663,441,110.02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2</w:t>
      </w:r>
      <w:r>
        <w:rPr>
          <w:color w:val="000000"/>
          <w:spacing w:val="0"/>
          <w:w w:val="100"/>
          <w:position w:val="0"/>
        </w:rPr>
        <w:t>、其他对投资者决策有影响的重要交易和事项</w:t>
      </w:r>
      <w:bookmarkEnd w:id="1827"/>
      <w:bookmarkEnd w:id="1828"/>
      <w:bookmarkEnd w:id="1829"/>
    </w:p>
    <w:p>
      <w:pPr>
        <w:pStyle w:val="Style41"/>
        <w:keepNext w:val="0"/>
        <w:keepLines w:val="0"/>
        <w:widowControl w:val="0"/>
        <w:shd w:val="clear" w:color="auto" w:fill="auto"/>
        <w:bidi w:val="0"/>
        <w:spacing w:before="0" w:after="320" w:line="240" w:lineRule="auto"/>
        <w:ind w:left="0" w:right="0" w:firstLine="420"/>
        <w:jc w:val="both"/>
      </w:pPr>
      <w:r>
        <w:rPr>
          <w:color w:val="000000"/>
          <w:spacing w:val="0"/>
          <w:w w:val="100"/>
          <w:position w:val="0"/>
        </w:rPr>
        <w:t>公司无其他需说明的重要事项。</w:t>
      </w:r>
    </w:p>
    <w:p>
      <w:pPr>
        <w:pStyle w:val="Style22"/>
        <w:keepNext/>
        <w:keepLines/>
        <w:widowControl w:val="0"/>
        <w:shd w:val="clear" w:color="auto" w:fill="auto"/>
        <w:bidi w:val="0"/>
        <w:spacing w:before="0" w:after="320" w:line="240" w:lineRule="auto"/>
        <w:ind w:left="0" w:right="0" w:firstLine="0"/>
        <w:jc w:val="both"/>
      </w:pPr>
      <w:bookmarkStart w:id="1830" w:name="bookmark1830"/>
      <w:bookmarkStart w:id="1831" w:name="bookmark1831"/>
      <w:bookmarkStart w:id="1832" w:name="bookmark1832"/>
      <w:r>
        <w:rPr>
          <w:color w:val="000000"/>
          <w:spacing w:val="0"/>
          <w:w w:val="100"/>
          <w:position w:val="0"/>
          <w:sz w:val="24"/>
          <w:szCs w:val="24"/>
        </w:rPr>
        <w:t>十七、母公司财务报表主要项目注释</w:t>
      </w:r>
      <w:bookmarkEnd w:id="1830"/>
      <w:bookmarkEnd w:id="1831"/>
      <w:bookmarkEnd w:id="1832"/>
    </w:p>
    <w:p>
      <w:pPr>
        <w:pStyle w:val="Style32"/>
        <w:keepNext/>
        <w:keepLines/>
        <w:widowControl w:val="0"/>
        <w:shd w:val="clear" w:color="auto" w:fill="auto"/>
        <w:bidi w:val="0"/>
        <w:spacing w:before="0" w:after="140" w:line="240" w:lineRule="auto"/>
        <w:ind w:left="0" w:right="0" w:firstLine="0"/>
        <w:jc w:val="both"/>
      </w:pPr>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33"/>
      <w:bookmarkEnd w:id="1834"/>
      <w:bookmarkEnd w:id="1835"/>
    </w:p>
    <w:p>
      <w:pPr>
        <w:pStyle w:val="Style32"/>
        <w:keepNext/>
        <w:keepLines/>
        <w:widowControl w:val="0"/>
        <w:shd w:val="clear" w:color="auto" w:fill="auto"/>
        <w:bidi w:val="0"/>
        <w:spacing w:before="0" w:after="80" w:line="240" w:lineRule="auto"/>
        <w:ind w:left="0" w:right="0" w:firstLine="0"/>
        <w:jc w:val="both"/>
      </w:pPr>
      <w:bookmarkStart w:id="1833" w:name="bookmark1833"/>
      <w:bookmarkStart w:id="1834" w:name="bookmark1834"/>
      <w:bookmarkStart w:id="1836" w:name="bookmark18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33"/>
      <w:bookmarkEnd w:id="1834"/>
      <w:bookmarkEnd w:id="183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51"/>
        <w:gridCol w:w="1022"/>
        <w:gridCol w:w="571"/>
        <w:gridCol w:w="850"/>
        <w:gridCol w:w="571"/>
        <w:gridCol w:w="994"/>
        <w:gridCol w:w="994"/>
        <w:gridCol w:w="566"/>
        <w:gridCol w:w="850"/>
        <w:gridCol w:w="590"/>
        <w:gridCol w:w="1018"/>
      </w:tblGrid>
      <w:tr>
        <w:trPr>
          <w:trHeight w:val="34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17"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60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54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1,600,943.39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0.12%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1,600,943.39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1,001,600.00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1,001,600.00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1,283,767,481.68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99.88%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6,625,604.56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1,277,141,877.12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299,953,676.28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99.67%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7,193,307.78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292,760,368.50</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1,28 5,3 68,425.07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8,226,547.95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1,277,141,877.12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300,955,276.28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8,194,907.78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292,760,368.50</w:t>
            </w:r>
          </w:p>
        </w:tc>
      </w:tr>
    </w:tbl>
    <w:p>
      <w:pPr>
        <w:spacing w:lineRule="exact" w:line="1"/>
        <w:rPr>
          <w:sz w:val="2"/>
          <w:szCs w:val="2"/>
        </w:rPr>
      </w:pPr>
      <w:r>
        <w:br w:type="page"/>
      </w:r>
    </w:p>
    <w:p>
      <w:pPr>
        <w:pStyle w:val="Style28"/>
        <w:keepNext w:val="0"/>
        <w:keepLines w:val="0"/>
        <w:widowControl w:val="0"/>
        <w:shd w:val="clear" w:color="auto" w:fill="auto"/>
        <w:bidi w:val="0"/>
        <w:spacing w:before="0" w:after="60" w:line="240" w:lineRule="auto"/>
        <w:ind w:left="0" w:right="0" w:firstLine="0"/>
        <w:jc w:val="left"/>
      </w:pPr>
      <w:r>
        <w:rPr>
          <w:rFonts w:ascii="SimSun" w:eastAsia="SimSun" w:hAnsi="SimSun" w:cs="SimSun"/>
          <w:b w:val="0"/>
          <w:bCs w:val="0"/>
          <w:color w:val="000000"/>
          <w:spacing w:val="0"/>
          <w:w w:val="100"/>
          <w:position w:val="0"/>
        </w:rPr>
        <w:t>按单项计提坏账准备：</w:t>
      </w:r>
      <w:r>
        <w:rPr>
          <w:b w:val="0"/>
          <w:bCs w:val="0"/>
          <w:color w:val="000000"/>
          <w:spacing w:val="0"/>
          <w:w w:val="100"/>
          <w:position w:val="0"/>
        </w:rPr>
        <w:t>1,600,943.39</w:t>
      </w:r>
      <w:r>
        <w:rPr>
          <w:rFonts w:ascii="SimSun" w:eastAsia="SimSun" w:hAnsi="SimSun" w:cs="SimSun"/>
          <w:b w:val="0"/>
          <w:bCs w:val="0"/>
          <w:color w:val="000000"/>
          <w:spacing w:val="0"/>
          <w:w w:val="100"/>
          <w:position w:val="0"/>
        </w:rPr>
        <w:t>元</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20"/>
        <w:gridCol w:w="1925"/>
      </w:tblGrid>
      <w:tr>
        <w:trPr>
          <w:trHeight w:val="32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3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32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互联网广告服务业务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pPr>
            <w:r>
              <w:rPr>
                <w:color w:val="000000"/>
                <w:spacing w:val="0"/>
                <w:w w:val="100"/>
                <w:position w:val="0"/>
              </w:rPr>
              <w:t>1,600,943.39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80"/>
              <w:jc w:val="left"/>
            </w:pPr>
            <w:r>
              <w:rPr>
                <w:color w:val="000000"/>
                <w:spacing w:val="0"/>
                <w:w w:val="100"/>
                <w:position w:val="0"/>
              </w:rPr>
              <w:t>1,600,943.39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bl>
    <w:p>
      <w:pPr>
        <w:widowControl w:val="0"/>
        <w:spacing w:after="279" w:line="1" w:lineRule="exact"/>
      </w:pPr>
    </w:p>
    <w:p>
      <w:pPr>
        <w:pStyle w:val="Style28"/>
        <w:keepNext w:val="0"/>
        <w:keepLines w:val="0"/>
        <w:widowControl w:val="0"/>
        <w:shd w:val="clear" w:color="auto" w:fill="auto"/>
        <w:bidi w:val="0"/>
        <w:spacing w:before="0" w:after="60" w:line="240" w:lineRule="auto"/>
        <w:ind w:left="0" w:right="0" w:firstLine="0"/>
        <w:jc w:val="left"/>
      </w:pPr>
      <w:r>
        <w:rPr>
          <w:rFonts w:ascii="SimSun" w:eastAsia="SimSun" w:hAnsi="SimSun" w:cs="SimSun"/>
          <w:b w:val="0"/>
          <w:bCs w:val="0"/>
          <w:color w:val="000000"/>
          <w:spacing w:val="0"/>
          <w:w w:val="100"/>
          <w:position w:val="0"/>
        </w:rPr>
        <w:t>按组合计提坏账准备：</w:t>
      </w:r>
      <w:r>
        <w:rPr>
          <w:b w:val="0"/>
          <w:bCs w:val="0"/>
          <w:color w:val="000000"/>
          <w:spacing w:val="0"/>
          <w:w w:val="100"/>
          <w:position w:val="0"/>
        </w:rPr>
        <w:t>6,625,604.56</w:t>
      </w:r>
      <w:r>
        <w:rPr>
          <w:rFonts w:ascii="SimSun" w:eastAsia="SimSun" w:hAnsi="SimSun" w:cs="SimSun"/>
          <w:b w:val="0"/>
          <w:bCs w:val="0"/>
          <w:color w:val="000000"/>
          <w:spacing w:val="0"/>
          <w:w w:val="100"/>
          <w:position w:val="0"/>
        </w:rPr>
        <w:t>元</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10"/>
        <w:gridCol w:w="2395"/>
        <w:gridCol w:w="2400"/>
      </w:tblGrid>
      <w:tr>
        <w:trPr>
          <w:trHeight w:val="32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3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9,714,104.65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485,705.23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197,169.81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59,150.94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276,462.26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138,231.13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5,942,517.26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5,942,517.26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16,130,253.98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6,625,604.56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279" w:line="1" w:lineRule="exact"/>
      </w:pP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10"/>
        <w:gridCol w:w="2395"/>
        <w:gridCol w:w="2400"/>
      </w:tblGrid>
      <w:tr>
        <w:trPr>
          <w:trHeight w:val="32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3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集团公司内部往来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1,267,637,227.70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widowControl w:val="0"/>
        <w:spacing w:after="279" w:line="1" w:lineRule="exact"/>
      </w:pPr>
    </w:p>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按账龄披露</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10"/>
        <w:gridCol w:w="4795"/>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1,277,351,332.35</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197,169.81</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276,462.26</w:t>
            </w:r>
          </w:p>
        </w:tc>
      </w:tr>
      <w:tr>
        <w:trPr>
          <w:trHeight w:val="3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40" w:right="0" w:firstLine="0"/>
              <w:jc w:val="both"/>
            </w:pPr>
            <w:r>
              <w:rPr>
                <w:color w:val="000000"/>
                <w:spacing w:val="0"/>
                <w:w w:val="100"/>
                <w:position w:val="0"/>
              </w:rPr>
              <w:t>7,543,460.65</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94,339.62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40" w:right="0" w:firstLine="0"/>
              <w:jc w:val="both"/>
            </w:pPr>
            <w:r>
              <w:rPr>
                <w:color w:val="000000"/>
                <w:spacing w:val="0"/>
                <w:w w:val="100"/>
                <w:position w:val="0"/>
              </w:rPr>
              <w:t>1,106,788.68</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40" w:right="0" w:firstLine="0"/>
              <w:jc w:val="both"/>
            </w:pPr>
            <w:r>
              <w:rPr>
                <w:color w:val="000000"/>
                <w:spacing w:val="0"/>
                <w:w w:val="100"/>
                <w:position w:val="0"/>
              </w:rPr>
              <w:t>6,342,332.35</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1,285,368,425.07</w:t>
            </w:r>
          </w:p>
        </w:tc>
      </w:tr>
    </w:tbl>
    <w:p>
      <w:pPr>
        <w:widowControl w:val="0"/>
        <w:spacing w:after="279" w:line="1" w:lineRule="exact"/>
      </w:pPr>
    </w:p>
    <w:p>
      <w:pPr>
        <w:pStyle w:val="Style32"/>
        <w:keepNext/>
        <w:keepLines/>
        <w:widowControl w:val="0"/>
        <w:shd w:val="clear" w:color="auto" w:fill="auto"/>
        <w:bidi w:val="0"/>
        <w:spacing w:before="0" w:after="120" w:line="240" w:lineRule="auto"/>
        <w:ind w:left="0" w:right="0" w:firstLine="0"/>
        <w:jc w:val="both"/>
      </w:pPr>
      <w:bookmarkStart w:id="1837" w:name="bookmark1837"/>
      <w:bookmarkStart w:id="1838" w:name="bookmark1838"/>
      <w:bookmarkStart w:id="1839" w:name="bookmark18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837"/>
      <w:bookmarkEnd w:id="1838"/>
      <w:bookmarkEnd w:id="1839"/>
    </w:p>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rPr>
        <w:t>本期计提坏账准备情况：</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73"/>
        <w:gridCol w:w="1368"/>
        <w:gridCol w:w="1378"/>
      </w:tblGrid>
      <w:tr>
        <w:trPr>
          <w:trHeight w:val="32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33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按单项计提坏账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599,343.39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1,600,943.39</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按组合计提坏账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7,193,307.78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31,640.17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-599,343.39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6,625,604.56</w:t>
            </w:r>
          </w:p>
        </w:tc>
      </w:tr>
    </w:tbl>
    <w:p>
      <w:pPr>
        <w:spacing w:lineRule="exact" w:line="1"/>
        <w:rPr>
          <w:sz w:val="2"/>
          <w:szCs w:val="2"/>
        </w:rPr>
      </w:pPr>
      <w:r>
        <w:br w:type="page"/>
      </w:r>
    </w:p>
    <w:tbl>
      <w:tblPr>
        <w:tblOverlap w:val="never"/>
        <w:jc w:val="center"/>
        <w:tblLayout w:type="fixed"/>
      </w:tblPr>
      <w:tblGrid>
        <w:gridCol w:w="1378"/>
        <w:gridCol w:w="1373"/>
        <w:gridCol w:w="1368"/>
        <w:gridCol w:w="1368"/>
        <w:gridCol w:w="1373"/>
        <w:gridCol w:w="1368"/>
        <w:gridCol w:w="1378"/>
      </w:tblGrid>
      <w:tr>
        <w:trPr>
          <w:trHeight w:val="33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8,194,907.78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31,640.17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8,226,547.95</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840" w:name="bookmark1840"/>
      <w:bookmarkStart w:id="1841" w:name="bookmark1841"/>
      <w:bookmarkStart w:id="1842" w:name="bookmark1842"/>
      <w:r>
        <w:rPr>
          <w:color w:val="000000"/>
          <w:spacing w:val="0"/>
          <w:w w:val="100"/>
          <w:position w:val="0"/>
        </w:rPr>
        <w:t>（</w:t>
      </w:r>
      <w:r>
        <w:rPr>
          <w:rFonts w:ascii="Times New Roman" w:eastAsia="Times New Roman" w:hAnsi="Times New Roman" w:cs="Times New Roman"/>
          <w:color w:val="000000"/>
          <w:spacing w:val="0"/>
          <w:w w:val="100"/>
          <w:position w:val="0"/>
        </w:rPr>
        <w:t xml:space="preserve">3 </w:t>
      </w:r>
      <w:r>
        <w:rPr>
          <w:color w:val="000000"/>
          <w:spacing w:val="0"/>
          <w:w w:val="100"/>
          <w:position w:val="0"/>
        </w:rPr>
        <w:t>）按欠款方归集的期末余额前五名的应收账款情况</w:t>
      </w:r>
      <w:bookmarkEnd w:id="1840"/>
      <w:bookmarkEnd w:id="1841"/>
      <w:bookmarkEnd w:id="1842"/>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10"/>
        <w:gridCol w:w="2395"/>
        <w:gridCol w:w="2400"/>
      </w:tblGrid>
      <w:tr>
        <w:trPr>
          <w:trHeight w:val="55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坏账准备期末余额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4,930,188.68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2,241,509.43</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1,602,877.35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1,584,646.22</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1,320,754.71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66,037.74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1,094,339.62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54,716.98</w:t>
            </w: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943,396.23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47,169.81</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9,891,556.59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43"/>
      <w:bookmarkEnd w:id="1844"/>
      <w:bookmarkEnd w:id="1845"/>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74,218,835.30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39,036,019.57</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74,218,835.30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39,036,019.57</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846" w:name="bookmark1846"/>
      <w:bookmarkStart w:id="1847" w:name="bookmark1847"/>
      <w:bookmarkStart w:id="1848" w:name="bookmark18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46"/>
      <w:bookmarkEnd w:id="1847"/>
      <w:bookmarkEnd w:id="1848"/>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17,011,188.55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pPr>
            <w:r>
              <w:rPr>
                <w:color w:val="000000"/>
                <w:spacing w:val="0"/>
                <w:w w:val="100"/>
                <w:position w:val="0"/>
              </w:rPr>
              <w:t>9,219,380.00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应收第三方支付平台款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2,479,365.90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1,981,409.61</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集团内部公司间往来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61,002,057.65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32,248,328.33</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2,871,918.33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2,111,564.17</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pPr>
            <w:r>
              <w:rPr>
                <w:color w:val="000000"/>
                <w:spacing w:val="0"/>
                <w:w w:val="100"/>
                <w:position w:val="0"/>
              </w:rPr>
              <w:t>83,364,530.43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45,560,682.11</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849" w:name="bookmark1849"/>
      <w:bookmarkStart w:id="1850" w:name="bookmark1850"/>
      <w:bookmarkStart w:id="1851" w:name="bookmark18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849"/>
      <w:bookmarkEnd w:id="1850"/>
      <w:bookmarkEnd w:id="1851"/>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61"/>
        <w:gridCol w:w="2102"/>
        <w:gridCol w:w="2098"/>
        <w:gridCol w:w="1819"/>
      </w:tblGrid>
      <w:tr>
        <w:trPr>
          <w:trHeight w:val="34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合计</w:t>
            </w:r>
          </w:p>
        </w:tc>
      </w:tr>
      <w:tr>
        <w:trPr>
          <w:trHeight w:val="56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0"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 xml:space="preserve">整个存续期预期信用损失 </w:t>
            </w: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 xml:space="preserve">整个存续期预期信用损失 </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5,141,885.46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1,382,777.08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6,524,662.54</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54"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rPr>
              <w:t>—</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2,612,525.15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8,507.44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7,754,410.61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1,391,284.52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9,145,695.13</w:t>
            </w:r>
          </w:p>
        </w:tc>
      </w:tr>
    </w:tbl>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损失准备本期变动金额重大的账面余额变动情况</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r>
        <w:br w:type="page"/>
      </w:r>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按账龄披露</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10"/>
        <w:gridCol w:w="4795"/>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70,754,045.56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40" w:right="0" w:firstLine="0"/>
              <w:jc w:val="both"/>
            </w:pPr>
            <w:r>
              <w:rPr>
                <w:color w:val="000000"/>
                <w:spacing w:val="0"/>
                <w:w w:val="100"/>
                <w:position w:val="0"/>
              </w:rPr>
              <w:t>4,720,555.88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40" w:right="0" w:firstLine="0"/>
              <w:jc w:val="both"/>
            </w:pPr>
            <w:r>
              <w:rPr>
                <w:color w:val="000000"/>
                <w:spacing w:val="0"/>
                <w:w w:val="100"/>
                <w:position w:val="0"/>
              </w:rPr>
              <w:t>1,369,156.00</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40" w:right="0" w:firstLine="0"/>
              <w:jc w:val="both"/>
            </w:pPr>
            <w:r>
              <w:rPr>
                <w:color w:val="000000"/>
                <w:spacing w:val="0"/>
                <w:w w:val="100"/>
                <w:position w:val="0"/>
              </w:rPr>
              <w:t>6,520,772.99</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40" w:right="0" w:firstLine="0"/>
              <w:jc w:val="both"/>
            </w:pPr>
            <w:r>
              <w:rPr>
                <w:color w:val="000000"/>
                <w:spacing w:val="0"/>
                <w:w w:val="100"/>
                <w:position w:val="0"/>
              </w:rPr>
              <w:t>1,514,276.54</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678,057.80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840" w:right="0" w:firstLine="0"/>
              <w:jc w:val="both"/>
            </w:pPr>
            <w:r>
              <w:rPr>
                <w:color w:val="000000"/>
                <w:spacing w:val="0"/>
                <w:w w:val="100"/>
                <w:position w:val="0"/>
              </w:rPr>
              <w:t>4,328,438.65</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83,364,530.43</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852" w:name="bookmark1852"/>
      <w:bookmarkStart w:id="1853" w:name="bookmark1853"/>
      <w:bookmarkStart w:id="1854" w:name="bookmark1854"/>
      <w:bookmarkStart w:id="1855" w:name="bookmark1855"/>
      <w:r>
        <w:rPr>
          <w:color w:val="000000"/>
          <w:spacing w:val="0"/>
          <w:w w:val="100"/>
          <w:position w:val="0"/>
        </w:rPr>
        <w:t>（</w:t>
      </w:r>
      <w:bookmarkEnd w:id="1854"/>
      <w:r>
        <w:rPr>
          <w:rFonts w:ascii="Times New Roman" w:eastAsia="Times New Roman" w:hAnsi="Times New Roman" w:cs="Times New Roman"/>
          <w:color w:val="000000"/>
          <w:spacing w:val="0"/>
          <w:w w:val="100"/>
          <w:position w:val="0"/>
        </w:rPr>
        <w:t>3</w:t>
      </w:r>
      <w:r>
        <w:rPr>
          <w:color w:val="000000"/>
          <w:spacing w:val="0"/>
          <w:w w:val="100"/>
          <w:position w:val="0"/>
        </w:rPr>
        <w:t>）本期计提、收回或转回的坏账准备情况</w:t>
      </w:r>
      <w:bookmarkEnd w:id="1852"/>
      <w:bookmarkEnd w:id="1853"/>
      <w:bookmarkEnd w:id="1855"/>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430"/>
        <w:gridCol w:w="1411"/>
        <w:gridCol w:w="1282"/>
        <w:gridCol w:w="998"/>
        <w:gridCol w:w="898"/>
        <w:gridCol w:w="1589"/>
      </w:tblGrid>
      <w:tr>
        <w:trPr>
          <w:trHeight w:val="34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r>
      <w:tr>
        <w:trPr>
          <w:trHeight w:val="31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5,141,885.46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2,612,525.15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7,754,410.61</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按单项计提坏账准备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1,382,777.08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8,507.44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1,391,284.52</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6,524,662.54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2,621,032.59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9,145,695.13</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w:t>
      </w:r>
      <w:bookmarkEnd w:id="185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856"/>
      <w:bookmarkEnd w:id="1857"/>
      <w:bookmarkEnd w:id="185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402"/>
        <w:gridCol w:w="1411"/>
        <w:gridCol w:w="1699"/>
        <w:gridCol w:w="1618"/>
        <w:gridCol w:w="1622"/>
      </w:tblGrid>
      <w:tr>
        <w:trPr>
          <w:trHeight w:val="57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坏账准备期末余额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9,240,000.00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年以内及</w:t>
            </w: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1,590,750.00</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单位二</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1,969,079.10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98,453.96</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1,681,000.00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1,681,000.00</w:t>
            </w:r>
          </w:p>
        </w:tc>
      </w:tr>
      <w:tr>
        <w:trPr>
          <w:trHeight w:val="33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充值款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1,477,970.56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年以内至</w:t>
            </w: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1,391,284.52</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1,409,800.00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年及</w:t>
            </w: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1,198,330.00</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15,777,849.66</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5,959,818.48</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3</w:t>
      </w:r>
      <w:bookmarkEnd w:id="1862"/>
      <w:r>
        <w:rPr>
          <w:color w:val="000000"/>
          <w:spacing w:val="0"/>
          <w:w w:val="100"/>
          <w:position w:val="0"/>
        </w:rPr>
        <w:t>、长期股权投资</w:t>
      </w:r>
      <w:bookmarkEnd w:id="1860"/>
      <w:bookmarkEnd w:id="1861"/>
      <w:bookmarkEnd w:id="186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474"/>
        <w:gridCol w:w="1138"/>
        <w:gridCol w:w="1498"/>
        <w:gridCol w:w="1488"/>
        <w:gridCol w:w="1123"/>
        <w:gridCol w:w="1507"/>
      </w:tblGrid>
      <w:tr>
        <w:trPr>
          <w:trHeight w:val="32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3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账面价值</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27,776,460,342.66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27,705,460,342.66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24,248,280,989.55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24,248,280,989.55</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对联营、合营企 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406,083,655.98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25,120,485.00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380,963,170.98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476,643,227.84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25,120,485.00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451,522,742.84</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28,182,543,998.64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96,120,485.00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28,086,423,513.64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24,724,924,217.39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25,120,485.00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24,699,803,732.39</w:t>
            </w:r>
          </w:p>
        </w:tc>
      </w:tr>
    </w:tbl>
    <w:p>
      <w:pPr>
        <w:spacing w:lineRule="exact" w:line="1"/>
        <w:rPr>
          <w:sz w:val="2"/>
          <w:szCs w:val="2"/>
        </w:rPr>
      </w:pPr>
      <w:r>
        <w:br w:type="page"/>
      </w:r>
    </w:p>
    <w:p>
      <w:pPr>
        <w:pStyle w:val="Style32"/>
        <w:keepNext/>
        <w:keepLines/>
        <w:widowControl w:val="0"/>
        <w:shd w:val="clear" w:color="auto" w:fill="auto"/>
        <w:bidi w:val="0"/>
        <w:spacing w:before="0" w:after="300" w:line="240" w:lineRule="auto"/>
        <w:ind w:left="0" w:right="0" w:firstLine="0"/>
        <w:jc w:val="left"/>
      </w:pPr>
      <w:bookmarkStart w:id="1864" w:name="bookmark1864"/>
      <w:bookmarkStart w:id="1865" w:name="bookmark1865"/>
      <w:bookmarkStart w:id="1866" w:name="bookmark18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64"/>
      <w:bookmarkEnd w:id="1865"/>
      <w:bookmarkEnd w:id="186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546"/>
        <w:gridCol w:w="1406"/>
        <w:gridCol w:w="854"/>
        <w:gridCol w:w="1166"/>
        <w:gridCol w:w="682"/>
        <w:gridCol w:w="1454"/>
        <w:gridCol w:w="1219"/>
      </w:tblGrid>
      <w:tr>
        <w:trPr>
          <w:trHeight w:val="32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期初余额</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账面价值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340"/>
              <w:jc w:val="left"/>
            </w:pPr>
            <w:r>
              <w:rPr>
                <w:rFonts w:ascii="SimSun" w:eastAsia="SimSun" w:hAnsi="SimSun" w:cs="SimSun"/>
                <w:color w:val="000000"/>
                <w:spacing w:val="0"/>
                <w:w w:val="100"/>
                <w:position w:val="0"/>
              </w:rPr>
              <w:t>期末余额</w:t>
            </w:r>
          </w:p>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r>
              <w:rPr>
                <w:rFonts w:ascii="SimSun" w:eastAsia="SimSun" w:hAnsi="SimSun" w:cs="SimSun"/>
                <w:color w:val="000000"/>
                <w:spacing w:val="0"/>
                <w:w w:val="100"/>
                <w:position w:val="0"/>
              </w:rPr>
              <w:t>账面价值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180"/>
              <w:jc w:val="left"/>
            </w:pPr>
            <w:r>
              <w:rPr>
                <w:rFonts w:ascii="SimSun" w:eastAsia="SimSun" w:hAnsi="SimSun" w:cs="SimSun"/>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期末余额</w:t>
            </w:r>
          </w:p>
        </w:tc>
      </w:tr>
      <w:tr>
        <w:trPr>
          <w:trHeight w:val="33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4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上海天天基金</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338,000,000.00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70,017,131.00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408,017,131.00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16" w:lineRule="exact"/>
              <w:ind w:left="0" w:right="0" w:firstLine="0"/>
              <w:jc w:val="both"/>
            </w:pPr>
            <w:r>
              <w:rPr>
                <w:rFonts w:ascii="SimSun" w:eastAsia="SimSun" w:hAnsi="SimSun" w:cs="SimSun"/>
                <w:color w:val="000000"/>
                <w:spacing w:val="0"/>
                <w:w w:val="100"/>
                <w:position w:val="0"/>
              </w:rPr>
              <w:t>上海东方财富</w:t>
            </w:r>
          </w:p>
          <w:p>
            <w:pPr>
              <w:pStyle w:val="Style6"/>
              <w:keepNext w:val="0"/>
              <w:keepLines w:val="0"/>
              <w:widowControl w:val="0"/>
              <w:shd w:val="clear" w:color="auto" w:fill="auto"/>
              <w:bidi w:val="0"/>
              <w:spacing w:before="0" w:after="0" w:line="216" w:lineRule="exact"/>
              <w:ind w:left="0" w:right="0" w:firstLine="0"/>
              <w:jc w:val="both"/>
            </w:pPr>
            <w:r>
              <w:rPr>
                <w:rFonts w:ascii="SimSun" w:eastAsia="SimSun" w:hAnsi="SimSun" w:cs="SimSun"/>
                <w:color w:val="000000"/>
                <w:spacing w:val="0"/>
                <w:w w:val="100"/>
                <w:position w:val="0"/>
              </w:rPr>
              <w:t>证券投资咨询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71,982,000.00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72,325,090.00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16" w:lineRule="exact"/>
              <w:ind w:left="0" w:right="0" w:firstLine="0"/>
              <w:jc w:val="both"/>
            </w:pPr>
            <w:r>
              <w:rPr>
                <w:rFonts w:ascii="SimSun" w:eastAsia="SimSun" w:hAnsi="SimSun" w:cs="SimSun"/>
                <w:color w:val="000000"/>
                <w:spacing w:val="0"/>
                <w:w w:val="100"/>
                <w:position w:val="0"/>
              </w:rPr>
              <w:t>上海东方财富</w:t>
            </w:r>
          </w:p>
          <w:p>
            <w:pPr>
              <w:pStyle w:val="Style6"/>
              <w:keepNext w:val="0"/>
              <w:keepLines w:val="0"/>
              <w:widowControl w:val="0"/>
              <w:shd w:val="clear" w:color="auto" w:fill="auto"/>
              <w:bidi w:val="0"/>
              <w:spacing w:before="0" w:after="0" w:line="216" w:lineRule="exact"/>
              <w:ind w:left="0" w:right="0" w:firstLine="0"/>
              <w:jc w:val="both"/>
            </w:pPr>
            <w:r>
              <w:rPr>
                <w:rFonts w:ascii="SimSun" w:eastAsia="SimSun" w:hAnsi="SimSun" w:cs="SimSun"/>
                <w:color w:val="000000"/>
                <w:spacing w:val="0"/>
                <w:w w:val="100"/>
                <w:position w:val="0"/>
              </w:rPr>
              <w:t>金融数据服务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565,396.00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50,565,396.00</w:t>
            </w:r>
          </w:p>
        </w:tc>
        <w:tc>
          <w:tcPr>
            <w:tcBorders>
              <w:top w:val="single" w:sz="4"/>
              <w:left w:val="single" w:sz="4"/>
              <w:right w:val="single" w:sz="4"/>
            </w:tcBorders>
            <w:shd w:val="clear" w:color="auto" w:fill="FFFFFF"/>
            <w:vAlign w:val="top"/>
          </w:tcPr>
          <w:p>
            <w:pPr>
              <w:widowControl w:val="0"/>
              <w:rPr>
                <w:sz w:val="10"/>
                <w:szCs w:val="10"/>
              </w:rPr>
            </w:pPr>
          </w:p>
        </w:tc>
      </w:tr>
      <w:tr>
        <w:trPr>
          <w:trHeight w:val="79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3" w:lineRule="exact"/>
              <w:ind w:left="0" w:right="0" w:firstLine="0"/>
              <w:jc w:val="both"/>
            </w:pPr>
            <w:r>
              <w:rPr>
                <w:rFonts w:ascii="SimSun" w:eastAsia="SimSun" w:hAnsi="SimSun" w:cs="SimSun"/>
                <w:color w:val="000000"/>
                <w:spacing w:val="0"/>
                <w:w w:val="100"/>
                <w:position w:val="0"/>
              </w:rPr>
              <w:t>北京京东财信 息科技有限公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1,096,934.00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广州东财信息</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1,021,540.00</w:t>
            </w: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上海东方财富</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置业有限公司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200,053,851.00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400,053,851.00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上海优优商务</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咨询有限公司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181,033.55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181,033.55</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3" w:lineRule="exact"/>
              <w:ind w:left="0" w:right="0" w:firstLine="0"/>
              <w:jc w:val="both"/>
            </w:pPr>
            <w:r>
              <w:rPr>
                <w:rFonts w:ascii="SimSun" w:eastAsia="SimSun" w:hAnsi="SimSun" w:cs="SimSun"/>
                <w:color w:val="000000"/>
                <w:spacing w:val="0"/>
                <w:w w:val="100"/>
                <w:position w:val="0"/>
              </w:rPr>
              <w:t>上海东方财富 网络科技有限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16" w:lineRule="exact"/>
              <w:ind w:left="0" w:right="0" w:firstLine="0"/>
              <w:jc w:val="both"/>
            </w:pPr>
            <w:r>
              <w:rPr>
                <w:rFonts w:ascii="SimSun" w:eastAsia="SimSun" w:hAnsi="SimSun" w:cs="SimSun"/>
                <w:color w:val="000000"/>
                <w:spacing w:val="0"/>
                <w:w w:val="100"/>
                <w:position w:val="0"/>
              </w:rPr>
              <w:t>上海优优财富</w:t>
            </w:r>
          </w:p>
          <w:p>
            <w:pPr>
              <w:pStyle w:val="Style6"/>
              <w:keepNext w:val="0"/>
              <w:keepLines w:val="0"/>
              <w:widowControl w:val="0"/>
              <w:shd w:val="clear" w:color="auto" w:fill="auto"/>
              <w:bidi w:val="0"/>
              <w:spacing w:before="0" w:after="0" w:line="216" w:lineRule="exact"/>
              <w:ind w:left="0" w:right="0" w:firstLine="0"/>
              <w:jc w:val="both"/>
            </w:pPr>
            <w:r>
              <w:rPr>
                <w:rFonts w:ascii="SimSun" w:eastAsia="SimSun" w:hAnsi="SimSun" w:cs="SimSun"/>
                <w:color w:val="000000"/>
                <w:spacing w:val="0"/>
                <w:w w:val="100"/>
                <w:position w:val="0"/>
              </w:rPr>
              <w:t>投资管理有限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扬州东方财富 金融信息服务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50,096,934.00</w:t>
            </w: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东方财富（香 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694,350,756.00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645,923,708.92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1,340,274,464.92</w:t>
            </w:r>
          </w:p>
        </w:tc>
        <w:tc>
          <w:tcPr>
            <w:tcBorders>
              <w:top w:val="single" w:sz="4"/>
              <w:left w:val="single" w:sz="4"/>
              <w:right w:val="single" w:sz="4"/>
            </w:tcBorders>
            <w:shd w:val="clear" w:color="auto" w:fill="FFFFFF"/>
            <w:vAlign w:val="top"/>
          </w:tcPr>
          <w:p>
            <w:pPr>
              <w:widowControl w:val="0"/>
              <w:rPr>
                <w:sz w:val="10"/>
                <w:szCs w:val="10"/>
              </w:rPr>
            </w:pPr>
          </w:p>
        </w:tc>
      </w:tr>
      <w:tr>
        <w:trPr>
          <w:trHeight w:val="79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西藏东方财富 证券股份有限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22,210,583,700.00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2,606,960,275.19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24,817,543,975.19</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上海微兆信息</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东方财富征信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37,000,000.00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13,000,000.00</w:t>
            </w:r>
          </w:p>
        </w:tc>
      </w:tr>
      <w:tr>
        <w:trPr>
          <w:trHeight w:val="54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浪客网络科技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南京东方财富 信息技术有限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1,464,747.00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6,464,747.00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上海沪阅信息</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8,000,000.00</w:t>
            </w:r>
          </w:p>
        </w:tc>
      </w:tr>
      <w:tr>
        <w:trPr>
          <w:trHeight w:val="55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东财保险经纪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64,270,000.00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64,462,600.00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546"/>
        <w:gridCol w:w="1406"/>
        <w:gridCol w:w="854"/>
        <w:gridCol w:w="1166"/>
        <w:gridCol w:w="682"/>
        <w:gridCol w:w="1454"/>
        <w:gridCol w:w="1219"/>
      </w:tblGrid>
      <w:tr>
        <w:trPr>
          <w:trHeight w:val="80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40" w:line="211" w:lineRule="exact"/>
              <w:ind w:left="0" w:right="0" w:firstLine="0"/>
              <w:jc w:val="left"/>
            </w:pPr>
            <w:r>
              <w:rPr>
                <w:rFonts w:ascii="SimSun" w:eastAsia="SimSun" w:hAnsi="SimSun" w:cs="SimSun"/>
                <w:color w:val="000000"/>
                <w:spacing w:val="0"/>
                <w:w w:val="100"/>
                <w:position w:val="0"/>
              </w:rPr>
              <w:t>成都京合企业</w:t>
            </w:r>
          </w:p>
          <w:p>
            <w:pPr>
              <w:pStyle w:val="Style6"/>
              <w:keepNext w:val="0"/>
              <w:keepLines w:val="0"/>
              <w:widowControl w:val="0"/>
              <w:shd w:val="clear" w:color="auto" w:fill="auto"/>
              <w:bidi w:val="0"/>
              <w:spacing w:before="0" w:after="0" w:line="211" w:lineRule="exact"/>
              <w:ind w:left="0" w:right="0" w:firstLine="0"/>
              <w:jc w:val="left"/>
            </w:pPr>
            <w:r>
              <w:rPr>
                <w:rFonts w:ascii="SimSun" w:eastAsia="SimSun" w:hAnsi="SimSun" w:cs="SimSun"/>
                <w:color w:val="000000"/>
                <w:spacing w:val="0"/>
                <w:w w:val="100"/>
                <w:position w:val="0"/>
              </w:rPr>
              <w:t>管理有限责任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211,913,500.00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211,913,500.00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上海哈富网络</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78"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成都东方财富 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1,686,162.00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1,686,162.00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656,984.00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656,984.00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24,248,280,989.55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3,528,179,353.11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27,705,460,342.66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71,000,000.00</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867" w:name="bookmark1867"/>
      <w:bookmarkStart w:id="1868" w:name="bookmark1868"/>
      <w:bookmarkStart w:id="1869" w:name="bookmark18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67"/>
      <w:bookmarkEnd w:id="1868"/>
      <w:bookmarkEnd w:id="1869"/>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6"/>
        <w:gridCol w:w="1325"/>
        <w:gridCol w:w="432"/>
        <w:gridCol w:w="422"/>
        <w:gridCol w:w="1138"/>
        <w:gridCol w:w="677"/>
        <w:gridCol w:w="461"/>
        <w:gridCol w:w="1123"/>
        <w:gridCol w:w="509"/>
        <w:gridCol w:w="259"/>
        <w:gridCol w:w="1282"/>
        <w:gridCol w:w="1162"/>
      </w:tblGrid>
      <w:tr>
        <w:trPr>
          <w:trHeight w:val="32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账面 价值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期末余额</w:t>
            </w:r>
          </w:p>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SimSun" w:eastAsia="SimSun" w:hAnsi="SimSun" w:cs="SimSun"/>
                <w:color w:val="000000"/>
                <w:spacing w:val="0"/>
                <w:w w:val="100"/>
                <w:position w:val="0"/>
              </w:rPr>
              <w:t>账面价值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79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追加</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40" w:line="202" w:lineRule="exact"/>
              <w:ind w:left="0" w:right="0" w:firstLine="0"/>
              <w:jc w:val="left"/>
            </w:pPr>
            <w:r>
              <w:rPr>
                <w:rFonts w:ascii="SimSun" w:eastAsia="SimSun" w:hAnsi="SimSun" w:cs="SimSun"/>
                <w:color w:val="000000"/>
                <w:spacing w:val="0"/>
                <w:w w:val="100"/>
                <w:position w:val="0"/>
              </w:rPr>
              <w:t>权益法下确</w:t>
            </w:r>
          </w:p>
          <w:p>
            <w:pPr>
              <w:pStyle w:val="Style6"/>
              <w:keepNext w:val="0"/>
              <w:keepLines w:val="0"/>
              <w:widowControl w:val="0"/>
              <w:shd w:val="clear" w:color="auto" w:fill="auto"/>
              <w:bidi w:val="0"/>
              <w:spacing w:before="0" w:after="0" w:line="202" w:lineRule="exact"/>
              <w:ind w:left="0" w:right="0" w:firstLine="0"/>
              <w:jc w:val="center"/>
            </w:pPr>
            <w:r>
              <w:rPr>
                <w:rFonts w:ascii="SimSun" w:eastAsia="SimSun" w:hAnsi="SimSun" w:cs="SimSun"/>
                <w:color w:val="000000"/>
                <w:spacing w:val="0"/>
                <w:w w:val="100"/>
                <w:position w:val="0"/>
              </w:rPr>
              <w:t>认的投资损 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06" w:lineRule="exact"/>
              <w:ind w:left="0" w:right="0" w:firstLine="0"/>
              <w:jc w:val="left"/>
            </w:pPr>
            <w:r>
              <w:rPr>
                <w:rFonts w:ascii="SimSun" w:eastAsia="SimSun" w:hAnsi="SimSun" w:cs="SimSun"/>
                <w:color w:val="000000"/>
                <w:spacing w:val="0"/>
                <w:w w:val="100"/>
                <w:position w:val="0"/>
              </w:rPr>
              <w:t>其他综</w:t>
            </w:r>
          </w:p>
          <w:p>
            <w:pPr>
              <w:pStyle w:val="Style6"/>
              <w:keepNext w:val="0"/>
              <w:keepLines w:val="0"/>
              <w:widowControl w:val="0"/>
              <w:shd w:val="clear" w:color="auto" w:fill="auto"/>
              <w:bidi w:val="0"/>
              <w:spacing w:before="0" w:after="0" w:line="206" w:lineRule="exact"/>
              <w:ind w:left="0" w:right="0" w:firstLine="0"/>
              <w:jc w:val="center"/>
            </w:pPr>
            <w:r>
              <w:rPr>
                <w:rFonts w:ascii="SimSun" w:eastAsia="SimSun" w:hAnsi="SimSun" w:cs="SimSun"/>
                <w:color w:val="000000"/>
                <w:spacing w:val="0"/>
                <w:w w:val="100"/>
                <w:position w:val="0"/>
              </w:rPr>
              <w:t>合收益 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w:t>
            </w:r>
          </w:p>
          <w:p>
            <w:pPr>
              <w:pStyle w:val="Style6"/>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40" w:line="216" w:lineRule="exact"/>
              <w:ind w:left="0" w:right="0" w:firstLine="0"/>
              <w:jc w:val="left"/>
            </w:pPr>
            <w:r>
              <w:rPr>
                <w:rFonts w:ascii="SimSun" w:eastAsia="SimSun" w:hAnsi="SimSun" w:cs="SimSun"/>
                <w:color w:val="000000"/>
                <w:spacing w:val="0"/>
                <w:w w:val="100"/>
                <w:position w:val="0"/>
              </w:rPr>
              <w:t>宣告发放现</w:t>
            </w:r>
          </w:p>
          <w:p>
            <w:pPr>
              <w:pStyle w:val="Style6"/>
              <w:keepNext w:val="0"/>
              <w:keepLines w:val="0"/>
              <w:widowControl w:val="0"/>
              <w:shd w:val="clear" w:color="auto" w:fill="auto"/>
              <w:bidi w:val="0"/>
              <w:spacing w:before="0" w:after="0" w:line="216" w:lineRule="exact"/>
              <w:ind w:left="0" w:right="0" w:firstLine="0"/>
              <w:jc w:val="center"/>
            </w:pPr>
            <w:r>
              <w:rPr>
                <w:rFonts w:ascii="SimSun" w:eastAsia="SimSun" w:hAnsi="SimSun" w:cs="SimSun"/>
                <w:color w:val="000000"/>
                <w:spacing w:val="0"/>
                <w:w w:val="100"/>
                <w:position w:val="0"/>
              </w:rPr>
              <w:t>金股利或利 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w:t>
            </w:r>
          </w:p>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减值</w:t>
            </w:r>
          </w:p>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w:t>
            </w:r>
          </w:p>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17"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331"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漫道数字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405,855,900.97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5,308,105.96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72,900,000.00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338,264,006.93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25,120,485.00</w:t>
            </w:r>
          </w:p>
        </w:tc>
      </w:tr>
      <w:tr>
        <w:trPr>
          <w:trHeight w:val="56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中证信用 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45,666,841.87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4,032,322.18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42,699,164.05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451,522,742.84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9,340,428.14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380,963,170.98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25,120,485.00</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451,522,742.84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9,340,428.14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79,900,000.00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380,963,170.98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25,120,485.00</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4</w:t>
      </w:r>
      <w:bookmarkEnd w:id="1872"/>
      <w:r>
        <w:rPr>
          <w:color w:val="000000"/>
          <w:spacing w:val="0"/>
          <w:w w:val="100"/>
          <w:position w:val="0"/>
        </w:rPr>
        <w:t>、营业收入和营业成本</w:t>
      </w:r>
      <w:bookmarkEnd w:id="1870"/>
      <w:bookmarkEnd w:id="1871"/>
      <w:bookmarkEnd w:id="1873"/>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11"/>
        <w:gridCol w:w="1834"/>
        <w:gridCol w:w="1915"/>
        <w:gridCol w:w="1920"/>
        <w:gridCol w:w="1925"/>
      </w:tblGrid>
      <w:tr>
        <w:trPr>
          <w:trHeight w:val="34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1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5,422,757,732.70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388,053,952.58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3,001,472,217.43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365,624,587.11</w:t>
            </w:r>
          </w:p>
        </w:tc>
      </w:tr>
      <w:tr>
        <w:trPr>
          <w:trHeight w:val="33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5,422,757,732.70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388,053,952.58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3,001,472,217.43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365,624,587.11</w:t>
            </w:r>
          </w:p>
        </w:tc>
      </w:tr>
    </w:tbl>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603"/>
        <w:gridCol w:w="1613"/>
        <w:gridCol w:w="1598"/>
        <w:gridCol w:w="1618"/>
        <w:gridCol w:w="1608"/>
      </w:tblGrid>
      <w:tr>
        <w:trPr>
          <w:trHeight w:val="32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技术服务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互联网广告业务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金融数据服务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其他业务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其中：服务类型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5,209,045,212.53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77,813,269.88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67,516,666.83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68,382,583.46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5,422,757,732.70</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5,209,045,212.53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77,813,269.88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67,516,666.83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68,382,583.46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5,422,757,732.70</w:t>
            </w:r>
          </w:p>
        </w:tc>
      </w:tr>
    </w:tbl>
    <w:p>
      <w:pPr>
        <w:widowControl w:val="0"/>
        <w:spacing w:after="11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与履约义务相关的信息：</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本公司经营活动主要分为技术服务、金融数据服务、互联网广告服务，各业务合同的与履约义务相关的主要信息如下:</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技术服务：</w:t>
      </w:r>
    </w:p>
    <w:p>
      <w:pPr>
        <w:pStyle w:val="Style24"/>
        <w:keepNext w:val="0"/>
        <w:keepLines w:val="0"/>
        <w:widowControl w:val="0"/>
        <w:shd w:val="clear" w:color="auto" w:fill="auto"/>
        <w:bidi w:val="0"/>
        <w:spacing w:before="0" w:line="240" w:lineRule="auto"/>
        <w:ind w:left="0" w:right="0" w:firstLine="0"/>
        <w:jc w:val="left"/>
      </w:pPr>
      <w:bookmarkStart w:id="1874" w:name="bookmark1874"/>
      <w:r>
        <w:rPr>
          <w:color w:val="000000"/>
          <w:spacing w:val="0"/>
          <w:w w:val="100"/>
          <w:position w:val="0"/>
        </w:rPr>
        <w:t>（</w:t>
      </w:r>
      <w:bookmarkEnd w:id="1874"/>
      <w:r>
        <w:rPr>
          <w:rFonts w:ascii="Times New Roman" w:eastAsia="Times New Roman" w:hAnsi="Times New Roman" w:cs="Times New Roman"/>
          <w:color w:val="000000"/>
          <w:spacing w:val="0"/>
          <w:w w:val="100"/>
          <w:position w:val="0"/>
        </w:rPr>
        <w:t>1</w:t>
      </w:r>
      <w:r>
        <w:rPr>
          <w:color w:val="000000"/>
          <w:spacing w:val="0"/>
          <w:w w:val="100"/>
          <w:position w:val="0"/>
        </w:rPr>
        <w:t>） 履约义务的履行时间：在合同约定期限内，持续提供技术服务。</w:t>
      </w:r>
    </w:p>
    <w:p>
      <w:pPr>
        <w:pStyle w:val="Style24"/>
        <w:keepNext w:val="0"/>
        <w:keepLines w:val="0"/>
        <w:widowControl w:val="0"/>
        <w:shd w:val="clear" w:color="auto" w:fill="auto"/>
        <w:bidi w:val="0"/>
        <w:spacing w:before="0" w:line="240" w:lineRule="auto"/>
        <w:ind w:left="0" w:right="0" w:firstLine="0"/>
        <w:jc w:val="left"/>
      </w:pPr>
      <w:bookmarkStart w:id="1875" w:name="bookmark1875"/>
      <w:r>
        <w:rPr>
          <w:color w:val="000000"/>
          <w:spacing w:val="0"/>
          <w:w w:val="100"/>
          <w:position w:val="0"/>
        </w:rPr>
        <w:t>（</w:t>
      </w:r>
      <w:bookmarkEnd w:id="1875"/>
      <w:r>
        <w:rPr>
          <w:rFonts w:ascii="Times New Roman" w:eastAsia="Times New Roman" w:hAnsi="Times New Roman" w:cs="Times New Roman"/>
          <w:color w:val="000000"/>
          <w:spacing w:val="0"/>
          <w:w w:val="100"/>
          <w:position w:val="0"/>
        </w:rPr>
        <w:t>2</w:t>
      </w:r>
      <w:r>
        <w:rPr>
          <w:color w:val="000000"/>
          <w:spacing w:val="0"/>
          <w:w w:val="100"/>
          <w:position w:val="0"/>
        </w:rPr>
        <w:t>） 重要的支付条款：提供技术服务后次月结算。</w:t>
      </w:r>
    </w:p>
    <w:p>
      <w:pPr>
        <w:pStyle w:val="Style24"/>
        <w:keepNext w:val="0"/>
        <w:keepLines w:val="0"/>
        <w:widowControl w:val="0"/>
        <w:shd w:val="clear" w:color="auto" w:fill="auto"/>
        <w:tabs>
          <w:tab w:pos="445" w:val="left"/>
        </w:tabs>
        <w:bidi w:val="0"/>
        <w:spacing w:before="0" w:line="240" w:lineRule="auto"/>
        <w:ind w:left="0" w:right="0" w:firstLine="0"/>
        <w:jc w:val="left"/>
      </w:pPr>
      <w:bookmarkStart w:id="1876" w:name="bookmark1876"/>
      <w:r>
        <w:rPr>
          <w:color w:val="000000"/>
          <w:spacing w:val="0"/>
          <w:w w:val="100"/>
          <w:position w:val="0"/>
        </w:rPr>
        <w:t>（</w:t>
      </w:r>
      <w:bookmarkEnd w:id="1876"/>
      <w:r>
        <w:rPr>
          <w:rFonts w:ascii="Times New Roman" w:eastAsia="Times New Roman" w:hAnsi="Times New Roman" w:cs="Times New Roman"/>
          <w:color w:val="000000"/>
          <w:spacing w:val="0"/>
          <w:w w:val="100"/>
          <w:position w:val="0"/>
        </w:rPr>
        <w:t>3</w:t>
      </w:r>
      <w:r>
        <w:rPr>
          <w:color w:val="000000"/>
          <w:spacing w:val="0"/>
          <w:w w:val="100"/>
          <w:position w:val="0"/>
        </w:rPr>
        <w:t>）</w:t>
        <w:tab/>
        <w:t>退货及质量保证条款：无。</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金融数据服务：</w:t>
      </w:r>
    </w:p>
    <w:p>
      <w:pPr>
        <w:pStyle w:val="Style24"/>
        <w:keepNext w:val="0"/>
        <w:keepLines w:val="0"/>
        <w:widowControl w:val="0"/>
        <w:shd w:val="clear" w:color="auto" w:fill="auto"/>
        <w:tabs>
          <w:tab w:pos="445" w:val="left"/>
        </w:tabs>
        <w:bidi w:val="0"/>
        <w:spacing w:before="0" w:after="0" w:line="355" w:lineRule="exact"/>
        <w:ind w:left="0" w:right="0" w:firstLine="0"/>
        <w:jc w:val="left"/>
      </w:pPr>
      <w:bookmarkStart w:id="1877" w:name="bookmark1877"/>
      <w:r>
        <w:rPr>
          <w:color w:val="000000"/>
          <w:spacing w:val="0"/>
          <w:w w:val="100"/>
          <w:position w:val="0"/>
        </w:rPr>
        <w:t>（</w:t>
      </w:r>
      <w:bookmarkEnd w:id="1877"/>
      <w:r>
        <w:rPr>
          <w:rFonts w:ascii="Times New Roman" w:eastAsia="Times New Roman" w:hAnsi="Times New Roman" w:cs="Times New Roman"/>
          <w:color w:val="000000"/>
          <w:spacing w:val="0"/>
          <w:w w:val="100"/>
          <w:position w:val="0"/>
        </w:rPr>
        <w:t>1</w:t>
      </w:r>
      <w:r>
        <w:rPr>
          <w:color w:val="000000"/>
          <w:spacing w:val="0"/>
          <w:w w:val="100"/>
          <w:position w:val="0"/>
        </w:rPr>
        <w:t>）</w:t>
        <w:tab/>
        <w:t>履约义务的履行时间：在合同约定服务期限内，持续提供金融数据服务，按照直线法确认收入。</w:t>
      </w:r>
    </w:p>
    <w:p>
      <w:pPr>
        <w:pStyle w:val="Style24"/>
        <w:keepNext w:val="0"/>
        <w:keepLines w:val="0"/>
        <w:widowControl w:val="0"/>
        <w:shd w:val="clear" w:color="auto" w:fill="auto"/>
        <w:tabs>
          <w:tab w:pos="445" w:val="left"/>
        </w:tabs>
        <w:bidi w:val="0"/>
        <w:spacing w:before="0" w:after="0" w:line="355" w:lineRule="exact"/>
        <w:ind w:left="0" w:right="0" w:firstLine="0"/>
        <w:jc w:val="left"/>
      </w:pPr>
      <w:bookmarkStart w:id="1878" w:name="bookmark1878"/>
      <w:r>
        <w:rPr>
          <w:color w:val="000000"/>
          <w:spacing w:val="0"/>
          <w:w w:val="100"/>
          <w:position w:val="0"/>
        </w:rPr>
        <w:t>（</w:t>
      </w:r>
      <w:bookmarkEnd w:id="1878"/>
      <w:r>
        <w:rPr>
          <w:rFonts w:ascii="Times New Roman" w:eastAsia="Times New Roman" w:hAnsi="Times New Roman" w:cs="Times New Roman"/>
          <w:color w:val="000000"/>
          <w:spacing w:val="0"/>
          <w:w w:val="100"/>
          <w:position w:val="0"/>
        </w:rPr>
        <w:t>2</w:t>
      </w:r>
      <w:r>
        <w:rPr>
          <w:color w:val="000000"/>
          <w:spacing w:val="0"/>
          <w:w w:val="100"/>
          <w:position w:val="0"/>
        </w:rPr>
        <w:t>）</w:t>
        <w:tab/>
        <w:t>重要的支付条款：在提供金融数据服务前支付款项。</w:t>
      </w:r>
    </w:p>
    <w:p>
      <w:pPr>
        <w:pStyle w:val="Style24"/>
        <w:keepNext w:val="0"/>
        <w:keepLines w:val="0"/>
        <w:widowControl w:val="0"/>
        <w:shd w:val="clear" w:color="auto" w:fill="auto"/>
        <w:tabs>
          <w:tab w:pos="445" w:val="left"/>
        </w:tabs>
        <w:bidi w:val="0"/>
        <w:spacing w:before="0" w:after="0" w:line="355" w:lineRule="exact"/>
        <w:ind w:left="0" w:right="0" w:firstLine="0"/>
        <w:jc w:val="left"/>
      </w:pPr>
      <w:bookmarkStart w:id="1879" w:name="bookmark1879"/>
      <w:r>
        <w:rPr>
          <w:color w:val="000000"/>
          <w:spacing w:val="0"/>
          <w:w w:val="100"/>
          <w:position w:val="0"/>
        </w:rPr>
        <w:t>（</w:t>
      </w:r>
      <w:bookmarkEnd w:id="1879"/>
      <w:r>
        <w:rPr>
          <w:rFonts w:ascii="Times New Roman" w:eastAsia="Times New Roman" w:hAnsi="Times New Roman" w:cs="Times New Roman"/>
          <w:color w:val="000000"/>
          <w:spacing w:val="0"/>
          <w:w w:val="100"/>
          <w:position w:val="0"/>
        </w:rPr>
        <w:t>3</w:t>
      </w:r>
      <w:r>
        <w:rPr>
          <w:color w:val="000000"/>
          <w:spacing w:val="0"/>
          <w:w w:val="100"/>
          <w:position w:val="0"/>
        </w:rPr>
        <w:t>）</w:t>
        <w:tab/>
        <w:t>退货及质量保证条款：无。</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互联网广告服务：</w:t>
      </w:r>
    </w:p>
    <w:p>
      <w:pPr>
        <w:pStyle w:val="Style24"/>
        <w:keepNext w:val="0"/>
        <w:keepLines w:val="0"/>
        <w:widowControl w:val="0"/>
        <w:shd w:val="clear" w:color="auto" w:fill="auto"/>
        <w:tabs>
          <w:tab w:pos="445" w:val="left"/>
        </w:tabs>
        <w:bidi w:val="0"/>
        <w:spacing w:before="0" w:after="0" w:line="355" w:lineRule="exact"/>
        <w:ind w:left="0" w:right="0" w:firstLine="0"/>
        <w:jc w:val="left"/>
      </w:pPr>
      <w:bookmarkStart w:id="1880" w:name="bookmark1880"/>
      <w:r>
        <w:rPr>
          <w:color w:val="000000"/>
          <w:spacing w:val="0"/>
          <w:w w:val="100"/>
          <w:position w:val="0"/>
        </w:rPr>
        <w:t>（</w:t>
      </w:r>
      <w:bookmarkEnd w:id="1880"/>
      <w:r>
        <w:rPr>
          <w:rFonts w:ascii="Times New Roman" w:eastAsia="Times New Roman" w:hAnsi="Times New Roman" w:cs="Times New Roman"/>
          <w:color w:val="000000"/>
          <w:spacing w:val="0"/>
          <w:w w:val="100"/>
          <w:position w:val="0"/>
        </w:rPr>
        <w:t>1</w:t>
      </w:r>
      <w:r>
        <w:rPr>
          <w:color w:val="000000"/>
          <w:spacing w:val="0"/>
          <w:w w:val="100"/>
          <w:position w:val="0"/>
        </w:rPr>
        <w:t>）</w:t>
        <w:tab/>
        <w:t>履约义务的履行时间：在广告发布期间，按照合同金额与广告发布执行单确认收入。</w:t>
      </w:r>
    </w:p>
    <w:p>
      <w:pPr>
        <w:pStyle w:val="Style24"/>
        <w:keepNext w:val="0"/>
        <w:keepLines w:val="0"/>
        <w:widowControl w:val="0"/>
        <w:shd w:val="clear" w:color="auto" w:fill="auto"/>
        <w:tabs>
          <w:tab w:pos="445" w:val="left"/>
        </w:tabs>
        <w:bidi w:val="0"/>
        <w:spacing w:before="0" w:after="0" w:line="355" w:lineRule="exact"/>
        <w:ind w:left="0" w:right="0" w:firstLine="0"/>
        <w:jc w:val="left"/>
      </w:pPr>
      <w:bookmarkStart w:id="1881" w:name="bookmark1881"/>
      <w:r>
        <w:rPr>
          <w:color w:val="000000"/>
          <w:spacing w:val="0"/>
          <w:w w:val="100"/>
          <w:position w:val="0"/>
        </w:rPr>
        <w:t>（</w:t>
      </w:r>
      <w:bookmarkEnd w:id="1881"/>
      <w:r>
        <w:rPr>
          <w:rFonts w:ascii="Times New Roman" w:eastAsia="Times New Roman" w:hAnsi="Times New Roman" w:cs="Times New Roman"/>
          <w:color w:val="000000"/>
          <w:spacing w:val="0"/>
          <w:w w:val="100"/>
          <w:position w:val="0"/>
        </w:rPr>
        <w:t>2</w:t>
      </w:r>
      <w:r>
        <w:rPr>
          <w:color w:val="000000"/>
          <w:spacing w:val="0"/>
          <w:w w:val="100"/>
          <w:position w:val="0"/>
        </w:rPr>
        <w:t>）</w:t>
        <w:tab/>
        <w:t>重要的支付条款：广告投放结束后</w:t>
      </w:r>
      <w:r>
        <w:rPr>
          <w:rFonts w:ascii="Times New Roman" w:eastAsia="Times New Roman" w:hAnsi="Times New Roman" w:cs="Times New Roman"/>
          <w:color w:val="000000"/>
          <w:spacing w:val="0"/>
          <w:w w:val="100"/>
          <w:position w:val="0"/>
        </w:rPr>
        <w:t>3-6</w:t>
      </w:r>
      <w:r>
        <w:rPr>
          <w:color w:val="000000"/>
          <w:spacing w:val="0"/>
          <w:w w:val="100"/>
          <w:position w:val="0"/>
        </w:rPr>
        <w:t>个月。</w:t>
      </w:r>
    </w:p>
    <w:p>
      <w:pPr>
        <w:pStyle w:val="Style24"/>
        <w:keepNext w:val="0"/>
        <w:keepLines w:val="0"/>
        <w:widowControl w:val="0"/>
        <w:shd w:val="clear" w:color="auto" w:fill="auto"/>
        <w:tabs>
          <w:tab w:pos="445" w:val="left"/>
        </w:tabs>
        <w:bidi w:val="0"/>
        <w:spacing w:before="0" w:after="0" w:line="355" w:lineRule="exact"/>
        <w:ind w:left="0" w:right="0" w:firstLine="0"/>
        <w:jc w:val="left"/>
      </w:pPr>
      <w:bookmarkStart w:id="1882" w:name="bookmark1882"/>
      <w:r>
        <w:rPr>
          <w:color w:val="000000"/>
          <w:spacing w:val="0"/>
          <w:w w:val="100"/>
          <w:position w:val="0"/>
        </w:rPr>
        <w:t>（</w:t>
      </w:r>
      <w:bookmarkEnd w:id="1882"/>
      <w:r>
        <w:rPr>
          <w:rFonts w:ascii="Times New Roman" w:eastAsia="Times New Roman" w:hAnsi="Times New Roman" w:cs="Times New Roman"/>
          <w:color w:val="000000"/>
          <w:spacing w:val="0"/>
          <w:w w:val="100"/>
          <w:position w:val="0"/>
        </w:rPr>
        <w:t>3</w:t>
      </w:r>
      <w:r>
        <w:rPr>
          <w:color w:val="000000"/>
          <w:spacing w:val="0"/>
          <w:w w:val="100"/>
          <w:position w:val="0"/>
        </w:rPr>
        <w:t>）</w:t>
        <w:tab/>
        <w:t>退货及质量保证条款：无。</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400" w:line="355"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62,374,497.71</w:t>
      </w:r>
      <w:r>
        <w:rPr>
          <w:color w:val="000000"/>
          <w:spacing w:val="0"/>
          <w:w w:val="100"/>
          <w:position w:val="0"/>
        </w:rPr>
        <w:t>元，其中</w:t>
      </w:r>
      <w:r>
        <w:rPr>
          <w:rFonts w:ascii="Times New Roman" w:eastAsia="Times New Roman" w:hAnsi="Times New Roman" w:cs="Times New Roman"/>
          <w:color w:val="000000"/>
          <w:spacing w:val="0"/>
          <w:w w:val="100"/>
          <w:position w:val="0"/>
        </w:rPr>
        <w:t xml:space="preserve">61,430,711.07 </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943,786.64</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及以后年度确认收入。</w:t>
      </w:r>
    </w:p>
    <w:p>
      <w:pPr>
        <w:pStyle w:val="Style32"/>
        <w:keepNext/>
        <w:keepLines/>
        <w:widowControl w:val="0"/>
        <w:shd w:val="clear" w:color="auto" w:fill="auto"/>
        <w:bidi w:val="0"/>
        <w:spacing w:before="0" w:after="220" w:line="240" w:lineRule="auto"/>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5</w:t>
      </w:r>
      <w:bookmarkEnd w:id="1885"/>
      <w:r>
        <w:rPr>
          <w:color w:val="000000"/>
          <w:spacing w:val="0"/>
          <w:w w:val="100"/>
          <w:position w:val="0"/>
        </w:rPr>
        <w:t>、投资收益</w:t>
      </w:r>
      <w:bookmarkEnd w:id="1883"/>
      <w:bookmarkEnd w:id="1884"/>
      <w:bookmarkEnd w:id="1886"/>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01"/>
        <w:gridCol w:w="2981"/>
        <w:gridCol w:w="2923"/>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9,340,428.14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10,507,271.28</w:t>
            </w: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12,233,544.10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-8,246.09</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2,500,000.00</w:t>
            </w: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24,573,972.24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12,999,025.19</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both"/>
      </w:pPr>
      <w:bookmarkStart w:id="1887" w:name="bookmark1887"/>
      <w:bookmarkStart w:id="1888" w:name="bookmark1888"/>
      <w:bookmarkStart w:id="1889" w:name="bookmark1889"/>
      <w:r>
        <w:rPr>
          <w:color w:val="000000"/>
          <w:spacing w:val="0"/>
          <w:w w:val="100"/>
          <w:position w:val="0"/>
          <w:sz w:val="24"/>
          <w:szCs w:val="24"/>
        </w:rPr>
        <w:t>十八、补充资料</w:t>
      </w:r>
      <w:bookmarkEnd w:id="1887"/>
      <w:bookmarkEnd w:id="1888"/>
      <w:bookmarkEnd w:id="1889"/>
    </w:p>
    <w:p>
      <w:pPr>
        <w:pStyle w:val="Style32"/>
        <w:keepNext/>
        <w:keepLines/>
        <w:widowControl w:val="0"/>
        <w:shd w:val="clear" w:color="auto" w:fill="auto"/>
        <w:bidi w:val="0"/>
        <w:spacing w:before="0" w:after="300" w:line="240" w:lineRule="auto"/>
        <w:ind w:left="0" w:right="0" w:firstLine="0"/>
        <w:jc w:val="both"/>
      </w:pPr>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90"/>
      <w:bookmarkEnd w:id="1891"/>
      <w:bookmarkEnd w:id="1892"/>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832"/>
        <w:gridCol w:w="1877"/>
        <w:gridCol w:w="1896"/>
      </w:tblGrid>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-214,954.06</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计入当期损益的政府补助（与公司正常经营业务密切相关，符合国家政 策规定、按照一定标准定额或定量持续享受的政府补助除外）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121,607,011.01</w:t>
            </w:r>
          </w:p>
        </w:tc>
        <w:tc>
          <w:tcPr>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33" w:lineRule="exact"/>
              <w:ind w:left="0" w:right="0" w:firstLine="0"/>
              <w:jc w:val="left"/>
            </w:pPr>
            <w:r>
              <w:rPr>
                <w:rFonts w:ascii="SimSun" w:eastAsia="SimSun" w:hAnsi="SimSun" w:cs="SimSun"/>
                <w:color w:val="000000"/>
                <w:spacing w:val="0"/>
                <w:w w:val="100"/>
                <w:position w:val="0"/>
              </w:rPr>
              <w:t>除同公司正常经营业务相关的有效套期保值业务外，持有交易性金融资 产、交易性金融负债产生的公允价值变动损益，以及处置交易性金融资 产交易性金融负债和可供出售金融资产取得的投资收益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27,691,968.95</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485,043.23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-25,625,480.58</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11,017,555.66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pPr>
            <w:r>
              <w:rPr>
                <w:color w:val="000000"/>
                <w:spacing w:val="0"/>
                <w:w w:val="100"/>
                <w:position w:val="0"/>
              </w:rPr>
              <w:t>22,337,214.34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112,623,929.87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其他符合非经常性损益定义的损益项目的具体情况：</w:t>
      </w:r>
    </w:p>
    <w:p>
      <w:pPr>
        <w:pStyle w:val="Style2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其他符合非经常性损益定义的损益项目为增值税进项加计抵减及企业收到的代扣代缴个人所得税手续费返还等。</w:t>
      </w:r>
    </w:p>
    <w:p>
      <w:pPr>
        <w:pStyle w:val="Style24"/>
        <w:keepNext w:val="0"/>
        <w:keepLines w:val="0"/>
        <w:widowControl w:val="0"/>
        <w:shd w:val="clear" w:color="auto" w:fill="auto"/>
        <w:bidi w:val="0"/>
        <w:spacing w:before="0" w:after="60" w:line="221"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 目的情况说明</w:t>
      </w:r>
    </w:p>
    <w:p>
      <w:pPr>
        <w:pStyle w:val="Style24"/>
        <w:keepNext w:val="0"/>
        <w:keepLines w:val="0"/>
        <w:widowControl w:val="0"/>
        <w:shd w:val="clear" w:color="auto" w:fill="auto"/>
        <w:bidi w:val="0"/>
        <w:spacing w:before="0" w:after="300" w:line="257"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2"/>
        <w:keepNext/>
        <w:keepLines/>
        <w:widowControl w:val="0"/>
        <w:shd w:val="clear" w:color="auto" w:fill="auto"/>
        <w:bidi w:val="0"/>
        <w:spacing w:before="0" w:after="300" w:line="240" w:lineRule="auto"/>
        <w:ind w:left="0" w:right="0" w:firstLine="0"/>
        <w:jc w:val="both"/>
      </w:pPr>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93"/>
      <w:bookmarkEnd w:id="1894"/>
      <w:bookmarkEnd w:id="1895"/>
    </w:p>
    <w:tbl>
      <w:tblPr>
        <w:tblOverlap w:val="never"/>
        <w:jc w:val="center"/>
        <w:tblLayout w:type="fixed"/>
      </w:tblPr>
      <w:tblGrid>
        <w:gridCol w:w="4421"/>
        <w:gridCol w:w="1339"/>
        <w:gridCol w:w="1920"/>
        <w:gridCol w:w="1925"/>
      </w:tblGrid>
      <w:tr>
        <w:trPr>
          <w:trHeight w:val="34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加权平均净</w:t>
            </w:r>
          </w:p>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31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r>
      <w:tr>
        <w:trPr>
          <w:trHeight w:val="31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w:t>
            </w:r>
          </w:p>
        </w:tc>
      </w:tr>
      <w:tr>
        <w:trPr>
          <w:trHeight w:val="34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both"/>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3</w:t>
      </w:r>
      <w:bookmarkEnd w:id="1898"/>
      <w:r>
        <w:rPr>
          <w:color w:val="000000"/>
          <w:spacing w:val="0"/>
          <w:w w:val="100"/>
          <w:position w:val="0"/>
        </w:rPr>
        <w:t>、境内外会计准则下会计数据差异</w:t>
      </w:r>
      <w:bookmarkEnd w:id="1896"/>
      <w:bookmarkEnd w:id="1897"/>
      <w:bookmarkEnd w:id="1899"/>
    </w:p>
    <w:p>
      <w:pPr>
        <w:pStyle w:val="Style32"/>
        <w:keepNext/>
        <w:keepLines/>
        <w:widowControl w:val="0"/>
        <w:shd w:val="clear" w:color="auto" w:fill="auto"/>
        <w:bidi w:val="0"/>
        <w:spacing w:before="0" w:after="300" w:line="240" w:lineRule="auto"/>
        <w:ind w:left="0" w:right="0" w:firstLine="0"/>
        <w:jc w:val="both"/>
      </w:pPr>
      <w:bookmarkStart w:id="1896" w:name="bookmark1896"/>
      <w:bookmarkStart w:id="1897" w:name="bookmark1897"/>
      <w:bookmarkStart w:id="1900" w:name="bookmark19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896"/>
      <w:bookmarkEnd w:id="1897"/>
      <w:bookmarkEnd w:id="1900"/>
    </w:p>
    <w:p>
      <w:pPr>
        <w:pStyle w:val="Style2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p>
      <w:pPr>
        <w:pStyle w:val="Style32"/>
        <w:keepNext/>
        <w:keepLines/>
        <w:widowControl w:val="0"/>
        <w:shd w:val="clear" w:color="auto" w:fill="auto"/>
        <w:bidi w:val="0"/>
        <w:spacing w:before="0" w:after="300" w:line="240" w:lineRule="auto"/>
        <w:ind w:left="0" w:right="0" w:firstLine="0"/>
        <w:jc w:val="both"/>
      </w:pPr>
      <w:bookmarkStart w:id="1901" w:name="bookmark1901"/>
      <w:bookmarkStart w:id="1902" w:name="bookmark1902"/>
      <w:bookmarkStart w:id="1903" w:name="bookmark19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）同时按照境外会计准则与按中国会计准则披露的财务报告中净利润和净资产差异情况</w:t>
      </w:r>
      <w:bookmarkEnd w:id="1901"/>
      <w:bookmarkEnd w:id="1902"/>
      <w:bookmarkEnd w:id="1903"/>
    </w:p>
    <w:p>
      <w:pPr>
        <w:pStyle w:val="Style2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7</w:t>
      </w:r>
      <w:r>
        <w:rPr>
          <w:color w:val="000000"/>
          <w:spacing w:val="0"/>
          <w:w w:val="100"/>
          <w:position w:val="0"/>
        </w:rPr>
        <w:t>不适用</w:t>
      </w:r>
    </w:p>
    <w:sectPr>
      <w:footnotePr>
        <w:pos w:val="pageBottom"/>
        <w:numFmt w:val="upperRoman"/>
        <w:numStart w:val="1"/>
        <w:numRestart w:val="continuous"/>
        <w15:footnoteColumns w:val="1"/>
      </w:footnotePr>
      <w:pgSz w:w="11900" w:h="16840"/>
      <w:pgMar w:top="1702" w:right="969" w:bottom="1486" w:left="10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pBdr>
          <w:top w:val="single" w:sz="4" w:space="0" w:color="auto"/>
        </w:pBdr>
        <w:shd w:val="clear" w:color="auto" w:fill="auto"/>
        <w:bidi w:val="0"/>
        <w:spacing w:before="0" w:after="0" w:line="240" w:lineRule="auto"/>
        <w:ind w:left="0" w:right="0"/>
        <w:jc w:val="left"/>
      </w:pPr>
      <w:r>
        <w:rPr>
          <w:color w:val="000000"/>
          <w:spacing w:val="0"/>
          <w:w w:val="100"/>
          <w:position w:val="0"/>
        </w:rPr>
        <w:t>按照独立基金代码统计</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lowerLetter"/>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Footnote_"/>
    <w:basedOn w:val="DefaultParagraphFont"/>
    <w:link w:val="Style2"/>
    <w:rPr>
      <w:rFonts w:ascii="SimSun" w:eastAsia="SimSun" w:hAnsi="SimSun" w:cs="SimSun"/>
      <w:b w:val="0"/>
      <w:bCs w:val="0"/>
      <w:i w:val="0"/>
      <w:iCs w:val="0"/>
      <w:smallCaps w:val="0"/>
      <w:strike w:val="0"/>
      <w:sz w:val="14"/>
      <w:szCs w:val="14"/>
      <w:u w:val="none"/>
      <w:shd w:val="clear" w:color="auto" w:fill="auto"/>
    </w:rPr>
  </w:style>
  <w:style w:type="character" w:customStyle="1" w:styleId="CharStyle5">
    <w:name w:val="Heading #1_"/>
    <w:basedOn w:val="DefaultParagraphFont"/>
    <w:link w:val="Style4"/>
    <w:rPr>
      <w:rFonts w:ascii="SimSun" w:eastAsia="SimSun" w:hAnsi="SimSun" w:cs="SimSun"/>
      <w:b/>
      <w:bCs/>
      <w:i w:val="0"/>
      <w:iCs w:val="0"/>
      <w:smallCaps w:val="0"/>
      <w:strike w:val="0"/>
      <w:sz w:val="36"/>
      <w:szCs w:val="36"/>
      <w:u w:val="none"/>
      <w:shd w:val="clear" w:color="auto" w:fill="auto"/>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1">
    <w:name w:val="Body text (3)_"/>
    <w:basedOn w:val="DefaultParagraphFont"/>
    <w:link w:val="Style10"/>
    <w:rPr>
      <w:rFonts w:ascii="SimSun" w:eastAsia="SimSun" w:hAnsi="SimSun" w:cs="SimSun"/>
      <w:b/>
      <w:bCs/>
      <w:i w:val="0"/>
      <w:iCs w:val="0"/>
      <w:smallCaps w:val="0"/>
      <w:strike w:val="0"/>
      <w:sz w:val="26"/>
      <w:szCs w:val="26"/>
      <w:u w:val="none"/>
      <w:shd w:val="clear" w:color="auto" w:fill="auto"/>
    </w:rPr>
  </w:style>
  <w:style w:type="character" w:customStyle="1" w:styleId="CharStyle13">
    <w:name w:val="Heading #2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Table of contents_"/>
    <w:basedOn w:val="DefaultParagraphFont"/>
    <w:link w:val="Style14"/>
    <w:rPr>
      <w:rFonts w:ascii="SimSun" w:eastAsia="SimSun" w:hAnsi="SimSun" w:cs="SimSun"/>
      <w:b/>
      <w:bCs/>
      <w:i w:val="0"/>
      <w:iCs w:val="0"/>
      <w:smallCaps w:val="0"/>
      <w:strike w:val="0"/>
      <w:u w:val="none"/>
      <w:shd w:val="clear" w:color="auto" w:fill="auto"/>
    </w:rPr>
  </w:style>
  <w:style w:type="character" w:customStyle="1" w:styleId="CharStyle21">
    <w:name w:val="Table caption_"/>
    <w:basedOn w:val="DefaultParagraphFont"/>
    <w:link w:val="Style20"/>
    <w:rPr>
      <w:rFonts w:ascii="SimSun" w:eastAsia="SimSun" w:hAnsi="SimSun" w:cs="SimSun"/>
      <w:b w:val="0"/>
      <w:bCs w:val="0"/>
      <w:i w:val="0"/>
      <w:iCs w:val="0"/>
      <w:smallCaps w:val="0"/>
      <w:strike w:val="0"/>
      <w:sz w:val="18"/>
      <w:szCs w:val="18"/>
      <w:u w:val="none"/>
      <w:shd w:val="clear" w:color="auto" w:fill="auto"/>
    </w:rPr>
  </w:style>
  <w:style w:type="character" w:customStyle="1" w:styleId="CharStyle23">
    <w:name w:val="Heading #3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Body text (2)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Body text (4)_"/>
    <w:basedOn w:val="DefaultParagraphFont"/>
    <w:link w:val="Style28"/>
    <w:rPr>
      <w:rFonts w:ascii="Times New Roman" w:eastAsia="Times New Roman" w:hAnsi="Times New Roman" w:cs="Times New Roman"/>
      <w:b/>
      <w:bCs/>
      <w:i w:val="0"/>
      <w:iCs w:val="0"/>
      <w:smallCaps w:val="0"/>
      <w:strike w:val="0"/>
      <w:color w:val="595959"/>
      <w:sz w:val="18"/>
      <w:szCs w:val="18"/>
      <w:u w:val="none"/>
      <w:shd w:val="clear" w:color="auto" w:fill="auto"/>
    </w:rPr>
  </w:style>
  <w:style w:type="character" w:customStyle="1" w:styleId="CharStyle33">
    <w:name w:val="Heading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6">
    <w:name w:val="Body text (6)_"/>
    <w:basedOn w:val="DefaultParagraphFont"/>
    <w:link w:val="Style35"/>
    <w:rPr>
      <w:rFonts w:ascii="SimHei" w:eastAsia="SimHei" w:hAnsi="SimHei" w:cs="SimHei"/>
      <w:b w:val="0"/>
      <w:bCs w:val="0"/>
      <w:i w:val="0"/>
      <w:iCs w:val="0"/>
      <w:smallCaps w:val="0"/>
      <w:strike w:val="0"/>
      <w:color w:val="EA5405"/>
      <w:sz w:val="22"/>
      <w:szCs w:val="22"/>
      <w:u w:val="none"/>
      <w:shd w:val="clear" w:color="auto" w:fill="auto"/>
    </w:rPr>
  </w:style>
  <w:style w:type="character" w:customStyle="1" w:styleId="CharStyle38">
    <w:name w:val="Body text (5)_"/>
    <w:basedOn w:val="DefaultParagraphFont"/>
    <w:link w:val="Style37"/>
    <w:rPr>
      <w:rFonts w:ascii="Arial" w:eastAsia="Arial" w:hAnsi="Arial" w:cs="Arial"/>
      <w:b/>
      <w:bCs/>
      <w:i w:val="0"/>
      <w:iCs w:val="0"/>
      <w:smallCaps w:val="0"/>
      <w:strike w:val="0"/>
      <w:color w:val="B56134"/>
      <w:sz w:val="9"/>
      <w:szCs w:val="9"/>
      <w:u w:val="none"/>
      <w:shd w:val="clear" w:color="auto" w:fill="auto"/>
    </w:rPr>
  </w:style>
  <w:style w:type="character" w:customStyle="1" w:styleId="CharStyle42">
    <w:name w:val="Body text_"/>
    <w:basedOn w:val="DefaultParagraphFont"/>
    <w:link w:val="Style41"/>
    <w:rPr>
      <w:rFonts w:ascii="SimSun" w:eastAsia="SimSun" w:hAnsi="SimSun" w:cs="SimSun"/>
      <w:b w:val="0"/>
      <w:bCs w:val="0"/>
      <w:i w:val="0"/>
      <w:iCs w:val="0"/>
      <w:smallCaps w:val="0"/>
      <w:strike w:val="0"/>
      <w:sz w:val="20"/>
      <w:szCs w:val="20"/>
      <w:u w:val="none"/>
      <w:shd w:val="clear" w:color="auto" w:fill="auto"/>
    </w:rPr>
  </w:style>
  <w:style w:type="character" w:customStyle="1" w:styleId="CharStyle68">
    <w:name w:val="Other (3)_"/>
    <w:basedOn w:val="DefaultParagraphFont"/>
    <w:link w:val="Style67"/>
    <w:rPr>
      <w:rFonts w:ascii="SimSun" w:eastAsia="SimSun" w:hAnsi="SimSun" w:cs="SimSun"/>
      <w:b w:val="0"/>
      <w:bCs w:val="0"/>
      <w:i w:val="0"/>
      <w:iCs w:val="0"/>
      <w:smallCaps w:val="0"/>
      <w:strike w:val="0"/>
      <w:sz w:val="18"/>
      <w:szCs w:val="18"/>
      <w:u w:val="none"/>
      <w:shd w:val="clear" w:color="auto" w:fill="auto"/>
    </w:rPr>
  </w:style>
  <w:style w:type="character" w:customStyle="1" w:styleId="CharStyle77">
    <w:name w:val="Body text (9)_"/>
    <w:basedOn w:val="DefaultParagraphFont"/>
    <w:link w:val="Style76"/>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Footnote"/>
    <w:basedOn w:val="Normal"/>
    <w:link w:val="CharStyle3"/>
    <w:pPr>
      <w:widowControl w:val="0"/>
      <w:shd w:val="clear" w:color="auto" w:fill="auto"/>
      <w:ind w:firstLine="300"/>
    </w:pPr>
    <w:rPr>
      <w:rFonts w:ascii="SimSun" w:eastAsia="SimSun" w:hAnsi="SimSun" w:cs="SimSun"/>
      <w:b w:val="0"/>
      <w:bCs w:val="0"/>
      <w:i w:val="0"/>
      <w:iCs w:val="0"/>
      <w:smallCaps w:val="0"/>
      <w:strike w:val="0"/>
      <w:sz w:val="14"/>
      <w:szCs w:val="14"/>
      <w:u w:val="none"/>
      <w:shd w:val="clear" w:color="auto" w:fill="auto"/>
    </w:rPr>
  </w:style>
  <w:style w:type="paragraph" w:customStyle="1" w:styleId="Style4">
    <w:name w:val="Heading #1"/>
    <w:basedOn w:val="Normal"/>
    <w:link w:val="CharStyle5"/>
    <w:pPr>
      <w:widowControl w:val="0"/>
      <w:shd w:val="clear" w:color="auto" w:fill="auto"/>
      <w:spacing w:after="106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6">
    <w:name w:val="Other"/>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0">
    <w:name w:val="Body text (3)"/>
    <w:basedOn w:val="Normal"/>
    <w:link w:val="CharStyle11"/>
    <w:pPr>
      <w:widowControl w:val="0"/>
      <w:shd w:val="clear" w:color="auto" w:fill="auto"/>
      <w:spacing w:after="100" w:line="61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2">
    <w:name w:val="Heading #2"/>
    <w:basedOn w:val="Normal"/>
    <w:link w:val="CharStyle13"/>
    <w:pPr>
      <w:widowControl w:val="0"/>
      <w:shd w:val="clear" w:color="auto" w:fill="auto"/>
      <w:spacing w:before="250"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4">
    <w:name w:val="Table of contents"/>
    <w:basedOn w:val="Normal"/>
    <w:link w:val="CharStyle15"/>
    <w:pPr>
      <w:widowControl w:val="0"/>
      <w:shd w:val="clear" w:color="auto" w:fill="auto"/>
      <w:spacing w:after="380"/>
    </w:pPr>
    <w:rPr>
      <w:rFonts w:ascii="SimSun" w:eastAsia="SimSun" w:hAnsi="SimSun" w:cs="SimSun"/>
      <w:b/>
      <w:bCs/>
      <w:i w:val="0"/>
      <w:iCs w:val="0"/>
      <w:smallCaps w:val="0"/>
      <w:strike w:val="0"/>
      <w:u w:val="none"/>
      <w:shd w:val="clear" w:color="auto" w:fill="auto"/>
    </w:rPr>
  </w:style>
  <w:style w:type="paragraph" w:customStyle="1" w:styleId="Style20">
    <w:name w:val="Table caption"/>
    <w:basedOn w:val="Normal"/>
    <w:link w:val="CharStyle2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2">
    <w:name w:val="Heading #3"/>
    <w:basedOn w:val="Normal"/>
    <w:link w:val="CharStyle23"/>
    <w:pPr>
      <w:widowControl w:val="0"/>
      <w:shd w:val="clear" w:color="auto" w:fill="auto"/>
      <w:spacing w:after="340"/>
      <w:outlineLvl w:val="2"/>
    </w:pPr>
    <w:rPr>
      <w:rFonts w:ascii="SimSun" w:eastAsia="SimSun" w:hAnsi="SimSun" w:cs="SimSun"/>
      <w:b/>
      <w:bCs/>
      <w:i w:val="0"/>
      <w:iCs w:val="0"/>
      <w:smallCaps w:val="0"/>
      <w:strike w:val="0"/>
      <w:u w:val="none"/>
      <w:shd w:val="clear" w:color="auto" w:fill="auto"/>
    </w:rPr>
  </w:style>
  <w:style w:type="paragraph" w:customStyle="1" w:styleId="Style24">
    <w:name w:val="Body text (2)"/>
    <w:basedOn w:val="Normal"/>
    <w:link w:val="CharStyle25"/>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Body text (4)"/>
    <w:basedOn w:val="Normal"/>
    <w:link w:val="CharStyle29"/>
    <w:pPr>
      <w:widowControl w:val="0"/>
      <w:shd w:val="clear" w:color="auto" w:fill="auto"/>
      <w:spacing w:after="40"/>
    </w:pPr>
    <w:rPr>
      <w:rFonts w:ascii="Times New Roman" w:eastAsia="Times New Roman" w:hAnsi="Times New Roman" w:cs="Times New Roman"/>
      <w:b/>
      <w:bCs/>
      <w:i w:val="0"/>
      <w:iCs w:val="0"/>
      <w:smallCaps w:val="0"/>
      <w:strike w:val="0"/>
      <w:color w:val="595959"/>
      <w:sz w:val="18"/>
      <w:szCs w:val="18"/>
      <w:u w:val="none"/>
      <w:shd w:val="clear" w:color="auto" w:fill="auto"/>
    </w:rPr>
  </w:style>
  <w:style w:type="paragraph" w:customStyle="1" w:styleId="Style32">
    <w:name w:val="Heading #4"/>
    <w:basedOn w:val="Normal"/>
    <w:link w:val="CharStyle33"/>
    <w:pPr>
      <w:widowControl w:val="0"/>
      <w:shd w:val="clear" w:color="auto" w:fill="auto"/>
      <w:spacing w:after="3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5">
    <w:name w:val="Body text (6)"/>
    <w:basedOn w:val="Normal"/>
    <w:link w:val="CharStyle36"/>
    <w:pPr>
      <w:widowControl w:val="0"/>
      <w:shd w:val="clear" w:color="auto" w:fill="auto"/>
    </w:pPr>
    <w:rPr>
      <w:rFonts w:ascii="SimHei" w:eastAsia="SimHei" w:hAnsi="SimHei" w:cs="SimHei"/>
      <w:b w:val="0"/>
      <w:bCs w:val="0"/>
      <w:i w:val="0"/>
      <w:iCs w:val="0"/>
      <w:smallCaps w:val="0"/>
      <w:strike w:val="0"/>
      <w:color w:val="EA5405"/>
      <w:sz w:val="22"/>
      <w:szCs w:val="22"/>
      <w:u w:val="none"/>
      <w:shd w:val="clear" w:color="auto" w:fill="auto"/>
    </w:rPr>
  </w:style>
  <w:style w:type="paragraph" w:customStyle="1" w:styleId="Style37">
    <w:name w:val="Body text (5)"/>
    <w:basedOn w:val="Normal"/>
    <w:link w:val="CharStyle38"/>
    <w:pPr>
      <w:widowControl w:val="0"/>
      <w:shd w:val="clear" w:color="auto" w:fill="auto"/>
      <w:spacing w:after="180" w:line="180" w:lineRule="auto"/>
      <w:ind w:firstLine="480"/>
    </w:pPr>
    <w:rPr>
      <w:rFonts w:ascii="Arial" w:eastAsia="Arial" w:hAnsi="Arial" w:cs="Arial"/>
      <w:b/>
      <w:bCs/>
      <w:i w:val="0"/>
      <w:iCs w:val="0"/>
      <w:smallCaps w:val="0"/>
      <w:strike w:val="0"/>
      <w:color w:val="B56134"/>
      <w:sz w:val="9"/>
      <w:szCs w:val="9"/>
      <w:u w:val="none"/>
      <w:shd w:val="clear" w:color="auto" w:fill="auto"/>
    </w:rPr>
  </w:style>
  <w:style w:type="paragraph" w:styleId="Style41">
    <w:name w:val="Body text"/>
    <w:basedOn w:val="Normal"/>
    <w:link w:val="CharStyle42"/>
    <w:qFormat/>
    <w:pPr>
      <w:widowControl w:val="0"/>
      <w:shd w:val="clear" w:color="auto" w:fill="auto"/>
      <w:spacing w:line="33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67">
    <w:name w:val="Other (3)"/>
    <w:basedOn w:val="Normal"/>
    <w:link w:val="CharStyle6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76">
    <w:name w:val="Body text (9)"/>
    <w:basedOn w:val="Normal"/>
    <w:link w:val="CharStyle77"/>
    <w:pPr>
      <w:widowControl w:val="0"/>
      <w:shd w:val="clear" w:color="auto" w:fill="auto"/>
      <w:spacing w:after="28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s>
</file>

<file path=docProps/core.xml><?xml version="1.0" encoding="utf-8"?>
<cp:coreProperties xmlns:cp="http://schemas.openxmlformats.org/package/2006/metadata/core-properties" xmlns:dc="http://purl.org/dc/elements/1.1/">
  <dc:title>东方财富信息股份有限公司2021年年度报告全文</dc:title>
  <dc:subject/>
  <dc:creator>东方财富信息股份有限公司</dc:creator>
  <cp:keywords/>
</cp:coreProperties>
</file>