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Default Extension="png" ContentType="image/png"/>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5.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6.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7.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9.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10.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7"/>
          <w:szCs w:val="27"/>
        </w:rPr>
      </w:pPr>
    </w:p>
    <w:p>
      <w:pPr>
        <w:spacing w:line="1935" w:lineRule="exact"/>
        <w:ind w:left="53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8"/>
          <w:sz w:val="20"/>
          <w:szCs w:val="20"/>
        </w:rPr>
        <w:drawing>
          <wp:inline distT="0" distB="0" distL="0" distR="0">
            <wp:extent cx="4784997" cy="122872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4784997" cy="1228725"/>
                    </a:xfrm>
                    <a:prstGeom prst="rect">
                      <a:avLst/>
                    </a:prstGeom>
                  </pic:spPr>
                </pic:pic>
              </a:graphicData>
            </a:graphic>
          </wp:inline>
        </w:drawing>
      </w:r>
      <w:r>
        <w:rPr>
          <w:rFonts w:ascii="Times New Roman" w:hAnsi="Times New Roman" w:cs="Times New Roman" w:eastAsia="Times New Roman" w:hint="default"/>
          <w:position w:val="-38"/>
          <w:sz w:val="20"/>
          <w:szCs w:val="20"/>
        </w:rPr>
      </w:r>
    </w:p>
    <w:p>
      <w:pPr>
        <w:spacing w:line="240" w:lineRule="auto" w:before="9"/>
        <w:rPr>
          <w:rFonts w:ascii="Times New Roman" w:hAnsi="Times New Roman" w:cs="Times New Roman" w:eastAsia="Times New Roman" w:hint="default"/>
          <w:sz w:val="19"/>
          <w:szCs w:val="19"/>
        </w:rPr>
      </w:pPr>
    </w:p>
    <w:p>
      <w:pPr>
        <w:spacing w:line="625" w:lineRule="exact" w:before="0"/>
        <w:ind w:left="372" w:right="388" w:firstLine="0"/>
        <w:jc w:val="center"/>
        <w:rPr>
          <w:rFonts w:ascii="宋体" w:hAnsi="宋体" w:cs="宋体" w:eastAsia="宋体" w:hint="default"/>
          <w:sz w:val="52"/>
          <w:szCs w:val="52"/>
        </w:rPr>
      </w:pPr>
      <w:r>
        <w:rPr>
          <w:rFonts w:ascii="宋体" w:hAnsi="宋体" w:cs="宋体" w:eastAsia="宋体" w:hint="default"/>
          <w:sz w:val="52"/>
          <w:szCs w:val="52"/>
        </w:rPr>
        <w:t>上海安诺其纺织化工股份有限公司</w:t>
      </w:r>
    </w:p>
    <w:p>
      <w:pPr>
        <w:spacing w:before="311"/>
        <w:ind w:left="372" w:right="384" w:firstLine="0"/>
        <w:jc w:val="center"/>
        <w:rPr>
          <w:rFonts w:ascii="Arial" w:hAnsi="Arial" w:cs="Arial" w:eastAsia="Arial" w:hint="default"/>
          <w:sz w:val="36"/>
          <w:szCs w:val="36"/>
        </w:rPr>
      </w:pPr>
      <w:r>
        <w:rPr>
          <w:rFonts w:ascii="Arial"/>
          <w:b/>
          <w:sz w:val="36"/>
        </w:rPr>
        <w:t>Shanghai ANOKY </w:t>
      </w:r>
      <w:r>
        <w:rPr>
          <w:rFonts w:ascii="Arial"/>
          <w:b/>
          <w:spacing w:val="-4"/>
          <w:sz w:val="36"/>
        </w:rPr>
        <w:t>Textile </w:t>
      </w:r>
      <w:r>
        <w:rPr>
          <w:rFonts w:ascii="Arial"/>
          <w:b/>
          <w:sz w:val="36"/>
        </w:rPr>
        <w:t>Chem Co.,</w:t>
      </w:r>
      <w:r>
        <w:rPr>
          <w:rFonts w:ascii="Arial"/>
          <w:b/>
          <w:spacing w:val="-29"/>
          <w:sz w:val="36"/>
        </w:rPr>
        <w:t> </w:t>
      </w:r>
      <w:r>
        <w:rPr>
          <w:rFonts w:ascii="Arial"/>
          <w:b/>
          <w:spacing w:val="-4"/>
          <w:sz w:val="36"/>
        </w:rPr>
        <w:t>Ltd</w:t>
      </w:r>
      <w:r>
        <w:rPr>
          <w:rFonts w:ascii="Arial"/>
          <w:spacing w:val="-4"/>
          <w:sz w:val="36"/>
        </w:rPr>
      </w:r>
    </w:p>
    <w:p>
      <w:pPr>
        <w:spacing w:line="240" w:lineRule="auto" w:before="0"/>
        <w:rPr>
          <w:rFonts w:ascii="Arial" w:hAnsi="Arial" w:cs="Arial" w:eastAsia="Arial" w:hint="default"/>
          <w:b/>
          <w:bCs/>
          <w:sz w:val="36"/>
          <w:szCs w:val="36"/>
        </w:rPr>
      </w:pPr>
    </w:p>
    <w:p>
      <w:pPr>
        <w:spacing w:line="240" w:lineRule="auto" w:before="3"/>
        <w:rPr>
          <w:rFonts w:ascii="Arial" w:hAnsi="Arial" w:cs="Arial" w:eastAsia="Arial" w:hint="default"/>
          <w:b/>
          <w:bCs/>
          <w:sz w:val="31"/>
          <w:szCs w:val="31"/>
        </w:rPr>
      </w:pPr>
    </w:p>
    <w:p>
      <w:pPr>
        <w:spacing w:before="0"/>
        <w:ind w:left="372" w:right="386" w:firstLine="0"/>
        <w:jc w:val="center"/>
        <w:rPr>
          <w:rFonts w:ascii="宋体" w:hAnsi="宋体" w:cs="宋体" w:eastAsia="宋体" w:hint="default"/>
          <w:sz w:val="52"/>
          <w:szCs w:val="52"/>
        </w:rPr>
      </w:pPr>
      <w:r>
        <w:rPr>
          <w:rFonts w:ascii="Arial" w:hAnsi="Arial" w:cs="Arial" w:eastAsia="Arial" w:hint="default"/>
          <w:b/>
          <w:bCs/>
          <w:sz w:val="52"/>
          <w:szCs w:val="52"/>
        </w:rPr>
        <w:t>2010</w:t>
      </w:r>
      <w:r>
        <w:rPr>
          <w:rFonts w:ascii="宋体" w:hAnsi="宋体" w:cs="宋体" w:eastAsia="宋体" w:hint="default"/>
          <w:sz w:val="52"/>
          <w:szCs w:val="52"/>
        </w:rPr>
        <w:t>年年度报告</w:t>
      </w:r>
    </w:p>
    <w:p>
      <w:pPr>
        <w:spacing w:line="240" w:lineRule="auto" w:before="0"/>
        <w:rPr>
          <w:rFonts w:ascii="宋体" w:hAnsi="宋体" w:cs="宋体" w:eastAsia="宋体" w:hint="default"/>
          <w:sz w:val="54"/>
          <w:szCs w:val="54"/>
        </w:rPr>
      </w:pPr>
    </w:p>
    <w:p>
      <w:pPr>
        <w:spacing w:line="240" w:lineRule="auto" w:before="0"/>
        <w:rPr>
          <w:rFonts w:ascii="宋体" w:hAnsi="宋体" w:cs="宋体" w:eastAsia="宋体" w:hint="default"/>
          <w:sz w:val="54"/>
          <w:szCs w:val="54"/>
        </w:rPr>
      </w:pPr>
    </w:p>
    <w:p>
      <w:pPr>
        <w:spacing w:line="240" w:lineRule="auto" w:before="0"/>
        <w:rPr>
          <w:rFonts w:ascii="宋体" w:hAnsi="宋体" w:cs="宋体" w:eastAsia="宋体" w:hint="default"/>
          <w:sz w:val="54"/>
          <w:szCs w:val="54"/>
        </w:rPr>
      </w:pPr>
    </w:p>
    <w:p>
      <w:pPr>
        <w:spacing w:line="240" w:lineRule="auto" w:before="0"/>
        <w:rPr>
          <w:rFonts w:ascii="宋体" w:hAnsi="宋体" w:cs="宋体" w:eastAsia="宋体" w:hint="default"/>
          <w:sz w:val="54"/>
          <w:szCs w:val="54"/>
        </w:rPr>
      </w:pPr>
    </w:p>
    <w:p>
      <w:pPr>
        <w:spacing w:line="240" w:lineRule="auto" w:before="7"/>
        <w:rPr>
          <w:rFonts w:ascii="宋体" w:hAnsi="宋体" w:cs="宋体" w:eastAsia="宋体" w:hint="default"/>
          <w:sz w:val="39"/>
          <w:szCs w:val="39"/>
        </w:rPr>
      </w:pPr>
    </w:p>
    <w:p>
      <w:pPr>
        <w:spacing w:line="348" w:lineRule="auto" w:before="0"/>
        <w:ind w:left="3173" w:right="217" w:firstLine="2"/>
        <w:jc w:val="left"/>
        <w:rPr>
          <w:rFonts w:ascii="宋体" w:hAnsi="宋体" w:cs="宋体" w:eastAsia="宋体" w:hint="default"/>
          <w:sz w:val="32"/>
          <w:szCs w:val="32"/>
        </w:rPr>
      </w:pPr>
      <w:r>
        <w:rPr>
          <w:rFonts w:ascii="宋体" w:hAnsi="宋体" w:cs="宋体" w:eastAsia="宋体" w:hint="default"/>
          <w:sz w:val="32"/>
          <w:szCs w:val="32"/>
        </w:rPr>
        <w:t>证券简称：安诺其</w:t>
      </w:r>
      <w:r>
        <w:rPr>
          <w:rFonts w:ascii="宋体" w:hAnsi="宋体" w:cs="宋体" w:eastAsia="宋体" w:hint="default"/>
          <w:spacing w:val="-158"/>
          <w:sz w:val="32"/>
          <w:szCs w:val="32"/>
        </w:rPr>
        <w:t> </w:t>
      </w:r>
      <w:r>
        <w:rPr>
          <w:rFonts w:ascii="宋体" w:hAnsi="宋体" w:cs="宋体" w:eastAsia="宋体" w:hint="default"/>
          <w:spacing w:val="-158"/>
          <w:sz w:val="32"/>
          <w:szCs w:val="32"/>
        </w:rPr>
      </w:r>
      <w:r>
        <w:rPr>
          <w:rFonts w:ascii="宋体" w:hAnsi="宋体" w:cs="宋体" w:eastAsia="宋体" w:hint="default"/>
          <w:sz w:val="32"/>
          <w:szCs w:val="32"/>
        </w:rPr>
        <w:t>证券代码：</w:t>
      </w:r>
      <w:r>
        <w:rPr>
          <w:rFonts w:ascii="Arial" w:hAnsi="Arial" w:cs="Arial" w:eastAsia="Arial" w:hint="default"/>
          <w:b/>
          <w:bCs/>
          <w:sz w:val="32"/>
          <w:szCs w:val="32"/>
        </w:rPr>
        <w:t>300067</w:t>
      </w:r>
      <w:r>
        <w:rPr>
          <w:rFonts w:ascii="Arial" w:hAnsi="Arial" w:cs="Arial" w:eastAsia="Arial" w:hint="default"/>
          <w:b/>
          <w:bCs/>
          <w:w w:val="99"/>
          <w:sz w:val="32"/>
          <w:szCs w:val="32"/>
        </w:rPr>
        <w:t> </w:t>
      </w:r>
      <w:r>
        <w:rPr>
          <w:rFonts w:ascii="宋体" w:hAnsi="宋体" w:cs="宋体" w:eastAsia="宋体" w:hint="default"/>
          <w:w w:val="95"/>
          <w:sz w:val="32"/>
          <w:szCs w:val="32"/>
        </w:rPr>
        <w:t>披露时间：</w:t>
      </w:r>
      <w:r>
        <w:rPr>
          <w:rFonts w:ascii="Arial" w:hAnsi="Arial" w:cs="Arial" w:eastAsia="Arial" w:hint="default"/>
          <w:b/>
          <w:bCs/>
          <w:w w:val="95"/>
          <w:sz w:val="32"/>
          <w:szCs w:val="32"/>
        </w:rPr>
        <w:t>2011</w:t>
      </w:r>
      <w:r>
        <w:rPr>
          <w:rFonts w:ascii="宋体" w:hAnsi="宋体" w:cs="宋体" w:eastAsia="宋体" w:hint="default"/>
          <w:w w:val="95"/>
          <w:sz w:val="32"/>
          <w:szCs w:val="32"/>
        </w:rPr>
        <w:t>年</w:t>
      </w:r>
      <w:r>
        <w:rPr>
          <w:rFonts w:ascii="Arial" w:hAnsi="Arial" w:cs="Arial" w:eastAsia="Arial" w:hint="default"/>
          <w:b/>
          <w:bCs/>
          <w:w w:val="95"/>
          <w:sz w:val="32"/>
          <w:szCs w:val="32"/>
        </w:rPr>
        <w:t>3</w:t>
      </w:r>
      <w:r>
        <w:rPr>
          <w:rFonts w:ascii="宋体" w:hAnsi="宋体" w:cs="宋体" w:eastAsia="宋体" w:hint="default"/>
          <w:w w:val="95"/>
          <w:sz w:val="32"/>
          <w:szCs w:val="32"/>
        </w:rPr>
        <w:t>月</w:t>
      </w:r>
      <w:r>
        <w:rPr>
          <w:rFonts w:ascii="Arial" w:hAnsi="Arial" w:cs="Arial" w:eastAsia="Arial" w:hint="default"/>
          <w:b/>
          <w:bCs/>
          <w:w w:val="95"/>
          <w:sz w:val="32"/>
          <w:szCs w:val="32"/>
        </w:rPr>
        <w:t>30</w:t>
      </w:r>
      <w:r>
        <w:rPr>
          <w:rFonts w:ascii="宋体" w:hAnsi="宋体" w:cs="宋体" w:eastAsia="宋体" w:hint="default"/>
          <w:w w:val="95"/>
          <w:sz w:val="32"/>
          <w:szCs w:val="32"/>
        </w:rPr>
        <w:t>日</w:t>
      </w:r>
      <w:r>
        <w:rPr>
          <w:rFonts w:ascii="宋体" w:hAnsi="宋体" w:cs="宋体" w:eastAsia="宋体" w:hint="default"/>
          <w:sz w:val="32"/>
          <w:szCs w:val="32"/>
        </w:rPr>
      </w:r>
    </w:p>
    <w:p>
      <w:pPr>
        <w:spacing w:after="0" w:line="348" w:lineRule="auto"/>
        <w:jc w:val="left"/>
        <w:rPr>
          <w:rFonts w:ascii="宋体" w:hAnsi="宋体" w:cs="宋体" w:eastAsia="宋体" w:hint="default"/>
          <w:sz w:val="32"/>
          <w:szCs w:val="32"/>
        </w:rPr>
        <w:sectPr>
          <w:headerReference w:type="default" r:id="rId5"/>
          <w:type w:val="continuous"/>
          <w:pgSz w:w="11900" w:h="16840"/>
          <w:pgMar w:header="877" w:top="1100" w:bottom="280" w:left="1660" w:right="1640"/>
        </w:sectPr>
      </w:pPr>
    </w:p>
    <w:p>
      <w:pPr>
        <w:spacing w:line="240" w:lineRule="auto" w:before="0"/>
        <w:rPr>
          <w:rFonts w:ascii="宋体" w:hAnsi="宋体" w:cs="宋体" w:eastAsia="宋体" w:hint="default"/>
          <w:sz w:val="20"/>
          <w:szCs w:val="20"/>
        </w:rPr>
      </w:pPr>
    </w:p>
    <w:p>
      <w:pPr>
        <w:spacing w:before="106"/>
        <w:ind w:left="3556" w:right="3524" w:firstLine="0"/>
        <w:jc w:val="center"/>
        <w:rPr>
          <w:rFonts w:ascii="宋体" w:hAnsi="宋体" w:cs="宋体" w:eastAsia="宋体" w:hint="default"/>
          <w:sz w:val="44"/>
          <w:szCs w:val="44"/>
        </w:rPr>
      </w:pPr>
      <w:r>
        <w:rPr>
          <w:rFonts w:ascii="宋体" w:hAnsi="宋体" w:cs="宋体" w:eastAsia="宋体" w:hint="default"/>
          <w:sz w:val="44"/>
          <w:szCs w:val="44"/>
        </w:rPr>
        <w:t>重要提示</w:t>
      </w:r>
    </w:p>
    <w:p>
      <w:pPr>
        <w:pStyle w:val="Heading3"/>
        <w:spacing w:line="408" w:lineRule="auto" w:before="218"/>
        <w:ind w:right="98" w:firstLine="559"/>
        <w:jc w:val="both"/>
      </w:pPr>
      <w:r>
        <w:rPr>
          <w:spacing w:val="-3"/>
        </w:rPr>
        <w:t>本公司董事会、监事会及董事、监事、高级管理人员保证本报告所</w:t>
      </w:r>
      <w:r>
        <w:rPr>
          <w:w w:val="100"/>
        </w:rPr>
        <w:t> </w:t>
      </w:r>
      <w:r>
        <w:rPr>
          <w:spacing w:val="-3"/>
        </w:rPr>
        <w:t>载资料不存在任何虚假记载、误导性陈述或者重大遗漏，并对其内容的</w:t>
      </w:r>
      <w:r>
        <w:rPr>
          <w:spacing w:val="-101"/>
        </w:rPr>
        <w:t> </w:t>
      </w:r>
      <w:r>
        <w:rPr>
          <w:spacing w:val="-101"/>
        </w:rPr>
      </w:r>
      <w:r>
        <w:rPr>
          <w:spacing w:val="-3"/>
        </w:rPr>
        <w:t>真实性、准确性和完整性承担个别及连带责任。本年度报告摘要摘自年</w:t>
      </w:r>
      <w:r>
        <w:rPr>
          <w:spacing w:val="-98"/>
        </w:rPr>
        <w:t> </w:t>
      </w:r>
      <w:r>
        <w:rPr>
          <w:spacing w:val="-98"/>
        </w:rPr>
      </w:r>
      <w:r>
        <w:rPr>
          <w:spacing w:val="-3"/>
        </w:rPr>
        <w:t>度报告全文，报告全文同时刊载于证监会指定网站和公司网站。为全面</w:t>
      </w:r>
      <w:r>
        <w:rPr>
          <w:spacing w:val="-100"/>
        </w:rPr>
        <w:t> </w:t>
      </w:r>
      <w:r>
        <w:rPr>
          <w:spacing w:val="-100"/>
        </w:rPr>
      </w:r>
      <w:r>
        <w:rPr>
          <w:spacing w:val="-3"/>
        </w:rPr>
        <w:t>了解本公司生产经营状况和财务成果及公司的未来发展规划，投资者应</w:t>
      </w:r>
      <w:r>
        <w:rPr>
          <w:spacing w:val="-99"/>
        </w:rPr>
        <w:t> </w:t>
      </w:r>
      <w:r>
        <w:rPr>
          <w:spacing w:val="-99"/>
        </w:rPr>
      </w:r>
      <w:r>
        <w:rPr/>
        <w:t>到指定网站仔细阅读年度报告全文。</w:t>
      </w:r>
    </w:p>
    <w:p>
      <w:pPr>
        <w:pStyle w:val="Heading3"/>
        <w:spacing w:line="408" w:lineRule="auto" w:before="61"/>
        <w:ind w:right="98" w:firstLine="559"/>
        <w:jc w:val="both"/>
      </w:pPr>
      <w:r>
        <w:rPr>
          <w:spacing w:val="6"/>
        </w:rPr>
        <w:t>公司年度财务报告已经上海众华沪银会计师事务所审计并被出具</w:t>
      </w:r>
      <w:r>
        <w:rPr>
          <w:w w:val="100"/>
        </w:rPr>
        <w:t> </w:t>
      </w:r>
      <w:r>
        <w:rPr/>
        <w:t>了标准无保留意见的审计报告。</w:t>
      </w:r>
    </w:p>
    <w:p>
      <w:pPr>
        <w:pStyle w:val="Heading3"/>
        <w:spacing w:line="408" w:lineRule="auto" w:before="61"/>
        <w:ind w:left="696" w:right="0"/>
        <w:jc w:val="left"/>
      </w:pPr>
      <w:r>
        <w:rPr/>
        <w:t>所有董事均已出席审议本次年报的董事会会议。</w:t>
      </w:r>
      <w:r>
        <w:rPr>
          <w:w w:val="100"/>
        </w:rPr>
        <w:t> </w:t>
      </w:r>
      <w:r>
        <w:rPr>
          <w:spacing w:val="-3"/>
        </w:rPr>
        <w:t>公司负责人纪立军、主管会计工作负责人郑强及会计机构负责人王</w:t>
      </w:r>
    </w:p>
    <w:p>
      <w:pPr>
        <w:pStyle w:val="Heading3"/>
        <w:spacing w:line="240" w:lineRule="auto" w:before="61"/>
        <w:ind w:right="0"/>
        <w:jc w:val="left"/>
      </w:pPr>
      <w:r>
        <w:rPr/>
        <w:t>迎辉声明：保证年度报告中财务报告的真实、完整。</w:t>
      </w:r>
    </w:p>
    <w:p>
      <w:pPr>
        <w:spacing w:after="0" w:line="240" w:lineRule="auto"/>
        <w:jc w:val="left"/>
        <w:sectPr>
          <w:headerReference w:type="default" r:id="rId7"/>
          <w:footerReference w:type="default" r:id="rId8"/>
          <w:pgSz w:w="11900" w:h="16840"/>
          <w:pgMar w:header="877" w:footer="981" w:top="1060" w:bottom="1180" w:left="1660" w:right="1360"/>
          <w:pgNumType w:start="2"/>
        </w:sectPr>
      </w:pPr>
    </w:p>
    <w:p>
      <w:pPr>
        <w:spacing w:line="240" w:lineRule="auto" w:before="11"/>
        <w:rPr>
          <w:rFonts w:ascii="宋体" w:hAnsi="宋体" w:cs="宋体" w:eastAsia="宋体" w:hint="default"/>
          <w:sz w:val="23"/>
          <w:szCs w:val="23"/>
        </w:rPr>
      </w:pPr>
    </w:p>
    <w:p>
      <w:pPr>
        <w:spacing w:line="539" w:lineRule="exact" w:before="0"/>
        <w:ind w:left="3556" w:right="3524" w:firstLine="0"/>
        <w:jc w:val="center"/>
        <w:rPr>
          <w:rFonts w:ascii="宋体" w:hAnsi="宋体" w:cs="宋体" w:eastAsia="宋体" w:hint="default"/>
          <w:sz w:val="44"/>
          <w:szCs w:val="44"/>
        </w:rPr>
      </w:pPr>
      <w:r>
        <w:rPr>
          <w:rFonts w:ascii="宋体" w:hAnsi="宋体" w:cs="宋体" w:eastAsia="宋体" w:hint="default"/>
          <w:sz w:val="44"/>
          <w:szCs w:val="44"/>
        </w:rPr>
        <w:t>目录</w:t>
      </w:r>
    </w:p>
    <w:sdt>
      <w:sdtPr>
        <w:docPartObj>
          <w:docPartGallery w:val="Table of Contents"/>
          <w:docPartUnique/>
        </w:docPartObj>
      </w:sdtPr>
      <w:sdtEndPr/>
      <w:sdtContent>
        <w:p>
          <w:pPr>
            <w:pStyle w:val="TOC1"/>
            <w:tabs>
              <w:tab w:pos="8766" w:val="right" w:leader="dot"/>
            </w:tabs>
            <w:spacing w:line="240" w:lineRule="auto" w:before="180"/>
            <w:ind w:right="0"/>
            <w:jc w:val="left"/>
          </w:pPr>
          <w:r>
            <w:fldChar w:fldCharType="begin"/>
          </w:r>
          <w:r>
            <w:instrText>TOC \o "1-1" \h \z \u </w:instrText>
          </w:r>
          <w:r>
            <w:fldChar w:fldCharType="separate"/>
          </w:r>
          <w:hyperlink w:history="true" w:anchor="_TOC_250009">
            <w:r>
              <w:rPr/>
              <w:t>第一节</w:t>
            </w:r>
            <w:r>
              <w:rPr>
                <w:spacing w:val="68"/>
              </w:rPr>
              <w:t> </w:t>
            </w:r>
            <w:r>
              <w:rPr/>
              <w:t>公司情况简介</w:t>
            </w:r>
            <w:r>
              <w:rPr>
                <w:rFonts w:ascii="Times New Roman" w:hAnsi="Times New Roman" w:cs="Times New Roman" w:eastAsia="Times New Roman" w:hint="default"/>
              </w:rPr>
              <w:tab/>
            </w:r>
            <w:r>
              <w:rPr/>
              <w:t>4</w:t>
            </w:r>
          </w:hyperlink>
        </w:p>
        <w:p>
          <w:pPr>
            <w:pStyle w:val="TOC1"/>
            <w:tabs>
              <w:tab w:pos="8766" w:val="right" w:leader="dot"/>
            </w:tabs>
            <w:spacing w:line="240" w:lineRule="auto"/>
            <w:ind w:right="0"/>
            <w:jc w:val="left"/>
          </w:pPr>
          <w:hyperlink w:history="true" w:anchor="_TOC_250008">
            <w:r>
              <w:rPr/>
              <w:t>第二节</w:t>
            </w:r>
            <w:r>
              <w:rPr>
                <w:spacing w:val="68"/>
              </w:rPr>
              <w:t> </w:t>
            </w:r>
            <w:r>
              <w:rPr/>
              <w:t>会计数据和业务数据摘要</w:t>
            </w:r>
            <w:r>
              <w:rPr>
                <w:rFonts w:ascii="Times New Roman" w:hAnsi="Times New Roman" w:cs="Times New Roman" w:eastAsia="Times New Roman" w:hint="default"/>
              </w:rPr>
              <w:tab/>
            </w:r>
            <w:r>
              <w:rPr/>
              <w:t>5</w:t>
            </w:r>
          </w:hyperlink>
        </w:p>
        <w:p>
          <w:pPr>
            <w:pStyle w:val="TOC1"/>
            <w:tabs>
              <w:tab w:pos="8766" w:val="right" w:leader="dot"/>
            </w:tabs>
            <w:spacing w:line="240" w:lineRule="auto"/>
            <w:ind w:right="0"/>
            <w:jc w:val="left"/>
          </w:pPr>
          <w:hyperlink w:history="true" w:anchor="_TOC_250007">
            <w:r>
              <w:rPr/>
              <w:t>第三节</w:t>
            </w:r>
            <w:r>
              <w:rPr>
                <w:spacing w:val="68"/>
              </w:rPr>
              <w:t> </w:t>
            </w:r>
            <w:r>
              <w:rPr/>
              <w:t>董事会报告</w:t>
            </w:r>
            <w:r>
              <w:rPr>
                <w:rFonts w:ascii="Times New Roman" w:hAnsi="Times New Roman" w:cs="Times New Roman" w:eastAsia="Times New Roman" w:hint="default"/>
              </w:rPr>
              <w:tab/>
            </w:r>
            <w:r>
              <w:rPr/>
              <w:t>7</w:t>
            </w:r>
          </w:hyperlink>
        </w:p>
        <w:p>
          <w:pPr>
            <w:pStyle w:val="TOC1"/>
            <w:tabs>
              <w:tab w:pos="8766" w:val="right" w:leader="dot"/>
            </w:tabs>
            <w:spacing w:line="240" w:lineRule="auto"/>
            <w:ind w:right="0"/>
            <w:jc w:val="left"/>
          </w:pPr>
          <w:hyperlink w:history="true" w:anchor="_TOC_250006">
            <w:r>
              <w:rPr/>
              <w:t>第四节</w:t>
            </w:r>
            <w:r>
              <w:rPr>
                <w:spacing w:val="68"/>
              </w:rPr>
              <w:t> </w:t>
            </w:r>
            <w:r>
              <w:rPr/>
              <w:t>重要事项</w:t>
            </w:r>
            <w:r>
              <w:rPr>
                <w:rFonts w:ascii="Times New Roman" w:hAnsi="Times New Roman" w:cs="Times New Roman" w:eastAsia="Times New Roman" w:hint="default"/>
              </w:rPr>
              <w:tab/>
            </w:r>
            <w:r>
              <w:rPr/>
              <w:t>34</w:t>
            </w:r>
          </w:hyperlink>
        </w:p>
        <w:p>
          <w:pPr>
            <w:pStyle w:val="TOC1"/>
            <w:tabs>
              <w:tab w:pos="8766" w:val="right" w:leader="dot"/>
            </w:tabs>
            <w:spacing w:line="240" w:lineRule="auto"/>
            <w:ind w:right="0"/>
            <w:jc w:val="left"/>
          </w:pPr>
          <w:hyperlink w:history="true" w:anchor="_TOC_250005">
            <w:r>
              <w:rPr/>
              <w:t>第五节</w:t>
            </w:r>
            <w:r>
              <w:rPr>
                <w:spacing w:val="68"/>
              </w:rPr>
              <w:t> </w:t>
            </w:r>
            <w:r>
              <w:rPr/>
              <w:t>股本变动及股东情况</w:t>
            </w:r>
            <w:r>
              <w:rPr>
                <w:rFonts w:ascii="Times New Roman" w:hAnsi="Times New Roman" w:cs="Times New Roman" w:eastAsia="Times New Roman" w:hint="default"/>
              </w:rPr>
              <w:tab/>
            </w:r>
            <w:r>
              <w:rPr/>
              <w:t>40</w:t>
            </w:r>
          </w:hyperlink>
        </w:p>
        <w:p>
          <w:pPr>
            <w:pStyle w:val="TOC1"/>
            <w:tabs>
              <w:tab w:pos="8766" w:val="right" w:leader="dot"/>
            </w:tabs>
            <w:spacing w:line="240" w:lineRule="auto"/>
            <w:ind w:right="0"/>
            <w:jc w:val="left"/>
          </w:pPr>
          <w:hyperlink w:history="true" w:anchor="_TOC_250004">
            <w:r>
              <w:rPr/>
              <w:t>第六节</w:t>
            </w:r>
            <w:r>
              <w:rPr>
                <w:spacing w:val="67"/>
              </w:rPr>
              <w:t> </w:t>
            </w:r>
            <w:r>
              <w:rPr/>
              <w:t>董事、监事和高级管理人员和员工情况</w:t>
            </w:r>
            <w:r>
              <w:rPr>
                <w:rFonts w:ascii="Times New Roman" w:hAnsi="Times New Roman" w:cs="Times New Roman" w:eastAsia="Times New Roman" w:hint="default"/>
              </w:rPr>
              <w:tab/>
            </w:r>
            <w:r>
              <w:rPr/>
              <w:t>44</w:t>
            </w:r>
          </w:hyperlink>
        </w:p>
        <w:p>
          <w:pPr>
            <w:pStyle w:val="TOC1"/>
            <w:tabs>
              <w:tab w:pos="8766" w:val="right" w:leader="dot"/>
            </w:tabs>
            <w:spacing w:line="240" w:lineRule="auto"/>
            <w:ind w:right="0"/>
            <w:jc w:val="left"/>
          </w:pPr>
          <w:hyperlink w:history="true" w:anchor="_TOC_250003">
            <w:r>
              <w:rPr/>
              <w:t>第七节</w:t>
            </w:r>
            <w:r>
              <w:rPr>
                <w:spacing w:val="68"/>
              </w:rPr>
              <w:t> </w:t>
            </w:r>
            <w:r>
              <w:rPr/>
              <w:t>公司治理结构</w:t>
            </w:r>
            <w:r>
              <w:rPr>
                <w:rFonts w:ascii="Times New Roman" w:hAnsi="Times New Roman" w:cs="Times New Roman" w:eastAsia="Times New Roman" w:hint="default"/>
              </w:rPr>
              <w:tab/>
            </w:r>
            <w:r>
              <w:rPr/>
              <w:t>49</w:t>
            </w:r>
          </w:hyperlink>
        </w:p>
        <w:p>
          <w:pPr>
            <w:pStyle w:val="TOC1"/>
            <w:tabs>
              <w:tab w:pos="8766" w:val="right" w:leader="dot"/>
            </w:tabs>
            <w:spacing w:line="240" w:lineRule="auto"/>
            <w:ind w:right="0"/>
            <w:jc w:val="left"/>
          </w:pPr>
          <w:hyperlink w:history="true" w:anchor="_TOC_250002">
            <w:r>
              <w:rPr/>
              <w:t>第八节</w:t>
            </w:r>
            <w:r>
              <w:rPr>
                <w:spacing w:val="68"/>
              </w:rPr>
              <w:t> </w:t>
            </w:r>
            <w:r>
              <w:rPr/>
              <w:t>监事会报告</w:t>
            </w:r>
            <w:r>
              <w:rPr>
                <w:rFonts w:ascii="Times New Roman" w:hAnsi="Times New Roman" w:cs="Times New Roman" w:eastAsia="Times New Roman" w:hint="default"/>
              </w:rPr>
              <w:tab/>
            </w:r>
            <w:r>
              <w:rPr/>
              <w:t>59</w:t>
            </w:r>
          </w:hyperlink>
        </w:p>
        <w:p>
          <w:pPr>
            <w:pStyle w:val="TOC1"/>
            <w:tabs>
              <w:tab w:pos="8766" w:val="right" w:leader="dot"/>
            </w:tabs>
            <w:spacing w:line="240" w:lineRule="auto"/>
            <w:ind w:right="0"/>
            <w:jc w:val="left"/>
          </w:pPr>
          <w:hyperlink w:history="true" w:anchor="_TOC_250001">
            <w:r>
              <w:rPr/>
              <w:t>第九节</w:t>
            </w:r>
            <w:r>
              <w:rPr>
                <w:spacing w:val="68"/>
              </w:rPr>
              <w:t> </w:t>
            </w:r>
            <w:r>
              <w:rPr/>
              <w:t>财务报告</w:t>
            </w:r>
            <w:r>
              <w:rPr>
                <w:rFonts w:ascii="Times New Roman" w:hAnsi="Times New Roman" w:cs="Times New Roman" w:eastAsia="Times New Roman" w:hint="default"/>
              </w:rPr>
              <w:tab/>
            </w:r>
            <w:r>
              <w:rPr/>
              <w:t>62</w:t>
            </w:r>
          </w:hyperlink>
        </w:p>
        <w:p>
          <w:pPr>
            <w:pStyle w:val="TOC1"/>
            <w:tabs>
              <w:tab w:pos="8766" w:val="right" w:leader="dot"/>
            </w:tabs>
            <w:spacing w:line="240" w:lineRule="auto"/>
            <w:ind w:right="0"/>
            <w:jc w:val="left"/>
          </w:pPr>
          <w:hyperlink w:history="true" w:anchor="_TOC_250000">
            <w:r>
              <w:rPr/>
              <w:t>第十节</w:t>
            </w:r>
            <w:r>
              <w:rPr>
                <w:spacing w:val="-1"/>
              </w:rPr>
              <w:t> </w:t>
            </w:r>
            <w:r>
              <w:rPr/>
              <w:t>备查文件目录</w:t>
            </w:r>
            <w:r>
              <w:rPr>
                <w:rFonts w:ascii="Times New Roman" w:hAnsi="Times New Roman" w:cs="Times New Roman" w:eastAsia="Times New Roman" w:hint="default"/>
              </w:rPr>
              <w:tab/>
            </w:r>
            <w:r>
              <w:rPr/>
              <w:t>136</w:t>
            </w:r>
          </w:hyperlink>
        </w:p>
        <w:p>
          <w:pPr/>
          <w:r>
            <w:fldChar w:fldCharType="end"/>
          </w:r>
        </w:p>
      </w:sdtContent>
    </w:sdt>
    <w:p>
      <w:pPr>
        <w:spacing w:after="0"/>
        <w:sectPr>
          <w:pgSz w:w="11900" w:h="16840"/>
          <w:pgMar w:header="877" w:footer="981" w:top="1100" w:bottom="1180" w:left="1660" w:right="1360"/>
        </w:sectPr>
      </w:pPr>
    </w:p>
    <w:p>
      <w:pPr>
        <w:pStyle w:val="Heading1"/>
        <w:tabs>
          <w:tab w:pos="4651" w:val="left" w:leader="none"/>
        </w:tabs>
        <w:spacing w:line="240" w:lineRule="auto" w:before="394"/>
        <w:ind w:left="3211" w:right="2402"/>
        <w:jc w:val="left"/>
      </w:pPr>
      <w:r>
        <w:rPr/>
        <w:pict>
          <v:group style="position:absolute;margin-left:88.559998pt;margin-top:2.202733pt;width:400.2pt;height:.1pt;mso-position-horizontal-relative:page;mso-position-vertical-relative:paragraph;z-index:0" coordorigin="1771,44" coordsize="8004,2">
            <v:shape style="position:absolute;left:1771;top:44;width:8004;height:2" coordorigin="1771,44" coordsize="8004,0" path="m1771,44l9775,44e" filled="false" stroked="true" strokeweight=".72pt" strokecolor="#000000">
              <v:path arrowok="t"/>
            </v:shape>
            <w10:wrap type="none"/>
          </v:group>
        </w:pict>
      </w:r>
      <w:bookmarkStart w:name="_TOC_250009" w:id="1"/>
      <w:r>
        <w:rPr>
          <w:w w:val="95"/>
        </w:rPr>
        <w:t>第一节</w:t>
        <w:tab/>
      </w:r>
      <w:bookmarkEnd w:id="1"/>
      <w:r>
        <w:rPr/>
        <w:t>公司情况简介</w:t>
      </w:r>
    </w:p>
    <w:p>
      <w:pPr>
        <w:pStyle w:val="Heading3"/>
        <w:spacing w:line="240" w:lineRule="auto" w:before="217"/>
        <w:ind w:left="859" w:right="2402"/>
        <w:jc w:val="left"/>
      </w:pPr>
      <w:r>
        <w:rPr/>
        <w:t>一、基本情况简介</w:t>
      </w:r>
    </w:p>
    <w:p>
      <w:pPr>
        <w:pStyle w:val="BodyText"/>
        <w:spacing w:line="379" w:lineRule="auto" w:before="227"/>
        <w:ind w:left="1299" w:right="3728"/>
        <w:jc w:val="left"/>
      </w:pPr>
      <w:r>
        <w:rPr/>
        <w:t>公司名称：上海安诺其纺织化工股份有限公司</w:t>
      </w:r>
      <w:r>
        <w:rPr>
          <w:w w:val="100"/>
        </w:rPr>
        <w:t> </w:t>
      </w:r>
      <w:r>
        <w:rPr/>
        <w:t>英文名称：</w:t>
      </w:r>
      <w:r>
        <w:rPr>
          <w:rFonts w:ascii="Arial" w:hAnsi="Arial" w:cs="Arial" w:eastAsia="Arial" w:hint="default"/>
        </w:rPr>
        <w:t>Shanghai ANOKY </w:t>
      </w:r>
      <w:r>
        <w:rPr>
          <w:rFonts w:ascii="Arial" w:hAnsi="Arial" w:cs="Arial" w:eastAsia="Arial" w:hint="default"/>
          <w:spacing w:val="-4"/>
        </w:rPr>
        <w:t>Textile </w:t>
      </w:r>
      <w:r>
        <w:rPr>
          <w:rFonts w:ascii="Arial" w:hAnsi="Arial" w:cs="Arial" w:eastAsia="Arial" w:hint="default"/>
        </w:rPr>
        <w:t>Chem Co.,</w:t>
      </w:r>
      <w:r>
        <w:rPr>
          <w:rFonts w:ascii="Arial" w:hAnsi="Arial" w:cs="Arial" w:eastAsia="Arial" w:hint="default"/>
          <w:spacing w:val="-25"/>
        </w:rPr>
        <w:t> </w:t>
      </w:r>
      <w:r>
        <w:rPr>
          <w:rFonts w:ascii="Arial" w:hAnsi="Arial" w:cs="Arial" w:eastAsia="Arial" w:hint="default"/>
        </w:rPr>
        <w:t>Ltd</w:t>
      </w:r>
      <w:r>
        <w:rPr>
          <w:rFonts w:ascii="Arial" w:hAnsi="Arial" w:cs="Arial" w:eastAsia="Arial" w:hint="default"/>
          <w:w w:val="100"/>
        </w:rPr>
        <w:t> </w:t>
      </w:r>
      <w:r>
        <w:rPr/>
        <w:t>公司简称：安诺其</w:t>
      </w:r>
    </w:p>
    <w:p>
      <w:pPr>
        <w:pStyle w:val="Heading3"/>
        <w:spacing w:line="408" w:lineRule="auto" w:before="83"/>
        <w:ind w:left="859" w:right="2402"/>
        <w:jc w:val="left"/>
      </w:pPr>
      <w:r>
        <w:rPr/>
        <w:pict>
          <v:shape style="position:absolute;margin-left:52.319996pt;margin-top:62.260941pt;width:491.55pt;height:121.1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17"/>
                    <w:gridCol w:w="7499"/>
                  </w:tblGrid>
                  <w:tr>
                    <w:trPr>
                      <w:trHeight w:val="401"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74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董事会秘书</w:t>
                        </w:r>
                      </w:p>
                    </w:tc>
                  </w:tr>
                  <w:tr>
                    <w:trPr>
                      <w:trHeight w:val="403"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7499"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石磊</w:t>
                        </w:r>
                      </w:p>
                    </w:tc>
                  </w:tr>
                  <w:tr>
                    <w:trPr>
                      <w:trHeight w:val="401"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联系地址</w:t>
                        </w:r>
                      </w:p>
                    </w:tc>
                    <w:tc>
                      <w:tcPr>
                        <w:tcW w:w="7499"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上海市青浦工业园区崧华路</w:t>
                        </w:r>
                        <w:r>
                          <w:rPr>
                            <w:rFonts w:ascii="Arial" w:hAnsi="Arial" w:cs="Arial" w:eastAsia="Arial" w:hint="default"/>
                            <w:sz w:val="18"/>
                            <w:szCs w:val="18"/>
                          </w:rPr>
                          <w:t>881</w:t>
                        </w:r>
                        <w:r>
                          <w:rPr>
                            <w:rFonts w:ascii="宋体" w:hAnsi="宋体" w:cs="宋体" w:eastAsia="宋体" w:hint="default"/>
                            <w:sz w:val="18"/>
                            <w:szCs w:val="18"/>
                          </w:rPr>
                          <w:t>号</w:t>
                        </w:r>
                      </w:p>
                    </w:tc>
                  </w:tr>
                  <w:tr>
                    <w:trPr>
                      <w:trHeight w:val="403"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电话</w:t>
                        </w:r>
                      </w:p>
                    </w:tc>
                    <w:tc>
                      <w:tcPr>
                        <w:tcW w:w="7499"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90"/>
                          <w:ind w:left="1" w:right="0"/>
                          <w:jc w:val="center"/>
                          <w:rPr>
                            <w:rFonts w:ascii="Arial" w:hAnsi="Arial" w:cs="Arial" w:eastAsia="Arial" w:hint="default"/>
                            <w:sz w:val="18"/>
                            <w:szCs w:val="18"/>
                          </w:rPr>
                        </w:pPr>
                        <w:r>
                          <w:rPr>
                            <w:rFonts w:ascii="Arial"/>
                            <w:sz w:val="18"/>
                          </w:rPr>
                          <w:t>021-59867500</w:t>
                        </w:r>
                      </w:p>
                    </w:tc>
                  </w:tr>
                  <w:tr>
                    <w:trPr>
                      <w:trHeight w:val="401"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传真</w:t>
                        </w:r>
                      </w:p>
                    </w:tc>
                    <w:tc>
                      <w:tcPr>
                        <w:tcW w:w="7499"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90"/>
                          <w:ind w:left="1" w:right="0"/>
                          <w:jc w:val="center"/>
                          <w:rPr>
                            <w:rFonts w:ascii="Arial" w:hAnsi="Arial" w:cs="Arial" w:eastAsia="Arial" w:hint="default"/>
                            <w:sz w:val="18"/>
                            <w:szCs w:val="18"/>
                          </w:rPr>
                        </w:pPr>
                        <w:r>
                          <w:rPr>
                            <w:rFonts w:ascii="Arial"/>
                            <w:sz w:val="18"/>
                          </w:rPr>
                          <w:t>021-59867578</w:t>
                        </w:r>
                      </w:p>
                    </w:tc>
                  </w:tr>
                  <w:tr>
                    <w:trPr>
                      <w:trHeight w:val="403"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7499"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90"/>
                          <w:ind w:left="1" w:right="0"/>
                          <w:jc w:val="center"/>
                          <w:rPr>
                            <w:rFonts w:ascii="Arial" w:hAnsi="Arial" w:cs="Arial" w:eastAsia="Arial" w:hint="default"/>
                            <w:sz w:val="18"/>
                            <w:szCs w:val="18"/>
                          </w:rPr>
                        </w:pPr>
                        <w:hyperlink r:id="rId10">
                          <w:r>
                            <w:rPr>
                              <w:rFonts w:ascii="Arial"/>
                              <w:sz w:val="18"/>
                            </w:rPr>
                            <w:t>investor@anoky.com.cn</w:t>
                          </w:r>
                        </w:hyperlink>
                      </w:p>
                    </w:tc>
                  </w:tr>
                </w:tbl>
                <w:p>
                  <w:pPr/>
                </w:p>
              </w:txbxContent>
            </v:textbox>
            <w10:wrap type="none"/>
          </v:shape>
        </w:pict>
      </w:r>
      <w:r>
        <w:rPr/>
        <w:t>二、公司法定代表人：纪立军</w:t>
      </w:r>
      <w:r>
        <w:rPr>
          <w:spacing w:val="-128"/>
        </w:rPr>
        <w:t> </w:t>
      </w:r>
      <w:r>
        <w:rPr>
          <w:spacing w:val="-128"/>
        </w:rPr>
      </w:r>
      <w:r>
        <w:rPr/>
        <w:t>三、董事会秘书及证券事务代表情况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spacing w:before="14"/>
        <w:ind w:left="859" w:right="0" w:firstLine="0"/>
        <w:jc w:val="left"/>
        <w:rPr>
          <w:rFonts w:ascii="宋体" w:hAnsi="宋体" w:cs="宋体" w:eastAsia="宋体" w:hint="default"/>
          <w:sz w:val="28"/>
          <w:szCs w:val="28"/>
        </w:rPr>
      </w:pPr>
      <w:r>
        <w:rPr>
          <w:rFonts w:ascii="宋体" w:hAnsi="宋体" w:cs="宋体" w:eastAsia="宋体" w:hint="default"/>
          <w:sz w:val="28"/>
          <w:szCs w:val="28"/>
        </w:rPr>
        <w:t>四、公司注册地址：上海市青浦区练塘镇朱枫公路</w:t>
      </w:r>
      <w:r>
        <w:rPr>
          <w:rFonts w:ascii="宋体" w:hAnsi="宋体" w:cs="宋体" w:eastAsia="宋体" w:hint="default"/>
          <w:spacing w:val="-64"/>
          <w:sz w:val="28"/>
          <w:szCs w:val="28"/>
        </w:rPr>
        <w:t> </w:t>
      </w:r>
      <w:r>
        <w:rPr>
          <w:rFonts w:ascii="Arial" w:hAnsi="Arial" w:cs="Arial" w:eastAsia="Arial" w:hint="default"/>
          <w:b/>
          <w:bCs/>
          <w:sz w:val="28"/>
          <w:szCs w:val="28"/>
        </w:rPr>
        <w:t>6188</w:t>
      </w:r>
      <w:r>
        <w:rPr>
          <w:rFonts w:ascii="Arial" w:hAnsi="Arial" w:cs="Arial" w:eastAsia="Arial" w:hint="default"/>
          <w:b/>
          <w:bCs/>
          <w:spacing w:val="-7"/>
          <w:sz w:val="28"/>
          <w:szCs w:val="28"/>
        </w:rPr>
        <w:t> </w:t>
      </w:r>
      <w:r>
        <w:rPr>
          <w:rFonts w:ascii="宋体" w:hAnsi="宋体" w:cs="宋体" w:eastAsia="宋体" w:hint="default"/>
          <w:sz w:val="28"/>
          <w:szCs w:val="28"/>
        </w:rPr>
        <w:t>号</w:t>
      </w:r>
      <w:r>
        <w:rPr>
          <w:rFonts w:ascii="宋体" w:hAnsi="宋体" w:cs="宋体" w:eastAsia="宋体" w:hint="default"/>
          <w:spacing w:val="-64"/>
          <w:sz w:val="28"/>
          <w:szCs w:val="28"/>
        </w:rPr>
        <w:t> </w:t>
      </w:r>
      <w:r>
        <w:rPr>
          <w:rFonts w:ascii="Arial" w:hAnsi="Arial" w:cs="Arial" w:eastAsia="Arial" w:hint="default"/>
          <w:b/>
          <w:bCs/>
          <w:sz w:val="28"/>
          <w:szCs w:val="28"/>
        </w:rPr>
        <w:t>2622</w:t>
      </w:r>
      <w:r>
        <w:rPr>
          <w:rFonts w:ascii="Arial" w:hAnsi="Arial" w:cs="Arial" w:eastAsia="Arial" w:hint="default"/>
          <w:b/>
          <w:bCs/>
          <w:spacing w:val="-7"/>
          <w:sz w:val="28"/>
          <w:szCs w:val="28"/>
        </w:rPr>
        <w:t> </w:t>
      </w:r>
      <w:r>
        <w:rPr>
          <w:rFonts w:ascii="宋体" w:hAnsi="宋体" w:cs="宋体" w:eastAsia="宋体" w:hint="default"/>
          <w:sz w:val="28"/>
          <w:szCs w:val="28"/>
        </w:rPr>
        <w:t>室</w:t>
      </w:r>
    </w:p>
    <w:p>
      <w:pPr>
        <w:pStyle w:val="Heading3"/>
        <w:spacing w:line="388" w:lineRule="auto" w:before="237"/>
        <w:ind w:left="1419" w:right="2402"/>
        <w:jc w:val="left"/>
        <w:rPr>
          <w:rFonts w:ascii="Arial" w:hAnsi="Arial" w:cs="Arial" w:eastAsia="Arial" w:hint="default"/>
        </w:rPr>
      </w:pPr>
      <w:r>
        <w:rPr/>
        <w:t>公司办公地址：上海市青浦工业园区崧华路</w:t>
      </w:r>
      <w:r>
        <w:rPr>
          <w:spacing w:val="-74"/>
        </w:rPr>
        <w:t> </w:t>
      </w:r>
      <w:r>
        <w:rPr>
          <w:rFonts w:ascii="Arial" w:hAnsi="Arial" w:cs="Arial" w:eastAsia="Arial" w:hint="default"/>
        </w:rPr>
        <w:t>881</w:t>
      </w:r>
      <w:r>
        <w:rPr>
          <w:rFonts w:ascii="Arial" w:hAnsi="Arial" w:cs="Arial" w:eastAsia="Arial" w:hint="default"/>
          <w:spacing w:val="-12"/>
        </w:rPr>
        <w:t> </w:t>
      </w:r>
      <w:r>
        <w:rPr/>
        <w:t>号</w:t>
      </w:r>
      <w:r>
        <w:rPr>
          <w:w w:val="100"/>
        </w:rPr>
        <w:t> </w:t>
      </w:r>
      <w:r>
        <w:rPr/>
        <w:t>邮政编码：</w:t>
      </w:r>
      <w:r>
        <w:rPr>
          <w:rFonts w:ascii="Arial" w:hAnsi="Arial" w:cs="Arial" w:eastAsia="Arial" w:hint="default"/>
        </w:rPr>
        <w:t>201703</w:t>
      </w:r>
    </w:p>
    <w:p>
      <w:pPr>
        <w:pStyle w:val="Heading3"/>
        <w:spacing w:line="388" w:lineRule="auto" w:before="43"/>
        <w:ind w:left="1419" w:right="2402"/>
        <w:jc w:val="left"/>
        <w:rPr>
          <w:rFonts w:ascii="Arial" w:hAnsi="Arial" w:cs="Arial" w:eastAsia="Arial" w:hint="default"/>
        </w:rPr>
      </w:pPr>
      <w:r>
        <w:rPr>
          <w:spacing w:val="-3"/>
        </w:rPr>
        <w:t>公司网址：</w:t>
      </w:r>
      <w:hyperlink r:id="rId11">
        <w:r>
          <w:rPr>
            <w:rFonts w:ascii="Arial" w:hAnsi="Arial" w:cs="Arial" w:eastAsia="Arial" w:hint="default"/>
            <w:spacing w:val="-3"/>
          </w:rPr>
          <w:t>www.anoky.com.cn</w:t>
        </w:r>
      </w:hyperlink>
      <w:r>
        <w:rPr>
          <w:rFonts w:ascii="Arial" w:hAnsi="Arial" w:cs="Arial" w:eastAsia="Arial" w:hint="default"/>
          <w:spacing w:val="-60"/>
        </w:rPr>
        <w:t> </w:t>
      </w:r>
      <w:r>
        <w:rPr>
          <w:rFonts w:ascii="Arial" w:hAnsi="Arial" w:cs="Arial" w:eastAsia="Arial" w:hint="default"/>
          <w:spacing w:val="-60"/>
        </w:rPr>
      </w:r>
      <w:r>
        <w:rPr>
          <w:spacing w:val="-2"/>
        </w:rPr>
        <w:t>投资者专用邮箱：</w:t>
      </w:r>
      <w:hyperlink r:id="rId10">
        <w:r>
          <w:rPr>
            <w:rFonts w:ascii="Arial" w:hAnsi="Arial" w:cs="Arial" w:eastAsia="Arial" w:hint="default"/>
            <w:spacing w:val="-2"/>
          </w:rPr>
        </w:r>
        <w:r>
          <w:rPr>
            <w:rFonts w:ascii="Arial" w:hAnsi="Arial" w:cs="Arial" w:eastAsia="Arial" w:hint="default"/>
            <w:spacing w:val="-2"/>
            <w:u w:val="thick" w:color="000000"/>
          </w:rPr>
          <w:t>investor@anoky.com.cn</w:t>
        </w:r>
        <w:r>
          <w:rPr>
            <w:rFonts w:ascii="Arial" w:hAnsi="Arial" w:cs="Arial" w:eastAsia="Arial" w:hint="default"/>
            <w:spacing w:val="-2"/>
          </w:rPr>
        </w:r>
      </w:hyperlink>
    </w:p>
    <w:p>
      <w:pPr>
        <w:pStyle w:val="Heading3"/>
        <w:spacing w:line="408" w:lineRule="auto" w:before="43"/>
        <w:ind w:left="1419" w:right="0" w:hanging="560"/>
        <w:jc w:val="left"/>
      </w:pPr>
      <w:r>
        <w:rPr>
          <w:spacing w:val="-8"/>
          <w:w w:val="100"/>
        </w:rPr>
        <w:t>五、指定信息披露报纸：《证券时报》</w:t>
      </w:r>
      <w:r>
        <w:rPr>
          <w:w w:val="100"/>
        </w:rPr>
        <w:t> </w:t>
      </w:r>
      <w:r>
        <w:rPr>
          <w:spacing w:val="-2"/>
        </w:rPr>
        <w:t>登载年度报告的网站：中国证监会指定创业板信息披露网站</w:t>
      </w:r>
      <w:r>
        <w:rPr>
          <w:w w:val="100"/>
        </w:rPr>
        <w:t> </w:t>
      </w:r>
      <w:r>
        <w:rPr/>
        <w:t>年报备置地点：公司董事会办公室</w:t>
      </w:r>
    </w:p>
    <w:p>
      <w:pPr>
        <w:pStyle w:val="Heading3"/>
        <w:spacing w:line="408" w:lineRule="auto" w:before="61"/>
        <w:ind w:left="1419" w:right="2402" w:hanging="560"/>
        <w:jc w:val="left"/>
      </w:pPr>
      <w:r>
        <w:rPr/>
        <w:t>六、公司股票上市交易所：深圳证券交易所</w:t>
      </w:r>
      <w:r>
        <w:rPr>
          <w:spacing w:val="-124"/>
        </w:rPr>
        <w:t> </w:t>
      </w:r>
      <w:r>
        <w:rPr>
          <w:spacing w:val="-124"/>
        </w:rPr>
      </w:r>
      <w:r>
        <w:rPr/>
        <w:t>股票简称：安诺其</w:t>
      </w:r>
    </w:p>
    <w:p>
      <w:pPr>
        <w:pStyle w:val="Heading3"/>
        <w:spacing w:line="240" w:lineRule="auto" w:before="61"/>
        <w:ind w:left="1419" w:right="2402"/>
        <w:jc w:val="left"/>
        <w:rPr>
          <w:rFonts w:ascii="Arial" w:hAnsi="Arial" w:cs="Arial" w:eastAsia="Arial" w:hint="default"/>
        </w:rPr>
      </w:pPr>
      <w:r>
        <w:rPr/>
        <w:t>股票代码：</w:t>
      </w:r>
      <w:r>
        <w:rPr>
          <w:rFonts w:ascii="Arial" w:hAnsi="Arial" w:cs="Arial" w:eastAsia="Arial" w:hint="default"/>
        </w:rPr>
        <w:t>300067</w:t>
      </w:r>
    </w:p>
    <w:p>
      <w:pPr>
        <w:spacing w:after="0" w:line="240" w:lineRule="auto"/>
        <w:jc w:val="left"/>
        <w:rPr>
          <w:rFonts w:ascii="Arial" w:hAnsi="Arial" w:cs="Arial" w:eastAsia="Arial" w:hint="default"/>
        </w:rPr>
        <w:sectPr>
          <w:footerReference w:type="default" r:id="rId9"/>
          <w:pgSz w:w="11900" w:h="16840"/>
          <w:pgMar w:footer="981" w:header="877" w:top="1060" w:bottom="1180" w:left="940" w:right="920"/>
          <w:pgNumType w:start="4"/>
        </w:sectPr>
      </w:pPr>
    </w:p>
    <w:p>
      <w:pPr>
        <w:spacing w:line="240" w:lineRule="auto" w:before="0"/>
        <w:rPr>
          <w:rFonts w:ascii="Arial" w:hAnsi="Arial" w:cs="Arial" w:eastAsia="Arial" w:hint="default"/>
          <w:sz w:val="20"/>
          <w:szCs w:val="20"/>
        </w:rPr>
      </w:pPr>
    </w:p>
    <w:p>
      <w:pPr>
        <w:pStyle w:val="Heading1"/>
        <w:tabs>
          <w:tab w:pos="3251" w:val="left" w:leader="none"/>
        </w:tabs>
        <w:spacing w:line="240" w:lineRule="auto" w:before="164"/>
        <w:ind w:left="1811" w:right="0"/>
        <w:jc w:val="left"/>
      </w:pPr>
      <w:bookmarkStart w:name="_TOC_250008" w:id="2"/>
      <w:r>
        <w:rPr>
          <w:w w:val="95"/>
        </w:rPr>
        <w:t>第二节</w:t>
        <w:tab/>
      </w:r>
      <w:bookmarkEnd w:id="2"/>
      <w:r>
        <w:rPr/>
        <w:t>会计数据和业务数据摘要</w:t>
      </w:r>
    </w:p>
    <w:p>
      <w:pPr>
        <w:pStyle w:val="Heading3"/>
        <w:spacing w:line="240" w:lineRule="auto" w:before="217"/>
        <w:ind w:left="359" w:right="0"/>
        <w:jc w:val="left"/>
      </w:pPr>
      <w:r>
        <w:rPr/>
        <w:t>一、主要会计数据</w:t>
      </w:r>
    </w:p>
    <w:p>
      <w:pPr>
        <w:spacing w:line="240" w:lineRule="auto" w:before="4"/>
        <w:rPr>
          <w:rFonts w:ascii="宋体" w:hAnsi="宋体" w:cs="宋体" w:eastAsia="宋体" w:hint="default"/>
          <w:sz w:val="15"/>
          <w:szCs w:val="15"/>
        </w:rPr>
      </w:pPr>
    </w:p>
    <w:p>
      <w:pPr>
        <w:spacing w:before="36"/>
        <w:ind w:left="0" w:right="371"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
        <w:rPr>
          <w:rFonts w:ascii="宋体" w:hAnsi="宋体" w:cs="宋体" w:eastAsia="宋体" w:hint="default"/>
          <w:sz w:val="11"/>
          <w:szCs w:val="11"/>
        </w:rPr>
      </w:pPr>
    </w:p>
    <w:tbl>
      <w:tblPr>
        <w:tblW w:w="0" w:type="auto"/>
        <w:jc w:val="left"/>
        <w:tblInd w:w="140" w:type="dxa"/>
        <w:tblLayout w:type="fixed"/>
        <w:tblCellMar>
          <w:top w:w="0" w:type="dxa"/>
          <w:left w:w="0" w:type="dxa"/>
          <w:bottom w:w="0" w:type="dxa"/>
          <w:right w:w="0" w:type="dxa"/>
        </w:tblCellMar>
        <w:tblLook w:val="01E0"/>
      </w:tblPr>
      <w:tblGrid>
        <w:gridCol w:w="1813"/>
        <w:gridCol w:w="1735"/>
        <w:gridCol w:w="1726"/>
        <w:gridCol w:w="1728"/>
        <w:gridCol w:w="1721"/>
      </w:tblGrid>
      <w:tr>
        <w:trPr>
          <w:trHeight w:val="325" w:hRule="exact"/>
        </w:trPr>
        <w:tc>
          <w:tcPr>
            <w:tcW w:w="1813" w:type="dxa"/>
            <w:tcBorders>
              <w:top w:val="single" w:sz="12" w:space="0" w:color="000000"/>
              <w:left w:val="single" w:sz="12" w:space="0" w:color="000000"/>
              <w:bottom w:val="single" w:sz="12" w:space="0" w:color="000000"/>
              <w:right w:val="single" w:sz="12" w:space="0" w:color="000000"/>
            </w:tcBorders>
            <w:shd w:val="clear" w:color="auto" w:fill="DCDCDC"/>
          </w:tcPr>
          <w:p>
            <w:pPr/>
          </w:p>
        </w:tc>
        <w:tc>
          <w:tcPr>
            <w:tcW w:w="1735"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3" w:lineRule="exact"/>
              <w:ind w:left="542"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726"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3" w:lineRule="exact"/>
              <w:ind w:left="532"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728"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31" w:lineRule="exact"/>
              <w:ind w:left="14" w:right="0"/>
              <w:jc w:val="left"/>
              <w:rPr>
                <w:rFonts w:ascii="宋体" w:hAnsi="宋体" w:cs="宋体" w:eastAsia="宋体" w:hint="default"/>
                <w:sz w:val="18"/>
                <w:szCs w:val="18"/>
              </w:rPr>
            </w:pPr>
            <w:r>
              <w:rPr>
                <w:rFonts w:ascii="宋体" w:hAnsi="宋体" w:cs="宋体" w:eastAsia="宋体" w:hint="default"/>
                <w:spacing w:val="-5"/>
                <w:sz w:val="18"/>
                <w:szCs w:val="18"/>
              </w:rPr>
              <w:t>本年比上年增减（％</w:t>
            </w:r>
          </w:p>
        </w:tc>
        <w:tc>
          <w:tcPr>
            <w:tcW w:w="1721"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tabs>
                <w:tab w:pos="530" w:val="left" w:leader="none"/>
              </w:tabs>
              <w:spacing w:line="243" w:lineRule="exact"/>
              <w:ind w:left="-133" w:right="0"/>
              <w:jc w:val="left"/>
              <w:rPr>
                <w:rFonts w:ascii="宋体" w:hAnsi="宋体" w:cs="宋体" w:eastAsia="宋体" w:hint="default"/>
                <w:sz w:val="18"/>
                <w:szCs w:val="18"/>
              </w:rPr>
            </w:pPr>
            <w:r>
              <w:rPr>
                <w:rFonts w:ascii="宋体" w:hAnsi="宋体" w:cs="宋体" w:eastAsia="宋体" w:hint="default"/>
                <w:w w:val="95"/>
                <w:sz w:val="18"/>
                <w:szCs w:val="18"/>
              </w:rPr>
              <w:t>）</w:t>
              <w:tab/>
            </w:r>
            <w:r>
              <w:rPr>
                <w:rFonts w:ascii="Arial" w:hAnsi="Arial" w:cs="Arial" w:eastAsia="Arial" w:hint="default"/>
                <w:sz w:val="18"/>
                <w:szCs w:val="18"/>
              </w:rPr>
              <w:t>2008</w:t>
            </w:r>
            <w:r>
              <w:rPr>
                <w:rFonts w:ascii="Arial" w:hAnsi="Arial" w:cs="Arial" w:eastAsia="Arial" w:hint="default"/>
                <w:spacing w:val="-5"/>
                <w:sz w:val="18"/>
                <w:szCs w:val="18"/>
              </w:rPr>
              <w:t> </w:t>
            </w:r>
            <w:r>
              <w:rPr>
                <w:rFonts w:ascii="宋体" w:hAnsi="宋体" w:cs="宋体" w:eastAsia="宋体" w:hint="default"/>
                <w:sz w:val="18"/>
                <w:szCs w:val="18"/>
              </w:rPr>
              <w:t>年</w:t>
            </w:r>
          </w:p>
        </w:tc>
      </w:tr>
      <w:tr>
        <w:trPr>
          <w:trHeight w:val="343" w:hRule="exact"/>
        </w:trPr>
        <w:tc>
          <w:tcPr>
            <w:tcW w:w="1813"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营业总收入（元）</w:t>
            </w:r>
          </w:p>
        </w:tc>
        <w:tc>
          <w:tcPr>
            <w:tcW w:w="1735" w:type="dxa"/>
            <w:tcBorders>
              <w:top w:val="single" w:sz="12" w:space="0" w:color="000000"/>
              <w:left w:val="single" w:sz="17"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187,685,492.14</w:t>
            </w:r>
          </w:p>
        </w:tc>
        <w:tc>
          <w:tcPr>
            <w:tcW w:w="17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196,030,683.00</w:t>
            </w:r>
          </w:p>
        </w:tc>
        <w:tc>
          <w:tcPr>
            <w:tcW w:w="172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5"/>
                <w:sz w:val="18"/>
              </w:rPr>
              <w:t>-4.26%</w:t>
            </w:r>
            <w:r>
              <w:rPr>
                <w:rFonts w:ascii="Arial"/>
                <w:sz w:val="18"/>
              </w:rPr>
            </w:r>
          </w:p>
        </w:tc>
        <w:tc>
          <w:tcPr>
            <w:tcW w:w="17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175,128,990.98</w:t>
            </w:r>
          </w:p>
        </w:tc>
      </w:tr>
      <w:tr>
        <w:trPr>
          <w:trHeight w:val="341" w:hRule="exact"/>
        </w:trPr>
        <w:tc>
          <w:tcPr>
            <w:tcW w:w="1813"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利润总额（元）</w:t>
            </w:r>
          </w:p>
        </w:tc>
        <w:tc>
          <w:tcPr>
            <w:tcW w:w="1735" w:type="dxa"/>
            <w:tcBorders>
              <w:top w:val="single" w:sz="12" w:space="0" w:color="000000"/>
              <w:left w:val="single" w:sz="17"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31,594,888.18</w:t>
            </w:r>
          </w:p>
        </w:tc>
        <w:tc>
          <w:tcPr>
            <w:tcW w:w="17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54,283,469.89</w:t>
            </w:r>
          </w:p>
        </w:tc>
        <w:tc>
          <w:tcPr>
            <w:tcW w:w="172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-41.80%</w:t>
            </w:r>
          </w:p>
        </w:tc>
        <w:tc>
          <w:tcPr>
            <w:tcW w:w="17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44,546,572.51</w:t>
            </w:r>
          </w:p>
        </w:tc>
      </w:tr>
      <w:tr>
        <w:trPr>
          <w:trHeight w:val="655" w:hRule="exact"/>
        </w:trPr>
        <w:tc>
          <w:tcPr>
            <w:tcW w:w="1813"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316" w:lineRule="auto" w:before="10"/>
              <w:ind w:left="260" w:right="82" w:hanging="180"/>
              <w:jc w:val="left"/>
              <w:rPr>
                <w:rFonts w:ascii="宋体" w:hAnsi="宋体" w:cs="宋体" w:eastAsia="宋体" w:hint="default"/>
                <w:sz w:val="18"/>
                <w:szCs w:val="18"/>
              </w:rPr>
            </w:pPr>
            <w:r>
              <w:rPr>
                <w:rFonts w:ascii="宋体" w:hAnsi="宋体" w:cs="宋体" w:eastAsia="宋体" w:hint="default"/>
                <w:sz w:val="18"/>
                <w:szCs w:val="18"/>
              </w:rPr>
              <w:t>归属于上市公司股东</w:t>
            </w:r>
            <w:r>
              <w:rPr>
                <w:rFonts w:ascii="宋体" w:hAnsi="宋体" w:cs="宋体" w:eastAsia="宋体" w:hint="default"/>
                <w:w w:val="99"/>
                <w:sz w:val="18"/>
                <w:szCs w:val="18"/>
              </w:rPr>
              <w:t> </w:t>
            </w:r>
            <w:r>
              <w:rPr>
                <w:rFonts w:ascii="宋体" w:hAnsi="宋体" w:cs="宋体" w:eastAsia="宋体" w:hint="default"/>
                <w:sz w:val="18"/>
                <w:szCs w:val="18"/>
              </w:rPr>
              <w:t>的净利润（元）</w:t>
            </w:r>
          </w:p>
        </w:tc>
        <w:tc>
          <w:tcPr>
            <w:tcW w:w="1735" w:type="dxa"/>
            <w:tcBorders>
              <w:top w:val="single" w:sz="12" w:space="0" w:color="000000"/>
              <w:left w:val="single" w:sz="17"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Arial" w:hAnsi="Arial" w:cs="Arial" w:eastAsia="Arial" w:hint="default"/>
                <w:sz w:val="18"/>
                <w:szCs w:val="18"/>
              </w:rPr>
            </w:pPr>
            <w:r>
              <w:rPr>
                <w:rFonts w:ascii="Arial"/>
                <w:spacing w:val="-1"/>
                <w:sz w:val="18"/>
              </w:rPr>
              <w:t>27,100,214.31</w:t>
            </w:r>
          </w:p>
        </w:tc>
        <w:tc>
          <w:tcPr>
            <w:tcW w:w="17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Arial" w:hAnsi="Arial" w:cs="Arial" w:eastAsia="Arial" w:hint="default"/>
                <w:sz w:val="18"/>
                <w:szCs w:val="18"/>
              </w:rPr>
            </w:pPr>
            <w:r>
              <w:rPr>
                <w:rFonts w:ascii="Arial"/>
                <w:spacing w:val="-1"/>
                <w:sz w:val="18"/>
              </w:rPr>
              <w:t>46,307,372.12</w:t>
            </w:r>
          </w:p>
        </w:tc>
        <w:tc>
          <w:tcPr>
            <w:tcW w:w="172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Arial" w:hAnsi="Arial" w:cs="Arial" w:eastAsia="Arial" w:hint="default"/>
                <w:sz w:val="18"/>
                <w:szCs w:val="18"/>
              </w:rPr>
            </w:pPr>
            <w:r>
              <w:rPr>
                <w:rFonts w:ascii="Arial"/>
                <w:spacing w:val="-1"/>
                <w:sz w:val="18"/>
              </w:rPr>
              <w:t>-41.48%</w:t>
            </w:r>
          </w:p>
        </w:tc>
        <w:tc>
          <w:tcPr>
            <w:tcW w:w="17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Arial" w:hAnsi="Arial" w:cs="Arial" w:eastAsia="Arial" w:hint="default"/>
                <w:sz w:val="18"/>
                <w:szCs w:val="18"/>
              </w:rPr>
            </w:pPr>
            <w:r>
              <w:rPr>
                <w:rFonts w:ascii="Arial"/>
                <w:spacing w:val="-1"/>
                <w:sz w:val="18"/>
              </w:rPr>
              <w:t>37,902,691.39</w:t>
            </w:r>
          </w:p>
        </w:tc>
      </w:tr>
      <w:tr>
        <w:trPr>
          <w:trHeight w:val="965" w:hRule="exact"/>
        </w:trPr>
        <w:tc>
          <w:tcPr>
            <w:tcW w:w="1813"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316" w:lineRule="auto" w:before="10"/>
              <w:ind w:left="80" w:right="82"/>
              <w:jc w:val="center"/>
              <w:rPr>
                <w:rFonts w:ascii="宋体" w:hAnsi="宋体" w:cs="宋体" w:eastAsia="宋体" w:hint="default"/>
                <w:sz w:val="18"/>
                <w:szCs w:val="18"/>
              </w:rPr>
            </w:pPr>
            <w:r>
              <w:rPr>
                <w:rFonts w:ascii="宋体" w:hAnsi="宋体" w:cs="宋体" w:eastAsia="宋体" w:hint="default"/>
                <w:sz w:val="18"/>
                <w:szCs w:val="18"/>
              </w:rPr>
              <w:t>归属于上市公司股东</w:t>
            </w:r>
            <w:r>
              <w:rPr>
                <w:rFonts w:ascii="宋体" w:hAnsi="宋体" w:cs="宋体" w:eastAsia="宋体" w:hint="default"/>
                <w:w w:val="99"/>
                <w:sz w:val="18"/>
                <w:szCs w:val="18"/>
              </w:rPr>
              <w:t> </w:t>
            </w:r>
            <w:r>
              <w:rPr>
                <w:rFonts w:ascii="宋体" w:hAnsi="宋体" w:cs="宋体" w:eastAsia="宋体" w:hint="default"/>
                <w:sz w:val="18"/>
                <w:szCs w:val="18"/>
              </w:rPr>
              <w:t>的扣除非经常性损益</w:t>
            </w:r>
            <w:r>
              <w:rPr>
                <w:rFonts w:ascii="宋体" w:hAnsi="宋体" w:cs="宋体" w:eastAsia="宋体" w:hint="default"/>
                <w:w w:val="99"/>
                <w:sz w:val="18"/>
                <w:szCs w:val="18"/>
              </w:rPr>
              <w:t> </w:t>
            </w:r>
            <w:r>
              <w:rPr>
                <w:rFonts w:ascii="宋体" w:hAnsi="宋体" w:cs="宋体" w:eastAsia="宋体" w:hint="default"/>
                <w:sz w:val="18"/>
                <w:szCs w:val="18"/>
              </w:rPr>
              <w:t>的净利润（元）</w:t>
            </w:r>
          </w:p>
        </w:tc>
        <w:tc>
          <w:tcPr>
            <w:tcW w:w="1735" w:type="dxa"/>
            <w:tcBorders>
              <w:top w:val="single" w:sz="12" w:space="0" w:color="000000"/>
              <w:left w:val="single" w:sz="17"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3"/>
              <w:jc w:val="right"/>
              <w:rPr>
                <w:rFonts w:ascii="Arial" w:hAnsi="Arial" w:cs="Arial" w:eastAsia="Arial" w:hint="default"/>
                <w:sz w:val="18"/>
                <w:szCs w:val="18"/>
              </w:rPr>
            </w:pPr>
            <w:r>
              <w:rPr>
                <w:rFonts w:ascii="Arial"/>
                <w:spacing w:val="-1"/>
                <w:sz w:val="18"/>
              </w:rPr>
              <w:t>21,040,886.81</w:t>
            </w:r>
          </w:p>
        </w:tc>
        <w:tc>
          <w:tcPr>
            <w:tcW w:w="17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3"/>
              <w:jc w:val="right"/>
              <w:rPr>
                <w:rFonts w:ascii="Arial" w:hAnsi="Arial" w:cs="Arial" w:eastAsia="Arial" w:hint="default"/>
                <w:sz w:val="18"/>
                <w:szCs w:val="18"/>
              </w:rPr>
            </w:pPr>
            <w:r>
              <w:rPr>
                <w:rFonts w:ascii="Arial"/>
                <w:spacing w:val="-1"/>
                <w:sz w:val="18"/>
              </w:rPr>
              <w:t>41,019,998.67</w:t>
            </w:r>
          </w:p>
        </w:tc>
        <w:tc>
          <w:tcPr>
            <w:tcW w:w="172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3"/>
              <w:jc w:val="right"/>
              <w:rPr>
                <w:rFonts w:ascii="Arial" w:hAnsi="Arial" w:cs="Arial" w:eastAsia="Arial" w:hint="default"/>
                <w:sz w:val="18"/>
                <w:szCs w:val="18"/>
              </w:rPr>
            </w:pPr>
            <w:r>
              <w:rPr>
                <w:rFonts w:ascii="Arial"/>
                <w:spacing w:val="-1"/>
                <w:sz w:val="18"/>
              </w:rPr>
              <w:t>-48.71%</w:t>
            </w:r>
          </w:p>
        </w:tc>
        <w:tc>
          <w:tcPr>
            <w:tcW w:w="17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3"/>
              <w:jc w:val="right"/>
              <w:rPr>
                <w:rFonts w:ascii="Arial" w:hAnsi="Arial" w:cs="Arial" w:eastAsia="Arial" w:hint="default"/>
                <w:sz w:val="18"/>
                <w:szCs w:val="18"/>
              </w:rPr>
            </w:pPr>
            <w:r>
              <w:rPr>
                <w:rFonts w:ascii="Arial"/>
                <w:spacing w:val="-1"/>
                <w:sz w:val="18"/>
              </w:rPr>
              <w:t>32,950,383.74</w:t>
            </w:r>
          </w:p>
        </w:tc>
      </w:tr>
      <w:tr>
        <w:trPr>
          <w:trHeight w:val="655" w:hRule="exact"/>
        </w:trPr>
        <w:tc>
          <w:tcPr>
            <w:tcW w:w="1813"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316" w:lineRule="auto" w:before="10"/>
              <w:ind w:left="260" w:right="82" w:hanging="180"/>
              <w:jc w:val="left"/>
              <w:rPr>
                <w:rFonts w:ascii="宋体" w:hAnsi="宋体" w:cs="宋体" w:eastAsia="宋体" w:hint="default"/>
                <w:sz w:val="18"/>
                <w:szCs w:val="18"/>
              </w:rPr>
            </w:pPr>
            <w:r>
              <w:rPr>
                <w:rFonts w:ascii="宋体" w:hAnsi="宋体" w:cs="宋体" w:eastAsia="宋体" w:hint="default"/>
                <w:sz w:val="18"/>
                <w:szCs w:val="18"/>
              </w:rPr>
              <w:t>经营活动产生的现金</w:t>
            </w:r>
            <w:r>
              <w:rPr>
                <w:rFonts w:ascii="宋体" w:hAnsi="宋体" w:cs="宋体" w:eastAsia="宋体" w:hint="default"/>
                <w:w w:val="99"/>
                <w:sz w:val="18"/>
                <w:szCs w:val="18"/>
              </w:rPr>
              <w:t> </w:t>
            </w:r>
            <w:r>
              <w:rPr>
                <w:rFonts w:ascii="宋体" w:hAnsi="宋体" w:cs="宋体" w:eastAsia="宋体" w:hint="default"/>
                <w:sz w:val="18"/>
                <w:szCs w:val="18"/>
              </w:rPr>
              <w:t>流量净额（元）</w:t>
            </w:r>
          </w:p>
        </w:tc>
        <w:tc>
          <w:tcPr>
            <w:tcW w:w="1735" w:type="dxa"/>
            <w:tcBorders>
              <w:top w:val="single" w:sz="12" w:space="0" w:color="000000"/>
              <w:left w:val="single" w:sz="17"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Arial" w:hAnsi="Arial" w:cs="Arial" w:eastAsia="Arial" w:hint="default"/>
                <w:sz w:val="18"/>
                <w:szCs w:val="18"/>
              </w:rPr>
            </w:pPr>
            <w:r>
              <w:rPr>
                <w:rFonts w:ascii="Arial"/>
                <w:spacing w:val="-1"/>
                <w:sz w:val="18"/>
              </w:rPr>
              <w:t>-6,677,667.10</w:t>
            </w:r>
          </w:p>
        </w:tc>
        <w:tc>
          <w:tcPr>
            <w:tcW w:w="17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Arial" w:hAnsi="Arial" w:cs="Arial" w:eastAsia="Arial" w:hint="default"/>
                <w:sz w:val="18"/>
                <w:szCs w:val="18"/>
              </w:rPr>
            </w:pPr>
            <w:r>
              <w:rPr>
                <w:rFonts w:ascii="Arial"/>
                <w:spacing w:val="-1"/>
                <w:sz w:val="18"/>
              </w:rPr>
              <w:t>37,344,622.14</w:t>
            </w:r>
          </w:p>
        </w:tc>
        <w:tc>
          <w:tcPr>
            <w:tcW w:w="172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Arial" w:hAnsi="Arial" w:cs="Arial" w:eastAsia="Arial" w:hint="default"/>
                <w:sz w:val="18"/>
                <w:szCs w:val="18"/>
              </w:rPr>
            </w:pPr>
            <w:r>
              <w:rPr>
                <w:rFonts w:ascii="Arial"/>
                <w:spacing w:val="-2"/>
                <w:sz w:val="18"/>
              </w:rPr>
              <w:t>-117.88%</w:t>
            </w:r>
          </w:p>
        </w:tc>
        <w:tc>
          <w:tcPr>
            <w:tcW w:w="17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Arial" w:hAnsi="Arial" w:cs="Arial" w:eastAsia="Arial" w:hint="default"/>
                <w:sz w:val="18"/>
                <w:szCs w:val="18"/>
              </w:rPr>
            </w:pPr>
            <w:r>
              <w:rPr>
                <w:rFonts w:ascii="Arial"/>
                <w:spacing w:val="-1"/>
                <w:sz w:val="18"/>
              </w:rPr>
              <w:t>14,044,989.63</w:t>
            </w:r>
          </w:p>
        </w:tc>
      </w:tr>
      <w:tr>
        <w:trPr>
          <w:trHeight w:val="653" w:hRule="exact"/>
        </w:trPr>
        <w:tc>
          <w:tcPr>
            <w:tcW w:w="1813" w:type="dxa"/>
            <w:tcBorders>
              <w:top w:val="single" w:sz="12" w:space="0" w:color="000000"/>
              <w:left w:val="single" w:sz="12" w:space="0" w:color="000000"/>
              <w:bottom w:val="single" w:sz="12" w:space="0" w:color="000000"/>
              <w:right w:val="single" w:sz="12" w:space="0" w:color="000000"/>
            </w:tcBorders>
            <w:shd w:val="clear" w:color="auto" w:fill="DCDCDC"/>
          </w:tcPr>
          <w:p>
            <w:pPr/>
          </w:p>
        </w:tc>
        <w:tc>
          <w:tcPr>
            <w:tcW w:w="1735"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51"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年末</w:t>
            </w:r>
          </w:p>
        </w:tc>
        <w:tc>
          <w:tcPr>
            <w:tcW w:w="1726"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41"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5"/>
                <w:sz w:val="18"/>
                <w:szCs w:val="18"/>
              </w:rPr>
              <w:t> </w:t>
            </w:r>
            <w:r>
              <w:rPr>
                <w:rFonts w:ascii="宋体" w:hAnsi="宋体" w:cs="宋体" w:eastAsia="宋体" w:hint="default"/>
                <w:sz w:val="18"/>
                <w:szCs w:val="18"/>
              </w:rPr>
              <w:t>年末</w:t>
            </w:r>
          </w:p>
        </w:tc>
        <w:tc>
          <w:tcPr>
            <w:tcW w:w="1728"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21"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39" w:right="0"/>
              <w:jc w:val="left"/>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5"/>
                <w:sz w:val="18"/>
                <w:szCs w:val="18"/>
              </w:rPr>
              <w:t> </w:t>
            </w:r>
            <w:r>
              <w:rPr>
                <w:rFonts w:ascii="宋体" w:hAnsi="宋体" w:cs="宋体" w:eastAsia="宋体" w:hint="default"/>
                <w:sz w:val="18"/>
                <w:szCs w:val="18"/>
              </w:rPr>
              <w:t>年末</w:t>
            </w:r>
          </w:p>
        </w:tc>
      </w:tr>
      <w:tr>
        <w:trPr>
          <w:trHeight w:val="343" w:hRule="exact"/>
        </w:trPr>
        <w:tc>
          <w:tcPr>
            <w:tcW w:w="1813"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总资产（元）</w:t>
            </w:r>
          </w:p>
        </w:tc>
        <w:tc>
          <w:tcPr>
            <w:tcW w:w="1735" w:type="dxa"/>
            <w:tcBorders>
              <w:top w:val="single" w:sz="12" w:space="0" w:color="000000"/>
              <w:left w:val="single" w:sz="17"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745,915,328.17</w:t>
            </w:r>
          </w:p>
        </w:tc>
        <w:tc>
          <w:tcPr>
            <w:tcW w:w="17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240,420,644.04</w:t>
            </w:r>
          </w:p>
        </w:tc>
        <w:tc>
          <w:tcPr>
            <w:tcW w:w="172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210.25%</w:t>
            </w:r>
          </w:p>
        </w:tc>
        <w:tc>
          <w:tcPr>
            <w:tcW w:w="17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153,699,762.15</w:t>
            </w:r>
          </w:p>
        </w:tc>
      </w:tr>
      <w:tr>
        <w:trPr>
          <w:trHeight w:val="653" w:hRule="exact"/>
        </w:trPr>
        <w:tc>
          <w:tcPr>
            <w:tcW w:w="1813"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316" w:lineRule="auto" w:before="10"/>
              <w:ind w:left="80" w:right="82"/>
              <w:jc w:val="left"/>
              <w:rPr>
                <w:rFonts w:ascii="宋体" w:hAnsi="宋体" w:cs="宋体" w:eastAsia="宋体" w:hint="default"/>
                <w:sz w:val="18"/>
                <w:szCs w:val="18"/>
              </w:rPr>
            </w:pPr>
            <w:r>
              <w:rPr>
                <w:rFonts w:ascii="宋体" w:hAnsi="宋体" w:cs="宋体" w:eastAsia="宋体" w:hint="default"/>
                <w:sz w:val="18"/>
                <w:szCs w:val="18"/>
              </w:rPr>
              <w:t>归属于上市公司股东</w:t>
            </w:r>
            <w:r>
              <w:rPr>
                <w:rFonts w:ascii="宋体" w:hAnsi="宋体" w:cs="宋体" w:eastAsia="宋体" w:hint="default"/>
                <w:w w:val="99"/>
                <w:sz w:val="18"/>
                <w:szCs w:val="18"/>
              </w:rPr>
              <w:t> </w:t>
            </w:r>
            <w:r>
              <w:rPr>
                <w:rFonts w:ascii="宋体" w:hAnsi="宋体" w:cs="宋体" w:eastAsia="宋体" w:hint="default"/>
                <w:sz w:val="18"/>
                <w:szCs w:val="18"/>
              </w:rPr>
              <w:t>的所有者权益（元）</w:t>
            </w:r>
          </w:p>
        </w:tc>
        <w:tc>
          <w:tcPr>
            <w:tcW w:w="1735" w:type="dxa"/>
            <w:tcBorders>
              <w:top w:val="single" w:sz="12" w:space="0" w:color="000000"/>
              <w:left w:val="single" w:sz="17"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Arial" w:hAnsi="Arial" w:cs="Arial" w:eastAsia="Arial" w:hint="default"/>
                <w:sz w:val="18"/>
                <w:szCs w:val="18"/>
              </w:rPr>
            </w:pPr>
            <w:r>
              <w:rPr>
                <w:rFonts w:ascii="Arial"/>
                <w:spacing w:val="-2"/>
                <w:sz w:val="18"/>
              </w:rPr>
              <w:t>726,554,248.11</w:t>
            </w:r>
          </w:p>
        </w:tc>
        <w:tc>
          <w:tcPr>
            <w:tcW w:w="17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Arial" w:hAnsi="Arial" w:cs="Arial" w:eastAsia="Arial" w:hint="default"/>
                <w:sz w:val="18"/>
                <w:szCs w:val="18"/>
              </w:rPr>
            </w:pPr>
            <w:r>
              <w:rPr>
                <w:rFonts w:ascii="Arial"/>
                <w:spacing w:val="-1"/>
                <w:sz w:val="18"/>
              </w:rPr>
              <w:t>170,679,264.24</w:t>
            </w:r>
          </w:p>
        </w:tc>
        <w:tc>
          <w:tcPr>
            <w:tcW w:w="172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Arial" w:hAnsi="Arial" w:cs="Arial" w:eastAsia="Arial" w:hint="default"/>
                <w:sz w:val="18"/>
                <w:szCs w:val="18"/>
              </w:rPr>
            </w:pPr>
            <w:r>
              <w:rPr>
                <w:rFonts w:ascii="Arial"/>
                <w:spacing w:val="-1"/>
                <w:sz w:val="18"/>
              </w:rPr>
              <w:t>325.68%</w:t>
            </w:r>
          </w:p>
        </w:tc>
        <w:tc>
          <w:tcPr>
            <w:tcW w:w="17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Arial" w:hAnsi="Arial" w:cs="Arial" w:eastAsia="Arial" w:hint="default"/>
                <w:sz w:val="18"/>
                <w:szCs w:val="18"/>
              </w:rPr>
            </w:pPr>
            <w:r>
              <w:rPr>
                <w:rFonts w:ascii="Arial"/>
                <w:spacing w:val="-1"/>
                <w:sz w:val="18"/>
              </w:rPr>
              <w:t>124,371,892.12</w:t>
            </w:r>
          </w:p>
        </w:tc>
      </w:tr>
      <w:tr>
        <w:trPr>
          <w:trHeight w:val="341" w:hRule="exact"/>
        </w:trPr>
        <w:tc>
          <w:tcPr>
            <w:tcW w:w="1813"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股本（股）</w:t>
            </w:r>
          </w:p>
        </w:tc>
        <w:tc>
          <w:tcPr>
            <w:tcW w:w="1735" w:type="dxa"/>
            <w:tcBorders>
              <w:top w:val="single" w:sz="12" w:space="0" w:color="000000"/>
              <w:left w:val="single" w:sz="17"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107,000,000.00</w:t>
            </w:r>
          </w:p>
        </w:tc>
        <w:tc>
          <w:tcPr>
            <w:tcW w:w="17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80,000,000.00</w:t>
            </w:r>
          </w:p>
        </w:tc>
        <w:tc>
          <w:tcPr>
            <w:tcW w:w="172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33.75%</w:t>
            </w:r>
          </w:p>
        </w:tc>
        <w:tc>
          <w:tcPr>
            <w:tcW w:w="17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80,000,000.00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8"/>
        <w:ind w:left="359" w:right="0"/>
        <w:jc w:val="left"/>
      </w:pPr>
      <w:r>
        <w:rPr/>
        <w:t>二、主要财务指标</w:t>
      </w:r>
    </w:p>
    <w:p>
      <w:pPr>
        <w:spacing w:line="240" w:lineRule="auto" w:before="2"/>
        <w:rPr>
          <w:rFonts w:ascii="宋体" w:hAnsi="宋体" w:cs="宋体" w:eastAsia="宋体"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2354"/>
        <w:gridCol w:w="1645"/>
        <w:gridCol w:w="1637"/>
        <w:gridCol w:w="1502"/>
        <w:gridCol w:w="1637"/>
      </w:tblGrid>
      <w:tr>
        <w:trPr>
          <w:trHeight w:val="655" w:hRule="exact"/>
        </w:trPr>
        <w:tc>
          <w:tcPr>
            <w:tcW w:w="2354" w:type="dxa"/>
            <w:tcBorders>
              <w:top w:val="single" w:sz="12" w:space="0" w:color="000000"/>
              <w:left w:val="single" w:sz="12" w:space="0" w:color="000000"/>
              <w:bottom w:val="single" w:sz="12" w:space="0" w:color="000000"/>
              <w:right w:val="single" w:sz="12" w:space="0" w:color="000000"/>
            </w:tcBorders>
            <w:shd w:val="clear" w:color="auto" w:fill="DCDCDC"/>
          </w:tcPr>
          <w:p>
            <w:pPr/>
          </w:p>
        </w:tc>
        <w:tc>
          <w:tcPr>
            <w:tcW w:w="1645"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95"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637"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87"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502"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本年比上年增减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37"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89" w:right="0"/>
              <w:jc w:val="left"/>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5"/>
                <w:sz w:val="18"/>
                <w:szCs w:val="18"/>
              </w:rPr>
              <w:t> </w:t>
            </w:r>
            <w:r>
              <w:rPr>
                <w:rFonts w:ascii="宋体" w:hAnsi="宋体" w:cs="宋体" w:eastAsia="宋体" w:hint="default"/>
                <w:sz w:val="18"/>
                <w:szCs w:val="18"/>
              </w:rPr>
              <w:t>年</w:t>
            </w:r>
          </w:p>
        </w:tc>
      </w:tr>
      <w:tr>
        <w:trPr>
          <w:trHeight w:val="341" w:hRule="exact"/>
        </w:trPr>
        <w:tc>
          <w:tcPr>
            <w:tcW w:w="2354"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Arial" w:hAnsi="Arial" w:cs="Arial" w:eastAsia="Arial" w:hint="default"/>
                <w:sz w:val="18"/>
                <w:szCs w:val="18"/>
              </w:rPr>
              <w:t>/</w:t>
            </w:r>
            <w:r>
              <w:rPr>
                <w:rFonts w:ascii="宋体" w:hAnsi="宋体" w:cs="宋体" w:eastAsia="宋体" w:hint="default"/>
                <w:sz w:val="18"/>
                <w:szCs w:val="18"/>
              </w:rPr>
              <w:t>股）</w:t>
            </w:r>
          </w:p>
        </w:tc>
        <w:tc>
          <w:tcPr>
            <w:tcW w:w="1645" w:type="dxa"/>
            <w:tcBorders>
              <w:top w:val="single" w:sz="12" w:space="0" w:color="000000"/>
              <w:left w:val="single" w:sz="18"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0.2765</w:t>
            </w:r>
          </w:p>
        </w:tc>
        <w:tc>
          <w:tcPr>
            <w:tcW w:w="16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0.5788</w:t>
            </w:r>
          </w:p>
        </w:tc>
        <w:tc>
          <w:tcPr>
            <w:tcW w:w="15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-52.23%</w:t>
            </w:r>
          </w:p>
        </w:tc>
        <w:tc>
          <w:tcPr>
            <w:tcW w:w="16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0.5018</w:t>
            </w:r>
          </w:p>
        </w:tc>
      </w:tr>
      <w:tr>
        <w:trPr>
          <w:trHeight w:val="343" w:hRule="exact"/>
        </w:trPr>
        <w:tc>
          <w:tcPr>
            <w:tcW w:w="2354"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Arial" w:hAnsi="Arial" w:cs="Arial" w:eastAsia="Arial" w:hint="default"/>
                <w:sz w:val="18"/>
                <w:szCs w:val="18"/>
              </w:rPr>
              <w:t>/</w:t>
            </w:r>
            <w:r>
              <w:rPr>
                <w:rFonts w:ascii="宋体" w:hAnsi="宋体" w:cs="宋体" w:eastAsia="宋体" w:hint="default"/>
                <w:sz w:val="18"/>
                <w:szCs w:val="18"/>
              </w:rPr>
              <w:t>股）</w:t>
            </w:r>
          </w:p>
        </w:tc>
        <w:tc>
          <w:tcPr>
            <w:tcW w:w="1645" w:type="dxa"/>
            <w:tcBorders>
              <w:top w:val="single" w:sz="12" w:space="0" w:color="000000"/>
              <w:left w:val="single" w:sz="18"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0.2765</w:t>
            </w:r>
          </w:p>
        </w:tc>
        <w:tc>
          <w:tcPr>
            <w:tcW w:w="16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0.5788</w:t>
            </w:r>
          </w:p>
        </w:tc>
        <w:tc>
          <w:tcPr>
            <w:tcW w:w="15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-52.23%</w:t>
            </w:r>
          </w:p>
        </w:tc>
        <w:tc>
          <w:tcPr>
            <w:tcW w:w="16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0.5018</w:t>
            </w:r>
          </w:p>
        </w:tc>
      </w:tr>
      <w:tr>
        <w:trPr>
          <w:trHeight w:val="653" w:hRule="exact"/>
        </w:trPr>
        <w:tc>
          <w:tcPr>
            <w:tcW w:w="2354"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z w:val="18"/>
                <w:szCs w:val="18"/>
              </w:rPr>
              <w:t>用最新股本计算的每股收益</w:t>
            </w:r>
          </w:p>
          <w:p>
            <w:pPr>
              <w:pStyle w:val="TableParagraph"/>
              <w:spacing w:line="240" w:lineRule="auto" w:before="76"/>
              <w:ind w:left="5" w:right="0"/>
              <w:jc w:val="left"/>
              <w:rPr>
                <w:rFonts w:ascii="宋体" w:hAnsi="宋体" w:cs="宋体" w:eastAsia="宋体" w:hint="default"/>
                <w:sz w:val="18"/>
                <w:szCs w:val="18"/>
              </w:rPr>
            </w:pP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股）</w:t>
            </w:r>
          </w:p>
        </w:tc>
        <w:tc>
          <w:tcPr>
            <w:tcW w:w="1645" w:type="dxa"/>
            <w:tcBorders>
              <w:top w:val="single" w:sz="12" w:space="0" w:color="000000"/>
              <w:left w:val="single" w:sz="18"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Arial" w:hAnsi="Arial" w:cs="Arial" w:eastAsia="Arial" w:hint="default"/>
                <w:sz w:val="18"/>
                <w:szCs w:val="18"/>
              </w:rPr>
            </w:pPr>
            <w:r>
              <w:rPr>
                <w:rFonts w:ascii="Arial"/>
                <w:spacing w:val="-1"/>
                <w:sz w:val="18"/>
              </w:rPr>
              <w:t>0.2765</w:t>
            </w:r>
          </w:p>
        </w:tc>
        <w:tc>
          <w:tcPr>
            <w:tcW w:w="16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15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16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Arial" w:hAnsi="Arial" w:cs="Arial" w:eastAsia="Arial" w:hint="default"/>
                <w:sz w:val="18"/>
                <w:szCs w:val="18"/>
              </w:rPr>
            </w:pPr>
            <w:r>
              <w:rPr>
                <w:rFonts w:ascii="Arial"/>
                <w:w w:val="99"/>
                <w:sz w:val="18"/>
              </w:rPr>
              <w:t>-</w:t>
            </w:r>
            <w:r>
              <w:rPr>
                <w:rFonts w:ascii="Arial"/>
                <w:sz w:val="18"/>
              </w:rPr>
            </w:r>
          </w:p>
        </w:tc>
      </w:tr>
      <w:tr>
        <w:trPr>
          <w:trHeight w:val="655" w:hRule="exact"/>
        </w:trPr>
        <w:tc>
          <w:tcPr>
            <w:tcW w:w="2354"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316" w:lineRule="auto" w:before="10"/>
              <w:ind w:left="5" w:right="157"/>
              <w:jc w:val="left"/>
              <w:rPr>
                <w:rFonts w:ascii="宋体" w:hAnsi="宋体" w:cs="宋体" w:eastAsia="宋体" w:hint="default"/>
                <w:sz w:val="18"/>
                <w:szCs w:val="18"/>
              </w:rPr>
            </w:pPr>
            <w:r>
              <w:rPr>
                <w:rFonts w:ascii="宋体" w:hAnsi="宋体" w:cs="宋体" w:eastAsia="宋体" w:hint="default"/>
                <w:sz w:val="18"/>
                <w:szCs w:val="18"/>
              </w:rPr>
              <w:t>扣除非经常性损益后的基本</w:t>
            </w:r>
            <w:r>
              <w:rPr>
                <w:rFonts w:ascii="宋体" w:hAnsi="宋体" w:cs="宋体" w:eastAsia="宋体" w:hint="default"/>
                <w:w w:val="99"/>
                <w:sz w:val="18"/>
                <w:szCs w:val="18"/>
              </w:rPr>
              <w:t> </w:t>
            </w:r>
            <w:r>
              <w:rPr>
                <w:rFonts w:ascii="宋体" w:hAnsi="宋体" w:cs="宋体" w:eastAsia="宋体" w:hint="default"/>
                <w:sz w:val="18"/>
                <w:szCs w:val="18"/>
              </w:rPr>
              <w:t>每股收益（元</w:t>
            </w:r>
            <w:r>
              <w:rPr>
                <w:rFonts w:ascii="Arial" w:hAnsi="Arial" w:cs="Arial" w:eastAsia="Arial" w:hint="default"/>
                <w:sz w:val="18"/>
                <w:szCs w:val="18"/>
              </w:rPr>
              <w:t>/</w:t>
            </w:r>
            <w:r>
              <w:rPr>
                <w:rFonts w:ascii="宋体" w:hAnsi="宋体" w:cs="宋体" w:eastAsia="宋体" w:hint="default"/>
                <w:sz w:val="18"/>
                <w:szCs w:val="18"/>
              </w:rPr>
              <w:t>股）</w:t>
            </w:r>
          </w:p>
        </w:tc>
        <w:tc>
          <w:tcPr>
            <w:tcW w:w="1645" w:type="dxa"/>
            <w:tcBorders>
              <w:top w:val="single" w:sz="12" w:space="0" w:color="000000"/>
              <w:left w:val="single" w:sz="18"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Arial" w:hAnsi="Arial" w:cs="Arial" w:eastAsia="Arial" w:hint="default"/>
                <w:sz w:val="18"/>
                <w:szCs w:val="18"/>
              </w:rPr>
            </w:pPr>
            <w:r>
              <w:rPr>
                <w:rFonts w:ascii="Arial"/>
                <w:spacing w:val="-1"/>
                <w:sz w:val="18"/>
              </w:rPr>
              <w:t>0.2147</w:t>
            </w:r>
          </w:p>
        </w:tc>
        <w:tc>
          <w:tcPr>
            <w:tcW w:w="16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Arial" w:hAnsi="Arial" w:cs="Arial" w:eastAsia="Arial" w:hint="default"/>
                <w:sz w:val="18"/>
                <w:szCs w:val="18"/>
              </w:rPr>
            </w:pPr>
            <w:r>
              <w:rPr>
                <w:rFonts w:ascii="Arial"/>
                <w:spacing w:val="-1"/>
                <w:sz w:val="18"/>
              </w:rPr>
              <w:t>0.5127</w:t>
            </w:r>
          </w:p>
        </w:tc>
        <w:tc>
          <w:tcPr>
            <w:tcW w:w="15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Arial" w:hAnsi="Arial" w:cs="Arial" w:eastAsia="Arial" w:hint="default"/>
                <w:sz w:val="18"/>
                <w:szCs w:val="18"/>
              </w:rPr>
            </w:pPr>
            <w:r>
              <w:rPr>
                <w:rFonts w:ascii="Arial"/>
                <w:spacing w:val="-1"/>
                <w:sz w:val="18"/>
              </w:rPr>
              <w:t>-58.12%</w:t>
            </w:r>
          </w:p>
        </w:tc>
        <w:tc>
          <w:tcPr>
            <w:tcW w:w="16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
              <w:jc w:val="right"/>
              <w:rPr>
                <w:rFonts w:ascii="Arial" w:hAnsi="Arial" w:cs="Arial" w:eastAsia="Arial" w:hint="default"/>
                <w:sz w:val="18"/>
                <w:szCs w:val="18"/>
              </w:rPr>
            </w:pPr>
            <w:r>
              <w:rPr>
                <w:rFonts w:ascii="Arial"/>
                <w:spacing w:val="-1"/>
                <w:sz w:val="18"/>
              </w:rPr>
              <w:t>0.4363</w:t>
            </w:r>
          </w:p>
        </w:tc>
      </w:tr>
      <w:tr>
        <w:trPr>
          <w:trHeight w:val="341" w:hRule="exact"/>
        </w:trPr>
        <w:tc>
          <w:tcPr>
            <w:tcW w:w="2354"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10"/>
              <w:ind w:left="5" w:right="-2"/>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Arial" w:hAnsi="Arial" w:cs="Arial" w:eastAsia="Arial" w:hint="default"/>
                <w:sz w:val="18"/>
                <w:szCs w:val="18"/>
              </w:rPr>
              <w:t>%</w:t>
            </w:r>
            <w:r>
              <w:rPr>
                <w:rFonts w:ascii="宋体" w:hAnsi="宋体" w:cs="宋体" w:eastAsia="宋体" w:hint="default"/>
                <w:sz w:val="18"/>
                <w:szCs w:val="18"/>
              </w:rPr>
              <w:t>）</w:t>
            </w:r>
          </w:p>
        </w:tc>
        <w:tc>
          <w:tcPr>
            <w:tcW w:w="1645" w:type="dxa"/>
            <w:tcBorders>
              <w:top w:val="single" w:sz="12" w:space="0" w:color="000000"/>
              <w:left w:val="single" w:sz="18"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5"/>
                <w:sz w:val="18"/>
              </w:rPr>
              <w:t>5.04%</w:t>
            </w:r>
            <w:r>
              <w:rPr>
                <w:rFonts w:ascii="Arial"/>
                <w:sz w:val="18"/>
              </w:rPr>
            </w:r>
          </w:p>
        </w:tc>
        <w:tc>
          <w:tcPr>
            <w:tcW w:w="16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31.39%</w:t>
            </w:r>
          </w:p>
        </w:tc>
        <w:tc>
          <w:tcPr>
            <w:tcW w:w="15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-26.35%</w:t>
            </w:r>
          </w:p>
        </w:tc>
        <w:tc>
          <w:tcPr>
            <w:tcW w:w="16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38.48%</w:t>
            </w:r>
          </w:p>
        </w:tc>
      </w:tr>
      <w:tr>
        <w:trPr>
          <w:trHeight w:val="655" w:hRule="exact"/>
        </w:trPr>
        <w:tc>
          <w:tcPr>
            <w:tcW w:w="2354"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316" w:lineRule="auto" w:before="10"/>
              <w:ind w:left="5" w:right="157"/>
              <w:jc w:val="left"/>
              <w:rPr>
                <w:rFonts w:ascii="宋体" w:hAnsi="宋体" w:cs="宋体" w:eastAsia="宋体" w:hint="default"/>
                <w:sz w:val="18"/>
                <w:szCs w:val="18"/>
              </w:rPr>
            </w:pPr>
            <w:r>
              <w:rPr>
                <w:rFonts w:ascii="宋体" w:hAnsi="宋体" w:cs="宋体" w:eastAsia="宋体" w:hint="default"/>
                <w:sz w:val="18"/>
                <w:szCs w:val="18"/>
              </w:rPr>
              <w:t>扣除非经常性损益后的加权</w:t>
            </w:r>
            <w:r>
              <w:rPr>
                <w:rFonts w:ascii="宋体" w:hAnsi="宋体" w:cs="宋体" w:eastAsia="宋体" w:hint="default"/>
                <w:w w:val="99"/>
                <w:sz w:val="18"/>
                <w:szCs w:val="18"/>
              </w:rPr>
              <w:t> </w:t>
            </w:r>
            <w:r>
              <w:rPr>
                <w:rFonts w:ascii="宋体" w:hAnsi="宋体" w:cs="宋体" w:eastAsia="宋体" w:hint="default"/>
                <w:sz w:val="18"/>
                <w:szCs w:val="18"/>
              </w:rPr>
              <w:t>平均净资产收益率（</w:t>
            </w:r>
            <w:r>
              <w:rPr>
                <w:rFonts w:ascii="Arial" w:hAnsi="Arial" w:cs="Arial" w:eastAsia="Arial" w:hint="default"/>
                <w:sz w:val="18"/>
                <w:szCs w:val="18"/>
              </w:rPr>
              <w:t>%</w:t>
            </w:r>
            <w:r>
              <w:rPr>
                <w:rFonts w:ascii="宋体" w:hAnsi="宋体" w:cs="宋体" w:eastAsia="宋体" w:hint="default"/>
                <w:sz w:val="18"/>
                <w:szCs w:val="18"/>
              </w:rPr>
              <w:t>）</w:t>
            </w:r>
          </w:p>
        </w:tc>
        <w:tc>
          <w:tcPr>
            <w:tcW w:w="1645" w:type="dxa"/>
            <w:tcBorders>
              <w:top w:val="single" w:sz="12" w:space="0" w:color="000000"/>
              <w:left w:val="single" w:sz="18"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Arial" w:hAnsi="Arial" w:cs="Arial" w:eastAsia="Arial" w:hint="default"/>
                <w:sz w:val="18"/>
                <w:szCs w:val="18"/>
              </w:rPr>
            </w:pPr>
            <w:r>
              <w:rPr>
                <w:rFonts w:ascii="Arial"/>
                <w:w w:val="95"/>
                <w:sz w:val="18"/>
              </w:rPr>
              <w:t>3.91%</w:t>
            </w:r>
            <w:r>
              <w:rPr>
                <w:rFonts w:ascii="Arial"/>
                <w:sz w:val="18"/>
              </w:rPr>
            </w:r>
          </w:p>
        </w:tc>
        <w:tc>
          <w:tcPr>
            <w:tcW w:w="16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Arial" w:hAnsi="Arial" w:cs="Arial" w:eastAsia="Arial" w:hint="default"/>
                <w:sz w:val="18"/>
                <w:szCs w:val="18"/>
              </w:rPr>
            </w:pPr>
            <w:r>
              <w:rPr>
                <w:rFonts w:ascii="Arial"/>
                <w:spacing w:val="-1"/>
                <w:sz w:val="18"/>
              </w:rPr>
              <w:t>27.81%</w:t>
            </w:r>
          </w:p>
        </w:tc>
        <w:tc>
          <w:tcPr>
            <w:tcW w:w="15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Arial" w:hAnsi="Arial" w:cs="Arial" w:eastAsia="Arial" w:hint="default"/>
                <w:sz w:val="18"/>
                <w:szCs w:val="18"/>
              </w:rPr>
            </w:pPr>
            <w:r>
              <w:rPr>
                <w:rFonts w:ascii="Arial"/>
                <w:spacing w:val="-1"/>
                <w:sz w:val="18"/>
              </w:rPr>
              <w:t>-23.90%</w:t>
            </w:r>
          </w:p>
        </w:tc>
        <w:tc>
          <w:tcPr>
            <w:tcW w:w="16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
              <w:jc w:val="right"/>
              <w:rPr>
                <w:rFonts w:ascii="Arial" w:hAnsi="Arial" w:cs="Arial" w:eastAsia="Arial" w:hint="default"/>
                <w:sz w:val="18"/>
                <w:szCs w:val="18"/>
              </w:rPr>
            </w:pPr>
            <w:r>
              <w:rPr>
                <w:rFonts w:ascii="Arial"/>
                <w:spacing w:val="-1"/>
                <w:sz w:val="18"/>
              </w:rPr>
              <w:t>33.45%</w:t>
            </w:r>
          </w:p>
        </w:tc>
      </w:tr>
      <w:tr>
        <w:trPr>
          <w:trHeight w:val="653" w:hRule="exact"/>
        </w:trPr>
        <w:tc>
          <w:tcPr>
            <w:tcW w:w="2354"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316" w:lineRule="auto" w:before="10"/>
              <w:ind w:left="5" w:right="157"/>
              <w:jc w:val="left"/>
              <w:rPr>
                <w:rFonts w:ascii="宋体" w:hAnsi="宋体" w:cs="宋体" w:eastAsia="宋体" w:hint="default"/>
                <w:sz w:val="18"/>
                <w:szCs w:val="18"/>
              </w:rPr>
            </w:pPr>
            <w:r>
              <w:rPr>
                <w:rFonts w:ascii="宋体" w:hAnsi="宋体" w:cs="宋体" w:eastAsia="宋体" w:hint="default"/>
                <w:sz w:val="18"/>
                <w:szCs w:val="18"/>
              </w:rPr>
              <w:t>每股经营活动产生的现金流</w:t>
            </w:r>
            <w:r>
              <w:rPr>
                <w:rFonts w:ascii="宋体" w:hAnsi="宋体" w:cs="宋体" w:eastAsia="宋体" w:hint="default"/>
                <w:w w:val="99"/>
                <w:sz w:val="18"/>
                <w:szCs w:val="18"/>
              </w:rPr>
              <w:t> </w:t>
            </w:r>
            <w:r>
              <w:rPr>
                <w:rFonts w:ascii="宋体" w:hAnsi="宋体" w:cs="宋体" w:eastAsia="宋体" w:hint="default"/>
                <w:sz w:val="18"/>
                <w:szCs w:val="18"/>
              </w:rPr>
              <w:t>量净额（元</w:t>
            </w:r>
            <w:r>
              <w:rPr>
                <w:rFonts w:ascii="Arial" w:hAnsi="Arial" w:cs="Arial" w:eastAsia="Arial" w:hint="default"/>
                <w:sz w:val="18"/>
                <w:szCs w:val="18"/>
              </w:rPr>
              <w:t>/</w:t>
            </w:r>
            <w:r>
              <w:rPr>
                <w:rFonts w:ascii="宋体" w:hAnsi="宋体" w:cs="宋体" w:eastAsia="宋体" w:hint="default"/>
                <w:sz w:val="18"/>
                <w:szCs w:val="18"/>
              </w:rPr>
              <w:t>股）</w:t>
            </w:r>
          </w:p>
        </w:tc>
        <w:tc>
          <w:tcPr>
            <w:tcW w:w="1645" w:type="dxa"/>
            <w:tcBorders>
              <w:top w:val="single" w:sz="12" w:space="0" w:color="000000"/>
              <w:left w:val="single" w:sz="18"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Arial" w:hAnsi="Arial" w:cs="Arial" w:eastAsia="Arial" w:hint="default"/>
                <w:sz w:val="18"/>
                <w:szCs w:val="18"/>
              </w:rPr>
            </w:pPr>
            <w:r>
              <w:rPr>
                <w:rFonts w:ascii="Arial"/>
                <w:w w:val="95"/>
                <w:sz w:val="18"/>
              </w:rPr>
              <w:t>-0.06</w:t>
            </w:r>
            <w:r>
              <w:rPr>
                <w:rFonts w:ascii="Arial"/>
                <w:sz w:val="18"/>
              </w:rPr>
            </w:r>
          </w:p>
        </w:tc>
        <w:tc>
          <w:tcPr>
            <w:tcW w:w="16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Arial" w:hAnsi="Arial" w:cs="Arial" w:eastAsia="Arial" w:hint="default"/>
                <w:sz w:val="18"/>
                <w:szCs w:val="18"/>
              </w:rPr>
            </w:pPr>
            <w:r>
              <w:rPr>
                <w:rFonts w:ascii="Arial"/>
                <w:w w:val="95"/>
                <w:sz w:val="18"/>
              </w:rPr>
              <w:t>0.47</w:t>
            </w:r>
            <w:r>
              <w:rPr>
                <w:rFonts w:ascii="Arial"/>
                <w:sz w:val="18"/>
              </w:rPr>
            </w:r>
          </w:p>
        </w:tc>
        <w:tc>
          <w:tcPr>
            <w:tcW w:w="15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Arial" w:hAnsi="Arial" w:cs="Arial" w:eastAsia="Arial" w:hint="default"/>
                <w:sz w:val="18"/>
                <w:szCs w:val="18"/>
              </w:rPr>
            </w:pPr>
            <w:r>
              <w:rPr>
                <w:rFonts w:ascii="Arial"/>
                <w:spacing w:val="-2"/>
                <w:sz w:val="18"/>
              </w:rPr>
              <w:t>-112.77%</w:t>
            </w:r>
          </w:p>
        </w:tc>
        <w:tc>
          <w:tcPr>
            <w:tcW w:w="16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
              <w:jc w:val="right"/>
              <w:rPr>
                <w:rFonts w:ascii="Arial" w:hAnsi="Arial" w:cs="Arial" w:eastAsia="Arial" w:hint="default"/>
                <w:sz w:val="18"/>
                <w:szCs w:val="18"/>
              </w:rPr>
            </w:pPr>
            <w:r>
              <w:rPr>
                <w:rFonts w:ascii="Arial"/>
                <w:w w:val="95"/>
                <w:sz w:val="18"/>
              </w:rPr>
              <w:t>0.18</w:t>
            </w:r>
            <w:r>
              <w:rPr>
                <w:rFonts w:ascii="Arial"/>
                <w:sz w:val="18"/>
              </w:rPr>
            </w:r>
          </w:p>
        </w:tc>
      </w:tr>
      <w:tr>
        <w:trPr>
          <w:trHeight w:val="655" w:hRule="exact"/>
        </w:trPr>
        <w:tc>
          <w:tcPr>
            <w:tcW w:w="2354" w:type="dxa"/>
            <w:tcBorders>
              <w:top w:val="single" w:sz="12" w:space="0" w:color="000000"/>
              <w:left w:val="single" w:sz="12" w:space="0" w:color="000000"/>
              <w:bottom w:val="single" w:sz="12" w:space="0" w:color="000000"/>
              <w:right w:val="single" w:sz="12" w:space="0" w:color="000000"/>
            </w:tcBorders>
            <w:shd w:val="clear" w:color="auto" w:fill="DCDCDC"/>
          </w:tcPr>
          <w:p>
            <w:pPr/>
          </w:p>
        </w:tc>
        <w:tc>
          <w:tcPr>
            <w:tcW w:w="1645"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06"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年末</w:t>
            </w:r>
          </w:p>
        </w:tc>
        <w:tc>
          <w:tcPr>
            <w:tcW w:w="1637"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98"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5"/>
                <w:sz w:val="18"/>
                <w:szCs w:val="18"/>
              </w:rPr>
              <w:t> </w:t>
            </w:r>
            <w:r>
              <w:rPr>
                <w:rFonts w:ascii="宋体" w:hAnsi="宋体" w:cs="宋体" w:eastAsia="宋体" w:hint="default"/>
                <w:sz w:val="18"/>
                <w:szCs w:val="18"/>
              </w:rPr>
              <w:t>年末</w:t>
            </w:r>
          </w:p>
        </w:tc>
        <w:tc>
          <w:tcPr>
            <w:tcW w:w="1502"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316" w:lineRule="auto" w:before="10"/>
              <w:ind w:left="374" w:right="17" w:hanging="360"/>
              <w:jc w:val="left"/>
              <w:rPr>
                <w:rFonts w:ascii="宋体" w:hAnsi="宋体" w:cs="宋体" w:eastAsia="宋体" w:hint="default"/>
                <w:sz w:val="18"/>
                <w:szCs w:val="18"/>
              </w:rPr>
            </w:pPr>
            <w:r>
              <w:rPr>
                <w:rFonts w:ascii="宋体" w:hAnsi="宋体" w:cs="宋体" w:eastAsia="宋体" w:hint="default"/>
                <w:sz w:val="18"/>
                <w:szCs w:val="18"/>
              </w:rPr>
              <w:t>本年末比上年末增</w:t>
            </w:r>
            <w:r>
              <w:rPr>
                <w:rFonts w:ascii="宋体" w:hAnsi="宋体" w:cs="宋体" w:eastAsia="宋体" w:hint="default"/>
                <w:w w:val="99"/>
                <w:sz w:val="18"/>
                <w:szCs w:val="18"/>
              </w:rPr>
              <w:t> </w:t>
            </w:r>
            <w:r>
              <w:rPr>
                <w:rFonts w:ascii="宋体" w:hAnsi="宋体" w:cs="宋体" w:eastAsia="宋体" w:hint="default"/>
                <w:sz w:val="18"/>
                <w:szCs w:val="18"/>
              </w:rPr>
              <w:t>减（％）</w:t>
            </w:r>
          </w:p>
        </w:tc>
        <w:tc>
          <w:tcPr>
            <w:tcW w:w="1637"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00" w:right="0"/>
              <w:jc w:val="left"/>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5"/>
                <w:sz w:val="18"/>
                <w:szCs w:val="18"/>
              </w:rPr>
              <w:t> </w:t>
            </w:r>
            <w:r>
              <w:rPr>
                <w:rFonts w:ascii="宋体" w:hAnsi="宋体" w:cs="宋体" w:eastAsia="宋体" w:hint="default"/>
                <w:sz w:val="18"/>
                <w:szCs w:val="18"/>
              </w:rPr>
              <w:t>年末</w:t>
            </w:r>
          </w:p>
        </w:tc>
      </w:tr>
      <w:tr>
        <w:trPr>
          <w:trHeight w:val="653" w:hRule="exact"/>
        </w:trPr>
        <w:tc>
          <w:tcPr>
            <w:tcW w:w="2354"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316" w:lineRule="auto" w:before="10"/>
              <w:ind w:left="5" w:right="157"/>
              <w:jc w:val="left"/>
              <w:rPr>
                <w:rFonts w:ascii="宋体" w:hAnsi="宋体" w:cs="宋体" w:eastAsia="宋体" w:hint="default"/>
                <w:sz w:val="18"/>
                <w:szCs w:val="18"/>
              </w:rPr>
            </w:pPr>
            <w:r>
              <w:rPr>
                <w:rFonts w:ascii="宋体" w:hAnsi="宋体" w:cs="宋体" w:eastAsia="宋体" w:hint="default"/>
                <w:sz w:val="18"/>
                <w:szCs w:val="18"/>
              </w:rPr>
              <w:t>归属于上市公司股东的每股</w:t>
            </w:r>
            <w:r>
              <w:rPr>
                <w:rFonts w:ascii="宋体" w:hAnsi="宋体" w:cs="宋体" w:eastAsia="宋体" w:hint="default"/>
                <w:w w:val="99"/>
                <w:sz w:val="18"/>
                <w:szCs w:val="18"/>
              </w:rPr>
              <w:t> </w:t>
            </w:r>
            <w:r>
              <w:rPr>
                <w:rFonts w:ascii="宋体" w:hAnsi="宋体" w:cs="宋体" w:eastAsia="宋体" w:hint="default"/>
                <w:sz w:val="18"/>
                <w:szCs w:val="18"/>
              </w:rPr>
              <w:t>净资产（元</w:t>
            </w:r>
            <w:r>
              <w:rPr>
                <w:rFonts w:ascii="Arial" w:hAnsi="Arial" w:cs="Arial" w:eastAsia="Arial" w:hint="default"/>
                <w:sz w:val="18"/>
                <w:szCs w:val="18"/>
              </w:rPr>
              <w:t>/</w:t>
            </w:r>
            <w:r>
              <w:rPr>
                <w:rFonts w:ascii="宋体" w:hAnsi="宋体" w:cs="宋体" w:eastAsia="宋体" w:hint="default"/>
                <w:sz w:val="18"/>
                <w:szCs w:val="18"/>
              </w:rPr>
              <w:t>股）</w:t>
            </w:r>
          </w:p>
        </w:tc>
        <w:tc>
          <w:tcPr>
            <w:tcW w:w="1645" w:type="dxa"/>
            <w:tcBorders>
              <w:top w:val="single" w:sz="12" w:space="0" w:color="000000"/>
              <w:left w:val="single" w:sz="18"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Arial" w:hAnsi="Arial" w:cs="Arial" w:eastAsia="Arial" w:hint="default"/>
                <w:sz w:val="18"/>
                <w:szCs w:val="18"/>
              </w:rPr>
            </w:pPr>
            <w:r>
              <w:rPr>
                <w:rFonts w:ascii="Arial"/>
                <w:w w:val="95"/>
                <w:sz w:val="18"/>
              </w:rPr>
              <w:t>6.79</w:t>
            </w:r>
            <w:r>
              <w:rPr>
                <w:rFonts w:ascii="Arial"/>
                <w:sz w:val="18"/>
              </w:rPr>
            </w:r>
          </w:p>
        </w:tc>
        <w:tc>
          <w:tcPr>
            <w:tcW w:w="16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Arial" w:hAnsi="Arial" w:cs="Arial" w:eastAsia="Arial" w:hint="default"/>
                <w:sz w:val="18"/>
                <w:szCs w:val="18"/>
              </w:rPr>
            </w:pPr>
            <w:r>
              <w:rPr>
                <w:rFonts w:ascii="Arial"/>
                <w:w w:val="95"/>
                <w:sz w:val="18"/>
              </w:rPr>
              <w:t>2.13</w:t>
            </w:r>
            <w:r>
              <w:rPr>
                <w:rFonts w:ascii="Arial"/>
                <w:sz w:val="18"/>
              </w:rPr>
            </w:r>
          </w:p>
        </w:tc>
        <w:tc>
          <w:tcPr>
            <w:tcW w:w="15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Arial" w:hAnsi="Arial" w:cs="Arial" w:eastAsia="Arial" w:hint="default"/>
                <w:sz w:val="18"/>
                <w:szCs w:val="18"/>
              </w:rPr>
            </w:pPr>
            <w:r>
              <w:rPr>
                <w:rFonts w:ascii="Arial"/>
                <w:spacing w:val="-1"/>
                <w:sz w:val="18"/>
              </w:rPr>
              <w:t>218.78%</w:t>
            </w:r>
          </w:p>
        </w:tc>
        <w:tc>
          <w:tcPr>
            <w:tcW w:w="16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
              <w:jc w:val="right"/>
              <w:rPr>
                <w:rFonts w:ascii="Arial" w:hAnsi="Arial" w:cs="Arial" w:eastAsia="Arial" w:hint="default"/>
                <w:sz w:val="18"/>
                <w:szCs w:val="18"/>
              </w:rPr>
            </w:pPr>
            <w:r>
              <w:rPr>
                <w:rFonts w:ascii="Arial"/>
                <w:w w:val="95"/>
                <w:sz w:val="18"/>
              </w:rPr>
              <w:t>1.55</w:t>
            </w:r>
            <w:r>
              <w:rPr>
                <w:rFonts w:ascii="Arial"/>
                <w:sz w:val="18"/>
              </w:rPr>
            </w:r>
          </w:p>
        </w:tc>
      </w:tr>
    </w:tbl>
    <w:p>
      <w:pPr>
        <w:spacing w:after="0" w:line="240" w:lineRule="auto"/>
        <w:jc w:val="right"/>
        <w:rPr>
          <w:rFonts w:ascii="Arial" w:hAnsi="Arial" w:cs="Arial" w:eastAsia="Arial" w:hint="default"/>
          <w:sz w:val="18"/>
          <w:szCs w:val="18"/>
        </w:rPr>
        <w:sectPr>
          <w:pgSz w:w="11900" w:h="16840"/>
          <w:pgMar w:header="877" w:footer="981" w:top="1060" w:bottom="1180" w:left="1440" w:right="1420"/>
        </w:sectPr>
      </w:pPr>
    </w:p>
    <w:p>
      <w:pPr>
        <w:spacing w:line="240" w:lineRule="auto" w:before="0"/>
        <w:rPr>
          <w:rFonts w:ascii="宋体" w:hAnsi="宋体" w:cs="宋体" w:eastAsia="宋体" w:hint="default"/>
          <w:sz w:val="20"/>
          <w:szCs w:val="20"/>
        </w:rPr>
      </w:pPr>
    </w:p>
    <w:p>
      <w:pPr>
        <w:pStyle w:val="BodyText"/>
        <w:spacing w:line="240" w:lineRule="auto" w:before="166"/>
        <w:ind w:left="319" w:right="0"/>
        <w:jc w:val="left"/>
      </w:pPr>
      <w:r>
        <w:rPr/>
        <w:t>注：</w:t>
      </w:r>
      <w:r>
        <w:rPr>
          <w:rFonts w:ascii="Arial" w:hAnsi="Arial" w:cs="Arial" w:eastAsia="Arial" w:hint="default"/>
        </w:rPr>
        <w:t>1</w:t>
      </w:r>
      <w:r>
        <w:rPr/>
        <w:t>、表中所有财务指标均按中国证监会规定的计算公式计算；</w:t>
      </w:r>
    </w:p>
    <w:p>
      <w:pPr>
        <w:pStyle w:val="BodyText"/>
        <w:spacing w:line="369" w:lineRule="auto" w:before="164"/>
        <w:ind w:left="740" w:right="0"/>
        <w:jc w:val="left"/>
      </w:pPr>
      <w:r>
        <w:rPr>
          <w:rFonts w:ascii="Arial" w:hAnsi="Arial" w:cs="Arial" w:eastAsia="Arial" w:hint="default"/>
          <w:spacing w:val="-9"/>
        </w:rPr>
        <w:t>2</w:t>
      </w:r>
      <w:r>
        <w:rPr>
          <w:spacing w:val="-9"/>
        </w:rPr>
        <w:t>、</w:t>
      </w:r>
      <w:r>
        <w:rPr>
          <w:rFonts w:ascii="Arial" w:hAnsi="Arial" w:cs="Arial" w:eastAsia="Arial" w:hint="default"/>
          <w:spacing w:val="-9"/>
        </w:rPr>
        <w:t>2008 </w:t>
      </w:r>
      <w:r>
        <w:rPr>
          <w:spacing w:val="-9"/>
        </w:rPr>
        <w:t>年、</w:t>
      </w:r>
      <w:r>
        <w:rPr>
          <w:rFonts w:ascii="Arial" w:hAnsi="Arial" w:cs="Arial" w:eastAsia="Arial" w:hint="default"/>
          <w:spacing w:val="-9"/>
        </w:rPr>
        <w:t>2009 </w:t>
      </w:r>
      <w:r>
        <w:rPr>
          <w:spacing w:val="-10"/>
        </w:rPr>
        <w:t>年、</w:t>
      </w:r>
      <w:r>
        <w:rPr>
          <w:rFonts w:ascii="Arial" w:hAnsi="Arial" w:cs="Arial" w:eastAsia="Arial" w:hint="default"/>
          <w:spacing w:val="-10"/>
        </w:rPr>
        <w:t>2010 </w:t>
      </w:r>
      <w:r>
        <w:rPr/>
        <w:t>年各年末的股本分别为 </w:t>
      </w:r>
      <w:r>
        <w:rPr>
          <w:rFonts w:ascii="Arial" w:hAnsi="Arial" w:cs="Arial" w:eastAsia="Arial" w:hint="default"/>
        </w:rPr>
        <w:t>8000 </w:t>
      </w:r>
      <w:r>
        <w:rPr>
          <w:spacing w:val="-8"/>
        </w:rPr>
        <w:t>万股、</w:t>
      </w:r>
      <w:r>
        <w:rPr>
          <w:rFonts w:ascii="Arial" w:hAnsi="Arial" w:cs="Arial" w:eastAsia="Arial" w:hint="default"/>
          <w:spacing w:val="-8"/>
        </w:rPr>
        <w:t>8000</w:t>
      </w:r>
      <w:r>
        <w:rPr>
          <w:rFonts w:ascii="Arial" w:hAnsi="Arial" w:cs="Arial" w:eastAsia="Arial" w:hint="default"/>
          <w:spacing w:val="-39"/>
        </w:rPr>
        <w:t> </w:t>
      </w:r>
      <w:r>
        <w:rPr>
          <w:spacing w:val="-8"/>
        </w:rPr>
        <w:t>万股、</w:t>
      </w:r>
      <w:r>
        <w:rPr>
          <w:rFonts w:ascii="Arial" w:hAnsi="Arial" w:cs="Arial" w:eastAsia="Arial" w:hint="default"/>
          <w:spacing w:val="-8"/>
        </w:rPr>
        <w:t>10700</w:t>
      </w:r>
      <w:r>
        <w:rPr>
          <w:rFonts w:ascii="Arial" w:hAnsi="Arial" w:cs="Arial" w:eastAsia="Arial" w:hint="default"/>
          <w:w w:val="100"/>
        </w:rPr>
        <w:t> </w:t>
      </w:r>
      <w:r>
        <w:rPr/>
        <w:t>万股。</w:t>
      </w:r>
    </w:p>
    <w:p>
      <w:pPr>
        <w:pStyle w:val="Heading3"/>
        <w:spacing w:line="240" w:lineRule="auto" w:before="92"/>
        <w:ind w:left="319" w:right="0"/>
        <w:jc w:val="left"/>
      </w:pPr>
      <w:r>
        <w:rPr/>
        <w:t>三、非经常性损益项目</w:t>
      </w:r>
    </w:p>
    <w:p>
      <w:pPr>
        <w:spacing w:before="236"/>
        <w:ind w:left="0" w:right="351"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3"/>
        <w:rPr>
          <w:rFonts w:ascii="宋体" w:hAnsi="宋体" w:cs="宋体" w:eastAsia="宋体" w:hint="default"/>
          <w:sz w:val="9"/>
          <w:szCs w:val="9"/>
        </w:rPr>
      </w:pPr>
    </w:p>
    <w:tbl>
      <w:tblPr>
        <w:tblW w:w="0" w:type="auto"/>
        <w:jc w:val="left"/>
        <w:tblInd w:w="135" w:type="dxa"/>
        <w:tblLayout w:type="fixed"/>
        <w:tblCellMar>
          <w:top w:w="0" w:type="dxa"/>
          <w:left w:w="0" w:type="dxa"/>
          <w:bottom w:w="0" w:type="dxa"/>
          <w:right w:w="0" w:type="dxa"/>
        </w:tblCellMar>
        <w:tblLook w:val="01E0"/>
      </w:tblPr>
      <w:tblGrid>
        <w:gridCol w:w="4709"/>
        <w:gridCol w:w="2213"/>
        <w:gridCol w:w="1723"/>
      </w:tblGrid>
      <w:tr>
        <w:trPr>
          <w:trHeight w:val="339" w:hRule="exact"/>
        </w:trPr>
        <w:tc>
          <w:tcPr>
            <w:tcW w:w="4709"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非经常性损益项目</w:t>
            </w:r>
          </w:p>
        </w:tc>
        <w:tc>
          <w:tcPr>
            <w:tcW w:w="2213"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23"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sz w:val="18"/>
                <w:szCs w:val="18"/>
              </w:rPr>
              <w:t>附注（如适用）</w:t>
            </w:r>
          </w:p>
        </w:tc>
      </w:tr>
      <w:tr>
        <w:trPr>
          <w:trHeight w:val="343" w:hRule="exact"/>
        </w:trPr>
        <w:tc>
          <w:tcPr>
            <w:tcW w:w="47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w w:val="95"/>
                <w:sz w:val="18"/>
                <w:szCs w:val="18"/>
              </w:rPr>
              <w:t>越权审批，或无正式批准文件，或偶发性的税收返还、减免</w:t>
            </w:r>
            <w:r>
              <w:rPr>
                <w:rFonts w:ascii="宋体" w:hAnsi="宋体" w:cs="宋体" w:eastAsia="宋体" w:hint="default"/>
                <w:sz w:val="18"/>
                <w:szCs w:val="18"/>
              </w:rPr>
            </w:r>
          </w:p>
        </w:tc>
        <w:tc>
          <w:tcPr>
            <w:tcW w:w="22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210,360.00</w:t>
            </w:r>
          </w:p>
        </w:tc>
        <w:tc>
          <w:tcPr>
            <w:tcW w:w="1723" w:type="dxa"/>
            <w:tcBorders>
              <w:top w:val="single" w:sz="12" w:space="0" w:color="000000"/>
              <w:left w:val="single" w:sz="12" w:space="0" w:color="000000"/>
              <w:bottom w:val="single" w:sz="12" w:space="0" w:color="000000"/>
              <w:right w:val="single" w:sz="12" w:space="0" w:color="000000"/>
            </w:tcBorders>
          </w:tcPr>
          <w:p>
            <w:pPr/>
          </w:p>
        </w:tc>
      </w:tr>
      <w:tr>
        <w:trPr>
          <w:trHeight w:val="965" w:hRule="exact"/>
        </w:trPr>
        <w:tc>
          <w:tcPr>
            <w:tcW w:w="4709"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14" w:right="10"/>
              <w:jc w:val="both"/>
              <w:rPr>
                <w:rFonts w:ascii="宋体" w:hAnsi="宋体" w:cs="宋体" w:eastAsia="宋体" w:hint="default"/>
                <w:sz w:val="18"/>
                <w:szCs w:val="18"/>
              </w:rPr>
            </w:pPr>
            <w:r>
              <w:rPr>
                <w:rFonts w:ascii="宋体" w:hAnsi="宋体" w:cs="宋体" w:eastAsia="宋体" w:hint="default"/>
                <w:spacing w:val="5"/>
                <w:sz w:val="18"/>
                <w:szCs w:val="18"/>
              </w:rPr>
              <w:t>计入当期损益的政府补助，但与公司正常经营业务密切相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关，符合国家政策规定、按照一定标准定额或定量持续享受</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的政府补助除外</w:t>
            </w:r>
          </w:p>
        </w:tc>
        <w:tc>
          <w:tcPr>
            <w:tcW w:w="22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0"/>
              <w:jc w:val="right"/>
              <w:rPr>
                <w:rFonts w:ascii="Arial" w:hAnsi="Arial" w:cs="Arial" w:eastAsia="Arial" w:hint="default"/>
                <w:sz w:val="18"/>
                <w:szCs w:val="18"/>
              </w:rPr>
            </w:pPr>
            <w:r>
              <w:rPr>
                <w:rFonts w:ascii="Arial"/>
                <w:spacing w:val="-1"/>
                <w:sz w:val="18"/>
              </w:rPr>
              <w:t>8,453,700.00</w:t>
            </w:r>
          </w:p>
        </w:tc>
        <w:tc>
          <w:tcPr>
            <w:tcW w:w="1723"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47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2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-1,165,767.79</w:t>
            </w:r>
          </w:p>
        </w:tc>
        <w:tc>
          <w:tcPr>
            <w:tcW w:w="1723" w:type="dxa"/>
            <w:tcBorders>
              <w:top w:val="single" w:sz="12" w:space="0" w:color="000000"/>
              <w:left w:val="single" w:sz="12" w:space="0" w:color="000000"/>
              <w:bottom w:val="single" w:sz="12" w:space="0" w:color="000000"/>
              <w:right w:val="single" w:sz="12" w:space="0" w:color="000000"/>
            </w:tcBorders>
          </w:tcPr>
          <w:p>
            <w:pPr/>
          </w:p>
        </w:tc>
      </w:tr>
      <w:tr>
        <w:trPr>
          <w:trHeight w:val="342" w:hRule="exact"/>
        </w:trPr>
        <w:tc>
          <w:tcPr>
            <w:tcW w:w="47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22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-1,438,964.71</w:t>
            </w:r>
          </w:p>
        </w:tc>
        <w:tc>
          <w:tcPr>
            <w:tcW w:w="1723" w:type="dxa"/>
            <w:tcBorders>
              <w:top w:val="single" w:sz="12" w:space="0" w:color="000000"/>
              <w:left w:val="single" w:sz="12" w:space="0" w:color="000000"/>
              <w:bottom w:val="single" w:sz="12" w:space="0" w:color="000000"/>
              <w:right w:val="single" w:sz="12" w:space="0" w:color="000000"/>
            </w:tcBorders>
          </w:tcPr>
          <w:p>
            <w:pPr/>
          </w:p>
        </w:tc>
      </w:tr>
      <w:tr>
        <w:trPr>
          <w:trHeight w:val="340" w:hRule="exact"/>
        </w:trPr>
        <w:tc>
          <w:tcPr>
            <w:tcW w:w="4709"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10"/>
              <w:jc w:val="right"/>
              <w:rPr>
                <w:rFonts w:ascii="Arial" w:hAnsi="Arial" w:cs="Arial" w:eastAsia="Arial" w:hint="default"/>
                <w:sz w:val="18"/>
                <w:szCs w:val="18"/>
              </w:rPr>
            </w:pPr>
            <w:r>
              <w:rPr>
                <w:rFonts w:ascii="Arial"/>
                <w:spacing w:val="-1"/>
                <w:sz w:val="18"/>
              </w:rPr>
              <w:t>6,059,327.50</w:t>
            </w:r>
          </w:p>
        </w:tc>
        <w:tc>
          <w:tcPr>
            <w:tcW w:w="172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left="2" w:right="0"/>
              <w:jc w:val="center"/>
              <w:rPr>
                <w:rFonts w:ascii="Arial" w:hAnsi="Arial" w:cs="Arial" w:eastAsia="Arial" w:hint="default"/>
                <w:sz w:val="18"/>
                <w:szCs w:val="18"/>
              </w:rPr>
            </w:pPr>
            <w:r>
              <w:rPr>
                <w:rFonts w:ascii="Arial"/>
                <w:w w:val="99"/>
                <w:sz w:val="18"/>
              </w:rPr>
              <w:t>-</w:t>
            </w:r>
            <w:r>
              <w:rPr>
                <w:rFonts w:ascii="Arial"/>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8"/>
        <w:ind w:left="320" w:right="0"/>
        <w:jc w:val="left"/>
      </w:pPr>
      <w:r>
        <w:rPr/>
        <w:t>四、采用公允价值计量的项目</w:t>
      </w:r>
    </w:p>
    <w:p>
      <w:pPr>
        <w:spacing w:line="240" w:lineRule="auto" w:before="4"/>
        <w:rPr>
          <w:rFonts w:ascii="宋体" w:hAnsi="宋体" w:cs="宋体" w:eastAsia="宋体" w:hint="default"/>
          <w:sz w:val="15"/>
          <w:szCs w:val="15"/>
        </w:rPr>
      </w:pPr>
    </w:p>
    <w:p>
      <w:pPr>
        <w:spacing w:before="36"/>
        <w:ind w:left="0" w:right="351"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2356"/>
        <w:gridCol w:w="1279"/>
        <w:gridCol w:w="1269"/>
        <w:gridCol w:w="1273"/>
        <w:gridCol w:w="1269"/>
        <w:gridCol w:w="1276"/>
      </w:tblGrid>
      <w:tr>
        <w:trPr>
          <w:trHeight w:val="983" w:hRule="exact"/>
        </w:trPr>
        <w:tc>
          <w:tcPr>
            <w:tcW w:w="2356"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79"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269"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57" w:right="80" w:hanging="180"/>
              <w:jc w:val="left"/>
              <w:rPr>
                <w:rFonts w:ascii="宋体" w:hAnsi="宋体" w:cs="宋体" w:eastAsia="宋体" w:hint="default"/>
                <w:sz w:val="18"/>
                <w:szCs w:val="18"/>
              </w:rPr>
            </w:pPr>
            <w:r>
              <w:rPr>
                <w:rFonts w:ascii="宋体" w:hAnsi="宋体" w:cs="宋体" w:eastAsia="宋体" w:hint="default"/>
                <w:sz w:val="18"/>
                <w:szCs w:val="18"/>
              </w:rPr>
              <w:t>本期公允价值</w:t>
            </w:r>
            <w:r>
              <w:rPr>
                <w:rFonts w:ascii="宋体" w:hAnsi="宋体" w:cs="宋体" w:eastAsia="宋体" w:hint="default"/>
                <w:w w:val="99"/>
                <w:sz w:val="18"/>
                <w:szCs w:val="18"/>
              </w:rPr>
              <w:t> </w:t>
            </w:r>
            <w:r>
              <w:rPr>
                <w:rFonts w:ascii="宋体" w:hAnsi="宋体" w:cs="宋体" w:eastAsia="宋体" w:hint="default"/>
                <w:sz w:val="18"/>
                <w:szCs w:val="18"/>
              </w:rPr>
              <w:t>变动损益</w:t>
            </w:r>
          </w:p>
        </w:tc>
        <w:tc>
          <w:tcPr>
            <w:tcW w:w="1273"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316" w:lineRule="auto" w:before="10"/>
              <w:ind w:left="80" w:right="81"/>
              <w:jc w:val="center"/>
              <w:rPr>
                <w:rFonts w:ascii="宋体" w:hAnsi="宋体" w:cs="宋体" w:eastAsia="宋体" w:hint="default"/>
                <w:sz w:val="18"/>
                <w:szCs w:val="18"/>
              </w:rPr>
            </w:pPr>
            <w:r>
              <w:rPr>
                <w:rFonts w:ascii="宋体" w:hAnsi="宋体" w:cs="宋体" w:eastAsia="宋体" w:hint="default"/>
                <w:sz w:val="18"/>
                <w:szCs w:val="18"/>
              </w:rPr>
              <w:t>计入权益的累</w:t>
            </w:r>
            <w:r>
              <w:rPr>
                <w:rFonts w:ascii="宋体" w:hAnsi="宋体" w:cs="宋体" w:eastAsia="宋体" w:hint="default"/>
                <w:w w:val="99"/>
                <w:sz w:val="18"/>
                <w:szCs w:val="18"/>
              </w:rPr>
              <w:t> </w:t>
            </w:r>
            <w:r>
              <w:rPr>
                <w:rFonts w:ascii="宋体" w:hAnsi="宋体" w:cs="宋体" w:eastAsia="宋体" w:hint="default"/>
                <w:sz w:val="18"/>
                <w:szCs w:val="18"/>
              </w:rPr>
              <w:t>计公允价值变</w:t>
            </w:r>
            <w:r>
              <w:rPr>
                <w:rFonts w:ascii="宋体" w:hAnsi="宋体" w:cs="宋体" w:eastAsia="宋体" w:hint="default"/>
                <w:w w:val="99"/>
                <w:sz w:val="18"/>
                <w:szCs w:val="18"/>
              </w:rPr>
              <w:t> </w:t>
            </w:r>
            <w:r>
              <w:rPr>
                <w:rFonts w:ascii="宋体" w:hAnsi="宋体" w:cs="宋体" w:eastAsia="宋体" w:hint="default"/>
                <w:sz w:val="18"/>
                <w:szCs w:val="18"/>
              </w:rPr>
              <w:t>动</w:t>
            </w:r>
          </w:p>
        </w:tc>
        <w:tc>
          <w:tcPr>
            <w:tcW w:w="1269"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530" w:right="78" w:hanging="452"/>
              <w:jc w:val="left"/>
              <w:rPr>
                <w:rFonts w:ascii="宋体" w:hAnsi="宋体" w:cs="宋体" w:eastAsia="宋体" w:hint="default"/>
                <w:sz w:val="18"/>
                <w:szCs w:val="18"/>
              </w:rPr>
            </w:pPr>
            <w:r>
              <w:rPr>
                <w:rFonts w:ascii="宋体" w:hAnsi="宋体" w:cs="宋体" w:eastAsia="宋体" w:hint="default"/>
                <w:sz w:val="18"/>
                <w:szCs w:val="18"/>
              </w:rPr>
              <w:t>本期计提的减</w:t>
            </w:r>
            <w:r>
              <w:rPr>
                <w:rFonts w:ascii="宋体" w:hAnsi="宋体" w:cs="宋体" w:eastAsia="宋体" w:hint="default"/>
                <w:w w:val="99"/>
                <w:sz w:val="18"/>
                <w:szCs w:val="18"/>
              </w:rPr>
              <w:t> </w:t>
            </w:r>
            <w:r>
              <w:rPr>
                <w:rFonts w:ascii="宋体" w:hAnsi="宋体" w:cs="宋体" w:eastAsia="宋体" w:hint="default"/>
                <w:sz w:val="18"/>
                <w:szCs w:val="18"/>
              </w:rPr>
              <w:t>值</w:t>
            </w:r>
          </w:p>
        </w:tc>
        <w:tc>
          <w:tcPr>
            <w:tcW w:w="1276"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期末金额</w:t>
            </w:r>
          </w:p>
        </w:tc>
      </w:tr>
      <w:tr>
        <w:trPr>
          <w:trHeight w:val="325" w:hRule="exact"/>
        </w:trPr>
        <w:tc>
          <w:tcPr>
            <w:tcW w:w="8722" w:type="dxa"/>
            <w:gridSpan w:val="6"/>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31" w:lineRule="exact"/>
              <w:ind w:left="7"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967" w:hRule="exact"/>
        </w:trPr>
        <w:tc>
          <w:tcPr>
            <w:tcW w:w="2356"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309" w:lineRule="auto" w:before="10"/>
              <w:ind w:left="7" w:right="6"/>
              <w:jc w:val="left"/>
              <w:rPr>
                <w:rFonts w:ascii="宋体" w:hAnsi="宋体" w:cs="宋体" w:eastAsia="宋体" w:hint="default"/>
                <w:sz w:val="18"/>
                <w:szCs w:val="18"/>
              </w:rPr>
            </w:pPr>
            <w:r>
              <w:rPr>
                <w:rFonts w:ascii="宋体" w:hAnsi="宋体" w:cs="宋体" w:eastAsia="宋体" w:hint="default"/>
                <w:sz w:val="18"/>
                <w:szCs w:val="18"/>
              </w:rPr>
              <w:t>其中：</w:t>
            </w:r>
            <w:r>
              <w:rPr>
                <w:rFonts w:ascii="Arial" w:hAnsi="Arial" w:cs="Arial" w:eastAsia="Arial" w:hint="default"/>
                <w:sz w:val="18"/>
                <w:szCs w:val="18"/>
              </w:rPr>
              <w:t>1.</w:t>
            </w:r>
            <w:r>
              <w:rPr>
                <w:rFonts w:ascii="宋体" w:hAnsi="宋体" w:cs="宋体" w:eastAsia="宋体" w:hint="default"/>
                <w:sz w:val="18"/>
                <w:szCs w:val="18"/>
              </w:rPr>
              <w:t>以公允价值计量且其</w:t>
            </w:r>
            <w:r>
              <w:rPr>
                <w:rFonts w:ascii="宋体" w:hAnsi="宋体" w:cs="宋体" w:eastAsia="宋体" w:hint="default"/>
                <w:w w:val="99"/>
                <w:sz w:val="18"/>
                <w:szCs w:val="18"/>
              </w:rPr>
              <w:t> </w:t>
            </w:r>
            <w:r>
              <w:rPr>
                <w:rFonts w:ascii="宋体" w:hAnsi="宋体" w:cs="宋体" w:eastAsia="宋体" w:hint="default"/>
                <w:sz w:val="18"/>
                <w:szCs w:val="18"/>
              </w:rPr>
              <w:t>变动计入当期损益的金融资</w:t>
            </w:r>
            <w:r>
              <w:rPr>
                <w:rFonts w:ascii="宋体" w:hAnsi="宋体" w:cs="宋体" w:eastAsia="宋体" w:hint="default"/>
                <w:w w:val="99"/>
                <w:sz w:val="18"/>
                <w:szCs w:val="18"/>
              </w:rPr>
              <w:t> </w:t>
            </w:r>
            <w:r>
              <w:rPr>
                <w:rFonts w:ascii="宋体" w:hAnsi="宋体" w:cs="宋体" w:eastAsia="宋体" w:hint="default"/>
                <w:sz w:val="18"/>
                <w:szCs w:val="18"/>
              </w:rPr>
              <w:t>产</w:t>
            </w:r>
          </w:p>
        </w:tc>
        <w:tc>
          <w:tcPr>
            <w:tcW w:w="1279" w:type="dxa"/>
            <w:tcBorders>
              <w:top w:val="single" w:sz="12" w:space="0" w:color="000000"/>
              <w:left w:val="single" w:sz="17" w:space="0" w:color="000000"/>
              <w:bottom w:val="single" w:sz="12" w:space="0" w:color="000000"/>
              <w:right w:val="single" w:sz="12" w:space="0" w:color="000000"/>
            </w:tcBorders>
          </w:tcPr>
          <w:p>
            <w:pPr/>
          </w:p>
        </w:tc>
        <w:tc>
          <w:tcPr>
            <w:tcW w:w="12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1"/>
              <w:jc w:val="right"/>
              <w:rPr>
                <w:rFonts w:ascii="Arial" w:hAnsi="Arial" w:cs="Arial" w:eastAsia="Arial" w:hint="default"/>
                <w:sz w:val="18"/>
                <w:szCs w:val="18"/>
              </w:rPr>
            </w:pPr>
            <w:r>
              <w:rPr>
                <w:rFonts w:ascii="Arial"/>
                <w:spacing w:val="-1"/>
                <w:sz w:val="18"/>
              </w:rPr>
              <w:t>25,583.34</w:t>
            </w:r>
          </w:p>
        </w:tc>
        <w:tc>
          <w:tcPr>
            <w:tcW w:w="12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2"/>
              <w:jc w:val="right"/>
              <w:rPr>
                <w:rFonts w:ascii="Arial" w:hAnsi="Arial" w:cs="Arial" w:eastAsia="Arial" w:hint="default"/>
                <w:sz w:val="18"/>
                <w:szCs w:val="18"/>
              </w:rPr>
            </w:pPr>
            <w:r>
              <w:rPr>
                <w:rFonts w:ascii="Arial"/>
                <w:spacing w:val="-1"/>
                <w:sz w:val="18"/>
              </w:rPr>
              <w:t>25,583.34</w:t>
            </w:r>
          </w:p>
        </w:tc>
        <w:tc>
          <w:tcPr>
            <w:tcW w:w="1269" w:type="dxa"/>
            <w:tcBorders>
              <w:top w:val="single" w:sz="12" w:space="0" w:color="000000"/>
              <w:left w:val="single" w:sz="12" w:space="0" w:color="000000"/>
              <w:bottom w:val="single" w:sz="12" w:space="0" w:color="000000"/>
              <w:right w:val="single" w:sz="12" w:space="0" w:color="000000"/>
            </w:tcBorders>
          </w:tcPr>
          <w:p>
            <w:pPr/>
          </w:p>
        </w:tc>
        <w:tc>
          <w:tcPr>
            <w:tcW w:w="1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2" w:right="0"/>
              <w:jc w:val="center"/>
              <w:rPr>
                <w:rFonts w:ascii="Arial" w:hAnsi="Arial" w:cs="Arial" w:eastAsia="Arial" w:hint="default"/>
                <w:sz w:val="18"/>
                <w:szCs w:val="18"/>
              </w:rPr>
            </w:pPr>
            <w:r>
              <w:rPr>
                <w:rFonts w:ascii="Arial"/>
                <w:sz w:val="18"/>
              </w:rPr>
              <w:t>20,025,583.34</w:t>
            </w:r>
          </w:p>
        </w:tc>
      </w:tr>
      <w:tr>
        <w:trPr>
          <w:trHeight w:val="341" w:hRule="exact"/>
        </w:trPr>
        <w:tc>
          <w:tcPr>
            <w:tcW w:w="2356"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10"/>
              <w:ind w:right="335"/>
              <w:jc w:val="right"/>
              <w:rPr>
                <w:rFonts w:ascii="宋体" w:hAnsi="宋体" w:cs="宋体" w:eastAsia="宋体" w:hint="default"/>
                <w:sz w:val="18"/>
                <w:szCs w:val="18"/>
              </w:rPr>
            </w:pPr>
            <w:r>
              <w:rPr>
                <w:rFonts w:ascii="宋体" w:hAnsi="宋体" w:cs="宋体" w:eastAsia="宋体" w:hint="default"/>
                <w:w w:val="95"/>
                <w:sz w:val="18"/>
                <w:szCs w:val="18"/>
              </w:rPr>
              <w:t>其中：衍生金融资产</w:t>
            </w:r>
            <w:r>
              <w:rPr>
                <w:rFonts w:ascii="宋体" w:hAnsi="宋体" w:cs="宋体" w:eastAsia="宋体" w:hint="default"/>
                <w:sz w:val="18"/>
                <w:szCs w:val="18"/>
              </w:rPr>
            </w:r>
          </w:p>
        </w:tc>
        <w:tc>
          <w:tcPr>
            <w:tcW w:w="1279" w:type="dxa"/>
            <w:tcBorders>
              <w:top w:val="single" w:sz="12" w:space="0" w:color="000000"/>
              <w:left w:val="single" w:sz="17" w:space="0" w:color="000000"/>
              <w:bottom w:val="single" w:sz="12" w:space="0" w:color="000000"/>
              <w:right w:val="single" w:sz="12" w:space="0" w:color="000000"/>
            </w:tcBorders>
          </w:tcPr>
          <w:p>
            <w:pPr/>
          </w:p>
        </w:tc>
        <w:tc>
          <w:tcPr>
            <w:tcW w:w="1269" w:type="dxa"/>
            <w:tcBorders>
              <w:top w:val="single" w:sz="12" w:space="0" w:color="000000"/>
              <w:left w:val="single" w:sz="12" w:space="0" w:color="000000"/>
              <w:bottom w:val="single" w:sz="12" w:space="0" w:color="000000"/>
              <w:right w:val="single" w:sz="12" w:space="0" w:color="000000"/>
            </w:tcBorders>
          </w:tcPr>
          <w:p>
            <w:pPr/>
          </w:p>
        </w:tc>
        <w:tc>
          <w:tcPr>
            <w:tcW w:w="1273" w:type="dxa"/>
            <w:tcBorders>
              <w:top w:val="single" w:sz="12" w:space="0" w:color="000000"/>
              <w:left w:val="single" w:sz="12" w:space="0" w:color="000000"/>
              <w:bottom w:val="single" w:sz="12" w:space="0" w:color="000000"/>
              <w:right w:val="single" w:sz="12" w:space="0" w:color="000000"/>
            </w:tcBorders>
          </w:tcPr>
          <w:p>
            <w:pPr/>
          </w:p>
        </w:tc>
        <w:tc>
          <w:tcPr>
            <w:tcW w:w="1269" w:type="dxa"/>
            <w:tcBorders>
              <w:top w:val="single" w:sz="12" w:space="0" w:color="000000"/>
              <w:left w:val="single" w:sz="12" w:space="0" w:color="000000"/>
              <w:bottom w:val="single" w:sz="12" w:space="0" w:color="000000"/>
              <w:right w:val="single" w:sz="12" w:space="0" w:color="000000"/>
            </w:tcBorders>
          </w:tcPr>
          <w:p>
            <w:pPr/>
          </w:p>
        </w:tc>
        <w:tc>
          <w:tcPr>
            <w:tcW w:w="1276"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356"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10"/>
              <w:ind w:right="364"/>
              <w:jc w:val="right"/>
              <w:rPr>
                <w:rFonts w:ascii="宋体" w:hAnsi="宋体" w:cs="宋体" w:eastAsia="宋体" w:hint="default"/>
                <w:sz w:val="18"/>
                <w:szCs w:val="18"/>
              </w:rPr>
            </w:pPr>
            <w:r>
              <w:rPr>
                <w:rFonts w:ascii="Arial" w:hAnsi="Arial" w:cs="Arial" w:eastAsia="Arial" w:hint="default"/>
                <w:w w:val="95"/>
                <w:sz w:val="18"/>
                <w:szCs w:val="18"/>
              </w:rPr>
              <w:t>2.</w:t>
            </w:r>
            <w:r>
              <w:rPr>
                <w:rFonts w:ascii="宋体" w:hAnsi="宋体" w:cs="宋体" w:eastAsia="宋体" w:hint="default"/>
                <w:w w:val="95"/>
                <w:sz w:val="18"/>
                <w:szCs w:val="18"/>
              </w:rPr>
              <w:t>可供出售金融资产</w:t>
            </w:r>
            <w:r>
              <w:rPr>
                <w:rFonts w:ascii="宋体" w:hAnsi="宋体" w:cs="宋体" w:eastAsia="宋体" w:hint="default"/>
                <w:sz w:val="18"/>
                <w:szCs w:val="18"/>
              </w:rPr>
            </w:r>
          </w:p>
        </w:tc>
        <w:tc>
          <w:tcPr>
            <w:tcW w:w="1279" w:type="dxa"/>
            <w:tcBorders>
              <w:top w:val="single" w:sz="12" w:space="0" w:color="000000"/>
              <w:left w:val="single" w:sz="17" w:space="0" w:color="000000"/>
              <w:bottom w:val="single" w:sz="12" w:space="0" w:color="000000"/>
              <w:right w:val="single" w:sz="12" w:space="0" w:color="000000"/>
            </w:tcBorders>
          </w:tcPr>
          <w:p>
            <w:pPr/>
          </w:p>
        </w:tc>
        <w:tc>
          <w:tcPr>
            <w:tcW w:w="1269" w:type="dxa"/>
            <w:tcBorders>
              <w:top w:val="single" w:sz="12" w:space="0" w:color="000000"/>
              <w:left w:val="single" w:sz="12" w:space="0" w:color="000000"/>
              <w:bottom w:val="single" w:sz="12" w:space="0" w:color="000000"/>
              <w:right w:val="single" w:sz="12" w:space="0" w:color="000000"/>
            </w:tcBorders>
          </w:tcPr>
          <w:p>
            <w:pPr/>
          </w:p>
        </w:tc>
        <w:tc>
          <w:tcPr>
            <w:tcW w:w="1273" w:type="dxa"/>
            <w:tcBorders>
              <w:top w:val="single" w:sz="12" w:space="0" w:color="000000"/>
              <w:left w:val="single" w:sz="12" w:space="0" w:color="000000"/>
              <w:bottom w:val="single" w:sz="12" w:space="0" w:color="000000"/>
              <w:right w:val="single" w:sz="12" w:space="0" w:color="000000"/>
            </w:tcBorders>
          </w:tcPr>
          <w:p>
            <w:pPr/>
          </w:p>
        </w:tc>
        <w:tc>
          <w:tcPr>
            <w:tcW w:w="1269" w:type="dxa"/>
            <w:tcBorders>
              <w:top w:val="single" w:sz="12" w:space="0" w:color="000000"/>
              <w:left w:val="single" w:sz="12" w:space="0" w:color="000000"/>
              <w:bottom w:val="single" w:sz="12" w:space="0" w:color="000000"/>
              <w:right w:val="single" w:sz="12" w:space="0" w:color="000000"/>
            </w:tcBorders>
          </w:tcPr>
          <w:p>
            <w:pPr/>
          </w:p>
        </w:tc>
        <w:tc>
          <w:tcPr>
            <w:tcW w:w="1276"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356"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79" w:type="dxa"/>
            <w:tcBorders>
              <w:top w:val="single" w:sz="12" w:space="0" w:color="000000"/>
              <w:left w:val="single" w:sz="17" w:space="0" w:color="000000"/>
              <w:bottom w:val="single" w:sz="12" w:space="0" w:color="000000"/>
              <w:right w:val="single" w:sz="12" w:space="0" w:color="000000"/>
            </w:tcBorders>
          </w:tcPr>
          <w:p>
            <w:pPr>
              <w:pStyle w:val="TableParagraph"/>
              <w:spacing w:line="240" w:lineRule="auto" w:before="52"/>
              <w:ind w:right="14"/>
              <w:jc w:val="right"/>
              <w:rPr>
                <w:rFonts w:ascii="Arial" w:hAnsi="Arial" w:cs="Arial" w:eastAsia="Arial" w:hint="default"/>
                <w:sz w:val="18"/>
                <w:szCs w:val="18"/>
              </w:rPr>
            </w:pPr>
            <w:r>
              <w:rPr>
                <w:rFonts w:ascii="Arial"/>
                <w:w w:val="95"/>
                <w:sz w:val="18"/>
              </w:rPr>
              <w:t>0.00</w:t>
            </w:r>
            <w:r>
              <w:rPr>
                <w:rFonts w:ascii="Arial"/>
                <w:sz w:val="18"/>
              </w:rPr>
            </w:r>
          </w:p>
        </w:tc>
        <w:tc>
          <w:tcPr>
            <w:tcW w:w="12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1"/>
              <w:jc w:val="right"/>
              <w:rPr>
                <w:rFonts w:ascii="Arial" w:hAnsi="Arial" w:cs="Arial" w:eastAsia="Arial" w:hint="default"/>
                <w:sz w:val="18"/>
                <w:szCs w:val="18"/>
              </w:rPr>
            </w:pPr>
            <w:r>
              <w:rPr>
                <w:rFonts w:ascii="Arial"/>
                <w:spacing w:val="-1"/>
                <w:sz w:val="18"/>
              </w:rPr>
              <w:t>25,583.34</w:t>
            </w:r>
          </w:p>
        </w:tc>
        <w:tc>
          <w:tcPr>
            <w:tcW w:w="12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2"/>
              <w:jc w:val="right"/>
              <w:rPr>
                <w:rFonts w:ascii="Arial" w:hAnsi="Arial" w:cs="Arial" w:eastAsia="Arial" w:hint="default"/>
                <w:sz w:val="18"/>
                <w:szCs w:val="18"/>
              </w:rPr>
            </w:pPr>
            <w:r>
              <w:rPr>
                <w:rFonts w:ascii="Arial"/>
                <w:spacing w:val="-1"/>
                <w:sz w:val="18"/>
              </w:rPr>
              <w:t>25,583.34</w:t>
            </w:r>
          </w:p>
        </w:tc>
        <w:tc>
          <w:tcPr>
            <w:tcW w:w="1269" w:type="dxa"/>
            <w:tcBorders>
              <w:top w:val="single" w:sz="12" w:space="0" w:color="000000"/>
              <w:left w:val="single" w:sz="12" w:space="0" w:color="000000"/>
              <w:bottom w:val="single" w:sz="12" w:space="0" w:color="000000"/>
              <w:right w:val="single" w:sz="12" w:space="0" w:color="000000"/>
            </w:tcBorders>
          </w:tcPr>
          <w:p>
            <w:pPr/>
          </w:p>
        </w:tc>
        <w:tc>
          <w:tcPr>
            <w:tcW w:w="1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62" w:right="0"/>
              <w:jc w:val="center"/>
              <w:rPr>
                <w:rFonts w:ascii="Arial" w:hAnsi="Arial" w:cs="Arial" w:eastAsia="Arial" w:hint="default"/>
                <w:sz w:val="18"/>
                <w:szCs w:val="18"/>
              </w:rPr>
            </w:pPr>
            <w:r>
              <w:rPr>
                <w:rFonts w:ascii="Arial"/>
                <w:sz w:val="18"/>
              </w:rPr>
              <w:t>20,025,583.34</w:t>
            </w:r>
          </w:p>
        </w:tc>
      </w:tr>
      <w:tr>
        <w:trPr>
          <w:trHeight w:val="343" w:hRule="exact"/>
        </w:trPr>
        <w:tc>
          <w:tcPr>
            <w:tcW w:w="2356"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79" w:type="dxa"/>
            <w:tcBorders>
              <w:top w:val="single" w:sz="12" w:space="0" w:color="000000"/>
              <w:left w:val="single" w:sz="17" w:space="0" w:color="000000"/>
              <w:bottom w:val="single" w:sz="12" w:space="0" w:color="000000"/>
              <w:right w:val="single" w:sz="12" w:space="0" w:color="000000"/>
            </w:tcBorders>
          </w:tcPr>
          <w:p>
            <w:pPr/>
          </w:p>
        </w:tc>
        <w:tc>
          <w:tcPr>
            <w:tcW w:w="1269" w:type="dxa"/>
            <w:tcBorders>
              <w:top w:val="single" w:sz="12" w:space="0" w:color="000000"/>
              <w:left w:val="single" w:sz="12" w:space="0" w:color="000000"/>
              <w:bottom w:val="single" w:sz="12" w:space="0" w:color="000000"/>
              <w:right w:val="single" w:sz="12" w:space="0" w:color="000000"/>
            </w:tcBorders>
          </w:tcPr>
          <w:p>
            <w:pPr/>
          </w:p>
        </w:tc>
        <w:tc>
          <w:tcPr>
            <w:tcW w:w="1273" w:type="dxa"/>
            <w:tcBorders>
              <w:top w:val="single" w:sz="12" w:space="0" w:color="000000"/>
              <w:left w:val="single" w:sz="12" w:space="0" w:color="000000"/>
              <w:bottom w:val="single" w:sz="12" w:space="0" w:color="000000"/>
              <w:right w:val="single" w:sz="12" w:space="0" w:color="000000"/>
            </w:tcBorders>
          </w:tcPr>
          <w:p>
            <w:pPr/>
          </w:p>
        </w:tc>
        <w:tc>
          <w:tcPr>
            <w:tcW w:w="1269" w:type="dxa"/>
            <w:tcBorders>
              <w:top w:val="single" w:sz="12" w:space="0" w:color="000000"/>
              <w:left w:val="single" w:sz="12" w:space="0" w:color="000000"/>
              <w:bottom w:val="single" w:sz="12" w:space="0" w:color="000000"/>
              <w:right w:val="single" w:sz="12" w:space="0" w:color="000000"/>
            </w:tcBorders>
          </w:tcPr>
          <w:p>
            <w:pPr/>
          </w:p>
        </w:tc>
        <w:tc>
          <w:tcPr>
            <w:tcW w:w="1276"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356"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79" w:type="dxa"/>
            <w:tcBorders>
              <w:top w:val="single" w:sz="12" w:space="0" w:color="000000"/>
              <w:left w:val="single" w:sz="17" w:space="0" w:color="000000"/>
              <w:bottom w:val="single" w:sz="12" w:space="0" w:color="000000"/>
              <w:right w:val="single" w:sz="12" w:space="0" w:color="000000"/>
            </w:tcBorders>
          </w:tcPr>
          <w:p>
            <w:pPr/>
          </w:p>
        </w:tc>
        <w:tc>
          <w:tcPr>
            <w:tcW w:w="1269" w:type="dxa"/>
            <w:tcBorders>
              <w:top w:val="single" w:sz="12" w:space="0" w:color="000000"/>
              <w:left w:val="single" w:sz="12" w:space="0" w:color="000000"/>
              <w:bottom w:val="single" w:sz="12" w:space="0" w:color="000000"/>
              <w:right w:val="single" w:sz="12" w:space="0" w:color="000000"/>
            </w:tcBorders>
          </w:tcPr>
          <w:p>
            <w:pPr/>
          </w:p>
        </w:tc>
        <w:tc>
          <w:tcPr>
            <w:tcW w:w="1273" w:type="dxa"/>
            <w:tcBorders>
              <w:top w:val="single" w:sz="12" w:space="0" w:color="000000"/>
              <w:left w:val="single" w:sz="12" w:space="0" w:color="000000"/>
              <w:bottom w:val="single" w:sz="12" w:space="0" w:color="000000"/>
              <w:right w:val="single" w:sz="12" w:space="0" w:color="000000"/>
            </w:tcBorders>
          </w:tcPr>
          <w:p>
            <w:pPr/>
          </w:p>
        </w:tc>
        <w:tc>
          <w:tcPr>
            <w:tcW w:w="1269" w:type="dxa"/>
            <w:tcBorders>
              <w:top w:val="single" w:sz="12" w:space="0" w:color="000000"/>
              <w:left w:val="single" w:sz="12" w:space="0" w:color="000000"/>
              <w:bottom w:val="single" w:sz="12" w:space="0" w:color="000000"/>
              <w:right w:val="single" w:sz="12" w:space="0" w:color="000000"/>
            </w:tcBorders>
          </w:tcPr>
          <w:p>
            <w:pPr/>
          </w:p>
        </w:tc>
        <w:tc>
          <w:tcPr>
            <w:tcW w:w="1276"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356"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279" w:type="dxa"/>
            <w:tcBorders>
              <w:top w:val="single" w:sz="12" w:space="0" w:color="000000"/>
              <w:left w:val="single" w:sz="17" w:space="0" w:color="000000"/>
              <w:bottom w:val="single" w:sz="12" w:space="0" w:color="000000"/>
              <w:right w:val="single" w:sz="12" w:space="0" w:color="000000"/>
            </w:tcBorders>
          </w:tcPr>
          <w:p>
            <w:pPr/>
          </w:p>
        </w:tc>
        <w:tc>
          <w:tcPr>
            <w:tcW w:w="1269" w:type="dxa"/>
            <w:tcBorders>
              <w:top w:val="single" w:sz="12" w:space="0" w:color="000000"/>
              <w:left w:val="single" w:sz="12" w:space="0" w:color="000000"/>
              <w:bottom w:val="single" w:sz="12" w:space="0" w:color="000000"/>
              <w:right w:val="single" w:sz="12" w:space="0" w:color="000000"/>
            </w:tcBorders>
          </w:tcPr>
          <w:p>
            <w:pPr/>
          </w:p>
        </w:tc>
        <w:tc>
          <w:tcPr>
            <w:tcW w:w="1273" w:type="dxa"/>
            <w:tcBorders>
              <w:top w:val="single" w:sz="12" w:space="0" w:color="000000"/>
              <w:left w:val="single" w:sz="12" w:space="0" w:color="000000"/>
              <w:bottom w:val="single" w:sz="12" w:space="0" w:color="000000"/>
              <w:right w:val="single" w:sz="12" w:space="0" w:color="000000"/>
            </w:tcBorders>
          </w:tcPr>
          <w:p>
            <w:pPr/>
          </w:p>
        </w:tc>
        <w:tc>
          <w:tcPr>
            <w:tcW w:w="1269" w:type="dxa"/>
            <w:tcBorders>
              <w:top w:val="single" w:sz="12" w:space="0" w:color="000000"/>
              <w:left w:val="single" w:sz="12" w:space="0" w:color="000000"/>
              <w:bottom w:val="single" w:sz="12" w:space="0" w:color="000000"/>
              <w:right w:val="single" w:sz="12" w:space="0" w:color="000000"/>
            </w:tcBorders>
          </w:tcPr>
          <w:p>
            <w:pPr/>
          </w:p>
        </w:tc>
        <w:tc>
          <w:tcPr>
            <w:tcW w:w="1276"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356"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9" w:type="dxa"/>
            <w:tcBorders>
              <w:top w:val="single" w:sz="12" w:space="0" w:color="000000"/>
              <w:left w:val="single" w:sz="17" w:space="0" w:color="000000"/>
              <w:bottom w:val="single" w:sz="12" w:space="0" w:color="000000"/>
              <w:right w:val="single" w:sz="12" w:space="0" w:color="000000"/>
            </w:tcBorders>
          </w:tcPr>
          <w:p>
            <w:pPr/>
          </w:p>
        </w:tc>
        <w:tc>
          <w:tcPr>
            <w:tcW w:w="1269" w:type="dxa"/>
            <w:tcBorders>
              <w:top w:val="single" w:sz="12" w:space="0" w:color="000000"/>
              <w:left w:val="single" w:sz="12" w:space="0" w:color="000000"/>
              <w:bottom w:val="single" w:sz="12" w:space="0" w:color="000000"/>
              <w:right w:val="single" w:sz="12" w:space="0" w:color="000000"/>
            </w:tcBorders>
          </w:tcPr>
          <w:p>
            <w:pPr/>
          </w:p>
        </w:tc>
        <w:tc>
          <w:tcPr>
            <w:tcW w:w="1273" w:type="dxa"/>
            <w:tcBorders>
              <w:top w:val="single" w:sz="12" w:space="0" w:color="000000"/>
              <w:left w:val="single" w:sz="12" w:space="0" w:color="000000"/>
              <w:bottom w:val="single" w:sz="12" w:space="0" w:color="000000"/>
              <w:right w:val="single" w:sz="12" w:space="0" w:color="000000"/>
            </w:tcBorders>
          </w:tcPr>
          <w:p>
            <w:pPr/>
          </w:p>
        </w:tc>
        <w:tc>
          <w:tcPr>
            <w:tcW w:w="1269" w:type="dxa"/>
            <w:tcBorders>
              <w:top w:val="single" w:sz="12" w:space="0" w:color="000000"/>
              <w:left w:val="single" w:sz="12" w:space="0" w:color="000000"/>
              <w:bottom w:val="single" w:sz="12" w:space="0" w:color="000000"/>
              <w:right w:val="single" w:sz="12" w:space="0" w:color="000000"/>
            </w:tcBorders>
          </w:tcPr>
          <w:p>
            <w:pPr/>
          </w:p>
        </w:tc>
        <w:tc>
          <w:tcPr>
            <w:tcW w:w="1276"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356"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9" w:type="dxa"/>
            <w:tcBorders>
              <w:top w:val="single" w:sz="12" w:space="0" w:color="000000"/>
              <w:left w:val="single" w:sz="17" w:space="0" w:color="000000"/>
              <w:bottom w:val="single" w:sz="12" w:space="0" w:color="000000"/>
              <w:right w:val="single" w:sz="12" w:space="0" w:color="000000"/>
            </w:tcBorders>
          </w:tcPr>
          <w:p>
            <w:pPr>
              <w:pStyle w:val="TableParagraph"/>
              <w:spacing w:line="240" w:lineRule="auto" w:before="52"/>
              <w:ind w:right="14"/>
              <w:jc w:val="right"/>
              <w:rPr>
                <w:rFonts w:ascii="Arial" w:hAnsi="Arial" w:cs="Arial" w:eastAsia="Arial" w:hint="default"/>
                <w:sz w:val="18"/>
                <w:szCs w:val="18"/>
              </w:rPr>
            </w:pPr>
            <w:r>
              <w:rPr>
                <w:rFonts w:ascii="Arial"/>
                <w:w w:val="95"/>
                <w:sz w:val="18"/>
              </w:rPr>
              <w:t>0.00</w:t>
            </w:r>
            <w:r>
              <w:rPr>
                <w:rFonts w:ascii="Arial"/>
                <w:sz w:val="18"/>
              </w:rPr>
            </w:r>
          </w:p>
        </w:tc>
        <w:tc>
          <w:tcPr>
            <w:tcW w:w="12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1"/>
              <w:jc w:val="right"/>
              <w:rPr>
                <w:rFonts w:ascii="Arial" w:hAnsi="Arial" w:cs="Arial" w:eastAsia="Arial" w:hint="default"/>
                <w:sz w:val="18"/>
                <w:szCs w:val="18"/>
              </w:rPr>
            </w:pPr>
            <w:r>
              <w:rPr>
                <w:rFonts w:ascii="Arial"/>
                <w:spacing w:val="-1"/>
                <w:sz w:val="18"/>
              </w:rPr>
              <w:t>25,583.34</w:t>
            </w:r>
          </w:p>
        </w:tc>
        <w:tc>
          <w:tcPr>
            <w:tcW w:w="12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2"/>
              <w:jc w:val="right"/>
              <w:rPr>
                <w:rFonts w:ascii="Arial" w:hAnsi="Arial" w:cs="Arial" w:eastAsia="Arial" w:hint="default"/>
                <w:sz w:val="18"/>
                <w:szCs w:val="18"/>
              </w:rPr>
            </w:pPr>
            <w:r>
              <w:rPr>
                <w:rFonts w:ascii="Arial"/>
                <w:spacing w:val="-1"/>
                <w:sz w:val="18"/>
              </w:rPr>
              <w:t>25,583.34</w:t>
            </w:r>
          </w:p>
        </w:tc>
        <w:tc>
          <w:tcPr>
            <w:tcW w:w="1269" w:type="dxa"/>
            <w:tcBorders>
              <w:top w:val="single" w:sz="12" w:space="0" w:color="000000"/>
              <w:left w:val="single" w:sz="12" w:space="0" w:color="000000"/>
              <w:bottom w:val="single" w:sz="12" w:space="0" w:color="000000"/>
              <w:right w:val="single" w:sz="12" w:space="0" w:color="000000"/>
            </w:tcBorders>
          </w:tcPr>
          <w:p>
            <w:pPr/>
          </w:p>
        </w:tc>
        <w:tc>
          <w:tcPr>
            <w:tcW w:w="1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62" w:right="0"/>
              <w:jc w:val="center"/>
              <w:rPr>
                <w:rFonts w:ascii="Arial" w:hAnsi="Arial" w:cs="Arial" w:eastAsia="Arial" w:hint="default"/>
                <w:sz w:val="18"/>
                <w:szCs w:val="18"/>
              </w:rPr>
            </w:pPr>
            <w:r>
              <w:rPr>
                <w:rFonts w:ascii="Arial"/>
                <w:sz w:val="18"/>
              </w:rPr>
              <w:t>20,025,583.34</w:t>
            </w:r>
          </w:p>
        </w:tc>
      </w:tr>
    </w:tbl>
    <w:p>
      <w:pPr>
        <w:spacing w:after="0" w:line="240" w:lineRule="auto"/>
        <w:jc w:val="center"/>
        <w:rPr>
          <w:rFonts w:ascii="Arial" w:hAnsi="Arial" w:cs="Arial" w:eastAsia="Arial" w:hint="default"/>
          <w:sz w:val="18"/>
          <w:szCs w:val="18"/>
        </w:rPr>
        <w:sectPr>
          <w:pgSz w:w="11900" w:h="16840"/>
          <w:pgMar w:header="877" w:footer="981" w:top="1060" w:bottom="1180" w:left="1480" w:right="1440"/>
        </w:sectPr>
      </w:pPr>
    </w:p>
    <w:p>
      <w:pPr>
        <w:spacing w:line="240" w:lineRule="auto" w:before="11"/>
        <w:rPr>
          <w:rFonts w:ascii="宋体" w:hAnsi="宋体" w:cs="宋体" w:eastAsia="宋体" w:hint="default"/>
          <w:sz w:val="2"/>
          <w:szCs w:val="2"/>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35.6pt;height:.75pt;mso-position-horizontal-relative:char;mso-position-vertical-relative:line" coordorigin="0,0" coordsize="8712,15">
            <v:group style="position:absolute;left:7;top:7;width:8698;height:2" coordorigin="7,7" coordsize="8698,2">
              <v:shape style="position:absolute;left:7;top:7;width:8698;height:2" coordorigin="7,7" coordsize="8698,0" path="m7,7l8705,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6"/>
          <w:szCs w:val="26"/>
        </w:rPr>
      </w:pPr>
    </w:p>
    <w:p>
      <w:pPr>
        <w:pStyle w:val="Heading1"/>
        <w:tabs>
          <w:tab w:pos="4277" w:val="left" w:leader="none"/>
        </w:tabs>
        <w:spacing w:line="460" w:lineRule="exact"/>
        <w:ind w:left="2837" w:right="33"/>
        <w:jc w:val="left"/>
      </w:pPr>
      <w:bookmarkStart w:name="_TOC_250007" w:id="3"/>
      <w:r>
        <w:rPr>
          <w:w w:val="95"/>
        </w:rPr>
        <w:t>第三节</w:t>
        <w:tab/>
      </w:r>
      <w:bookmarkEnd w:id="3"/>
      <w:r>
        <w:rPr/>
        <w:t>董事会报告</w:t>
      </w:r>
    </w:p>
    <w:p>
      <w:pPr>
        <w:spacing w:line="240" w:lineRule="auto" w:before="7"/>
        <w:rPr>
          <w:rFonts w:ascii="宋体" w:hAnsi="宋体" w:cs="宋体" w:eastAsia="宋体" w:hint="default"/>
          <w:sz w:val="15"/>
          <w:szCs w:val="15"/>
        </w:rPr>
      </w:pPr>
    </w:p>
    <w:p>
      <w:pPr>
        <w:pStyle w:val="Heading3"/>
        <w:spacing w:line="240" w:lineRule="auto" w:before="14"/>
        <w:ind w:right="33"/>
        <w:jc w:val="left"/>
      </w:pPr>
      <w:r>
        <w:rPr/>
        <w:t>一、公司经营情况</w:t>
      </w:r>
    </w:p>
    <w:p>
      <w:pPr>
        <w:spacing w:line="240" w:lineRule="auto" w:before="9"/>
        <w:rPr>
          <w:rFonts w:ascii="宋体" w:hAnsi="宋体" w:cs="宋体" w:eastAsia="宋体" w:hint="default"/>
          <w:sz w:val="19"/>
          <w:szCs w:val="19"/>
        </w:rPr>
      </w:pPr>
    </w:p>
    <w:p>
      <w:pPr>
        <w:pStyle w:val="Heading3"/>
        <w:spacing w:line="240" w:lineRule="auto"/>
        <w:ind w:right="33"/>
        <w:jc w:val="left"/>
      </w:pPr>
      <w:r>
        <w:rPr/>
        <w:t>（一）报告期内公司经营情况回顾</w:t>
      </w:r>
    </w:p>
    <w:p>
      <w:pPr>
        <w:spacing w:line="240" w:lineRule="auto" w:before="9"/>
        <w:rPr>
          <w:rFonts w:ascii="宋体" w:hAnsi="宋体" w:cs="宋体" w:eastAsia="宋体" w:hint="default"/>
          <w:sz w:val="19"/>
          <w:szCs w:val="19"/>
        </w:rPr>
      </w:pPr>
    </w:p>
    <w:p>
      <w:pPr>
        <w:pStyle w:val="Heading3"/>
        <w:spacing w:line="240" w:lineRule="auto"/>
        <w:ind w:left="685" w:right="5318"/>
        <w:jc w:val="center"/>
      </w:pPr>
      <w:r>
        <w:rPr>
          <w:rFonts w:ascii="Arial" w:hAnsi="Arial" w:cs="Arial" w:eastAsia="Arial" w:hint="default"/>
          <w:b/>
          <w:bCs/>
        </w:rPr>
        <w:t>1</w:t>
      </w:r>
      <w:r>
        <w:rPr/>
        <w:t>、报告期总体经营情况</w:t>
      </w:r>
    </w:p>
    <w:p>
      <w:pPr>
        <w:pStyle w:val="BodyText"/>
        <w:spacing w:line="381" w:lineRule="auto" w:before="207"/>
        <w:ind w:right="33" w:firstLine="439"/>
        <w:jc w:val="left"/>
      </w:pPr>
      <w:r>
        <w:rPr>
          <w:rFonts w:ascii="Arial" w:hAnsi="Arial" w:cs="Arial" w:eastAsia="Arial" w:hint="default"/>
        </w:rPr>
        <w:t>2010</w:t>
      </w:r>
      <w:r>
        <w:rPr/>
        <w:t>年，对于公司来说是机遇与挑战并存的一年，</w:t>
      </w:r>
      <w:r>
        <w:rPr>
          <w:rFonts w:ascii="Arial" w:hAnsi="Arial" w:cs="Arial" w:eastAsia="Arial" w:hint="default"/>
        </w:rPr>
        <w:t>2010</w:t>
      </w:r>
      <w:r>
        <w:rPr/>
        <w:t>年</w:t>
      </w:r>
      <w:r>
        <w:rPr>
          <w:rFonts w:ascii="Arial" w:hAnsi="Arial" w:cs="Arial" w:eastAsia="Arial" w:hint="default"/>
        </w:rPr>
        <w:t>4</w:t>
      </w:r>
      <w:r>
        <w:rPr/>
        <w:t>月，公司在深圳证券交易</w:t>
      </w:r>
      <w:r>
        <w:rPr>
          <w:w w:val="100"/>
        </w:rPr>
        <w:t> </w:t>
      </w:r>
      <w:r>
        <w:rPr/>
        <w:t>所创业板发行上市，发行人民币普通股</w:t>
      </w:r>
      <w:r>
        <w:rPr>
          <w:spacing w:val="-24"/>
        </w:rPr>
        <w:t> </w:t>
      </w:r>
      <w:r>
        <w:rPr>
          <w:rFonts w:ascii="Arial" w:hAnsi="Arial" w:cs="Arial" w:eastAsia="Arial" w:hint="default"/>
        </w:rPr>
        <w:t>2,700</w:t>
      </w:r>
      <w:r>
        <w:rPr/>
        <w:t>万股，募集资金净额</w:t>
      </w:r>
      <w:r>
        <w:rPr>
          <w:rFonts w:ascii="Arial" w:hAnsi="Arial" w:cs="Arial" w:eastAsia="Arial" w:hint="default"/>
        </w:rPr>
        <w:t>52,886.65</w:t>
      </w:r>
      <w:r>
        <w:rPr/>
        <w:t>万元。通过此</w:t>
      </w:r>
      <w:r>
        <w:rPr>
          <w:w w:val="100"/>
        </w:rPr>
        <w:t> </w:t>
      </w:r>
      <w:r>
        <w:rPr/>
        <w:t>次公开发行，公司资本实力大大增强，获得了公司发展所需资金，借助资本市场的平台，</w:t>
      </w:r>
      <w:r>
        <w:rPr>
          <w:spacing w:val="-57"/>
        </w:rPr>
        <w:t> </w:t>
      </w:r>
      <w:r>
        <w:rPr>
          <w:spacing w:val="-57"/>
        </w:rPr>
      </w:r>
      <w:r>
        <w:rPr/>
        <w:t>极大地提升了公司整体竞争能力，为公司长期持续健康发展奠定坚实基础。募集资金到位</w:t>
      </w:r>
      <w:r>
        <w:rPr>
          <w:spacing w:val="-57"/>
        </w:rPr>
        <w:t> </w:t>
      </w:r>
      <w:r>
        <w:rPr>
          <w:spacing w:val="-57"/>
        </w:rPr>
      </w:r>
      <w:r>
        <w:rPr>
          <w:spacing w:val="-3"/>
        </w:rPr>
        <w:t>后，公司将资金投入于东营安诺其募投项目及烟台安诺其募投项目的使用，积极扩大产能，</w:t>
      </w:r>
      <w:r>
        <w:rPr>
          <w:spacing w:val="-51"/>
        </w:rPr>
        <w:t> </w:t>
      </w:r>
      <w:r>
        <w:rPr>
          <w:spacing w:val="-51"/>
        </w:rPr>
      </w:r>
      <w:r>
        <w:rPr/>
        <w:t>保证募投项目的正常推进和公司的进一步发展。</w:t>
      </w:r>
    </w:p>
    <w:p>
      <w:pPr>
        <w:pStyle w:val="BodyText"/>
        <w:spacing w:line="240" w:lineRule="auto" w:before="50"/>
        <w:ind w:left="576" w:right="33"/>
        <w:jc w:val="left"/>
      </w:pPr>
      <w:r>
        <w:rPr>
          <w:rFonts w:ascii="Arial" w:hAnsi="Arial" w:cs="Arial" w:eastAsia="Arial" w:hint="default"/>
        </w:rPr>
        <w:t>2010</w:t>
      </w:r>
      <w:r>
        <w:rPr>
          <w:rFonts w:ascii="Arial" w:hAnsi="Arial" w:cs="Arial" w:eastAsia="Arial" w:hint="default"/>
          <w:spacing w:val="40"/>
        </w:rPr>
        <w:t> </w:t>
      </w:r>
      <w:r>
        <w:rPr>
          <w:spacing w:val="-3"/>
        </w:rPr>
        <w:t>年，整个纺织印染行业经受了严峻的考验，原材料价格大幅上涨、人民币汇率变</w:t>
      </w:r>
    </w:p>
    <w:p>
      <w:pPr>
        <w:pStyle w:val="BodyText"/>
        <w:spacing w:line="240" w:lineRule="auto" w:before="164"/>
        <w:ind w:right="33"/>
        <w:jc w:val="left"/>
      </w:pPr>
      <w:r>
        <w:rPr>
          <w:spacing w:val="-3"/>
        </w:rPr>
        <w:t>化，以及地方政府限电政策实施等使得公司整体经营状况较 </w:t>
      </w:r>
      <w:r>
        <w:rPr>
          <w:rFonts w:ascii="Arial" w:hAnsi="Arial" w:cs="Arial" w:eastAsia="Arial" w:hint="default"/>
        </w:rPr>
        <w:t>2009</w:t>
      </w:r>
      <w:r>
        <w:rPr>
          <w:rFonts w:ascii="Arial" w:hAnsi="Arial" w:cs="Arial" w:eastAsia="Arial" w:hint="default"/>
          <w:spacing w:val="-26"/>
        </w:rPr>
        <w:t> </w:t>
      </w:r>
      <w:r>
        <w:rPr>
          <w:spacing w:val="-6"/>
        </w:rPr>
        <w:t>年有所下降，报告期公司</w:t>
      </w:r>
    </w:p>
    <w:p>
      <w:pPr>
        <w:pStyle w:val="BodyText"/>
        <w:spacing w:line="369" w:lineRule="auto" w:before="164"/>
        <w:ind w:right="33"/>
        <w:jc w:val="left"/>
      </w:pPr>
      <w:r>
        <w:rPr/>
        <w:t>实现营业总收入为</w:t>
      </w:r>
      <w:r>
        <w:rPr>
          <w:spacing w:val="-40"/>
        </w:rPr>
        <w:t> </w:t>
      </w:r>
      <w:r>
        <w:rPr>
          <w:rFonts w:ascii="Arial" w:hAnsi="Arial" w:cs="Arial" w:eastAsia="Arial" w:hint="default"/>
        </w:rPr>
        <w:t>18768.55</w:t>
      </w:r>
      <w:r>
        <w:rPr>
          <w:rFonts w:ascii="Arial" w:hAnsi="Arial" w:cs="Arial" w:eastAsia="Arial" w:hint="default"/>
          <w:spacing w:val="8"/>
        </w:rPr>
        <w:t> </w:t>
      </w:r>
      <w:r>
        <w:rPr/>
        <w:t>万元，比上年同期下降</w:t>
      </w:r>
      <w:r>
        <w:rPr>
          <w:spacing w:val="-40"/>
        </w:rPr>
        <w:t> </w:t>
      </w:r>
      <w:r>
        <w:rPr>
          <w:rFonts w:ascii="Arial" w:hAnsi="Arial" w:cs="Arial" w:eastAsia="Arial" w:hint="default"/>
        </w:rPr>
        <w:t>4.26%</w:t>
      </w:r>
      <w:r>
        <w:rPr/>
        <w:t>；营业利润为</w:t>
      </w:r>
      <w:r>
        <w:rPr>
          <w:spacing w:val="-40"/>
        </w:rPr>
        <w:t> </w:t>
      </w:r>
      <w:r>
        <w:rPr>
          <w:rFonts w:ascii="Arial" w:hAnsi="Arial" w:cs="Arial" w:eastAsia="Arial" w:hint="default"/>
        </w:rPr>
        <w:t>2433.25</w:t>
      </w:r>
      <w:r>
        <w:rPr>
          <w:rFonts w:ascii="Arial" w:hAnsi="Arial" w:cs="Arial" w:eastAsia="Arial" w:hint="default"/>
          <w:spacing w:val="8"/>
        </w:rPr>
        <w:t> </w:t>
      </w:r>
      <w:r>
        <w:rPr/>
        <w:t>万元，</w:t>
      </w:r>
      <w:r>
        <w:rPr>
          <w:w w:val="100"/>
        </w:rPr>
        <w:t> </w:t>
      </w:r>
      <w:r>
        <w:rPr/>
        <w:t>比上年同期下降</w:t>
      </w:r>
      <w:r>
        <w:rPr>
          <w:spacing w:val="-62"/>
        </w:rPr>
        <w:t> </w:t>
      </w:r>
      <w:r>
        <w:rPr>
          <w:rFonts w:ascii="Arial" w:hAnsi="Arial" w:cs="Arial" w:eastAsia="Arial" w:hint="default"/>
        </w:rPr>
        <w:t>50.05%</w:t>
      </w:r>
      <w:r>
        <w:rPr/>
        <w:t>；利润总额为</w:t>
      </w:r>
      <w:r>
        <w:rPr>
          <w:spacing w:val="-62"/>
        </w:rPr>
        <w:t> </w:t>
      </w:r>
      <w:r>
        <w:rPr>
          <w:rFonts w:ascii="Arial" w:hAnsi="Arial" w:cs="Arial" w:eastAsia="Arial" w:hint="default"/>
        </w:rPr>
        <w:t>3159.49</w:t>
      </w:r>
      <w:r>
        <w:rPr>
          <w:rFonts w:ascii="Arial" w:hAnsi="Arial" w:cs="Arial" w:eastAsia="Arial" w:hint="default"/>
          <w:spacing w:val="-14"/>
        </w:rPr>
        <w:t> </w:t>
      </w:r>
      <w:r>
        <w:rPr/>
        <w:t>万元，比去年同期下降</w:t>
      </w:r>
      <w:r>
        <w:rPr>
          <w:spacing w:val="-62"/>
        </w:rPr>
        <w:t> </w:t>
      </w:r>
      <w:r>
        <w:rPr>
          <w:rFonts w:ascii="Arial" w:hAnsi="Arial" w:cs="Arial" w:eastAsia="Arial" w:hint="default"/>
        </w:rPr>
        <w:t>41.80%</w:t>
      </w:r>
      <w:r>
        <w:rPr/>
        <w:t>；归属于上</w:t>
      </w:r>
      <w:r>
        <w:rPr>
          <w:w w:val="100"/>
        </w:rPr>
        <w:t> </w:t>
      </w:r>
      <w:r>
        <w:rPr/>
        <w:t>市公司股东净利润为</w:t>
      </w:r>
      <w:r>
        <w:rPr>
          <w:spacing w:val="-51"/>
        </w:rPr>
        <w:t> </w:t>
      </w:r>
      <w:r>
        <w:rPr>
          <w:rFonts w:ascii="Arial" w:hAnsi="Arial" w:cs="Arial" w:eastAsia="Arial" w:hint="default"/>
        </w:rPr>
        <w:t>2710.02</w:t>
      </w:r>
      <w:r>
        <w:rPr>
          <w:rFonts w:ascii="Arial" w:hAnsi="Arial" w:cs="Arial" w:eastAsia="Arial" w:hint="default"/>
          <w:spacing w:val="-3"/>
        </w:rPr>
        <w:t> </w:t>
      </w:r>
      <w:r>
        <w:rPr>
          <w:spacing w:val="-7"/>
        </w:rPr>
        <w:t>万元，比去年同期下降</w:t>
      </w:r>
      <w:r>
        <w:rPr>
          <w:spacing w:val="-51"/>
        </w:rPr>
        <w:t> </w:t>
      </w:r>
      <w:r>
        <w:rPr>
          <w:rFonts w:ascii="Arial" w:hAnsi="Arial" w:cs="Arial" w:eastAsia="Arial" w:hint="default"/>
          <w:spacing w:val="-6"/>
        </w:rPr>
        <w:t>41.48%</w:t>
      </w:r>
      <w:r>
        <w:rPr>
          <w:spacing w:val="-6"/>
        </w:rPr>
        <w:t>；基本每股收益为</w:t>
      </w:r>
      <w:r>
        <w:rPr>
          <w:spacing w:val="-51"/>
        </w:rPr>
        <w:t> </w:t>
      </w:r>
      <w:r>
        <w:rPr>
          <w:rFonts w:ascii="Arial" w:hAnsi="Arial" w:cs="Arial" w:eastAsia="Arial" w:hint="default"/>
        </w:rPr>
        <w:t>0.2765</w:t>
      </w:r>
      <w:r>
        <w:rPr>
          <w:rFonts w:ascii="Arial" w:hAnsi="Arial" w:cs="Arial" w:eastAsia="Arial" w:hint="default"/>
          <w:spacing w:val="-5"/>
        </w:rPr>
        <w:t> </w:t>
      </w:r>
      <w:r>
        <w:rPr/>
        <w:t>元，</w:t>
      </w:r>
      <w:r>
        <w:rPr>
          <w:w w:val="100"/>
        </w:rPr>
        <w:t> </w:t>
      </w:r>
      <w:r>
        <w:rPr/>
        <w:t>比去年同期下降</w:t>
      </w:r>
      <w:r>
        <w:rPr>
          <w:spacing w:val="-59"/>
        </w:rPr>
        <w:t> </w:t>
      </w:r>
      <w:r>
        <w:rPr>
          <w:rFonts w:ascii="Arial" w:hAnsi="Arial" w:cs="Arial" w:eastAsia="Arial" w:hint="default"/>
        </w:rPr>
        <w:t>52.23%</w:t>
      </w:r>
      <w:r>
        <w:rPr/>
        <w:t>；净资产收益率为</w:t>
      </w:r>
      <w:r>
        <w:rPr>
          <w:spacing w:val="-59"/>
        </w:rPr>
        <w:t> </w:t>
      </w:r>
      <w:r>
        <w:rPr>
          <w:rFonts w:ascii="Arial" w:hAnsi="Arial" w:cs="Arial" w:eastAsia="Arial" w:hint="default"/>
        </w:rPr>
        <w:t>5.04%</w:t>
      </w:r>
      <w:r>
        <w:rPr/>
        <w:t>，比去年同期下降</w:t>
      </w:r>
      <w:r>
        <w:rPr>
          <w:spacing w:val="-59"/>
        </w:rPr>
        <w:t> </w:t>
      </w:r>
      <w:r>
        <w:rPr>
          <w:rFonts w:ascii="Arial" w:hAnsi="Arial" w:cs="Arial" w:eastAsia="Arial" w:hint="default"/>
        </w:rPr>
        <w:t>26.35%</w:t>
      </w:r>
      <w:r>
        <w:rPr/>
        <w:t>。</w:t>
      </w:r>
    </w:p>
    <w:p>
      <w:pPr>
        <w:pStyle w:val="BodyText"/>
        <w:spacing w:line="391" w:lineRule="auto" w:before="31"/>
        <w:ind w:right="170" w:firstLine="439"/>
        <w:jc w:val="both"/>
      </w:pPr>
      <w:r>
        <w:rPr/>
        <w:t>报告期内，公司为了更好的可持续发展，进行了资源整合，调整现有组织架构，对各</w:t>
      </w:r>
      <w:r>
        <w:rPr>
          <w:w w:val="100"/>
        </w:rPr>
        <w:t> </w:t>
      </w:r>
      <w:r>
        <w:rPr/>
        <w:t>个职能部门进行明确定位和职能分工，改革和优化制度、流程，同时明确了公司发展规划</w:t>
      </w:r>
      <w:r>
        <w:rPr>
          <w:spacing w:val="-57"/>
        </w:rPr>
        <w:t> </w:t>
      </w:r>
      <w:r>
        <w:rPr>
          <w:spacing w:val="-57"/>
        </w:rPr>
      </w:r>
      <w:r>
        <w:rPr>
          <w:spacing w:val="-4"/>
          <w:w w:val="100"/>
        </w:rPr>
        <w:t>目标。公司把“团队精神、创新思维、向上进取、合作共赢”作为企业文化，“染靓世界，</w:t>
      </w:r>
      <w:r>
        <w:rPr>
          <w:spacing w:val="-101"/>
          <w:w w:val="100"/>
        </w:rPr>
        <w:t> </w:t>
      </w:r>
      <w:r>
        <w:rPr>
          <w:spacing w:val="-101"/>
          <w:w w:val="100"/>
        </w:rPr>
      </w:r>
      <w:r>
        <w:rPr>
          <w:spacing w:val="-5"/>
          <w:w w:val="100"/>
        </w:rPr>
        <w:t>彩化生活”作为企业使命，“国际领先的纺织化学品品牌”作为企业的愿景，“共同发展、</w:t>
      </w:r>
      <w:r>
        <w:rPr>
          <w:spacing w:val="-105"/>
          <w:w w:val="100"/>
        </w:rPr>
        <w:t> </w:t>
      </w:r>
      <w:r>
        <w:rPr>
          <w:spacing w:val="-105"/>
          <w:w w:val="100"/>
        </w:rPr>
      </w:r>
      <w:r>
        <w:rPr>
          <w:spacing w:val="-5"/>
          <w:w w:val="100"/>
        </w:rPr>
        <w:t>共享成果”作为企业的宗旨，“品质创造价值”是公司多年来的经营理念。</w:t>
      </w:r>
    </w:p>
    <w:p>
      <w:pPr>
        <w:pStyle w:val="BodyText"/>
        <w:spacing w:line="391" w:lineRule="auto" w:before="41"/>
        <w:ind w:right="33" w:firstLine="439"/>
        <w:jc w:val="left"/>
      </w:pPr>
      <w:r>
        <w:rPr>
          <w:spacing w:val="-3"/>
        </w:rPr>
        <w:t>其中，对整个销售团队进行了调整和梳理，成立市场营销中心，外贸部，助剂事业部。</w:t>
      </w:r>
      <w:r>
        <w:rPr>
          <w:w w:val="100"/>
        </w:rPr>
        <w:t> </w:t>
      </w:r>
      <w:r>
        <w:rPr/>
        <w:t>市场营销中心负责国内业务，依据地域划分，成立了销售一部、二部、三部、四部，每个</w:t>
      </w:r>
      <w:r>
        <w:rPr>
          <w:spacing w:val="-57"/>
        </w:rPr>
        <w:t> </w:t>
      </w:r>
      <w:r>
        <w:rPr>
          <w:spacing w:val="-57"/>
        </w:rPr>
      </w:r>
      <w:r>
        <w:rPr/>
        <w:t>部门做出了明确的业务目标。</w:t>
      </w:r>
    </w:p>
    <w:p>
      <w:pPr>
        <w:pStyle w:val="BodyText"/>
        <w:spacing w:line="376" w:lineRule="auto" w:before="41"/>
        <w:ind w:right="33" w:firstLine="439"/>
        <w:jc w:val="left"/>
      </w:pPr>
      <w:r>
        <w:rPr/>
        <w:t>报告期内，公司坚持“创新思维”的信念，稳中求发展，从市场需求出发，大力开发</w:t>
      </w:r>
      <w:r>
        <w:rPr>
          <w:w w:val="100"/>
        </w:rPr>
        <w:t> </w:t>
      </w:r>
      <w:r>
        <w:rPr>
          <w:spacing w:val="-6"/>
          <w:w w:val="100"/>
        </w:rPr>
        <w:t>自主核心技术及其产品，公司开发成功安诺可隆</w:t>
      </w:r>
      <w:r>
        <w:rPr>
          <w:spacing w:val="-65"/>
          <w:w w:val="100"/>
        </w:rPr>
        <w:t> </w:t>
      </w:r>
      <w:r>
        <w:rPr>
          <w:rFonts w:ascii="Arial" w:hAnsi="Arial" w:cs="Arial" w:eastAsia="Arial" w:hint="default"/>
          <w:spacing w:val="-2"/>
          <w:w w:val="100"/>
        </w:rPr>
        <w:t>SD</w:t>
      </w:r>
      <w:r>
        <w:rPr>
          <w:rFonts w:ascii="Arial" w:hAnsi="Arial" w:cs="Arial" w:eastAsia="Arial" w:hint="default"/>
          <w:spacing w:val="-16"/>
          <w:w w:val="100"/>
        </w:rPr>
        <w:t> </w:t>
      </w:r>
      <w:r>
        <w:rPr>
          <w:w w:val="100"/>
        </w:rPr>
        <w:t>系列中的红</w:t>
      </w:r>
      <w:r>
        <w:rPr>
          <w:spacing w:val="-65"/>
          <w:w w:val="100"/>
        </w:rPr>
        <w:t> </w:t>
      </w:r>
      <w:r>
        <w:rPr>
          <w:rFonts w:ascii="Arial" w:hAnsi="Arial" w:cs="Arial" w:eastAsia="Arial" w:hint="default"/>
          <w:spacing w:val="-20"/>
          <w:w w:val="100"/>
        </w:rPr>
        <w:t>R023</w:t>
      </w:r>
      <w:r>
        <w:rPr>
          <w:spacing w:val="-20"/>
          <w:w w:val="100"/>
        </w:rPr>
        <w:t>、红</w:t>
      </w:r>
      <w:r>
        <w:rPr>
          <w:spacing w:val="-65"/>
          <w:w w:val="100"/>
        </w:rPr>
        <w:t> </w:t>
      </w:r>
      <w:r>
        <w:rPr>
          <w:rFonts w:ascii="Arial" w:hAnsi="Arial" w:cs="Arial" w:eastAsia="Arial" w:hint="default"/>
          <w:spacing w:val="-1"/>
          <w:w w:val="100"/>
        </w:rPr>
        <w:t>R025</w:t>
      </w:r>
      <w:r>
        <w:rPr>
          <w:rFonts w:ascii="Arial" w:hAnsi="Arial" w:cs="Arial" w:eastAsia="Arial" w:hint="default"/>
          <w:spacing w:val="-15"/>
          <w:w w:val="100"/>
        </w:rPr>
        <w:t> </w:t>
      </w:r>
      <w:r>
        <w:rPr>
          <w:w w:val="100"/>
        </w:rPr>
        <w:t>和蓝</w:t>
      </w:r>
      <w:r>
        <w:rPr>
          <w:spacing w:val="-65"/>
          <w:w w:val="100"/>
        </w:rPr>
        <w:t> </w:t>
      </w:r>
      <w:r>
        <w:rPr>
          <w:rFonts w:ascii="Arial" w:hAnsi="Arial" w:cs="Arial" w:eastAsia="Arial" w:hint="default"/>
          <w:spacing w:val="-1"/>
          <w:w w:val="100"/>
        </w:rPr>
        <w:t>V017</w:t>
      </w:r>
      <w:r>
        <w:rPr>
          <w:spacing w:val="-1"/>
          <w:w w:val="100"/>
        </w:rPr>
        <w:t>，</w:t>
      </w:r>
      <w:r>
        <w:rPr>
          <w:w w:val="100"/>
        </w:rPr>
        <w:t> </w:t>
      </w:r>
      <w:r>
        <w:rPr/>
        <w:t>并已批量生产，完成了高水洗、高深度安诺可深红 </w:t>
      </w:r>
      <w:r>
        <w:rPr>
          <w:rFonts w:ascii="Arial" w:hAnsi="Arial" w:cs="Arial" w:eastAsia="Arial" w:hint="default"/>
        </w:rPr>
        <w:t>D-002</w:t>
      </w:r>
      <w:r>
        <w:rPr/>
        <w:t>、安诺可深黑</w:t>
      </w:r>
      <w:r>
        <w:rPr>
          <w:spacing w:val="-49"/>
        </w:rPr>
        <w:t> </w:t>
      </w:r>
      <w:r>
        <w:rPr>
          <w:rFonts w:ascii="Arial" w:hAnsi="Arial" w:cs="Arial" w:eastAsia="Arial" w:hint="default"/>
        </w:rPr>
        <w:t>D-002</w:t>
      </w:r>
      <w:r>
        <w:rPr/>
        <w:t>、安诺可藏</w:t>
      </w:r>
      <w:r>
        <w:rPr>
          <w:w w:val="100"/>
        </w:rPr>
        <w:t> </w:t>
      </w:r>
      <w:r>
        <w:rPr/>
        <w:t>青</w:t>
      </w:r>
      <w:r>
        <w:rPr>
          <w:spacing w:val="-58"/>
        </w:rPr>
        <w:t> </w:t>
      </w:r>
      <w:r>
        <w:rPr>
          <w:rFonts w:ascii="Arial" w:hAnsi="Arial" w:cs="Arial" w:eastAsia="Arial" w:hint="default"/>
        </w:rPr>
        <w:t>D-002</w:t>
      </w:r>
      <w:r>
        <w:rPr>
          <w:rFonts w:ascii="Arial" w:hAnsi="Arial" w:cs="Arial" w:eastAsia="Arial" w:hint="default"/>
          <w:spacing w:val="-10"/>
        </w:rPr>
        <w:t> </w:t>
      </w:r>
      <w:r>
        <w:rPr/>
        <w:t>和用于眼镜的晶体黄染料的研发。</w:t>
      </w:r>
    </w:p>
    <w:p>
      <w:pPr>
        <w:spacing w:after="0" w:line="376" w:lineRule="auto"/>
        <w:jc w:val="left"/>
        <w:sectPr>
          <w:headerReference w:type="default" r:id="rId12"/>
          <w:footerReference w:type="default" r:id="rId13"/>
          <w:pgSz w:w="11900" w:h="16840"/>
          <w:pgMar w:header="867" w:footer="0" w:top="1060" w:bottom="280" w:left="1660" w:right="1240"/>
        </w:sectPr>
      </w:pPr>
    </w:p>
    <w:p>
      <w:pPr>
        <w:spacing w:line="240" w:lineRule="auto" w:before="0"/>
        <w:rPr>
          <w:rFonts w:ascii="宋体" w:hAnsi="宋体" w:cs="宋体" w:eastAsia="宋体" w:hint="default"/>
          <w:sz w:val="20"/>
          <w:szCs w:val="20"/>
        </w:rPr>
      </w:pPr>
    </w:p>
    <w:p>
      <w:pPr>
        <w:pStyle w:val="Heading3"/>
        <w:spacing w:line="240" w:lineRule="auto" w:before="145"/>
        <w:ind w:left="719" w:right="33"/>
        <w:jc w:val="left"/>
      </w:pPr>
      <w:r>
        <w:rPr>
          <w:rFonts w:ascii="Arial" w:hAnsi="Arial" w:cs="Arial" w:eastAsia="Arial" w:hint="default"/>
          <w:b/>
          <w:bCs/>
        </w:rPr>
        <w:t>2</w:t>
      </w:r>
      <w:r>
        <w:rPr/>
        <w:t>、公司主营业务及其经营状况</w:t>
      </w:r>
    </w:p>
    <w:p>
      <w:pPr>
        <w:spacing w:line="240" w:lineRule="auto" w:before="4"/>
        <w:rPr>
          <w:rFonts w:ascii="宋体" w:hAnsi="宋体" w:cs="宋体" w:eastAsia="宋体" w:hint="default"/>
          <w:sz w:val="13"/>
          <w:szCs w:val="13"/>
        </w:rPr>
      </w:pPr>
    </w:p>
    <w:p>
      <w:pPr>
        <w:pStyle w:val="BodyText"/>
        <w:spacing w:line="240" w:lineRule="auto"/>
        <w:ind w:left="596" w:right="33"/>
        <w:jc w:val="left"/>
      </w:pPr>
      <w:r>
        <w:rPr>
          <w:rFonts w:ascii="Arial" w:hAnsi="Arial" w:cs="Arial" w:eastAsia="Arial" w:hint="default"/>
        </w:rPr>
        <w:t>1</w:t>
      </w:r>
      <w:r>
        <w:rPr/>
        <w:t>）主营业务产品或服务情况</w:t>
      </w:r>
    </w:p>
    <w:p>
      <w:pPr>
        <w:spacing w:before="97"/>
        <w:ind w:left="0" w:right="200"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3"/>
        <w:rPr>
          <w:rFonts w:ascii="宋体" w:hAnsi="宋体" w:cs="宋体" w:eastAsia="宋体" w:hint="default"/>
          <w:sz w:val="27"/>
          <w:szCs w:val="27"/>
        </w:rPr>
      </w:pPr>
    </w:p>
    <w:p>
      <w:pPr>
        <w:spacing w:before="44"/>
        <w:ind w:left="0" w:right="111" w:firstLine="0"/>
        <w:jc w:val="right"/>
        <w:rPr>
          <w:rFonts w:ascii="宋体" w:hAnsi="宋体" w:cs="宋体" w:eastAsia="宋体" w:hint="default"/>
          <w:sz w:val="18"/>
          <w:szCs w:val="18"/>
        </w:rPr>
      </w:pPr>
      <w:r>
        <w:rPr/>
        <w:pict>
          <v:shape style="position:absolute;margin-left:87.599998pt;margin-top:-15.368939pt;width:437.3pt;height:136.7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56"/>
                    <w:gridCol w:w="1094"/>
                    <w:gridCol w:w="1097"/>
                    <w:gridCol w:w="1094"/>
                    <w:gridCol w:w="1478"/>
                    <w:gridCol w:w="1370"/>
                    <w:gridCol w:w="1212"/>
                  </w:tblGrid>
                  <w:tr>
                    <w:trPr>
                      <w:trHeight w:val="653" w:hRule="exact"/>
                    </w:trPr>
                    <w:tc>
                      <w:tcPr>
                        <w:tcW w:w="1356"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3"/>
                          <w:ind w:right="0"/>
                          <w:jc w:val="left"/>
                          <w:rPr>
                            <w:rFonts w:ascii="Arial" w:hAnsi="Arial" w:cs="Arial" w:eastAsia="Arial" w:hint="default"/>
                            <w:sz w:val="14"/>
                            <w:szCs w:val="14"/>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分产品或服务</w:t>
                        </w:r>
                      </w:p>
                    </w:tc>
                    <w:tc>
                      <w:tcPr>
                        <w:tcW w:w="1094"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3"/>
                          <w:ind w:right="0"/>
                          <w:jc w:val="left"/>
                          <w:rPr>
                            <w:rFonts w:ascii="Arial" w:hAnsi="Arial" w:cs="Arial" w:eastAsia="Arial" w:hint="default"/>
                            <w:sz w:val="14"/>
                            <w:szCs w:val="14"/>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97"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3"/>
                          <w:ind w:right="0"/>
                          <w:jc w:val="left"/>
                          <w:rPr>
                            <w:rFonts w:ascii="Arial" w:hAnsi="Arial" w:cs="Arial" w:eastAsia="Arial" w:hint="default"/>
                            <w:sz w:val="14"/>
                            <w:szCs w:val="14"/>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094"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3"/>
                          <w:ind w:right="0"/>
                          <w:jc w:val="left"/>
                          <w:rPr>
                            <w:rFonts w:ascii="Arial" w:hAnsi="Arial" w:cs="Arial" w:eastAsia="Arial" w:hint="default"/>
                            <w:sz w:val="14"/>
                            <w:szCs w:val="14"/>
                          </w:rPr>
                        </w:pPr>
                      </w:p>
                      <w:p>
                        <w:pPr>
                          <w:pStyle w:val="TableParagraph"/>
                          <w:spacing w:line="240" w:lineRule="auto"/>
                          <w:ind w:left="119" w:right="0"/>
                          <w:jc w:val="left"/>
                          <w:rPr>
                            <w:rFonts w:ascii="Arial" w:hAnsi="Arial" w:cs="Arial" w:eastAsia="Arial" w:hint="default"/>
                            <w:sz w:val="18"/>
                            <w:szCs w:val="18"/>
                          </w:rPr>
                        </w:pPr>
                        <w:r>
                          <w:rPr>
                            <w:rFonts w:ascii="宋体" w:hAnsi="宋体" w:cs="宋体" w:eastAsia="宋体" w:hint="default"/>
                            <w:sz w:val="18"/>
                            <w:szCs w:val="18"/>
                          </w:rPr>
                          <w:t>毛利率</w:t>
                        </w:r>
                        <w:r>
                          <w:rPr>
                            <w:rFonts w:ascii="Arial" w:hAnsi="Arial" w:cs="Arial" w:eastAsia="Arial" w:hint="default"/>
                            <w:sz w:val="18"/>
                            <w:szCs w:val="18"/>
                          </w:rPr>
                          <w:t>(%)</w:t>
                        </w:r>
                      </w:p>
                    </w:tc>
                    <w:tc>
                      <w:tcPr>
                        <w:tcW w:w="1478"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316" w:lineRule="auto" w:before="10"/>
                          <w:ind w:left="105" w:right="91" w:hanging="10"/>
                          <w:jc w:val="left"/>
                          <w:rPr>
                            <w:rFonts w:ascii="宋体" w:hAnsi="宋体" w:cs="宋体" w:eastAsia="宋体" w:hint="default"/>
                            <w:sz w:val="18"/>
                            <w:szCs w:val="18"/>
                          </w:rPr>
                        </w:pPr>
                        <w:r>
                          <w:rPr>
                            <w:rFonts w:ascii="宋体" w:hAnsi="宋体" w:cs="宋体" w:eastAsia="宋体" w:hint="default"/>
                            <w:sz w:val="18"/>
                            <w:szCs w:val="18"/>
                          </w:rPr>
                          <w:t>营业收入比上年</w:t>
                        </w:r>
                        <w:r>
                          <w:rPr>
                            <w:rFonts w:ascii="宋体" w:hAnsi="宋体" w:cs="宋体" w:eastAsia="宋体" w:hint="default"/>
                            <w:w w:val="99"/>
                            <w:sz w:val="18"/>
                            <w:szCs w:val="18"/>
                          </w:rPr>
                          <w:t> </w:t>
                        </w:r>
                        <w:r>
                          <w:rPr>
                            <w:rFonts w:ascii="宋体" w:hAnsi="宋体" w:cs="宋体" w:eastAsia="宋体" w:hint="default"/>
                            <w:sz w:val="18"/>
                            <w:szCs w:val="18"/>
                          </w:rPr>
                          <w:t>同期增减（</w:t>
                        </w:r>
                        <w:r>
                          <w:rPr>
                            <w:rFonts w:ascii="Arial" w:hAnsi="Arial" w:cs="Arial" w:eastAsia="Arial" w:hint="default"/>
                            <w:sz w:val="18"/>
                            <w:szCs w:val="18"/>
                          </w:rPr>
                          <w:t>%</w:t>
                        </w:r>
                        <w:r>
                          <w:rPr>
                            <w:rFonts w:ascii="宋体" w:hAnsi="宋体" w:cs="宋体" w:eastAsia="宋体" w:hint="default"/>
                            <w:sz w:val="18"/>
                            <w:szCs w:val="18"/>
                          </w:rPr>
                          <w:t>）</w:t>
                        </w:r>
                      </w:p>
                    </w:tc>
                    <w:tc>
                      <w:tcPr>
                        <w:tcW w:w="1370"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316" w:lineRule="auto" w:before="10"/>
                          <w:ind w:left="50" w:right="38" w:hanging="10"/>
                          <w:jc w:val="left"/>
                          <w:rPr>
                            <w:rFonts w:ascii="宋体" w:hAnsi="宋体" w:cs="宋体" w:eastAsia="宋体" w:hint="default"/>
                            <w:sz w:val="18"/>
                            <w:szCs w:val="18"/>
                          </w:rPr>
                        </w:pPr>
                        <w:r>
                          <w:rPr>
                            <w:rFonts w:ascii="宋体" w:hAnsi="宋体" w:cs="宋体" w:eastAsia="宋体" w:hint="default"/>
                            <w:sz w:val="18"/>
                            <w:szCs w:val="18"/>
                          </w:rPr>
                          <w:t>营业成本比上年</w:t>
                        </w:r>
                        <w:r>
                          <w:rPr>
                            <w:rFonts w:ascii="宋体" w:hAnsi="宋体" w:cs="宋体" w:eastAsia="宋体" w:hint="default"/>
                            <w:w w:val="99"/>
                            <w:sz w:val="18"/>
                            <w:szCs w:val="18"/>
                          </w:rPr>
                          <w:t> </w:t>
                        </w:r>
                        <w:r>
                          <w:rPr>
                            <w:rFonts w:ascii="宋体" w:hAnsi="宋体" w:cs="宋体" w:eastAsia="宋体" w:hint="default"/>
                            <w:sz w:val="18"/>
                            <w:szCs w:val="18"/>
                          </w:rPr>
                          <w:t>同期增减（</w:t>
                        </w:r>
                        <w:r>
                          <w:rPr>
                            <w:rFonts w:ascii="Arial" w:hAnsi="Arial" w:cs="Arial" w:eastAsia="Arial" w:hint="default"/>
                            <w:sz w:val="18"/>
                            <w:szCs w:val="18"/>
                          </w:rPr>
                          <w:t>%</w:t>
                        </w:r>
                        <w:r>
                          <w:rPr>
                            <w:rFonts w:ascii="宋体" w:hAnsi="宋体" w:cs="宋体" w:eastAsia="宋体" w:hint="default"/>
                            <w:sz w:val="18"/>
                            <w:szCs w:val="18"/>
                          </w:rPr>
                          <w:t>）</w:t>
                        </w:r>
                      </w:p>
                    </w:tc>
                    <w:tc>
                      <w:tcPr>
                        <w:tcW w:w="1212"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316" w:lineRule="auto" w:before="10"/>
                          <w:ind w:left="14" w:right="50" w:firstLine="36"/>
                          <w:jc w:val="left"/>
                          <w:rPr>
                            <w:rFonts w:ascii="Arial" w:hAnsi="Arial" w:cs="Arial" w:eastAsia="Arial" w:hint="default"/>
                            <w:sz w:val="18"/>
                            <w:szCs w:val="18"/>
                          </w:rPr>
                        </w:pPr>
                        <w:r>
                          <w:rPr>
                            <w:rFonts w:ascii="宋体" w:hAnsi="宋体" w:cs="宋体" w:eastAsia="宋体" w:hint="default"/>
                            <w:sz w:val="18"/>
                            <w:szCs w:val="18"/>
                          </w:rPr>
                          <w:t>毛利率比上年</w:t>
                        </w:r>
                        <w:r>
                          <w:rPr>
                            <w:rFonts w:ascii="宋体" w:hAnsi="宋体" w:cs="宋体" w:eastAsia="宋体" w:hint="default"/>
                            <w:w w:val="99"/>
                            <w:sz w:val="18"/>
                            <w:szCs w:val="18"/>
                          </w:rPr>
                          <w:t> </w:t>
                        </w:r>
                        <w:r>
                          <w:rPr>
                            <w:rFonts w:ascii="宋体" w:hAnsi="宋体" w:cs="宋体" w:eastAsia="宋体" w:hint="default"/>
                            <w:sz w:val="18"/>
                            <w:szCs w:val="18"/>
                          </w:rPr>
                          <w:t>同期增减（</w:t>
                        </w:r>
                        <w:r>
                          <w:rPr>
                            <w:rFonts w:ascii="Arial" w:hAnsi="Arial" w:cs="Arial" w:eastAsia="Arial" w:hint="default"/>
                            <w:sz w:val="18"/>
                            <w:szCs w:val="18"/>
                          </w:rPr>
                          <w:t>%</w:t>
                        </w:r>
                      </w:p>
                    </w:tc>
                  </w:tr>
                  <w:tr>
                    <w:trPr>
                      <w:trHeight w:val="343" w:hRule="exact"/>
                    </w:trPr>
                    <w:tc>
                      <w:tcPr>
                        <w:tcW w:w="135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分散染料</w:t>
                        </w:r>
                      </w:p>
                    </w:tc>
                    <w:tc>
                      <w:tcPr>
                        <w:tcW w:w="10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12,179.52</w:t>
                        </w:r>
                      </w:p>
                    </w:tc>
                    <w:tc>
                      <w:tcPr>
                        <w:tcW w:w="109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7,944.22</w:t>
                        </w:r>
                      </w:p>
                    </w:tc>
                    <w:tc>
                      <w:tcPr>
                        <w:tcW w:w="10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34.77%</w:t>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w w:val="95"/>
                            <w:sz w:val="18"/>
                          </w:rPr>
                          <w:t>0.18%</w:t>
                        </w:r>
                        <w:r>
                          <w:rPr>
                            <w:rFonts w:ascii="Arial"/>
                            <w:sz w:val="18"/>
                          </w:rPr>
                        </w:r>
                      </w:p>
                    </w:tc>
                    <w:tc>
                      <w:tcPr>
                        <w:tcW w:w="13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5"/>
                            <w:sz w:val="18"/>
                          </w:rPr>
                          <w:t>7.93%</w:t>
                        </w:r>
                        <w:r>
                          <w:rPr>
                            <w:rFonts w:ascii="Arial"/>
                            <w:sz w:val="18"/>
                          </w:rPr>
                        </w:r>
                      </w:p>
                    </w:tc>
                    <w:tc>
                      <w:tcPr>
                        <w:tcW w:w="12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5"/>
                            <w:sz w:val="18"/>
                          </w:rPr>
                          <w:t>-4.69%</w:t>
                        </w:r>
                        <w:r>
                          <w:rPr>
                            <w:rFonts w:ascii="Arial"/>
                            <w:sz w:val="18"/>
                          </w:rPr>
                        </w:r>
                      </w:p>
                    </w:tc>
                  </w:tr>
                  <w:tr>
                    <w:trPr>
                      <w:trHeight w:val="341" w:hRule="exact"/>
                    </w:trPr>
                    <w:tc>
                      <w:tcPr>
                        <w:tcW w:w="135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活性染料</w:t>
                        </w:r>
                      </w:p>
                    </w:tc>
                    <w:tc>
                      <w:tcPr>
                        <w:tcW w:w="10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4,600.75</w:t>
                        </w:r>
                      </w:p>
                    </w:tc>
                    <w:tc>
                      <w:tcPr>
                        <w:tcW w:w="109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2,631.50</w:t>
                        </w:r>
                      </w:p>
                    </w:tc>
                    <w:tc>
                      <w:tcPr>
                        <w:tcW w:w="10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42.80%</w:t>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-22.45%</w:t>
                        </w:r>
                      </w:p>
                    </w:tc>
                    <w:tc>
                      <w:tcPr>
                        <w:tcW w:w="13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-16.47%</w:t>
                        </w:r>
                      </w:p>
                    </w:tc>
                    <w:tc>
                      <w:tcPr>
                        <w:tcW w:w="12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5"/>
                            <w:sz w:val="18"/>
                          </w:rPr>
                          <w:t>-4.09%</w:t>
                        </w:r>
                        <w:r>
                          <w:rPr>
                            <w:rFonts w:ascii="Arial"/>
                            <w:sz w:val="18"/>
                          </w:rPr>
                        </w:r>
                      </w:p>
                    </w:tc>
                  </w:tr>
                  <w:tr>
                    <w:trPr>
                      <w:trHeight w:val="343" w:hRule="exact"/>
                    </w:trPr>
                    <w:tc>
                      <w:tcPr>
                        <w:tcW w:w="135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酸性染料</w:t>
                        </w:r>
                      </w:p>
                    </w:tc>
                    <w:tc>
                      <w:tcPr>
                        <w:tcW w:w="10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1,312.04</w:t>
                        </w:r>
                      </w:p>
                    </w:tc>
                    <w:tc>
                      <w:tcPr>
                        <w:tcW w:w="109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720.84</w:t>
                        </w:r>
                      </w:p>
                    </w:tc>
                    <w:tc>
                      <w:tcPr>
                        <w:tcW w:w="10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45.06%</w:t>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3"/>
                            <w:sz w:val="18"/>
                          </w:rPr>
                          <w:t>11.84%</w:t>
                        </w:r>
                      </w:p>
                    </w:tc>
                    <w:tc>
                      <w:tcPr>
                        <w:tcW w:w="13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24.97%</w:t>
                        </w:r>
                      </w:p>
                    </w:tc>
                    <w:tc>
                      <w:tcPr>
                        <w:tcW w:w="12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5"/>
                            <w:sz w:val="18"/>
                          </w:rPr>
                          <w:t>-5.77%</w:t>
                        </w:r>
                        <w:r>
                          <w:rPr>
                            <w:rFonts w:ascii="Arial"/>
                            <w:sz w:val="18"/>
                          </w:rPr>
                        </w:r>
                      </w:p>
                    </w:tc>
                  </w:tr>
                  <w:tr>
                    <w:trPr>
                      <w:trHeight w:val="341" w:hRule="exact"/>
                    </w:trPr>
                    <w:tc>
                      <w:tcPr>
                        <w:tcW w:w="135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助剂</w:t>
                        </w:r>
                      </w:p>
                    </w:tc>
                    <w:tc>
                      <w:tcPr>
                        <w:tcW w:w="10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527.76</w:t>
                        </w:r>
                      </w:p>
                    </w:tc>
                    <w:tc>
                      <w:tcPr>
                        <w:tcW w:w="109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297.19</w:t>
                        </w:r>
                      </w:p>
                    </w:tc>
                    <w:tc>
                      <w:tcPr>
                        <w:tcW w:w="10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43.69%</w:t>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2"/>
                            <w:w w:val="95"/>
                            <w:sz w:val="18"/>
                          </w:rPr>
                          <w:t>113.53%</w:t>
                        </w:r>
                        <w:r>
                          <w:rPr>
                            <w:rFonts w:ascii="Arial"/>
                            <w:spacing w:val="-2"/>
                            <w:sz w:val="18"/>
                          </w:rPr>
                        </w:r>
                      </w:p>
                    </w:tc>
                    <w:tc>
                      <w:tcPr>
                        <w:tcW w:w="13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120.50%</w:t>
                        </w:r>
                      </w:p>
                    </w:tc>
                    <w:tc>
                      <w:tcPr>
                        <w:tcW w:w="12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5"/>
                            <w:sz w:val="18"/>
                          </w:rPr>
                          <w:t>-1.78%</w:t>
                        </w:r>
                        <w:r>
                          <w:rPr>
                            <w:rFonts w:ascii="Arial"/>
                            <w:sz w:val="18"/>
                          </w:rPr>
                        </w:r>
                      </w:p>
                    </w:tc>
                  </w:tr>
                  <w:tr>
                    <w:trPr>
                      <w:trHeight w:val="343" w:hRule="exact"/>
                    </w:trPr>
                    <w:tc>
                      <w:tcPr>
                        <w:tcW w:w="135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染料滤饼</w:t>
                        </w:r>
                      </w:p>
                    </w:tc>
                    <w:tc>
                      <w:tcPr>
                        <w:tcW w:w="10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107.93</w:t>
                        </w:r>
                      </w:p>
                    </w:tc>
                    <w:tc>
                      <w:tcPr>
                        <w:tcW w:w="109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106.98</w:t>
                        </w:r>
                      </w:p>
                    </w:tc>
                    <w:tc>
                      <w:tcPr>
                        <w:tcW w:w="10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5"/>
                            <w:sz w:val="18"/>
                          </w:rPr>
                          <w:t>0.88%</w:t>
                        </w:r>
                        <w:r>
                          <w:rPr>
                            <w:rFonts w:ascii="Arial"/>
                            <w:sz w:val="18"/>
                          </w:rPr>
                        </w:r>
                      </w:p>
                    </w:tc>
                    <w:tc>
                      <w:tcPr>
                        <w:tcW w:w="1478" w:type="dxa"/>
                        <w:tcBorders>
                          <w:top w:val="single" w:sz="12" w:space="0" w:color="000000"/>
                          <w:left w:val="single" w:sz="12" w:space="0" w:color="000000"/>
                          <w:bottom w:val="single" w:sz="12" w:space="0" w:color="000000"/>
                          <w:right w:val="single" w:sz="12" w:space="0" w:color="000000"/>
                        </w:tcBorders>
                      </w:tcPr>
                      <w:p>
                        <w:pPr/>
                      </w:p>
                    </w:tc>
                    <w:tc>
                      <w:tcPr>
                        <w:tcW w:w="1370" w:type="dxa"/>
                        <w:tcBorders>
                          <w:top w:val="single" w:sz="12" w:space="0" w:color="000000"/>
                          <w:left w:val="single" w:sz="12" w:space="0" w:color="000000"/>
                          <w:bottom w:val="single" w:sz="12" w:space="0" w:color="000000"/>
                          <w:right w:val="single" w:sz="12" w:space="0" w:color="000000"/>
                        </w:tcBorders>
                      </w:tcPr>
                      <w:p>
                        <w:pPr/>
                      </w:p>
                    </w:tc>
                    <w:tc>
                      <w:tcPr>
                        <w:tcW w:w="1212"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135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18,727.99</w:t>
                        </w:r>
                      </w:p>
                    </w:tc>
                    <w:tc>
                      <w:tcPr>
                        <w:tcW w:w="109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2"/>
                            <w:sz w:val="18"/>
                          </w:rPr>
                          <w:t>11,700.73</w:t>
                        </w:r>
                      </w:p>
                    </w:tc>
                    <w:tc>
                      <w:tcPr>
                        <w:tcW w:w="10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37.52%</w:t>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w w:val="95"/>
                            <w:sz w:val="18"/>
                          </w:rPr>
                          <w:t>-4.01%</w:t>
                        </w:r>
                        <w:r>
                          <w:rPr>
                            <w:rFonts w:ascii="Arial"/>
                            <w:sz w:val="18"/>
                          </w:rPr>
                        </w:r>
                      </w:p>
                    </w:tc>
                    <w:tc>
                      <w:tcPr>
                        <w:tcW w:w="13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5"/>
                            <w:sz w:val="18"/>
                          </w:rPr>
                          <w:t>4.26%</w:t>
                        </w:r>
                        <w:r>
                          <w:rPr>
                            <w:rFonts w:ascii="Arial"/>
                            <w:sz w:val="18"/>
                          </w:rPr>
                        </w:r>
                      </w:p>
                    </w:tc>
                    <w:tc>
                      <w:tcPr>
                        <w:tcW w:w="12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5"/>
                            <w:sz w:val="18"/>
                          </w:rPr>
                          <w:t>-4.96%</w:t>
                        </w:r>
                        <w:r>
                          <w:rPr>
                            <w:rFonts w:ascii="Arial"/>
                            <w:sz w:val="18"/>
                          </w:rPr>
                        </w:r>
                      </w:p>
                    </w:tc>
                  </w:tr>
                </w:tbl>
                <w:p>
                  <w:pPr/>
                </w:p>
              </w:txbxContent>
            </v:textbox>
            <w10:wrap type="none"/>
          </v:shape>
        </w:pict>
      </w:r>
      <w:r>
        <w:rPr>
          <w:rFonts w:ascii="宋体" w:hAnsi="宋体" w:cs="宋体" w:eastAsia="宋体" w:hint="default"/>
          <w:w w:val="99"/>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spacing w:line="369" w:lineRule="auto"/>
        <w:ind w:left="157" w:right="33" w:firstLine="439"/>
        <w:jc w:val="left"/>
      </w:pPr>
      <w:r>
        <w:rPr>
          <w:rFonts w:ascii="Arial" w:hAnsi="Arial" w:cs="Arial" w:eastAsia="Arial" w:hint="default"/>
          <w:spacing w:val="-4"/>
        </w:rPr>
        <w:t>2010</w:t>
      </w:r>
      <w:r>
        <w:rPr>
          <w:spacing w:val="-4"/>
        </w:rPr>
        <w:t>年活性染料的营业收入为</w:t>
      </w:r>
      <w:r>
        <w:rPr>
          <w:rFonts w:ascii="Arial" w:hAnsi="Arial" w:cs="Arial" w:eastAsia="Arial" w:hint="default"/>
          <w:spacing w:val="-4"/>
        </w:rPr>
        <w:t>4,600.75</w:t>
      </w:r>
      <w:r>
        <w:rPr>
          <w:spacing w:val="-4"/>
        </w:rPr>
        <w:t>万元，较</w:t>
      </w:r>
      <w:r>
        <w:rPr>
          <w:rFonts w:ascii="Arial" w:hAnsi="Arial" w:cs="Arial" w:eastAsia="Arial" w:hint="default"/>
          <w:spacing w:val="-4"/>
        </w:rPr>
        <w:t>2009</w:t>
      </w:r>
      <w:r>
        <w:rPr>
          <w:spacing w:val="-4"/>
        </w:rPr>
        <w:t>年下降</w:t>
      </w:r>
      <w:r>
        <w:rPr>
          <w:rFonts w:ascii="Arial" w:hAnsi="Arial" w:cs="Arial" w:eastAsia="Arial" w:hint="default"/>
          <w:spacing w:val="-4"/>
        </w:rPr>
        <w:t>22.45%</w:t>
      </w:r>
      <w:r>
        <w:rPr>
          <w:spacing w:val="-4"/>
        </w:rPr>
        <w:t>，主要原因为受市</w:t>
      </w:r>
      <w:r>
        <w:rPr>
          <w:w w:val="100"/>
        </w:rPr>
        <w:t> </w:t>
      </w:r>
      <w:r>
        <w:rPr/>
        <w:t>场竞争激烈因素影响</w:t>
      </w:r>
      <w:r>
        <w:rPr>
          <w:rFonts w:ascii="Arial" w:hAnsi="Arial" w:cs="Arial" w:eastAsia="Arial" w:hint="default"/>
        </w:rPr>
        <w:t>,</w:t>
      </w:r>
      <w:r>
        <w:rPr/>
        <w:t>下半年起活性销售单价有所下降。</w:t>
      </w:r>
    </w:p>
    <w:p>
      <w:pPr>
        <w:pStyle w:val="BodyText"/>
        <w:spacing w:line="369" w:lineRule="auto" w:before="31"/>
        <w:ind w:left="157" w:right="33" w:firstLine="439"/>
        <w:jc w:val="left"/>
      </w:pPr>
      <w:r>
        <w:rPr>
          <w:rFonts w:ascii="Arial" w:hAnsi="Arial" w:cs="Arial" w:eastAsia="Arial" w:hint="default"/>
          <w:spacing w:val="-2"/>
        </w:rPr>
        <w:t>2010</w:t>
      </w:r>
      <w:r>
        <w:rPr>
          <w:spacing w:val="-2"/>
        </w:rPr>
        <w:t>年助剂产品销售收入比</w:t>
      </w:r>
      <w:r>
        <w:rPr>
          <w:rFonts w:ascii="Arial" w:hAnsi="Arial" w:cs="Arial" w:eastAsia="Arial" w:hint="default"/>
          <w:spacing w:val="-2"/>
        </w:rPr>
        <w:t>2009</w:t>
      </w:r>
      <w:r>
        <w:rPr>
          <w:spacing w:val="-2"/>
        </w:rPr>
        <w:t>年增长</w:t>
      </w:r>
      <w:r>
        <w:rPr>
          <w:rFonts w:ascii="Arial" w:hAnsi="Arial" w:cs="Arial" w:eastAsia="Arial" w:hint="default"/>
          <w:spacing w:val="-2"/>
        </w:rPr>
        <w:t>113.53%</w:t>
      </w:r>
      <w:r>
        <w:rPr>
          <w:spacing w:val="-2"/>
        </w:rPr>
        <w:t>，主要是公司助剂事业部报告期加大</w:t>
      </w:r>
      <w:r>
        <w:rPr>
          <w:w w:val="100"/>
        </w:rPr>
        <w:t> </w:t>
      </w:r>
      <w:r>
        <w:rPr/>
        <w:t>研发投入，新产品市场销售增加，开拓市场同重点客户建立协作关系所致。</w:t>
      </w:r>
    </w:p>
    <w:p>
      <w:pPr>
        <w:pStyle w:val="BodyText"/>
        <w:spacing w:line="240" w:lineRule="auto" w:before="61"/>
        <w:ind w:left="596" w:right="33"/>
        <w:jc w:val="left"/>
      </w:pPr>
      <w:r>
        <w:rPr/>
        <w:t>主营业务毛利率</w:t>
      </w:r>
      <w:r>
        <w:rPr>
          <w:rFonts w:ascii="Arial" w:hAnsi="Arial" w:cs="Arial" w:eastAsia="Arial" w:hint="default"/>
        </w:rPr>
        <w:t>37.52%</w:t>
      </w:r>
      <w:r>
        <w:rPr/>
        <w:t>，比上年同期下降</w:t>
      </w:r>
      <w:r>
        <w:rPr>
          <w:rFonts w:ascii="Arial" w:hAnsi="Arial" w:cs="Arial" w:eastAsia="Arial" w:hint="default"/>
        </w:rPr>
        <w:t>4.96</w:t>
      </w:r>
      <w:r>
        <w:rPr/>
        <w:t>个百分点，主要原因为：</w:t>
      </w:r>
    </w:p>
    <w:p>
      <w:pPr>
        <w:pStyle w:val="BodyText"/>
        <w:spacing w:line="369" w:lineRule="auto" w:before="164"/>
        <w:ind w:left="157" w:right="191" w:firstLine="549"/>
        <w:jc w:val="left"/>
      </w:pPr>
      <w:r>
        <w:rPr>
          <w:rFonts w:ascii="Arial" w:hAnsi="Arial" w:cs="Arial" w:eastAsia="Arial" w:hint="default"/>
        </w:rPr>
        <w:t>(1)</w:t>
      </w:r>
      <w:r>
        <w:rPr>
          <w:rFonts w:ascii="Arial" w:hAnsi="Arial" w:cs="Arial" w:eastAsia="Arial" w:hint="default"/>
          <w:spacing w:val="2"/>
        </w:rPr>
        <w:t> </w:t>
      </w:r>
      <w:r>
        <w:rPr/>
        <w:t>东营年产</w:t>
      </w:r>
      <w:r>
        <w:rPr>
          <w:rFonts w:ascii="Arial" w:hAnsi="Arial" w:cs="Arial" w:eastAsia="Arial" w:hint="default"/>
        </w:rPr>
        <w:t>5,500</w:t>
      </w:r>
      <w:r>
        <w:rPr/>
        <w:t>吨染料滤饼项目，</w:t>
      </w:r>
      <w:r>
        <w:rPr>
          <w:rFonts w:ascii="Arial" w:hAnsi="Arial" w:cs="Arial" w:eastAsia="Arial" w:hint="default"/>
        </w:rPr>
        <w:t>2010</w:t>
      </w:r>
      <w:r>
        <w:rPr/>
        <w:t>年投入试生产，生产入库滤饼</w:t>
      </w:r>
      <w:r>
        <w:rPr>
          <w:rFonts w:ascii="Arial" w:hAnsi="Arial" w:cs="Arial" w:eastAsia="Arial" w:hint="default"/>
        </w:rPr>
        <w:t>1,414</w:t>
      </w:r>
      <w:r>
        <w:rPr/>
        <w:t>吨，仅</w:t>
      </w:r>
      <w:r>
        <w:rPr>
          <w:w w:val="100"/>
        </w:rPr>
        <w:t> </w:t>
      </w:r>
      <w:r>
        <w:rPr/>
        <w:t>占项目产能</w:t>
      </w:r>
      <w:r>
        <w:rPr>
          <w:rFonts w:ascii="Arial" w:hAnsi="Arial" w:cs="Arial" w:eastAsia="Arial" w:hint="default"/>
        </w:rPr>
        <w:t>26%</w:t>
      </w:r>
      <w:r>
        <w:rPr/>
        <w:t>，固定生产成本摊薄较高，其产品成本优势尚未体现；</w:t>
      </w:r>
    </w:p>
    <w:p>
      <w:pPr>
        <w:pStyle w:val="BodyText"/>
        <w:spacing w:line="369" w:lineRule="auto" w:before="31"/>
        <w:ind w:left="157" w:right="33" w:firstLine="441"/>
        <w:jc w:val="left"/>
      </w:pPr>
      <w:r>
        <w:rPr>
          <w:rFonts w:ascii="Arial" w:hAnsi="Arial" w:cs="Arial" w:eastAsia="Arial" w:hint="default"/>
        </w:rPr>
        <w:t>(2)</w:t>
      </w:r>
      <w:r>
        <w:rPr>
          <w:rFonts w:ascii="Arial" w:hAnsi="Arial" w:cs="Arial" w:eastAsia="Arial" w:hint="default"/>
          <w:spacing w:val="38"/>
        </w:rPr>
        <w:t> </w:t>
      </w:r>
      <w:r>
        <w:rPr/>
        <w:t>公司积极拓展市场，为募投项目投产产品做好前期销售渠道建设，</w:t>
      </w:r>
      <w:r>
        <w:rPr>
          <w:rFonts w:ascii="Arial" w:hAnsi="Arial" w:cs="Arial" w:eastAsia="Arial" w:hint="default"/>
        </w:rPr>
        <w:t>2010</w:t>
      </w:r>
      <w:r>
        <w:rPr/>
        <w:t>年增加了</w:t>
      </w:r>
      <w:r>
        <w:rPr>
          <w:w w:val="100"/>
        </w:rPr>
        <w:t> </w:t>
      </w:r>
      <w:r>
        <w:rPr/>
        <w:t>出口及经销商渠道的销售，销量同比增加</w:t>
      </w:r>
      <w:r>
        <w:rPr>
          <w:rFonts w:ascii="Arial" w:hAnsi="Arial" w:cs="Arial" w:eastAsia="Arial" w:hint="default"/>
        </w:rPr>
        <w:t>880</w:t>
      </w:r>
      <w:r>
        <w:rPr/>
        <w:t>吨，增幅</w:t>
      </w:r>
      <w:r>
        <w:rPr>
          <w:rFonts w:ascii="Arial" w:hAnsi="Arial" w:cs="Arial" w:eastAsia="Arial" w:hint="default"/>
        </w:rPr>
        <w:t>385%</w:t>
      </w:r>
      <w:r>
        <w:rPr/>
        <w:t>，其渠道销售毛利率较低；</w:t>
      </w:r>
    </w:p>
    <w:p>
      <w:pPr>
        <w:pStyle w:val="BodyText"/>
        <w:spacing w:line="369" w:lineRule="auto" w:before="31"/>
        <w:ind w:left="157" w:right="33" w:firstLine="331"/>
        <w:jc w:val="left"/>
      </w:pPr>
      <w:r>
        <w:rPr/>
        <w:t>（</w:t>
      </w:r>
      <w:r>
        <w:rPr>
          <w:rFonts w:ascii="Arial" w:hAnsi="Arial" w:cs="Arial" w:eastAsia="Arial" w:hint="default"/>
        </w:rPr>
        <w:t>3</w:t>
      </w:r>
      <w:r>
        <w:rPr/>
        <w:t>）</w:t>
      </w:r>
      <w:r>
        <w:rPr>
          <w:spacing w:val="78"/>
        </w:rPr>
        <w:t> </w:t>
      </w:r>
      <w:r>
        <w:rPr/>
        <w:t>受总体宏观经济影响，</w:t>
      </w:r>
      <w:r>
        <w:rPr>
          <w:rFonts w:ascii="Arial" w:hAnsi="Arial" w:cs="Arial" w:eastAsia="Arial" w:hint="default"/>
        </w:rPr>
        <w:t>2010</w:t>
      </w:r>
      <w:r>
        <w:rPr/>
        <w:t>年外购原材料价格持续上涨，其成品染料价格调整</w:t>
      </w:r>
      <w:r>
        <w:rPr>
          <w:w w:val="100"/>
        </w:rPr>
        <w:t> </w:t>
      </w:r>
      <w:r>
        <w:rPr/>
        <w:t>滞后</w:t>
      </w:r>
      <w:r>
        <w:rPr>
          <w:rFonts w:ascii="Arial" w:hAnsi="Arial" w:cs="Arial" w:eastAsia="Arial" w:hint="default"/>
        </w:rPr>
        <w:t>,</w:t>
      </w:r>
      <w:r>
        <w:rPr/>
        <w:t>影响产品销售利润空间；</w:t>
      </w:r>
    </w:p>
    <w:p>
      <w:pPr>
        <w:pStyle w:val="BodyText"/>
        <w:spacing w:line="240" w:lineRule="auto" w:before="31"/>
        <w:ind w:left="596" w:right="33"/>
        <w:jc w:val="left"/>
      </w:pPr>
      <w:r>
        <w:rPr>
          <w:rFonts w:ascii="Arial" w:hAnsi="Arial" w:cs="Arial" w:eastAsia="Arial" w:hint="default"/>
        </w:rPr>
        <w:t>(4)</w:t>
      </w:r>
      <w:r>
        <w:rPr>
          <w:rFonts w:ascii="Arial" w:hAnsi="Arial" w:cs="Arial" w:eastAsia="Arial" w:hint="default"/>
          <w:spacing w:val="35"/>
        </w:rPr>
        <w:t> </w:t>
      </w:r>
      <w:r>
        <w:rPr/>
        <w:t>受市场竞争激烈因素影响，下半年起活性及酸性染料销售单价有所下降。</w:t>
      </w:r>
    </w:p>
    <w:p>
      <w:pPr>
        <w:pStyle w:val="BodyText"/>
        <w:spacing w:line="240" w:lineRule="auto" w:before="164"/>
        <w:ind w:left="596" w:right="33"/>
        <w:jc w:val="left"/>
      </w:pPr>
      <w:r>
        <w:rPr>
          <w:rFonts w:ascii="Arial" w:hAnsi="Arial" w:cs="Arial" w:eastAsia="Arial" w:hint="default"/>
        </w:rPr>
        <w:t>2</w:t>
      </w:r>
      <w:r>
        <w:rPr/>
        <w:t>）主营业务分地区情况</w:t>
      </w:r>
    </w:p>
    <w:p>
      <w:pPr>
        <w:spacing w:line="240" w:lineRule="auto" w:before="7"/>
        <w:rPr>
          <w:rFonts w:ascii="宋体" w:hAnsi="宋体" w:cs="宋体" w:eastAsia="宋体" w:hint="default"/>
          <w:sz w:val="9"/>
          <w:szCs w:val="9"/>
        </w:rPr>
      </w:pPr>
    </w:p>
    <w:tbl>
      <w:tblPr>
        <w:tblW w:w="0" w:type="auto"/>
        <w:jc w:val="left"/>
        <w:tblInd w:w="114" w:type="dxa"/>
        <w:tblLayout w:type="fixed"/>
        <w:tblCellMar>
          <w:top w:w="0" w:type="dxa"/>
          <w:left w:w="0" w:type="dxa"/>
          <w:bottom w:w="0" w:type="dxa"/>
          <w:right w:w="0" w:type="dxa"/>
        </w:tblCellMar>
        <w:tblLook w:val="01E0"/>
      </w:tblPr>
      <w:tblGrid>
        <w:gridCol w:w="3682"/>
        <w:gridCol w:w="2530"/>
        <w:gridCol w:w="2486"/>
      </w:tblGrid>
      <w:tr>
        <w:trPr>
          <w:trHeight w:val="325" w:hRule="exact"/>
        </w:trPr>
        <w:tc>
          <w:tcPr>
            <w:tcW w:w="3682"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地区</w:t>
            </w:r>
          </w:p>
        </w:tc>
        <w:tc>
          <w:tcPr>
            <w:tcW w:w="2530"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31" w:lineRule="exact"/>
              <w:ind w:right="2"/>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486"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3" w:lineRule="exact"/>
              <w:ind w:left="158" w:right="0"/>
              <w:jc w:val="left"/>
              <w:rPr>
                <w:rFonts w:ascii="宋体" w:hAnsi="宋体" w:cs="宋体" w:eastAsia="宋体" w:hint="default"/>
                <w:sz w:val="18"/>
                <w:szCs w:val="18"/>
              </w:rPr>
            </w:pPr>
            <w:r>
              <w:rPr>
                <w:rFonts w:ascii="宋体" w:hAnsi="宋体" w:cs="宋体" w:eastAsia="宋体" w:hint="default"/>
                <w:sz w:val="18"/>
                <w:szCs w:val="18"/>
              </w:rPr>
              <w:t>营业收入比上年增减（</w:t>
            </w:r>
            <w:r>
              <w:rPr>
                <w:rFonts w:ascii="Arial" w:hAnsi="Arial" w:cs="Arial" w:eastAsia="Arial" w:hint="default"/>
                <w:sz w:val="18"/>
                <w:szCs w:val="18"/>
              </w:rPr>
              <w:t>%</w:t>
            </w:r>
            <w:r>
              <w:rPr>
                <w:rFonts w:ascii="宋体" w:hAnsi="宋体" w:cs="宋体" w:eastAsia="宋体" w:hint="default"/>
                <w:sz w:val="18"/>
                <w:szCs w:val="18"/>
              </w:rPr>
              <w:t>）</w:t>
            </w:r>
          </w:p>
        </w:tc>
      </w:tr>
      <w:tr>
        <w:trPr>
          <w:trHeight w:val="343" w:hRule="exact"/>
        </w:trPr>
        <w:tc>
          <w:tcPr>
            <w:tcW w:w="36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浙江区</w:t>
            </w:r>
          </w:p>
        </w:tc>
        <w:tc>
          <w:tcPr>
            <w:tcW w:w="25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7,755.59</w:t>
            </w:r>
          </w:p>
        </w:tc>
        <w:tc>
          <w:tcPr>
            <w:tcW w:w="24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5"/>
                <w:sz w:val="18"/>
              </w:rPr>
              <w:t>-2.30%</w:t>
            </w:r>
            <w:r>
              <w:rPr>
                <w:rFonts w:ascii="Arial"/>
                <w:sz w:val="18"/>
              </w:rPr>
            </w:r>
          </w:p>
        </w:tc>
      </w:tr>
      <w:tr>
        <w:trPr>
          <w:trHeight w:val="341" w:hRule="exact"/>
        </w:trPr>
        <w:tc>
          <w:tcPr>
            <w:tcW w:w="36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江苏区</w:t>
            </w:r>
          </w:p>
        </w:tc>
        <w:tc>
          <w:tcPr>
            <w:tcW w:w="25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4,378.41</w:t>
            </w:r>
          </w:p>
        </w:tc>
        <w:tc>
          <w:tcPr>
            <w:tcW w:w="24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-25.12%</w:t>
            </w:r>
          </w:p>
        </w:tc>
      </w:tr>
      <w:tr>
        <w:trPr>
          <w:trHeight w:val="343" w:hRule="exact"/>
        </w:trPr>
        <w:tc>
          <w:tcPr>
            <w:tcW w:w="36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25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2,404.27</w:t>
            </w:r>
          </w:p>
        </w:tc>
        <w:tc>
          <w:tcPr>
            <w:tcW w:w="24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-12.39%</w:t>
            </w:r>
          </w:p>
        </w:tc>
      </w:tr>
      <w:tr>
        <w:trPr>
          <w:trHeight w:val="341" w:hRule="exact"/>
        </w:trPr>
        <w:tc>
          <w:tcPr>
            <w:tcW w:w="36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北方区</w:t>
            </w:r>
          </w:p>
        </w:tc>
        <w:tc>
          <w:tcPr>
            <w:tcW w:w="25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1,324.31</w:t>
            </w:r>
          </w:p>
        </w:tc>
        <w:tc>
          <w:tcPr>
            <w:tcW w:w="24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5"/>
                <w:sz w:val="18"/>
              </w:rPr>
              <w:t>-2.89%</w:t>
            </w:r>
            <w:r>
              <w:rPr>
                <w:rFonts w:ascii="Arial"/>
                <w:sz w:val="18"/>
              </w:rPr>
            </w:r>
          </w:p>
        </w:tc>
      </w:tr>
      <w:tr>
        <w:trPr>
          <w:trHeight w:val="343" w:hRule="exact"/>
        </w:trPr>
        <w:tc>
          <w:tcPr>
            <w:tcW w:w="36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2,865.42</w:t>
            </w:r>
          </w:p>
        </w:tc>
        <w:tc>
          <w:tcPr>
            <w:tcW w:w="24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77.40%</w:t>
            </w:r>
          </w:p>
        </w:tc>
      </w:tr>
      <w:tr>
        <w:trPr>
          <w:trHeight w:val="341" w:hRule="exact"/>
        </w:trPr>
        <w:tc>
          <w:tcPr>
            <w:tcW w:w="36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18,727.99</w:t>
            </w:r>
          </w:p>
        </w:tc>
        <w:tc>
          <w:tcPr>
            <w:tcW w:w="24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5"/>
                <w:sz w:val="18"/>
              </w:rPr>
              <w:t>-4.01%</w:t>
            </w:r>
            <w:r>
              <w:rPr>
                <w:rFonts w:ascii="Arial"/>
                <w:sz w:val="18"/>
              </w:rPr>
            </w:r>
          </w:p>
        </w:tc>
      </w:tr>
    </w:tbl>
    <w:p>
      <w:pPr>
        <w:pStyle w:val="BodyText"/>
        <w:spacing w:line="369" w:lineRule="auto" w:before="57"/>
        <w:ind w:left="157" w:right="33" w:firstLine="439"/>
        <w:jc w:val="left"/>
        <w:rPr>
          <w:rFonts w:ascii="Arial" w:hAnsi="Arial" w:cs="Arial" w:eastAsia="Arial" w:hint="default"/>
        </w:rPr>
      </w:pPr>
      <w:r>
        <w:rPr/>
        <w:t>公司其他地区销售收入比</w:t>
      </w:r>
      <w:r>
        <w:rPr>
          <w:rFonts w:ascii="Arial" w:hAnsi="Arial" w:cs="Arial" w:eastAsia="Arial" w:hint="default"/>
        </w:rPr>
        <w:t>2009</w:t>
      </w:r>
      <w:r>
        <w:rPr/>
        <w:t>年增长</w:t>
      </w:r>
      <w:r>
        <w:rPr>
          <w:rFonts w:ascii="Arial" w:hAnsi="Arial" w:cs="Arial" w:eastAsia="Arial" w:hint="default"/>
        </w:rPr>
        <w:t>77.4%</w:t>
      </w:r>
      <w:r>
        <w:rPr/>
        <w:t>，主要是报告期内，公司为拓展募投项目</w:t>
      </w:r>
      <w:r>
        <w:rPr>
          <w:w w:val="100"/>
        </w:rPr>
        <w:t> </w:t>
      </w:r>
      <w:r>
        <w:rPr>
          <w:spacing w:val="-1"/>
        </w:rPr>
        <w:t>产品销售市场，加强同国内优质的经销商及海外客户的沟通合作，其渠道销售收入比</w:t>
      </w:r>
      <w:r>
        <w:rPr>
          <w:rFonts w:ascii="Arial" w:hAnsi="Arial" w:cs="Arial" w:eastAsia="Arial" w:hint="default"/>
          <w:spacing w:val="-1"/>
        </w:rPr>
        <w:t>2009</w:t>
      </w:r>
    </w:p>
    <w:p>
      <w:pPr>
        <w:spacing w:after="0" w:line="369" w:lineRule="auto"/>
        <w:jc w:val="left"/>
        <w:rPr>
          <w:rFonts w:ascii="Arial" w:hAnsi="Arial" w:cs="Arial" w:eastAsia="Arial" w:hint="default"/>
        </w:rPr>
        <w:sectPr>
          <w:headerReference w:type="default" r:id="rId14"/>
          <w:footerReference w:type="default" r:id="rId15"/>
          <w:pgSz w:w="11900" w:h="16840"/>
          <w:pgMar w:header="877" w:footer="981" w:top="1100" w:bottom="1180" w:left="1640" w:right="1260"/>
          <w:pgNumType w:start="8"/>
        </w:sectPr>
      </w:pPr>
    </w:p>
    <w:p>
      <w:pPr>
        <w:spacing w:line="240" w:lineRule="auto" w:before="10"/>
        <w:rPr>
          <w:rFonts w:ascii="Arial" w:hAnsi="Arial" w:cs="Arial" w:eastAsia="Arial" w:hint="default"/>
          <w:sz w:val="29"/>
          <w:szCs w:val="29"/>
        </w:rPr>
      </w:pPr>
    </w:p>
    <w:p>
      <w:pPr>
        <w:pStyle w:val="BodyText"/>
        <w:spacing w:line="240" w:lineRule="auto"/>
        <w:ind w:left="277" w:right="0"/>
        <w:jc w:val="left"/>
      </w:pPr>
      <w:r>
        <w:rPr/>
        <w:t>年增幅</w:t>
      </w:r>
      <w:r>
        <w:rPr>
          <w:rFonts w:ascii="Arial" w:hAnsi="Arial" w:cs="Arial" w:eastAsia="Arial" w:hint="default"/>
        </w:rPr>
        <w:t>385%</w:t>
      </w:r>
      <w:r>
        <w:rPr/>
        <w:t>。</w:t>
      </w:r>
    </w:p>
    <w:p>
      <w:pPr>
        <w:pStyle w:val="BodyText"/>
        <w:spacing w:line="240" w:lineRule="auto" w:before="164"/>
        <w:ind w:left="716" w:right="0"/>
        <w:jc w:val="left"/>
      </w:pPr>
      <w:r>
        <w:rPr>
          <w:rFonts w:ascii="Arial" w:hAnsi="Arial" w:cs="Arial" w:eastAsia="Arial" w:hint="default"/>
        </w:rPr>
        <w:t>3</w:t>
      </w:r>
      <w:r>
        <w:rPr/>
        <w:t>）主要客户和供应商情况</w:t>
      </w:r>
    </w:p>
    <w:p>
      <w:pPr>
        <w:spacing w:line="240" w:lineRule="auto" w:before="5"/>
        <w:rPr>
          <w:rFonts w:ascii="宋体" w:hAnsi="宋体" w:cs="宋体" w:eastAsia="宋体" w:hint="default"/>
          <w:sz w:val="8"/>
          <w:szCs w:val="8"/>
        </w:rPr>
      </w:pPr>
    </w:p>
    <w:tbl>
      <w:tblPr>
        <w:tblW w:w="0" w:type="auto"/>
        <w:jc w:val="left"/>
        <w:tblInd w:w="303" w:type="dxa"/>
        <w:tblLayout w:type="fixed"/>
        <w:tblCellMar>
          <w:top w:w="0" w:type="dxa"/>
          <w:left w:w="0" w:type="dxa"/>
          <w:bottom w:w="0" w:type="dxa"/>
          <w:right w:w="0" w:type="dxa"/>
        </w:tblCellMar>
        <w:tblLook w:val="01E0"/>
      </w:tblPr>
      <w:tblGrid>
        <w:gridCol w:w="2628"/>
        <w:gridCol w:w="1980"/>
        <w:gridCol w:w="1656"/>
        <w:gridCol w:w="2294"/>
      </w:tblGrid>
      <w:tr>
        <w:trPr>
          <w:trHeight w:val="497" w:hRule="exact"/>
        </w:trPr>
        <w:tc>
          <w:tcPr>
            <w:tcW w:w="262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前五名供应商采购金额合计</w:t>
            </w:r>
          </w:p>
        </w:tc>
        <w:tc>
          <w:tcPr>
            <w:tcW w:w="198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left="398" w:right="0"/>
              <w:jc w:val="left"/>
              <w:rPr>
                <w:rFonts w:ascii="Arial" w:hAnsi="Arial" w:cs="Arial" w:eastAsia="Arial" w:hint="default"/>
                <w:sz w:val="18"/>
                <w:szCs w:val="18"/>
              </w:rPr>
            </w:pPr>
            <w:r>
              <w:rPr>
                <w:rFonts w:ascii="Arial"/>
                <w:sz w:val="18"/>
              </w:rPr>
              <w:t>82,396,646.51</w:t>
            </w:r>
          </w:p>
        </w:tc>
        <w:tc>
          <w:tcPr>
            <w:tcW w:w="165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占采购总额比重</w:t>
            </w:r>
          </w:p>
        </w:tc>
        <w:tc>
          <w:tcPr>
            <w:tcW w:w="22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1"/>
              <w:jc w:val="center"/>
              <w:rPr>
                <w:rFonts w:ascii="Arial" w:hAnsi="Arial" w:cs="Arial" w:eastAsia="Arial" w:hint="default"/>
                <w:sz w:val="18"/>
                <w:szCs w:val="18"/>
              </w:rPr>
            </w:pPr>
            <w:r>
              <w:rPr>
                <w:rFonts w:ascii="Arial"/>
                <w:sz w:val="18"/>
              </w:rPr>
              <w:t>42.26%</w:t>
            </w:r>
          </w:p>
        </w:tc>
      </w:tr>
      <w:tr>
        <w:trPr>
          <w:trHeight w:val="497" w:hRule="exact"/>
        </w:trPr>
        <w:tc>
          <w:tcPr>
            <w:tcW w:w="262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前五名销售客户销售金额合计</w:t>
            </w:r>
          </w:p>
        </w:tc>
        <w:tc>
          <w:tcPr>
            <w:tcW w:w="198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left="398" w:right="0"/>
              <w:jc w:val="left"/>
              <w:rPr>
                <w:rFonts w:ascii="Arial" w:hAnsi="Arial" w:cs="Arial" w:eastAsia="Arial" w:hint="default"/>
                <w:sz w:val="18"/>
                <w:szCs w:val="18"/>
              </w:rPr>
            </w:pPr>
            <w:r>
              <w:rPr>
                <w:rFonts w:ascii="Arial"/>
                <w:sz w:val="18"/>
              </w:rPr>
              <w:t>30,998,214.17</w:t>
            </w:r>
          </w:p>
        </w:tc>
        <w:tc>
          <w:tcPr>
            <w:tcW w:w="165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占销售总额比重</w:t>
            </w:r>
          </w:p>
        </w:tc>
        <w:tc>
          <w:tcPr>
            <w:tcW w:w="22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1"/>
              <w:jc w:val="center"/>
              <w:rPr>
                <w:rFonts w:ascii="Arial" w:hAnsi="Arial" w:cs="Arial" w:eastAsia="Arial" w:hint="default"/>
                <w:sz w:val="18"/>
                <w:szCs w:val="18"/>
              </w:rPr>
            </w:pPr>
            <w:r>
              <w:rPr>
                <w:rFonts w:ascii="Arial"/>
                <w:sz w:val="18"/>
              </w:rPr>
              <w:t>16.55%</w:t>
            </w:r>
          </w:p>
        </w:tc>
      </w:tr>
    </w:tbl>
    <w:p>
      <w:pPr>
        <w:pStyle w:val="BodyText"/>
        <w:spacing w:line="384" w:lineRule="auto" w:before="57"/>
        <w:ind w:left="277" w:right="275" w:firstLine="420"/>
        <w:jc w:val="both"/>
      </w:pPr>
      <w:r>
        <w:rPr/>
        <w:t>公司的前五名客户及前五名供应商与公司不存在关联关系，公司董事、监事、高级管</w:t>
      </w:r>
      <w:r>
        <w:rPr>
          <w:w w:val="100"/>
        </w:rPr>
        <w:t> </w:t>
      </w:r>
      <w:r>
        <w:rPr>
          <w:spacing w:val="-2"/>
        </w:rPr>
        <w:t>理人员、核心技术人员、持股</w:t>
      </w:r>
      <w:r>
        <w:rPr>
          <w:rFonts w:ascii="Arial" w:hAnsi="Arial" w:cs="Arial" w:eastAsia="Arial" w:hint="default"/>
          <w:spacing w:val="-2"/>
        </w:rPr>
        <w:t>5%</w:t>
      </w:r>
      <w:r>
        <w:rPr>
          <w:spacing w:val="-2"/>
        </w:rPr>
        <w:t>以上股东、一致行动人和其他关联方在主要客户、供应商</w:t>
      </w:r>
      <w:r>
        <w:rPr>
          <w:spacing w:val="-75"/>
        </w:rPr>
        <w:t> </w:t>
      </w:r>
      <w:r>
        <w:rPr>
          <w:spacing w:val="-75"/>
        </w:rPr>
      </w:r>
      <w:r>
        <w:rPr>
          <w:spacing w:val="5"/>
        </w:rPr>
        <w:t>中无直接或间接权益。公司不存在向单个供应商采购或向单个客户销售比例超过总额的</w:t>
      </w:r>
      <w:r>
        <w:rPr>
          <w:spacing w:val="-37"/>
        </w:rPr>
        <w:t> </w:t>
      </w:r>
      <w:r>
        <w:rPr>
          <w:spacing w:val="-37"/>
        </w:rPr>
      </w:r>
      <w:r>
        <w:rPr>
          <w:rFonts w:ascii="Arial" w:hAnsi="Arial" w:cs="Arial" w:eastAsia="Arial" w:hint="default"/>
        </w:rPr>
        <w:t>30%</w:t>
      </w:r>
      <w:r>
        <w:rPr/>
        <w:t>或严重依赖于少数供应商或客户的情况。</w:t>
      </w:r>
    </w:p>
    <w:p>
      <w:pPr>
        <w:pStyle w:val="Heading3"/>
        <w:spacing w:line="240" w:lineRule="auto" w:before="47"/>
        <w:ind w:left="839" w:right="0"/>
        <w:jc w:val="left"/>
      </w:pPr>
      <w:r>
        <w:rPr>
          <w:rFonts w:ascii="Arial" w:hAnsi="Arial" w:cs="Arial" w:eastAsia="Arial" w:hint="default"/>
          <w:b/>
          <w:bCs/>
        </w:rPr>
        <w:t>3</w:t>
      </w:r>
      <w:r>
        <w:rPr/>
        <w:t>、公司主要财务数据分析</w:t>
      </w:r>
    </w:p>
    <w:p>
      <w:pPr>
        <w:pStyle w:val="BodyText"/>
        <w:spacing w:line="240" w:lineRule="auto" w:before="207"/>
        <w:ind w:left="716" w:right="0"/>
        <w:jc w:val="left"/>
      </w:pPr>
      <w:r>
        <w:rPr>
          <w:rFonts w:ascii="Arial" w:hAnsi="Arial" w:cs="Arial" w:eastAsia="Arial" w:hint="default"/>
        </w:rPr>
        <w:t>1</w:t>
      </w:r>
      <w:r>
        <w:rPr/>
        <w:t>）报告期内公司资产构成分析</w:t>
      </w:r>
    </w:p>
    <w:p>
      <w:pPr>
        <w:pStyle w:val="BodyText"/>
        <w:spacing w:line="240" w:lineRule="auto" w:before="164"/>
        <w:ind w:left="0" w:right="280"/>
        <w:jc w:val="right"/>
      </w:pPr>
      <w:r>
        <w:rPr/>
        <w:t>单位：元</w:t>
      </w:r>
    </w:p>
    <w:p>
      <w:pPr>
        <w:spacing w:line="240" w:lineRule="auto" w:before="7"/>
        <w:rPr>
          <w:rFonts w:ascii="宋体" w:hAnsi="宋体" w:cs="宋体" w:eastAsia="宋体" w:hint="default"/>
          <w:sz w:val="9"/>
          <w:szCs w:val="9"/>
        </w:rPr>
      </w:pPr>
    </w:p>
    <w:tbl>
      <w:tblPr>
        <w:tblW w:w="0" w:type="auto"/>
        <w:jc w:val="left"/>
        <w:tblInd w:w="119" w:type="dxa"/>
        <w:tblLayout w:type="fixed"/>
        <w:tblCellMar>
          <w:top w:w="0" w:type="dxa"/>
          <w:left w:w="0" w:type="dxa"/>
          <w:bottom w:w="0" w:type="dxa"/>
          <w:right w:w="0" w:type="dxa"/>
        </w:tblCellMar>
        <w:tblLook w:val="01E0"/>
      </w:tblPr>
      <w:tblGrid>
        <w:gridCol w:w="1716"/>
        <w:gridCol w:w="1469"/>
        <w:gridCol w:w="1392"/>
        <w:gridCol w:w="1536"/>
        <w:gridCol w:w="1332"/>
        <w:gridCol w:w="1483"/>
      </w:tblGrid>
      <w:tr>
        <w:trPr>
          <w:trHeight w:val="655" w:hRule="exact"/>
        </w:trPr>
        <w:tc>
          <w:tcPr>
            <w:tcW w:w="1716"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9"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392"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占总资产比重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536"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332"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占总资产比重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483"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本年较上年增长</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r>
      <w:tr>
        <w:trPr>
          <w:trHeight w:val="341" w:hRule="exact"/>
        </w:trPr>
        <w:tc>
          <w:tcPr>
            <w:tcW w:w="1716"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10"/>
              <w:ind w:left="27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430,507,645.58</w:t>
            </w:r>
          </w:p>
        </w:tc>
        <w:tc>
          <w:tcPr>
            <w:tcW w:w="13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453" w:right="0"/>
              <w:jc w:val="left"/>
              <w:rPr>
                <w:rFonts w:ascii="Arial" w:hAnsi="Arial" w:cs="Arial" w:eastAsia="Arial" w:hint="default"/>
                <w:sz w:val="18"/>
                <w:szCs w:val="18"/>
              </w:rPr>
            </w:pPr>
            <w:r>
              <w:rPr>
                <w:rFonts w:ascii="Arial"/>
                <w:sz w:val="18"/>
              </w:rPr>
              <w:t>57.72</w:t>
            </w:r>
          </w:p>
        </w:tc>
        <w:tc>
          <w:tcPr>
            <w:tcW w:w="15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75" w:right="0"/>
              <w:jc w:val="left"/>
              <w:rPr>
                <w:rFonts w:ascii="Arial" w:hAnsi="Arial" w:cs="Arial" w:eastAsia="Arial" w:hint="default"/>
                <w:sz w:val="18"/>
                <w:szCs w:val="18"/>
              </w:rPr>
            </w:pPr>
            <w:r>
              <w:rPr>
                <w:rFonts w:ascii="Arial"/>
                <w:sz w:val="18"/>
              </w:rPr>
              <w:t>29,347,601.34</w:t>
            </w:r>
          </w:p>
        </w:tc>
        <w:tc>
          <w:tcPr>
            <w:tcW w:w="133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423"/>
              <w:jc w:val="right"/>
              <w:rPr>
                <w:rFonts w:ascii="Arial" w:hAnsi="Arial" w:cs="Arial" w:eastAsia="Arial" w:hint="default"/>
                <w:sz w:val="18"/>
                <w:szCs w:val="18"/>
              </w:rPr>
            </w:pPr>
            <w:r>
              <w:rPr>
                <w:rFonts w:ascii="Arial"/>
                <w:w w:val="95"/>
                <w:sz w:val="18"/>
              </w:rPr>
              <w:t>12.21</w:t>
            </w:r>
            <w:r>
              <w:rPr>
                <w:rFonts w:ascii="Arial"/>
                <w:sz w:val="18"/>
              </w:rPr>
            </w:r>
          </w:p>
        </w:tc>
        <w:tc>
          <w:tcPr>
            <w:tcW w:w="14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1,366.93</w:t>
            </w:r>
          </w:p>
        </w:tc>
      </w:tr>
      <w:tr>
        <w:trPr>
          <w:trHeight w:val="343" w:hRule="exact"/>
        </w:trPr>
        <w:tc>
          <w:tcPr>
            <w:tcW w:w="1716"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10"/>
              <w:ind w:left="27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20,025,583.34</w:t>
            </w:r>
          </w:p>
        </w:tc>
        <w:tc>
          <w:tcPr>
            <w:tcW w:w="13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503" w:right="0"/>
              <w:jc w:val="left"/>
              <w:rPr>
                <w:rFonts w:ascii="Arial" w:hAnsi="Arial" w:cs="Arial" w:eastAsia="Arial" w:hint="default"/>
                <w:sz w:val="18"/>
                <w:szCs w:val="18"/>
              </w:rPr>
            </w:pPr>
            <w:r>
              <w:rPr>
                <w:rFonts w:ascii="Arial"/>
                <w:sz w:val="18"/>
              </w:rPr>
              <w:t>2.68</w:t>
            </w:r>
          </w:p>
        </w:tc>
        <w:tc>
          <w:tcPr>
            <w:tcW w:w="1536" w:type="dxa"/>
            <w:tcBorders>
              <w:top w:val="single" w:sz="12" w:space="0" w:color="000000"/>
              <w:left w:val="single" w:sz="12" w:space="0" w:color="000000"/>
              <w:bottom w:val="single" w:sz="12" w:space="0" w:color="000000"/>
              <w:right w:val="single" w:sz="12" w:space="0" w:color="000000"/>
            </w:tcBorders>
          </w:tcPr>
          <w:p>
            <w:pPr/>
          </w:p>
        </w:tc>
        <w:tc>
          <w:tcPr>
            <w:tcW w:w="133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473"/>
              <w:jc w:val="right"/>
              <w:rPr>
                <w:rFonts w:ascii="Arial" w:hAnsi="Arial" w:cs="Arial" w:eastAsia="Arial" w:hint="default"/>
                <w:sz w:val="18"/>
                <w:szCs w:val="18"/>
              </w:rPr>
            </w:pPr>
            <w:r>
              <w:rPr>
                <w:rFonts w:ascii="Arial"/>
                <w:w w:val="95"/>
                <w:sz w:val="18"/>
              </w:rPr>
              <w:t>0.00</w:t>
            </w:r>
            <w:r>
              <w:rPr>
                <w:rFonts w:ascii="Arial"/>
                <w:sz w:val="18"/>
              </w:rPr>
            </w:r>
          </w:p>
        </w:tc>
        <w:tc>
          <w:tcPr>
            <w:tcW w:w="1483"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1716"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10"/>
              <w:ind w:left="27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17,589,199.50</w:t>
            </w:r>
          </w:p>
        </w:tc>
        <w:tc>
          <w:tcPr>
            <w:tcW w:w="13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503" w:right="0"/>
              <w:jc w:val="left"/>
              <w:rPr>
                <w:rFonts w:ascii="Arial" w:hAnsi="Arial" w:cs="Arial" w:eastAsia="Arial" w:hint="default"/>
                <w:sz w:val="18"/>
                <w:szCs w:val="18"/>
              </w:rPr>
            </w:pPr>
            <w:r>
              <w:rPr>
                <w:rFonts w:ascii="Arial"/>
                <w:sz w:val="18"/>
              </w:rPr>
              <w:t>2.36</w:t>
            </w:r>
          </w:p>
        </w:tc>
        <w:tc>
          <w:tcPr>
            <w:tcW w:w="15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75" w:right="0"/>
              <w:jc w:val="left"/>
              <w:rPr>
                <w:rFonts w:ascii="Arial" w:hAnsi="Arial" w:cs="Arial" w:eastAsia="Arial" w:hint="default"/>
                <w:sz w:val="18"/>
                <w:szCs w:val="18"/>
              </w:rPr>
            </w:pPr>
            <w:r>
              <w:rPr>
                <w:rFonts w:ascii="Arial"/>
                <w:sz w:val="18"/>
              </w:rPr>
              <w:t>35,017,134.61</w:t>
            </w:r>
          </w:p>
        </w:tc>
        <w:tc>
          <w:tcPr>
            <w:tcW w:w="133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423"/>
              <w:jc w:val="right"/>
              <w:rPr>
                <w:rFonts w:ascii="Arial" w:hAnsi="Arial" w:cs="Arial" w:eastAsia="Arial" w:hint="default"/>
                <w:sz w:val="18"/>
                <w:szCs w:val="18"/>
              </w:rPr>
            </w:pPr>
            <w:r>
              <w:rPr>
                <w:rFonts w:ascii="Arial"/>
                <w:w w:val="95"/>
                <w:sz w:val="18"/>
              </w:rPr>
              <w:t>14.56</w:t>
            </w:r>
            <w:r>
              <w:rPr>
                <w:rFonts w:ascii="Arial"/>
                <w:sz w:val="18"/>
              </w:rPr>
            </w:r>
          </w:p>
        </w:tc>
        <w:tc>
          <w:tcPr>
            <w:tcW w:w="14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-49.77</w:t>
            </w:r>
          </w:p>
        </w:tc>
      </w:tr>
      <w:tr>
        <w:trPr>
          <w:trHeight w:val="343" w:hRule="exact"/>
        </w:trPr>
        <w:tc>
          <w:tcPr>
            <w:tcW w:w="1716"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10"/>
              <w:ind w:left="27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42,644,210.52</w:t>
            </w:r>
          </w:p>
        </w:tc>
        <w:tc>
          <w:tcPr>
            <w:tcW w:w="13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503" w:right="0"/>
              <w:jc w:val="left"/>
              <w:rPr>
                <w:rFonts w:ascii="Arial" w:hAnsi="Arial" w:cs="Arial" w:eastAsia="Arial" w:hint="default"/>
                <w:sz w:val="18"/>
                <w:szCs w:val="18"/>
              </w:rPr>
            </w:pPr>
            <w:r>
              <w:rPr>
                <w:rFonts w:ascii="Arial"/>
                <w:sz w:val="18"/>
              </w:rPr>
              <w:t>5.72</w:t>
            </w:r>
          </w:p>
        </w:tc>
        <w:tc>
          <w:tcPr>
            <w:tcW w:w="15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75" w:right="0"/>
              <w:jc w:val="left"/>
              <w:rPr>
                <w:rFonts w:ascii="Arial" w:hAnsi="Arial" w:cs="Arial" w:eastAsia="Arial" w:hint="default"/>
                <w:sz w:val="18"/>
                <w:szCs w:val="18"/>
              </w:rPr>
            </w:pPr>
            <w:r>
              <w:rPr>
                <w:rFonts w:ascii="Arial"/>
                <w:sz w:val="18"/>
              </w:rPr>
              <w:t>42,155,863.54</w:t>
            </w:r>
          </w:p>
        </w:tc>
        <w:tc>
          <w:tcPr>
            <w:tcW w:w="133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423"/>
              <w:jc w:val="right"/>
              <w:rPr>
                <w:rFonts w:ascii="Arial" w:hAnsi="Arial" w:cs="Arial" w:eastAsia="Arial" w:hint="default"/>
                <w:sz w:val="18"/>
                <w:szCs w:val="18"/>
              </w:rPr>
            </w:pPr>
            <w:r>
              <w:rPr>
                <w:rFonts w:ascii="Arial"/>
                <w:w w:val="95"/>
                <w:sz w:val="18"/>
              </w:rPr>
              <w:t>17.53</w:t>
            </w:r>
            <w:r>
              <w:rPr>
                <w:rFonts w:ascii="Arial"/>
                <w:sz w:val="18"/>
              </w:rPr>
            </w:r>
          </w:p>
        </w:tc>
        <w:tc>
          <w:tcPr>
            <w:tcW w:w="14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1.16</w:t>
            </w:r>
          </w:p>
        </w:tc>
      </w:tr>
      <w:tr>
        <w:trPr>
          <w:trHeight w:val="341" w:hRule="exact"/>
        </w:trPr>
        <w:tc>
          <w:tcPr>
            <w:tcW w:w="1716"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10"/>
              <w:ind w:left="27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10,113,253.20</w:t>
            </w:r>
          </w:p>
        </w:tc>
        <w:tc>
          <w:tcPr>
            <w:tcW w:w="13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503" w:right="0"/>
              <w:jc w:val="left"/>
              <w:rPr>
                <w:rFonts w:ascii="Arial" w:hAnsi="Arial" w:cs="Arial" w:eastAsia="Arial" w:hint="default"/>
                <w:sz w:val="18"/>
                <w:szCs w:val="18"/>
              </w:rPr>
            </w:pPr>
            <w:r>
              <w:rPr>
                <w:rFonts w:ascii="Arial"/>
                <w:sz w:val="18"/>
              </w:rPr>
              <w:t>1.36</w:t>
            </w:r>
          </w:p>
        </w:tc>
        <w:tc>
          <w:tcPr>
            <w:tcW w:w="15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225" w:right="0"/>
              <w:jc w:val="left"/>
              <w:rPr>
                <w:rFonts w:ascii="Arial" w:hAnsi="Arial" w:cs="Arial" w:eastAsia="Arial" w:hint="default"/>
                <w:sz w:val="18"/>
                <w:szCs w:val="18"/>
              </w:rPr>
            </w:pPr>
            <w:r>
              <w:rPr>
                <w:rFonts w:ascii="Arial"/>
                <w:sz w:val="18"/>
              </w:rPr>
              <w:t>1,341,050.78</w:t>
            </w:r>
          </w:p>
        </w:tc>
        <w:tc>
          <w:tcPr>
            <w:tcW w:w="133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473"/>
              <w:jc w:val="right"/>
              <w:rPr>
                <w:rFonts w:ascii="Arial" w:hAnsi="Arial" w:cs="Arial" w:eastAsia="Arial" w:hint="default"/>
                <w:sz w:val="18"/>
                <w:szCs w:val="18"/>
              </w:rPr>
            </w:pPr>
            <w:r>
              <w:rPr>
                <w:rFonts w:ascii="Arial"/>
                <w:w w:val="95"/>
                <w:sz w:val="18"/>
              </w:rPr>
              <w:t>0.56</w:t>
            </w:r>
            <w:r>
              <w:rPr>
                <w:rFonts w:ascii="Arial"/>
                <w:sz w:val="18"/>
              </w:rPr>
            </w:r>
          </w:p>
        </w:tc>
        <w:tc>
          <w:tcPr>
            <w:tcW w:w="14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654.13</w:t>
            </w:r>
          </w:p>
        </w:tc>
      </w:tr>
      <w:tr>
        <w:trPr>
          <w:trHeight w:val="343" w:hRule="exact"/>
        </w:trPr>
        <w:tc>
          <w:tcPr>
            <w:tcW w:w="1716"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10"/>
              <w:ind w:left="275"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413,519.44</w:t>
            </w:r>
          </w:p>
        </w:tc>
        <w:tc>
          <w:tcPr>
            <w:tcW w:w="13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503" w:right="0"/>
              <w:jc w:val="left"/>
              <w:rPr>
                <w:rFonts w:ascii="Arial" w:hAnsi="Arial" w:cs="Arial" w:eastAsia="Arial" w:hint="default"/>
                <w:sz w:val="18"/>
                <w:szCs w:val="18"/>
              </w:rPr>
            </w:pPr>
            <w:r>
              <w:rPr>
                <w:rFonts w:ascii="Arial"/>
                <w:sz w:val="18"/>
              </w:rPr>
              <w:t>0.06</w:t>
            </w:r>
          </w:p>
        </w:tc>
        <w:tc>
          <w:tcPr>
            <w:tcW w:w="1536" w:type="dxa"/>
            <w:tcBorders>
              <w:top w:val="single" w:sz="12" w:space="0" w:color="000000"/>
              <w:left w:val="single" w:sz="12" w:space="0" w:color="000000"/>
              <w:bottom w:val="single" w:sz="12" w:space="0" w:color="000000"/>
              <w:right w:val="single" w:sz="12" w:space="0" w:color="000000"/>
            </w:tcBorders>
          </w:tcPr>
          <w:p>
            <w:pPr/>
          </w:p>
        </w:tc>
        <w:tc>
          <w:tcPr>
            <w:tcW w:w="133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475"/>
              <w:jc w:val="right"/>
              <w:rPr>
                <w:rFonts w:ascii="Arial" w:hAnsi="Arial" w:cs="Arial" w:eastAsia="Arial" w:hint="default"/>
                <w:sz w:val="18"/>
                <w:szCs w:val="18"/>
              </w:rPr>
            </w:pPr>
            <w:r>
              <w:rPr>
                <w:rFonts w:ascii="Arial"/>
                <w:w w:val="95"/>
                <w:sz w:val="18"/>
              </w:rPr>
              <w:t>0.00</w:t>
            </w:r>
            <w:r>
              <w:rPr>
                <w:rFonts w:ascii="Arial"/>
                <w:sz w:val="18"/>
              </w:rPr>
            </w:r>
          </w:p>
        </w:tc>
        <w:tc>
          <w:tcPr>
            <w:tcW w:w="1483"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1716"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10"/>
              <w:ind w:left="27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1,257,504.52</w:t>
            </w:r>
          </w:p>
        </w:tc>
        <w:tc>
          <w:tcPr>
            <w:tcW w:w="13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503" w:right="0"/>
              <w:jc w:val="left"/>
              <w:rPr>
                <w:rFonts w:ascii="Arial" w:hAnsi="Arial" w:cs="Arial" w:eastAsia="Arial" w:hint="default"/>
                <w:sz w:val="18"/>
                <w:szCs w:val="18"/>
              </w:rPr>
            </w:pPr>
            <w:r>
              <w:rPr>
                <w:rFonts w:ascii="Arial"/>
                <w:sz w:val="18"/>
              </w:rPr>
              <w:t>0.17</w:t>
            </w:r>
          </w:p>
        </w:tc>
        <w:tc>
          <w:tcPr>
            <w:tcW w:w="15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225" w:right="0"/>
              <w:jc w:val="left"/>
              <w:rPr>
                <w:rFonts w:ascii="Arial" w:hAnsi="Arial" w:cs="Arial" w:eastAsia="Arial" w:hint="default"/>
                <w:sz w:val="18"/>
                <w:szCs w:val="18"/>
              </w:rPr>
            </w:pPr>
            <w:r>
              <w:rPr>
                <w:rFonts w:ascii="Arial"/>
                <w:sz w:val="18"/>
              </w:rPr>
              <w:t>2,498,513.48</w:t>
            </w:r>
          </w:p>
        </w:tc>
        <w:tc>
          <w:tcPr>
            <w:tcW w:w="133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473"/>
              <w:jc w:val="right"/>
              <w:rPr>
                <w:rFonts w:ascii="Arial" w:hAnsi="Arial" w:cs="Arial" w:eastAsia="Arial" w:hint="default"/>
                <w:sz w:val="18"/>
                <w:szCs w:val="18"/>
              </w:rPr>
            </w:pPr>
            <w:r>
              <w:rPr>
                <w:rFonts w:ascii="Arial"/>
                <w:w w:val="95"/>
                <w:sz w:val="18"/>
              </w:rPr>
              <w:t>1.04</w:t>
            </w:r>
            <w:r>
              <w:rPr>
                <w:rFonts w:ascii="Arial"/>
                <w:sz w:val="18"/>
              </w:rPr>
            </w:r>
          </w:p>
        </w:tc>
        <w:tc>
          <w:tcPr>
            <w:tcW w:w="14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-49.67</w:t>
            </w:r>
          </w:p>
        </w:tc>
      </w:tr>
      <w:tr>
        <w:trPr>
          <w:trHeight w:val="343" w:hRule="exact"/>
        </w:trPr>
        <w:tc>
          <w:tcPr>
            <w:tcW w:w="1716"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10"/>
              <w:ind w:left="27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72,506,069.44</w:t>
            </w:r>
          </w:p>
        </w:tc>
        <w:tc>
          <w:tcPr>
            <w:tcW w:w="13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503" w:right="0"/>
              <w:jc w:val="left"/>
              <w:rPr>
                <w:rFonts w:ascii="Arial" w:hAnsi="Arial" w:cs="Arial" w:eastAsia="Arial" w:hint="default"/>
                <w:sz w:val="18"/>
                <w:szCs w:val="18"/>
              </w:rPr>
            </w:pPr>
            <w:r>
              <w:rPr>
                <w:rFonts w:ascii="Arial"/>
                <w:sz w:val="18"/>
              </w:rPr>
              <w:t>9.72</w:t>
            </w:r>
          </w:p>
        </w:tc>
        <w:tc>
          <w:tcPr>
            <w:tcW w:w="15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75" w:right="0"/>
              <w:jc w:val="left"/>
              <w:rPr>
                <w:rFonts w:ascii="Arial" w:hAnsi="Arial" w:cs="Arial" w:eastAsia="Arial" w:hint="default"/>
                <w:sz w:val="18"/>
                <w:szCs w:val="18"/>
              </w:rPr>
            </w:pPr>
            <w:r>
              <w:rPr>
                <w:rFonts w:ascii="Arial"/>
                <w:sz w:val="18"/>
              </w:rPr>
              <w:t>28,564,334.81</w:t>
            </w:r>
          </w:p>
        </w:tc>
        <w:tc>
          <w:tcPr>
            <w:tcW w:w="133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423"/>
              <w:jc w:val="right"/>
              <w:rPr>
                <w:rFonts w:ascii="Arial" w:hAnsi="Arial" w:cs="Arial" w:eastAsia="Arial" w:hint="default"/>
                <w:sz w:val="18"/>
                <w:szCs w:val="18"/>
              </w:rPr>
            </w:pPr>
            <w:r>
              <w:rPr>
                <w:rFonts w:ascii="Arial"/>
                <w:w w:val="95"/>
                <w:sz w:val="18"/>
              </w:rPr>
              <w:t>11.88</w:t>
            </w:r>
            <w:r>
              <w:rPr>
                <w:rFonts w:ascii="Arial"/>
                <w:sz w:val="18"/>
              </w:rPr>
            </w:r>
          </w:p>
        </w:tc>
        <w:tc>
          <w:tcPr>
            <w:tcW w:w="14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153.83</w:t>
            </w:r>
          </w:p>
        </w:tc>
      </w:tr>
      <w:tr>
        <w:trPr>
          <w:trHeight w:val="341" w:hRule="exact"/>
        </w:trPr>
        <w:tc>
          <w:tcPr>
            <w:tcW w:w="1716"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10"/>
              <w:ind w:left="27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107,982,091.08</w:t>
            </w:r>
          </w:p>
        </w:tc>
        <w:tc>
          <w:tcPr>
            <w:tcW w:w="13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453" w:right="0"/>
              <w:jc w:val="left"/>
              <w:rPr>
                <w:rFonts w:ascii="Arial" w:hAnsi="Arial" w:cs="Arial" w:eastAsia="Arial" w:hint="default"/>
                <w:sz w:val="18"/>
                <w:szCs w:val="18"/>
              </w:rPr>
            </w:pPr>
            <w:r>
              <w:rPr>
                <w:rFonts w:ascii="Arial"/>
                <w:sz w:val="18"/>
              </w:rPr>
              <w:t>14.48</w:t>
            </w:r>
          </w:p>
        </w:tc>
        <w:tc>
          <w:tcPr>
            <w:tcW w:w="15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75" w:right="0"/>
              <w:jc w:val="left"/>
              <w:rPr>
                <w:rFonts w:ascii="Arial" w:hAnsi="Arial" w:cs="Arial" w:eastAsia="Arial" w:hint="default"/>
                <w:sz w:val="18"/>
                <w:szCs w:val="18"/>
              </w:rPr>
            </w:pPr>
            <w:r>
              <w:rPr>
                <w:rFonts w:ascii="Arial"/>
                <w:sz w:val="18"/>
              </w:rPr>
              <w:t>80,864,837.57</w:t>
            </w:r>
          </w:p>
        </w:tc>
        <w:tc>
          <w:tcPr>
            <w:tcW w:w="133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423"/>
              <w:jc w:val="right"/>
              <w:rPr>
                <w:rFonts w:ascii="Arial" w:hAnsi="Arial" w:cs="Arial" w:eastAsia="Arial" w:hint="default"/>
                <w:sz w:val="18"/>
                <w:szCs w:val="18"/>
              </w:rPr>
            </w:pPr>
            <w:r>
              <w:rPr>
                <w:rFonts w:ascii="Arial"/>
                <w:w w:val="95"/>
                <w:sz w:val="18"/>
              </w:rPr>
              <w:t>33.63</w:t>
            </w:r>
            <w:r>
              <w:rPr>
                <w:rFonts w:ascii="Arial"/>
                <w:sz w:val="18"/>
              </w:rPr>
            </w:r>
          </w:p>
        </w:tc>
        <w:tc>
          <w:tcPr>
            <w:tcW w:w="14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33.53</w:t>
            </w:r>
          </w:p>
        </w:tc>
      </w:tr>
      <w:tr>
        <w:trPr>
          <w:trHeight w:val="343" w:hRule="exact"/>
        </w:trPr>
        <w:tc>
          <w:tcPr>
            <w:tcW w:w="1716"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10"/>
              <w:ind w:left="27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27,841,096.36</w:t>
            </w:r>
          </w:p>
        </w:tc>
        <w:tc>
          <w:tcPr>
            <w:tcW w:w="13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503" w:right="0"/>
              <w:jc w:val="left"/>
              <w:rPr>
                <w:rFonts w:ascii="Arial" w:hAnsi="Arial" w:cs="Arial" w:eastAsia="Arial" w:hint="default"/>
                <w:sz w:val="18"/>
                <w:szCs w:val="18"/>
              </w:rPr>
            </w:pPr>
            <w:r>
              <w:rPr>
                <w:rFonts w:ascii="Arial"/>
                <w:sz w:val="18"/>
              </w:rPr>
              <w:t>3.73</w:t>
            </w:r>
          </w:p>
        </w:tc>
        <w:tc>
          <w:tcPr>
            <w:tcW w:w="15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225" w:right="0"/>
              <w:jc w:val="left"/>
              <w:rPr>
                <w:rFonts w:ascii="Arial" w:hAnsi="Arial" w:cs="Arial" w:eastAsia="Arial" w:hint="default"/>
                <w:sz w:val="18"/>
                <w:szCs w:val="18"/>
              </w:rPr>
            </w:pPr>
            <w:r>
              <w:rPr>
                <w:rFonts w:ascii="Arial"/>
                <w:sz w:val="18"/>
              </w:rPr>
              <w:t>7,021,886.34</w:t>
            </w:r>
          </w:p>
        </w:tc>
        <w:tc>
          <w:tcPr>
            <w:tcW w:w="133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473"/>
              <w:jc w:val="right"/>
              <w:rPr>
                <w:rFonts w:ascii="Arial" w:hAnsi="Arial" w:cs="Arial" w:eastAsia="Arial" w:hint="default"/>
                <w:sz w:val="18"/>
                <w:szCs w:val="18"/>
              </w:rPr>
            </w:pPr>
            <w:r>
              <w:rPr>
                <w:rFonts w:ascii="Arial"/>
                <w:w w:val="95"/>
                <w:sz w:val="18"/>
              </w:rPr>
              <w:t>2.92</w:t>
            </w:r>
            <w:r>
              <w:rPr>
                <w:rFonts w:ascii="Arial"/>
                <w:sz w:val="18"/>
              </w:rPr>
            </w:r>
          </w:p>
        </w:tc>
        <w:tc>
          <w:tcPr>
            <w:tcW w:w="14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296.49</w:t>
            </w:r>
          </w:p>
        </w:tc>
      </w:tr>
      <w:tr>
        <w:trPr>
          <w:trHeight w:val="341" w:hRule="exact"/>
        </w:trPr>
        <w:tc>
          <w:tcPr>
            <w:tcW w:w="1716"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10"/>
              <w:ind w:left="275"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1,515,416.72</w:t>
            </w:r>
          </w:p>
        </w:tc>
        <w:tc>
          <w:tcPr>
            <w:tcW w:w="13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503" w:right="0"/>
              <w:jc w:val="left"/>
              <w:rPr>
                <w:rFonts w:ascii="Arial" w:hAnsi="Arial" w:cs="Arial" w:eastAsia="Arial" w:hint="default"/>
                <w:sz w:val="18"/>
                <w:szCs w:val="18"/>
              </w:rPr>
            </w:pPr>
            <w:r>
              <w:rPr>
                <w:rFonts w:ascii="Arial"/>
                <w:sz w:val="18"/>
              </w:rPr>
              <w:t>0.20</w:t>
            </w:r>
          </w:p>
        </w:tc>
        <w:tc>
          <w:tcPr>
            <w:tcW w:w="15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302" w:right="0"/>
              <w:jc w:val="left"/>
              <w:rPr>
                <w:rFonts w:ascii="Arial" w:hAnsi="Arial" w:cs="Arial" w:eastAsia="Arial" w:hint="default"/>
                <w:sz w:val="18"/>
                <w:szCs w:val="18"/>
              </w:rPr>
            </w:pPr>
            <w:r>
              <w:rPr>
                <w:rFonts w:ascii="Arial"/>
                <w:sz w:val="18"/>
              </w:rPr>
              <w:t>516,973.46</w:t>
            </w:r>
          </w:p>
        </w:tc>
        <w:tc>
          <w:tcPr>
            <w:tcW w:w="133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473"/>
              <w:jc w:val="right"/>
              <w:rPr>
                <w:rFonts w:ascii="Arial" w:hAnsi="Arial" w:cs="Arial" w:eastAsia="Arial" w:hint="default"/>
                <w:sz w:val="18"/>
                <w:szCs w:val="18"/>
              </w:rPr>
            </w:pPr>
            <w:r>
              <w:rPr>
                <w:rFonts w:ascii="Arial"/>
                <w:w w:val="95"/>
                <w:sz w:val="18"/>
              </w:rPr>
              <w:t>0.22</w:t>
            </w:r>
            <w:r>
              <w:rPr>
                <w:rFonts w:ascii="Arial"/>
                <w:sz w:val="18"/>
              </w:rPr>
            </w:r>
          </w:p>
        </w:tc>
        <w:tc>
          <w:tcPr>
            <w:tcW w:w="14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193.13</w:t>
            </w:r>
          </w:p>
        </w:tc>
      </w:tr>
      <w:tr>
        <w:trPr>
          <w:trHeight w:val="343" w:hRule="exact"/>
        </w:trPr>
        <w:tc>
          <w:tcPr>
            <w:tcW w:w="1716"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10"/>
              <w:ind w:left="27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12,396,172.84</w:t>
            </w:r>
          </w:p>
        </w:tc>
        <w:tc>
          <w:tcPr>
            <w:tcW w:w="13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503" w:right="0"/>
              <w:jc w:val="left"/>
              <w:rPr>
                <w:rFonts w:ascii="Arial" w:hAnsi="Arial" w:cs="Arial" w:eastAsia="Arial" w:hint="default"/>
                <w:sz w:val="18"/>
                <w:szCs w:val="18"/>
              </w:rPr>
            </w:pPr>
            <w:r>
              <w:rPr>
                <w:rFonts w:ascii="Arial"/>
                <w:sz w:val="18"/>
              </w:rPr>
              <w:t>1.66</w:t>
            </w:r>
          </w:p>
        </w:tc>
        <w:tc>
          <w:tcPr>
            <w:tcW w:w="15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75" w:right="0"/>
              <w:jc w:val="left"/>
              <w:rPr>
                <w:rFonts w:ascii="Arial" w:hAnsi="Arial" w:cs="Arial" w:eastAsia="Arial" w:hint="default"/>
                <w:sz w:val="18"/>
                <w:szCs w:val="18"/>
              </w:rPr>
            </w:pPr>
            <w:r>
              <w:rPr>
                <w:rFonts w:ascii="Arial"/>
                <w:sz w:val="18"/>
              </w:rPr>
              <w:t>12,662,814.88</w:t>
            </w:r>
          </w:p>
        </w:tc>
        <w:tc>
          <w:tcPr>
            <w:tcW w:w="133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473"/>
              <w:jc w:val="right"/>
              <w:rPr>
                <w:rFonts w:ascii="Arial" w:hAnsi="Arial" w:cs="Arial" w:eastAsia="Arial" w:hint="default"/>
                <w:sz w:val="18"/>
                <w:szCs w:val="18"/>
              </w:rPr>
            </w:pPr>
            <w:r>
              <w:rPr>
                <w:rFonts w:ascii="Arial"/>
                <w:w w:val="95"/>
                <w:sz w:val="18"/>
              </w:rPr>
              <w:t>5.27</w:t>
            </w:r>
            <w:r>
              <w:rPr>
                <w:rFonts w:ascii="Arial"/>
                <w:sz w:val="18"/>
              </w:rPr>
            </w:r>
          </w:p>
        </w:tc>
        <w:tc>
          <w:tcPr>
            <w:tcW w:w="14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-2.11</w:t>
            </w:r>
          </w:p>
        </w:tc>
      </w:tr>
      <w:tr>
        <w:trPr>
          <w:trHeight w:val="341" w:hRule="exact"/>
        </w:trPr>
        <w:tc>
          <w:tcPr>
            <w:tcW w:w="1716"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10"/>
              <w:ind w:left="27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100,000.00</w:t>
            </w:r>
          </w:p>
        </w:tc>
        <w:tc>
          <w:tcPr>
            <w:tcW w:w="13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503" w:right="0"/>
              <w:jc w:val="left"/>
              <w:rPr>
                <w:rFonts w:ascii="Arial" w:hAnsi="Arial" w:cs="Arial" w:eastAsia="Arial" w:hint="default"/>
                <w:sz w:val="18"/>
                <w:szCs w:val="18"/>
              </w:rPr>
            </w:pPr>
            <w:r>
              <w:rPr>
                <w:rFonts w:ascii="Arial"/>
                <w:sz w:val="18"/>
              </w:rPr>
              <w:t>0.01</w:t>
            </w:r>
          </w:p>
        </w:tc>
        <w:tc>
          <w:tcPr>
            <w:tcW w:w="1536" w:type="dxa"/>
            <w:tcBorders>
              <w:top w:val="single" w:sz="12" w:space="0" w:color="000000"/>
              <w:left w:val="single" w:sz="12" w:space="0" w:color="000000"/>
              <w:bottom w:val="single" w:sz="12" w:space="0" w:color="000000"/>
              <w:right w:val="single" w:sz="12" w:space="0" w:color="000000"/>
            </w:tcBorders>
          </w:tcPr>
          <w:p>
            <w:pPr/>
          </w:p>
        </w:tc>
        <w:tc>
          <w:tcPr>
            <w:tcW w:w="133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473"/>
              <w:jc w:val="right"/>
              <w:rPr>
                <w:rFonts w:ascii="Arial" w:hAnsi="Arial" w:cs="Arial" w:eastAsia="Arial" w:hint="default"/>
                <w:sz w:val="18"/>
                <w:szCs w:val="18"/>
              </w:rPr>
            </w:pPr>
            <w:r>
              <w:rPr>
                <w:rFonts w:ascii="Arial"/>
                <w:w w:val="95"/>
                <w:sz w:val="18"/>
              </w:rPr>
              <w:t>0.00</w:t>
            </w:r>
            <w:r>
              <w:rPr>
                <w:rFonts w:ascii="Arial"/>
                <w:sz w:val="18"/>
              </w:rPr>
            </w:r>
          </w:p>
        </w:tc>
        <w:tc>
          <w:tcPr>
            <w:tcW w:w="1483"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1716"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10"/>
              <w:ind w:left="27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1,023,565.63</w:t>
            </w:r>
          </w:p>
        </w:tc>
        <w:tc>
          <w:tcPr>
            <w:tcW w:w="13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503" w:right="0"/>
              <w:jc w:val="left"/>
              <w:rPr>
                <w:rFonts w:ascii="Arial" w:hAnsi="Arial" w:cs="Arial" w:eastAsia="Arial" w:hint="default"/>
                <w:sz w:val="18"/>
                <w:szCs w:val="18"/>
              </w:rPr>
            </w:pPr>
            <w:r>
              <w:rPr>
                <w:rFonts w:ascii="Arial"/>
                <w:sz w:val="18"/>
              </w:rPr>
              <w:t>0.14</w:t>
            </w:r>
          </w:p>
        </w:tc>
        <w:tc>
          <w:tcPr>
            <w:tcW w:w="15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302" w:right="0"/>
              <w:jc w:val="left"/>
              <w:rPr>
                <w:rFonts w:ascii="Arial" w:hAnsi="Arial" w:cs="Arial" w:eastAsia="Arial" w:hint="default"/>
                <w:sz w:val="18"/>
                <w:szCs w:val="18"/>
              </w:rPr>
            </w:pPr>
            <w:r>
              <w:rPr>
                <w:rFonts w:ascii="Arial"/>
                <w:sz w:val="18"/>
              </w:rPr>
              <w:t>429,633.23</w:t>
            </w:r>
          </w:p>
        </w:tc>
        <w:tc>
          <w:tcPr>
            <w:tcW w:w="133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473"/>
              <w:jc w:val="right"/>
              <w:rPr>
                <w:rFonts w:ascii="Arial" w:hAnsi="Arial" w:cs="Arial" w:eastAsia="Arial" w:hint="default"/>
                <w:sz w:val="18"/>
                <w:szCs w:val="18"/>
              </w:rPr>
            </w:pPr>
            <w:r>
              <w:rPr>
                <w:rFonts w:ascii="Arial"/>
                <w:w w:val="95"/>
                <w:sz w:val="18"/>
              </w:rPr>
              <w:t>0.18</w:t>
            </w:r>
            <w:r>
              <w:rPr>
                <w:rFonts w:ascii="Arial"/>
                <w:sz w:val="18"/>
              </w:rPr>
            </w:r>
          </w:p>
        </w:tc>
        <w:tc>
          <w:tcPr>
            <w:tcW w:w="14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138.24</w:t>
            </w:r>
          </w:p>
        </w:tc>
      </w:tr>
      <w:tr>
        <w:trPr>
          <w:trHeight w:val="343" w:hRule="exact"/>
        </w:trPr>
        <w:tc>
          <w:tcPr>
            <w:tcW w:w="1716"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13"/>
              <w:ind w:left="27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0"/>
              <w:jc w:val="center"/>
              <w:rPr>
                <w:rFonts w:ascii="Arial" w:hAnsi="Arial" w:cs="Arial" w:eastAsia="Arial" w:hint="default"/>
                <w:sz w:val="18"/>
                <w:szCs w:val="18"/>
              </w:rPr>
            </w:pPr>
            <w:r>
              <w:rPr>
                <w:rFonts w:ascii="Arial"/>
                <w:sz w:val="18"/>
              </w:rPr>
              <w:t>745,915,328.17</w:t>
            </w:r>
          </w:p>
        </w:tc>
        <w:tc>
          <w:tcPr>
            <w:tcW w:w="13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left="405" w:right="0"/>
              <w:jc w:val="left"/>
              <w:rPr>
                <w:rFonts w:ascii="Arial" w:hAnsi="Arial" w:cs="Arial" w:eastAsia="Arial" w:hint="default"/>
                <w:sz w:val="18"/>
                <w:szCs w:val="18"/>
              </w:rPr>
            </w:pPr>
            <w:r>
              <w:rPr>
                <w:rFonts w:ascii="Arial"/>
                <w:sz w:val="18"/>
              </w:rPr>
              <w:t>100.00</w:t>
            </w:r>
          </w:p>
        </w:tc>
        <w:tc>
          <w:tcPr>
            <w:tcW w:w="15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left="160" w:right="0"/>
              <w:jc w:val="left"/>
              <w:rPr>
                <w:rFonts w:ascii="Arial" w:hAnsi="Arial" w:cs="Arial" w:eastAsia="Arial" w:hint="default"/>
                <w:sz w:val="18"/>
                <w:szCs w:val="18"/>
              </w:rPr>
            </w:pPr>
            <w:r>
              <w:rPr>
                <w:rFonts w:ascii="Arial"/>
                <w:sz w:val="18"/>
              </w:rPr>
              <w:t>240,420,644.04</w:t>
            </w:r>
          </w:p>
        </w:tc>
        <w:tc>
          <w:tcPr>
            <w:tcW w:w="133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375"/>
              <w:jc w:val="right"/>
              <w:rPr>
                <w:rFonts w:ascii="Arial" w:hAnsi="Arial" w:cs="Arial" w:eastAsia="Arial" w:hint="default"/>
                <w:sz w:val="18"/>
                <w:szCs w:val="18"/>
              </w:rPr>
            </w:pPr>
            <w:r>
              <w:rPr>
                <w:rFonts w:ascii="Arial"/>
                <w:spacing w:val="-1"/>
                <w:sz w:val="18"/>
              </w:rPr>
              <w:t>100.00</w:t>
            </w:r>
          </w:p>
        </w:tc>
        <w:tc>
          <w:tcPr>
            <w:tcW w:w="14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0"/>
              <w:jc w:val="center"/>
              <w:rPr>
                <w:rFonts w:ascii="Arial" w:hAnsi="Arial" w:cs="Arial" w:eastAsia="Arial" w:hint="default"/>
                <w:sz w:val="18"/>
                <w:szCs w:val="18"/>
              </w:rPr>
            </w:pPr>
            <w:r>
              <w:rPr>
                <w:rFonts w:ascii="Arial"/>
                <w:sz w:val="18"/>
              </w:rPr>
              <w:t>210.25</w:t>
            </w:r>
          </w:p>
        </w:tc>
      </w:tr>
    </w:tbl>
    <w:p>
      <w:pPr>
        <w:pStyle w:val="BodyText"/>
        <w:spacing w:line="240" w:lineRule="auto" w:before="57"/>
        <w:ind w:left="716" w:right="0"/>
        <w:jc w:val="left"/>
      </w:pPr>
      <w:r>
        <w:rPr/>
        <w:t>变动说明：</w:t>
      </w:r>
    </w:p>
    <w:p>
      <w:pPr>
        <w:pStyle w:val="BodyText"/>
        <w:spacing w:line="369" w:lineRule="auto" w:before="180"/>
        <w:ind w:left="277" w:right="280" w:firstLine="439"/>
        <w:jc w:val="both"/>
      </w:pPr>
      <w:r>
        <w:rPr/>
        <w:t>（</w:t>
      </w:r>
      <w:r>
        <w:rPr>
          <w:rFonts w:ascii="Arial" w:hAnsi="Arial" w:cs="Arial" w:eastAsia="Arial" w:hint="default"/>
        </w:rPr>
        <w:t>1</w:t>
      </w:r>
      <w:r>
        <w:rPr/>
        <w:t>）货币资金年末余额较年初增幅</w:t>
      </w:r>
      <w:r>
        <w:rPr>
          <w:spacing w:val="21"/>
        </w:rPr>
        <w:t> </w:t>
      </w:r>
      <w:r>
        <w:rPr>
          <w:rFonts w:ascii="Arial" w:hAnsi="Arial" w:cs="Arial" w:eastAsia="Arial" w:hint="default"/>
        </w:rPr>
        <w:t>1366.93%</w:t>
      </w:r>
      <w:r>
        <w:rPr/>
        <w:t>，主要原因是</w:t>
      </w:r>
      <w:r>
        <w:rPr>
          <w:rFonts w:ascii="Arial" w:hAnsi="Arial" w:cs="Arial" w:eastAsia="Arial" w:hint="default"/>
        </w:rPr>
        <w:t>:</w:t>
      </w:r>
      <w:r>
        <w:rPr/>
        <w:t>报告期内发行新股</w:t>
      </w:r>
      <w:r>
        <w:rPr>
          <w:rFonts w:ascii="Arial" w:hAnsi="Arial" w:cs="Arial" w:eastAsia="Arial" w:hint="default"/>
        </w:rPr>
        <w:t>,</w:t>
      </w:r>
      <w:r>
        <w:rPr/>
        <w:t>募集</w:t>
      </w:r>
      <w:r>
        <w:rPr>
          <w:w w:val="100"/>
        </w:rPr>
        <w:t> </w:t>
      </w:r>
      <w:r>
        <w:rPr/>
        <w:t>资金</w:t>
      </w:r>
      <w:r>
        <w:rPr>
          <w:spacing w:val="-54"/>
        </w:rPr>
        <w:t> </w:t>
      </w:r>
      <w:r>
        <w:rPr>
          <w:rFonts w:ascii="Arial" w:hAnsi="Arial" w:cs="Arial" w:eastAsia="Arial" w:hint="default"/>
        </w:rPr>
        <w:t>52,886</w:t>
      </w:r>
      <w:r>
        <w:rPr>
          <w:rFonts w:ascii="Arial" w:hAnsi="Arial" w:cs="Arial" w:eastAsia="Arial" w:hint="default"/>
          <w:spacing w:val="-8"/>
        </w:rPr>
        <w:t> </w:t>
      </w:r>
      <w:r>
        <w:rPr/>
        <w:t>万元；</w:t>
      </w:r>
    </w:p>
    <w:p>
      <w:pPr>
        <w:pStyle w:val="BodyText"/>
        <w:spacing w:line="369" w:lineRule="auto" w:before="31"/>
        <w:ind w:left="277" w:right="279" w:firstLine="439"/>
        <w:jc w:val="both"/>
        <w:rPr>
          <w:rFonts w:ascii="Arial" w:hAnsi="Arial" w:cs="Arial" w:eastAsia="Arial" w:hint="default"/>
        </w:rPr>
      </w:pPr>
      <w:r>
        <w:rPr>
          <w:spacing w:val="-3"/>
        </w:rPr>
        <w:t>（</w:t>
      </w:r>
      <w:r>
        <w:rPr>
          <w:rFonts w:ascii="Arial" w:hAnsi="Arial" w:cs="Arial" w:eastAsia="Arial" w:hint="default"/>
          <w:spacing w:val="-3"/>
        </w:rPr>
        <w:t>2</w:t>
      </w:r>
      <w:r>
        <w:rPr>
          <w:spacing w:val="-3"/>
        </w:rPr>
        <w:t>）应收票据年末余额较年初减幅</w:t>
      </w:r>
      <w:r>
        <w:rPr>
          <w:spacing w:val="-64"/>
        </w:rPr>
        <w:t> </w:t>
      </w:r>
      <w:r>
        <w:rPr>
          <w:rFonts w:ascii="Arial" w:hAnsi="Arial" w:cs="Arial" w:eastAsia="Arial" w:hint="default"/>
        </w:rPr>
        <w:t>49.77%</w:t>
      </w:r>
      <w:r>
        <w:rPr/>
        <w:t>，主要原因是</w:t>
      </w:r>
      <w:r>
        <w:rPr>
          <w:rFonts w:ascii="Arial" w:hAnsi="Arial" w:cs="Arial" w:eastAsia="Arial" w:hint="default"/>
        </w:rPr>
        <w:t>:</w:t>
      </w:r>
      <w:r>
        <w:rPr/>
        <w:t>公司销售收款主要为银行承</w:t>
      </w:r>
      <w:r>
        <w:rPr>
          <w:w w:val="100"/>
        </w:rPr>
        <w:t> </w:t>
      </w:r>
      <w:r>
        <w:rPr>
          <w:spacing w:val="2"/>
        </w:rPr>
        <w:t>兑汇票</w:t>
      </w:r>
      <w:r>
        <w:rPr>
          <w:rFonts w:ascii="Arial" w:hAnsi="Arial" w:cs="Arial" w:eastAsia="Arial" w:hint="default"/>
          <w:spacing w:val="2"/>
        </w:rPr>
        <w:t>,</w:t>
      </w:r>
      <w:r>
        <w:rPr>
          <w:spacing w:val="2"/>
        </w:rPr>
        <w:t>用于支付采购货款</w:t>
      </w:r>
      <w:r>
        <w:rPr>
          <w:rFonts w:ascii="Arial" w:hAnsi="Arial" w:cs="Arial" w:eastAsia="Arial" w:hint="default"/>
          <w:spacing w:val="2"/>
        </w:rPr>
        <w:t>,</w:t>
      </w:r>
      <w:r>
        <w:rPr>
          <w:spacing w:val="2"/>
        </w:rPr>
        <w:t>报告期内</w:t>
      </w:r>
      <w:r>
        <w:rPr>
          <w:rFonts w:ascii="Arial" w:hAnsi="Arial" w:cs="Arial" w:eastAsia="Arial" w:hint="default"/>
          <w:spacing w:val="2"/>
        </w:rPr>
        <w:t>,</w:t>
      </w:r>
      <w:r>
        <w:rPr>
          <w:spacing w:val="2"/>
        </w:rPr>
        <w:t>本公司子公司东营公司试生产</w:t>
      </w:r>
      <w:r>
        <w:rPr>
          <w:rFonts w:ascii="Arial" w:hAnsi="Arial" w:cs="Arial" w:eastAsia="Arial" w:hint="default"/>
          <w:spacing w:val="2"/>
        </w:rPr>
        <w:t>,</w:t>
      </w:r>
      <w:r>
        <w:rPr>
          <w:spacing w:val="2"/>
        </w:rPr>
        <w:t>储备相应原材料库存</w:t>
      </w:r>
      <w:r>
        <w:rPr>
          <w:rFonts w:ascii="Arial" w:hAnsi="Arial" w:cs="Arial" w:eastAsia="Arial" w:hint="default"/>
          <w:spacing w:val="2"/>
        </w:rPr>
        <w:t>,</w:t>
      </w:r>
      <w:r>
        <w:rPr>
          <w:rFonts w:ascii="Arial" w:hAnsi="Arial" w:cs="Arial" w:eastAsia="Arial" w:hint="default"/>
          <w:spacing w:val="18"/>
        </w:rPr>
        <w:t> </w:t>
      </w:r>
      <w:r>
        <w:rPr/>
        <w:t>因受 </w:t>
      </w:r>
      <w:r>
        <w:rPr>
          <w:rFonts w:ascii="Arial" w:hAnsi="Arial" w:cs="Arial" w:eastAsia="Arial" w:hint="default"/>
        </w:rPr>
        <w:t>OEM </w:t>
      </w:r>
      <w:r>
        <w:rPr>
          <w:rFonts w:ascii="Arial" w:hAnsi="Arial" w:cs="Arial" w:eastAsia="Arial" w:hint="default"/>
          <w:spacing w:val="13"/>
        </w:rPr>
        <w:t> </w:t>
      </w:r>
      <w:r>
        <w:rPr/>
        <w:t>成品染料价格上涨因素影响</w:t>
      </w:r>
      <w:r>
        <w:rPr>
          <w:rFonts w:ascii="Arial" w:hAnsi="Arial" w:cs="Arial" w:eastAsia="Arial" w:hint="default"/>
        </w:rPr>
        <w:t>,</w:t>
      </w:r>
      <w:r>
        <w:rPr/>
        <w:t>公司为最大限度减少价格影响</w:t>
      </w:r>
      <w:r>
        <w:rPr>
          <w:rFonts w:ascii="Arial" w:hAnsi="Arial" w:cs="Arial" w:eastAsia="Arial" w:hint="default"/>
        </w:rPr>
        <w:t>,</w:t>
      </w:r>
      <w:r>
        <w:rPr/>
        <w:t>年末增加成品库存</w:t>
      </w:r>
      <w:r>
        <w:rPr>
          <w:rFonts w:ascii="Arial" w:hAnsi="Arial" w:cs="Arial" w:eastAsia="Arial" w:hint="default"/>
        </w:rPr>
        <w:t>,</w:t>
      </w:r>
    </w:p>
    <w:p>
      <w:pPr>
        <w:spacing w:after="0" w:line="369" w:lineRule="auto"/>
        <w:jc w:val="both"/>
        <w:rPr>
          <w:rFonts w:ascii="Arial" w:hAnsi="Arial" w:cs="Arial" w:eastAsia="Arial" w:hint="default"/>
        </w:rPr>
        <w:sectPr>
          <w:pgSz w:w="11900" w:h="16840"/>
          <w:pgMar w:header="877" w:footer="981" w:top="1100" w:bottom="1180" w:left="1520" w:right="1180"/>
        </w:sectPr>
      </w:pPr>
    </w:p>
    <w:p>
      <w:pPr>
        <w:spacing w:line="240" w:lineRule="auto" w:before="10"/>
        <w:rPr>
          <w:rFonts w:ascii="Arial" w:hAnsi="Arial" w:cs="Arial" w:eastAsia="Arial" w:hint="default"/>
          <w:sz w:val="29"/>
          <w:szCs w:val="29"/>
        </w:rPr>
      </w:pPr>
    </w:p>
    <w:p>
      <w:pPr>
        <w:pStyle w:val="BodyText"/>
        <w:spacing w:line="240" w:lineRule="auto"/>
        <w:ind w:left="357" w:right="0"/>
        <w:jc w:val="left"/>
      </w:pPr>
      <w:r>
        <w:rPr/>
        <w:t>采购支付相应增加；</w:t>
      </w:r>
    </w:p>
    <w:p>
      <w:pPr>
        <w:pStyle w:val="BodyText"/>
        <w:spacing w:line="369" w:lineRule="auto" w:before="180"/>
        <w:ind w:left="357" w:right="378" w:firstLine="439"/>
        <w:jc w:val="both"/>
      </w:pPr>
      <w:r>
        <w:rPr/>
        <w:t>（</w:t>
      </w:r>
      <w:r>
        <w:rPr>
          <w:rFonts w:ascii="Arial" w:hAnsi="Arial" w:cs="Arial" w:eastAsia="Arial" w:hint="default"/>
        </w:rPr>
        <w:t>3</w:t>
      </w:r>
      <w:r>
        <w:rPr/>
        <w:t>）预付账款年末余额比年初增幅</w:t>
      </w:r>
      <w:r>
        <w:rPr>
          <w:spacing w:val="-12"/>
        </w:rPr>
        <w:t> </w:t>
      </w:r>
      <w:r>
        <w:rPr>
          <w:rFonts w:ascii="Arial" w:hAnsi="Arial" w:cs="Arial" w:eastAsia="Arial" w:hint="default"/>
        </w:rPr>
        <w:t>654.13%</w:t>
      </w:r>
      <w:r>
        <w:rPr/>
        <w:t>，主要原因是</w:t>
      </w:r>
      <w:r>
        <w:rPr>
          <w:rFonts w:ascii="Arial" w:hAnsi="Arial" w:cs="Arial" w:eastAsia="Arial" w:hint="default"/>
        </w:rPr>
        <w:t>:</w:t>
      </w:r>
      <w:r>
        <w:rPr/>
        <w:t>报告期内本公司子公司东</w:t>
      </w:r>
      <w:r>
        <w:rPr>
          <w:w w:val="100"/>
        </w:rPr>
        <w:t> </w:t>
      </w:r>
      <w:r>
        <w:rPr/>
        <w:t>营公司、烟台公司预付募投项目设备采购款</w:t>
      </w:r>
      <w:r>
        <w:rPr>
          <w:spacing w:val="-58"/>
        </w:rPr>
        <w:t> </w:t>
      </w:r>
      <w:r>
        <w:rPr>
          <w:rFonts w:ascii="Arial" w:hAnsi="Arial" w:cs="Arial" w:eastAsia="Arial" w:hint="default"/>
        </w:rPr>
        <w:t>839</w:t>
      </w:r>
      <w:r>
        <w:rPr>
          <w:rFonts w:ascii="Arial" w:hAnsi="Arial" w:cs="Arial" w:eastAsia="Arial" w:hint="default"/>
          <w:spacing w:val="-12"/>
        </w:rPr>
        <w:t> </w:t>
      </w:r>
      <w:r>
        <w:rPr/>
        <w:t>万元；</w:t>
      </w:r>
    </w:p>
    <w:p>
      <w:pPr>
        <w:pStyle w:val="BodyText"/>
        <w:spacing w:line="369" w:lineRule="auto" w:before="31"/>
        <w:ind w:left="357" w:right="378" w:firstLine="439"/>
        <w:jc w:val="both"/>
      </w:pPr>
      <w:r>
        <w:rPr/>
        <w:t>（</w:t>
      </w:r>
      <w:r>
        <w:rPr>
          <w:rFonts w:ascii="Arial" w:hAnsi="Arial" w:cs="Arial" w:eastAsia="Arial" w:hint="default"/>
        </w:rPr>
        <w:t>4</w:t>
      </w:r>
      <w:r>
        <w:rPr/>
        <w:t>）其他应收款年末余额比年初数减幅</w:t>
      </w:r>
      <w:r>
        <w:rPr>
          <w:spacing w:val="-65"/>
        </w:rPr>
        <w:t> </w:t>
      </w:r>
      <w:r>
        <w:rPr>
          <w:rFonts w:ascii="Arial" w:hAnsi="Arial" w:cs="Arial" w:eastAsia="Arial" w:hint="default"/>
        </w:rPr>
        <w:t>49.67%</w:t>
      </w:r>
      <w:r>
        <w:rPr/>
        <w:t>，主要原因是年初发行中介费</w:t>
      </w:r>
      <w:r>
        <w:rPr>
          <w:spacing w:val="-65"/>
        </w:rPr>
        <w:t> </w:t>
      </w:r>
      <w:r>
        <w:rPr>
          <w:rFonts w:ascii="Arial" w:hAnsi="Arial" w:cs="Arial" w:eastAsia="Arial" w:hint="default"/>
        </w:rPr>
        <w:t>178</w:t>
      </w:r>
      <w:r>
        <w:rPr>
          <w:rFonts w:ascii="Arial" w:hAnsi="Arial" w:cs="Arial" w:eastAsia="Arial" w:hint="default"/>
          <w:spacing w:val="-17"/>
        </w:rPr>
        <w:t> </w:t>
      </w:r>
      <w:r>
        <w:rPr/>
        <w:t>万</w:t>
      </w:r>
      <w:r>
        <w:rPr>
          <w:w w:val="100"/>
        </w:rPr>
        <w:t> </w:t>
      </w:r>
      <w:r>
        <w:rPr/>
        <w:t>元报告期内转帐核销；</w:t>
      </w:r>
    </w:p>
    <w:p>
      <w:pPr>
        <w:pStyle w:val="BodyText"/>
        <w:spacing w:line="369" w:lineRule="auto" w:before="61"/>
        <w:ind w:left="357" w:right="378" w:firstLine="439"/>
        <w:jc w:val="both"/>
      </w:pPr>
      <w:r>
        <w:rPr>
          <w:spacing w:val="-4"/>
        </w:rPr>
        <w:t>（</w:t>
      </w:r>
      <w:r>
        <w:rPr>
          <w:rFonts w:ascii="Arial" w:hAnsi="Arial" w:cs="Arial" w:eastAsia="Arial" w:hint="default"/>
          <w:spacing w:val="-4"/>
        </w:rPr>
        <w:t>5</w:t>
      </w:r>
      <w:r>
        <w:rPr>
          <w:spacing w:val="-4"/>
        </w:rPr>
        <w:t>）存货年末余额比年初增幅</w:t>
      </w:r>
      <w:r>
        <w:rPr>
          <w:spacing w:val="-20"/>
        </w:rPr>
        <w:t> </w:t>
      </w:r>
      <w:r>
        <w:rPr>
          <w:rFonts w:ascii="Arial" w:hAnsi="Arial" w:cs="Arial" w:eastAsia="Arial" w:hint="default"/>
          <w:spacing w:val="-4"/>
        </w:rPr>
        <w:t>153.83%</w:t>
      </w:r>
      <w:r>
        <w:rPr>
          <w:spacing w:val="-4"/>
        </w:rPr>
        <w:t>，主要原因是：本公司之子公司东营公司本报</w:t>
      </w:r>
      <w:r>
        <w:rPr>
          <w:w w:val="100"/>
        </w:rPr>
        <w:t> </w:t>
      </w:r>
      <w:r>
        <w:rPr/>
        <w:t>告期试生产，储备原材料及生产在产品因素，增加存货 </w:t>
      </w:r>
      <w:r>
        <w:rPr>
          <w:rFonts w:ascii="Arial" w:hAnsi="Arial" w:cs="Arial" w:eastAsia="Arial" w:hint="default"/>
        </w:rPr>
        <w:t>1,632</w:t>
      </w:r>
      <w:r>
        <w:rPr>
          <w:rFonts w:ascii="Arial" w:hAnsi="Arial" w:cs="Arial" w:eastAsia="Arial" w:hint="default"/>
          <w:spacing w:val="-13"/>
        </w:rPr>
        <w:t> </w:t>
      </w:r>
      <w:r>
        <w:rPr/>
        <w:t>万元，受宏观经济影响，本</w:t>
      </w:r>
      <w:r>
        <w:rPr>
          <w:w w:val="100"/>
        </w:rPr>
        <w:t> </w:t>
      </w:r>
      <w:r>
        <w:rPr/>
        <w:t>报告期 </w:t>
      </w:r>
      <w:r>
        <w:rPr>
          <w:rFonts w:ascii="Arial" w:hAnsi="Arial" w:cs="Arial" w:eastAsia="Arial" w:hint="default"/>
        </w:rPr>
        <w:t>OEM</w:t>
      </w:r>
      <w:r>
        <w:rPr>
          <w:rFonts w:ascii="Arial" w:hAnsi="Arial" w:cs="Arial" w:eastAsia="Arial" w:hint="default"/>
          <w:spacing w:val="39"/>
        </w:rPr>
        <w:t> </w:t>
      </w:r>
      <w:r>
        <w:rPr/>
        <w:t>染料成品价格持续上涨，公司为最大限度减少价格上涨对公司经营影响，年</w:t>
      </w:r>
      <w:r>
        <w:rPr>
          <w:w w:val="100"/>
        </w:rPr>
        <w:t> </w:t>
      </w:r>
      <w:r>
        <w:rPr/>
        <w:t>末加大了</w:t>
      </w:r>
      <w:r>
        <w:rPr>
          <w:spacing w:val="-56"/>
        </w:rPr>
        <w:t> </w:t>
      </w:r>
      <w:r>
        <w:rPr>
          <w:rFonts w:ascii="Arial" w:hAnsi="Arial" w:cs="Arial" w:eastAsia="Arial" w:hint="default"/>
        </w:rPr>
        <w:t>OEM</w:t>
      </w:r>
      <w:r>
        <w:rPr>
          <w:rFonts w:ascii="Arial" w:hAnsi="Arial" w:cs="Arial" w:eastAsia="Arial" w:hint="default"/>
          <w:spacing w:val="-8"/>
        </w:rPr>
        <w:t> </w:t>
      </w:r>
      <w:r>
        <w:rPr/>
        <w:t>采购量，增加库存</w:t>
      </w:r>
      <w:r>
        <w:rPr>
          <w:spacing w:val="-53"/>
        </w:rPr>
        <w:t> </w:t>
      </w:r>
      <w:r>
        <w:rPr>
          <w:rFonts w:ascii="Arial" w:hAnsi="Arial" w:cs="Arial" w:eastAsia="Arial" w:hint="default"/>
          <w:spacing w:val="-5"/>
        </w:rPr>
        <w:t>2,211 </w:t>
      </w:r>
      <w:r>
        <w:rPr/>
        <w:t>万元，保证相应储备。</w:t>
      </w:r>
    </w:p>
    <w:p>
      <w:pPr>
        <w:pStyle w:val="BodyText"/>
        <w:spacing w:line="369" w:lineRule="auto" w:before="31"/>
        <w:ind w:left="357" w:right="378" w:firstLine="439"/>
        <w:jc w:val="both"/>
      </w:pPr>
      <w:r>
        <w:rPr>
          <w:rFonts w:ascii="Arial" w:hAnsi="Arial" w:cs="Arial" w:eastAsia="Arial" w:hint="default"/>
          <w:spacing w:val="-3"/>
        </w:rPr>
        <w:t>(6</w:t>
      </w:r>
      <w:r>
        <w:rPr>
          <w:spacing w:val="-3"/>
        </w:rPr>
        <w:t>）固定资产年末余额比年初增幅</w:t>
      </w:r>
      <w:r>
        <w:rPr>
          <w:spacing w:val="-15"/>
        </w:rPr>
        <w:t> </w:t>
      </w:r>
      <w:r>
        <w:rPr>
          <w:rFonts w:ascii="Arial" w:hAnsi="Arial" w:cs="Arial" w:eastAsia="Arial" w:hint="default"/>
          <w:spacing w:val="-3"/>
        </w:rPr>
        <w:t>33.53%</w:t>
      </w:r>
      <w:r>
        <w:rPr>
          <w:spacing w:val="-3"/>
        </w:rPr>
        <w:t>，主要原因是：报告期内公司东营募集资金</w:t>
      </w:r>
      <w:r>
        <w:rPr>
          <w:w w:val="100"/>
        </w:rPr>
        <w:t> </w:t>
      </w:r>
      <w:r>
        <w:rPr/>
        <w:t>项目部分资产达到可使用状态转入固定资产所致；</w:t>
      </w:r>
    </w:p>
    <w:p>
      <w:pPr>
        <w:pStyle w:val="BodyText"/>
        <w:spacing w:line="369" w:lineRule="auto" w:before="61"/>
        <w:ind w:left="357" w:right="0" w:firstLine="220"/>
        <w:jc w:val="left"/>
      </w:pPr>
      <w:r>
        <w:rPr>
          <w:spacing w:val="-3"/>
        </w:rPr>
        <w:t>（</w:t>
      </w:r>
      <w:r>
        <w:rPr>
          <w:rFonts w:ascii="Arial" w:hAnsi="Arial" w:cs="Arial" w:eastAsia="Arial" w:hint="default"/>
          <w:spacing w:val="-3"/>
        </w:rPr>
        <w:t>7</w:t>
      </w:r>
      <w:r>
        <w:rPr>
          <w:spacing w:val="-3"/>
        </w:rPr>
        <w:t>）在建工程年末余额较年初增幅</w:t>
      </w:r>
      <w:r>
        <w:rPr>
          <w:spacing w:val="-31"/>
        </w:rPr>
        <w:t> </w:t>
      </w:r>
      <w:r>
        <w:rPr>
          <w:rFonts w:ascii="Arial" w:hAnsi="Arial" w:cs="Arial" w:eastAsia="Arial" w:hint="default"/>
          <w:spacing w:val="-4"/>
        </w:rPr>
        <w:t>296.49%</w:t>
      </w:r>
      <w:r>
        <w:rPr>
          <w:spacing w:val="-4"/>
        </w:rPr>
        <w:t>，主要原因是：报告期内，公司东营募投项</w:t>
      </w:r>
      <w:r>
        <w:rPr>
          <w:w w:val="100"/>
        </w:rPr>
        <w:t> </w:t>
      </w:r>
      <w:r>
        <w:rPr/>
        <w:t>目建设增加所致；</w:t>
      </w:r>
    </w:p>
    <w:p>
      <w:pPr>
        <w:pStyle w:val="BodyText"/>
        <w:spacing w:line="369" w:lineRule="auto" w:before="61"/>
        <w:ind w:left="357" w:right="0" w:firstLine="220"/>
        <w:jc w:val="left"/>
      </w:pPr>
      <w:r>
        <w:rPr>
          <w:spacing w:val="-3"/>
        </w:rPr>
        <w:t>（</w:t>
      </w:r>
      <w:r>
        <w:rPr>
          <w:rFonts w:ascii="Arial" w:hAnsi="Arial" w:cs="Arial" w:eastAsia="Arial" w:hint="default"/>
          <w:spacing w:val="-3"/>
        </w:rPr>
        <w:t>8</w:t>
      </w:r>
      <w:r>
        <w:rPr>
          <w:spacing w:val="-3"/>
        </w:rPr>
        <w:t>）工程物资年末余额比年初数增幅</w:t>
      </w:r>
      <w:r>
        <w:rPr>
          <w:spacing w:val="-30"/>
        </w:rPr>
        <w:t> </w:t>
      </w:r>
      <w:r>
        <w:rPr>
          <w:rFonts w:ascii="Arial" w:hAnsi="Arial" w:cs="Arial" w:eastAsia="Arial" w:hint="default"/>
          <w:spacing w:val="-4"/>
        </w:rPr>
        <w:t>193.13%</w:t>
      </w:r>
      <w:r>
        <w:rPr>
          <w:spacing w:val="-4"/>
        </w:rPr>
        <w:t>，主要原因是：报告期内公司东营募投项</w:t>
      </w:r>
      <w:r>
        <w:rPr>
          <w:w w:val="100"/>
        </w:rPr>
        <w:t> </w:t>
      </w:r>
      <w:r>
        <w:rPr/>
        <w:t>目建设，采购设备材料库存增加；</w:t>
      </w:r>
    </w:p>
    <w:p>
      <w:pPr>
        <w:pStyle w:val="BodyText"/>
        <w:spacing w:line="369" w:lineRule="auto" w:before="61"/>
        <w:ind w:left="357" w:right="0" w:firstLine="220"/>
        <w:jc w:val="left"/>
      </w:pPr>
      <w:r>
        <w:rPr>
          <w:spacing w:val="-3"/>
        </w:rPr>
        <w:t>（</w:t>
      </w:r>
      <w:r>
        <w:rPr>
          <w:rFonts w:ascii="Arial" w:hAnsi="Arial" w:cs="Arial" w:eastAsia="Arial" w:hint="default"/>
          <w:spacing w:val="-3"/>
        </w:rPr>
        <w:t>9</w:t>
      </w:r>
      <w:r>
        <w:rPr>
          <w:spacing w:val="-3"/>
        </w:rPr>
        <w:t>）递延所得税资产年末余额比年初增幅</w:t>
      </w:r>
      <w:r>
        <w:rPr>
          <w:spacing w:val="-31"/>
        </w:rPr>
        <w:t> </w:t>
      </w:r>
      <w:r>
        <w:rPr>
          <w:rFonts w:ascii="Arial" w:hAnsi="Arial" w:cs="Arial" w:eastAsia="Arial" w:hint="default"/>
          <w:spacing w:val="-4"/>
        </w:rPr>
        <w:t>138.24%</w:t>
      </w:r>
      <w:r>
        <w:rPr>
          <w:spacing w:val="-4"/>
        </w:rPr>
        <w:t>，主要原因是：报告期末公司内部交</w:t>
      </w:r>
      <w:r>
        <w:rPr>
          <w:w w:val="100"/>
        </w:rPr>
        <w:t> </w:t>
      </w:r>
      <w:r>
        <w:rPr/>
        <w:t>易未实现利润数大幅增加，暂时性差异确定的递延所得税资产相应增加。</w:t>
      </w:r>
    </w:p>
    <w:p>
      <w:pPr>
        <w:pStyle w:val="BodyText"/>
        <w:spacing w:line="240" w:lineRule="auto" w:before="61"/>
        <w:ind w:left="796" w:right="0"/>
        <w:jc w:val="left"/>
      </w:pPr>
      <w:r>
        <w:rPr>
          <w:rFonts w:ascii="Arial" w:hAnsi="Arial" w:cs="Arial" w:eastAsia="Arial" w:hint="default"/>
        </w:rPr>
        <w:t>2</w:t>
      </w:r>
      <w:r>
        <w:rPr/>
        <w:t>）报告期内公司负债构成分析</w:t>
      </w:r>
    </w:p>
    <w:p>
      <w:pPr>
        <w:spacing w:line="240" w:lineRule="auto" w:before="5"/>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735"/>
        <w:gridCol w:w="1404"/>
        <w:gridCol w:w="1404"/>
        <w:gridCol w:w="1548"/>
        <w:gridCol w:w="1346"/>
        <w:gridCol w:w="1673"/>
      </w:tblGrid>
      <w:tr>
        <w:trPr>
          <w:trHeight w:val="653" w:hRule="exact"/>
        </w:trPr>
        <w:tc>
          <w:tcPr>
            <w:tcW w:w="1735"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4"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04"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占总资产比重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548"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c>
          <w:tcPr>
            <w:tcW w:w="1346"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占总资产比重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673"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本年较上年增长</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r>
      <w:tr>
        <w:trPr>
          <w:trHeight w:val="343" w:hRule="exact"/>
        </w:trPr>
        <w:tc>
          <w:tcPr>
            <w:tcW w:w="1735"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10"/>
              <w:ind w:left="27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599" w:right="0"/>
              <w:jc w:val="left"/>
              <w:rPr>
                <w:rFonts w:ascii="Arial" w:hAnsi="Arial" w:cs="Arial" w:eastAsia="Arial" w:hint="default"/>
                <w:sz w:val="18"/>
                <w:szCs w:val="18"/>
              </w:rPr>
            </w:pPr>
            <w:r>
              <w:rPr>
                <w:rFonts w:ascii="Arial"/>
                <w:sz w:val="18"/>
              </w:rPr>
              <w:t>0.00</w:t>
            </w:r>
          </w:p>
        </w:tc>
        <w:tc>
          <w:tcPr>
            <w:tcW w:w="14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511"/>
              <w:jc w:val="right"/>
              <w:rPr>
                <w:rFonts w:ascii="Arial" w:hAnsi="Arial" w:cs="Arial" w:eastAsia="Arial" w:hint="default"/>
                <w:sz w:val="18"/>
                <w:szCs w:val="18"/>
              </w:rPr>
            </w:pPr>
            <w:r>
              <w:rPr>
                <w:rFonts w:ascii="Arial"/>
                <w:w w:val="95"/>
                <w:sz w:val="18"/>
              </w:rPr>
              <w:t>0.00</w:t>
            </w:r>
            <w:r>
              <w:rPr>
                <w:rFonts w:ascii="Arial"/>
                <w:sz w:val="18"/>
              </w:rPr>
            </w:r>
          </w:p>
        </w:tc>
        <w:tc>
          <w:tcPr>
            <w:tcW w:w="15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35,000,000.00</w:t>
            </w:r>
          </w:p>
        </w:tc>
        <w:tc>
          <w:tcPr>
            <w:tcW w:w="13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431" w:right="0"/>
              <w:jc w:val="left"/>
              <w:rPr>
                <w:rFonts w:ascii="Arial" w:hAnsi="Arial" w:cs="Arial" w:eastAsia="Arial" w:hint="default"/>
                <w:sz w:val="18"/>
                <w:szCs w:val="18"/>
              </w:rPr>
            </w:pPr>
            <w:r>
              <w:rPr>
                <w:rFonts w:ascii="Arial"/>
                <w:sz w:val="18"/>
              </w:rPr>
              <w:t>55.63</w:t>
            </w:r>
          </w:p>
        </w:tc>
        <w:tc>
          <w:tcPr>
            <w:tcW w:w="16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-100.00</w:t>
            </w:r>
          </w:p>
        </w:tc>
      </w:tr>
      <w:tr>
        <w:trPr>
          <w:trHeight w:val="341" w:hRule="exact"/>
        </w:trPr>
        <w:tc>
          <w:tcPr>
            <w:tcW w:w="1735"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10"/>
              <w:ind w:left="27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599" w:right="0"/>
              <w:jc w:val="left"/>
              <w:rPr>
                <w:rFonts w:ascii="Arial" w:hAnsi="Arial" w:cs="Arial" w:eastAsia="Arial" w:hint="default"/>
                <w:sz w:val="18"/>
                <w:szCs w:val="18"/>
              </w:rPr>
            </w:pPr>
            <w:r>
              <w:rPr>
                <w:rFonts w:ascii="Arial"/>
                <w:sz w:val="18"/>
              </w:rPr>
              <w:t>0.00</w:t>
            </w:r>
          </w:p>
        </w:tc>
        <w:tc>
          <w:tcPr>
            <w:tcW w:w="14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511"/>
              <w:jc w:val="right"/>
              <w:rPr>
                <w:rFonts w:ascii="Arial" w:hAnsi="Arial" w:cs="Arial" w:eastAsia="Arial" w:hint="default"/>
                <w:sz w:val="18"/>
                <w:szCs w:val="18"/>
              </w:rPr>
            </w:pPr>
            <w:r>
              <w:rPr>
                <w:rFonts w:ascii="Arial"/>
                <w:w w:val="95"/>
                <w:sz w:val="18"/>
              </w:rPr>
              <w:t>0.00</w:t>
            </w:r>
            <w:r>
              <w:rPr>
                <w:rFonts w:ascii="Arial"/>
                <w:sz w:val="18"/>
              </w:rPr>
            </w:r>
          </w:p>
        </w:tc>
        <w:tc>
          <w:tcPr>
            <w:tcW w:w="15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2,900,000.00</w:t>
            </w:r>
          </w:p>
        </w:tc>
        <w:tc>
          <w:tcPr>
            <w:tcW w:w="13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482" w:right="0"/>
              <w:jc w:val="left"/>
              <w:rPr>
                <w:rFonts w:ascii="Arial" w:hAnsi="Arial" w:cs="Arial" w:eastAsia="Arial" w:hint="default"/>
                <w:sz w:val="18"/>
                <w:szCs w:val="18"/>
              </w:rPr>
            </w:pPr>
            <w:r>
              <w:rPr>
                <w:rFonts w:ascii="Arial"/>
                <w:sz w:val="18"/>
              </w:rPr>
              <w:t>4.61</w:t>
            </w:r>
          </w:p>
        </w:tc>
        <w:tc>
          <w:tcPr>
            <w:tcW w:w="16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-100.00</w:t>
            </w:r>
          </w:p>
        </w:tc>
      </w:tr>
      <w:tr>
        <w:trPr>
          <w:trHeight w:val="343" w:hRule="exact"/>
        </w:trPr>
        <w:tc>
          <w:tcPr>
            <w:tcW w:w="1735"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10"/>
              <w:ind w:left="27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10" w:right="0"/>
              <w:jc w:val="left"/>
              <w:rPr>
                <w:rFonts w:ascii="Arial" w:hAnsi="Arial" w:cs="Arial" w:eastAsia="Arial" w:hint="default"/>
                <w:sz w:val="18"/>
                <w:szCs w:val="18"/>
              </w:rPr>
            </w:pPr>
            <w:r>
              <w:rPr>
                <w:rFonts w:ascii="Arial"/>
                <w:sz w:val="18"/>
              </w:rPr>
              <w:t>12,683,022.89</w:t>
            </w:r>
          </w:p>
        </w:tc>
        <w:tc>
          <w:tcPr>
            <w:tcW w:w="14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459"/>
              <w:jc w:val="right"/>
              <w:rPr>
                <w:rFonts w:ascii="Arial" w:hAnsi="Arial" w:cs="Arial" w:eastAsia="Arial" w:hint="default"/>
                <w:sz w:val="18"/>
                <w:szCs w:val="18"/>
              </w:rPr>
            </w:pPr>
            <w:r>
              <w:rPr>
                <w:rFonts w:ascii="Arial"/>
                <w:w w:val="95"/>
                <w:sz w:val="18"/>
              </w:rPr>
              <w:t>65.51</w:t>
            </w:r>
            <w:r>
              <w:rPr>
                <w:rFonts w:ascii="Arial"/>
                <w:sz w:val="18"/>
              </w:rPr>
            </w:r>
          </w:p>
        </w:tc>
        <w:tc>
          <w:tcPr>
            <w:tcW w:w="15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19,792,798.86</w:t>
            </w:r>
          </w:p>
        </w:tc>
        <w:tc>
          <w:tcPr>
            <w:tcW w:w="13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431" w:right="0"/>
              <w:jc w:val="left"/>
              <w:rPr>
                <w:rFonts w:ascii="Arial" w:hAnsi="Arial" w:cs="Arial" w:eastAsia="Arial" w:hint="default"/>
                <w:sz w:val="18"/>
                <w:szCs w:val="18"/>
              </w:rPr>
            </w:pPr>
            <w:r>
              <w:rPr>
                <w:rFonts w:ascii="Arial"/>
                <w:sz w:val="18"/>
              </w:rPr>
              <w:t>31.46</w:t>
            </w:r>
          </w:p>
        </w:tc>
        <w:tc>
          <w:tcPr>
            <w:tcW w:w="16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-35.92</w:t>
            </w:r>
          </w:p>
        </w:tc>
      </w:tr>
      <w:tr>
        <w:trPr>
          <w:trHeight w:val="341" w:hRule="exact"/>
        </w:trPr>
        <w:tc>
          <w:tcPr>
            <w:tcW w:w="1735"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10"/>
              <w:ind w:left="27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4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60" w:right="0"/>
              <w:jc w:val="left"/>
              <w:rPr>
                <w:rFonts w:ascii="Arial" w:hAnsi="Arial" w:cs="Arial" w:eastAsia="Arial" w:hint="default"/>
                <w:sz w:val="18"/>
                <w:szCs w:val="18"/>
              </w:rPr>
            </w:pPr>
            <w:r>
              <w:rPr>
                <w:rFonts w:ascii="Arial"/>
                <w:sz w:val="18"/>
              </w:rPr>
              <w:t>1,132,151.71</w:t>
            </w:r>
          </w:p>
        </w:tc>
        <w:tc>
          <w:tcPr>
            <w:tcW w:w="14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509"/>
              <w:jc w:val="right"/>
              <w:rPr>
                <w:rFonts w:ascii="Arial" w:hAnsi="Arial" w:cs="Arial" w:eastAsia="Arial" w:hint="default"/>
                <w:sz w:val="18"/>
                <w:szCs w:val="18"/>
              </w:rPr>
            </w:pPr>
            <w:r>
              <w:rPr>
                <w:rFonts w:ascii="Arial"/>
                <w:w w:val="95"/>
                <w:sz w:val="18"/>
              </w:rPr>
              <w:t>5.85</w:t>
            </w:r>
            <w:r>
              <w:rPr>
                <w:rFonts w:ascii="Arial"/>
                <w:sz w:val="18"/>
              </w:rPr>
            </w:r>
          </w:p>
        </w:tc>
        <w:tc>
          <w:tcPr>
            <w:tcW w:w="15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177,475.51</w:t>
            </w:r>
          </w:p>
        </w:tc>
        <w:tc>
          <w:tcPr>
            <w:tcW w:w="13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482" w:right="0"/>
              <w:jc w:val="left"/>
              <w:rPr>
                <w:rFonts w:ascii="Arial" w:hAnsi="Arial" w:cs="Arial" w:eastAsia="Arial" w:hint="default"/>
                <w:sz w:val="18"/>
                <w:szCs w:val="18"/>
              </w:rPr>
            </w:pPr>
            <w:r>
              <w:rPr>
                <w:rFonts w:ascii="Arial"/>
                <w:sz w:val="18"/>
              </w:rPr>
              <w:t>0.28</w:t>
            </w:r>
          </w:p>
        </w:tc>
        <w:tc>
          <w:tcPr>
            <w:tcW w:w="16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537.92</w:t>
            </w:r>
          </w:p>
        </w:tc>
      </w:tr>
      <w:tr>
        <w:trPr>
          <w:trHeight w:val="343" w:hRule="exact"/>
        </w:trPr>
        <w:tc>
          <w:tcPr>
            <w:tcW w:w="1735"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10"/>
              <w:ind w:left="27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4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29" w:right="0"/>
              <w:jc w:val="left"/>
              <w:rPr>
                <w:rFonts w:ascii="Arial" w:hAnsi="Arial" w:cs="Arial" w:eastAsia="Arial" w:hint="default"/>
                <w:sz w:val="18"/>
                <w:szCs w:val="18"/>
              </w:rPr>
            </w:pPr>
            <w:r>
              <w:rPr>
                <w:rFonts w:ascii="Arial"/>
                <w:sz w:val="18"/>
              </w:rPr>
              <w:t>-7,505,245.57</w:t>
            </w:r>
          </w:p>
        </w:tc>
        <w:tc>
          <w:tcPr>
            <w:tcW w:w="14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430"/>
              <w:jc w:val="right"/>
              <w:rPr>
                <w:rFonts w:ascii="Arial" w:hAnsi="Arial" w:cs="Arial" w:eastAsia="Arial" w:hint="default"/>
                <w:sz w:val="18"/>
                <w:szCs w:val="18"/>
              </w:rPr>
            </w:pPr>
            <w:r>
              <w:rPr>
                <w:rFonts w:ascii="Arial"/>
                <w:w w:val="95"/>
                <w:sz w:val="18"/>
              </w:rPr>
              <w:t>-38.76</w:t>
            </w:r>
            <w:r>
              <w:rPr>
                <w:rFonts w:ascii="Arial"/>
                <w:sz w:val="18"/>
              </w:rPr>
            </w:r>
          </w:p>
        </w:tc>
        <w:tc>
          <w:tcPr>
            <w:tcW w:w="15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2,002,047.55</w:t>
            </w:r>
          </w:p>
        </w:tc>
        <w:tc>
          <w:tcPr>
            <w:tcW w:w="13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482" w:right="0"/>
              <w:jc w:val="left"/>
              <w:rPr>
                <w:rFonts w:ascii="Arial" w:hAnsi="Arial" w:cs="Arial" w:eastAsia="Arial" w:hint="default"/>
                <w:sz w:val="18"/>
                <w:szCs w:val="18"/>
              </w:rPr>
            </w:pPr>
            <w:r>
              <w:rPr>
                <w:rFonts w:ascii="Arial"/>
                <w:sz w:val="18"/>
              </w:rPr>
              <w:t>3.18</w:t>
            </w:r>
          </w:p>
        </w:tc>
        <w:tc>
          <w:tcPr>
            <w:tcW w:w="16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-474.88</w:t>
            </w:r>
          </w:p>
        </w:tc>
      </w:tr>
      <w:tr>
        <w:trPr>
          <w:trHeight w:val="341" w:hRule="exact"/>
        </w:trPr>
        <w:tc>
          <w:tcPr>
            <w:tcW w:w="1735"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10"/>
              <w:ind w:left="27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10" w:right="0"/>
              <w:jc w:val="left"/>
              <w:rPr>
                <w:rFonts w:ascii="Arial" w:hAnsi="Arial" w:cs="Arial" w:eastAsia="Arial" w:hint="default"/>
                <w:sz w:val="18"/>
                <w:szCs w:val="18"/>
              </w:rPr>
            </w:pPr>
            <w:r>
              <w:rPr>
                <w:rFonts w:ascii="Arial"/>
                <w:sz w:val="18"/>
              </w:rPr>
              <w:t>13,051,151.03</w:t>
            </w:r>
          </w:p>
        </w:tc>
        <w:tc>
          <w:tcPr>
            <w:tcW w:w="14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459"/>
              <w:jc w:val="right"/>
              <w:rPr>
                <w:rFonts w:ascii="Arial" w:hAnsi="Arial" w:cs="Arial" w:eastAsia="Arial" w:hint="default"/>
                <w:sz w:val="18"/>
                <w:szCs w:val="18"/>
              </w:rPr>
            </w:pPr>
            <w:r>
              <w:rPr>
                <w:rFonts w:ascii="Arial"/>
                <w:w w:val="95"/>
                <w:sz w:val="18"/>
              </w:rPr>
              <w:t>67.41</w:t>
            </w:r>
            <w:r>
              <w:rPr>
                <w:rFonts w:ascii="Arial"/>
                <w:sz w:val="18"/>
              </w:rPr>
            </w:r>
          </w:p>
        </w:tc>
        <w:tc>
          <w:tcPr>
            <w:tcW w:w="15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3,041,097.26</w:t>
            </w:r>
          </w:p>
        </w:tc>
        <w:tc>
          <w:tcPr>
            <w:tcW w:w="13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482" w:right="0"/>
              <w:jc w:val="left"/>
              <w:rPr>
                <w:rFonts w:ascii="Arial" w:hAnsi="Arial" w:cs="Arial" w:eastAsia="Arial" w:hint="default"/>
                <w:sz w:val="18"/>
                <w:szCs w:val="18"/>
              </w:rPr>
            </w:pPr>
            <w:r>
              <w:rPr>
                <w:rFonts w:ascii="Arial"/>
                <w:sz w:val="18"/>
              </w:rPr>
              <w:t>4.83</w:t>
            </w:r>
          </w:p>
        </w:tc>
        <w:tc>
          <w:tcPr>
            <w:tcW w:w="16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329.16</w:t>
            </w:r>
          </w:p>
        </w:tc>
      </w:tr>
      <w:tr>
        <w:trPr>
          <w:trHeight w:val="346" w:hRule="exact"/>
        </w:trPr>
        <w:tc>
          <w:tcPr>
            <w:tcW w:w="1735"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13"/>
              <w:ind w:left="27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4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left="110" w:right="0"/>
              <w:jc w:val="left"/>
              <w:rPr>
                <w:rFonts w:ascii="Arial" w:hAnsi="Arial" w:cs="Arial" w:eastAsia="Arial" w:hint="default"/>
                <w:sz w:val="18"/>
                <w:szCs w:val="18"/>
              </w:rPr>
            </w:pPr>
            <w:r>
              <w:rPr>
                <w:rFonts w:ascii="Arial"/>
                <w:sz w:val="18"/>
              </w:rPr>
              <w:t>19,361,080.06</w:t>
            </w:r>
          </w:p>
        </w:tc>
        <w:tc>
          <w:tcPr>
            <w:tcW w:w="14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411"/>
              <w:jc w:val="right"/>
              <w:rPr>
                <w:rFonts w:ascii="Arial" w:hAnsi="Arial" w:cs="Arial" w:eastAsia="Arial" w:hint="default"/>
                <w:sz w:val="18"/>
                <w:szCs w:val="18"/>
              </w:rPr>
            </w:pPr>
            <w:r>
              <w:rPr>
                <w:rFonts w:ascii="Arial"/>
                <w:spacing w:val="-1"/>
                <w:sz w:val="18"/>
              </w:rPr>
              <w:t>100.00</w:t>
            </w:r>
          </w:p>
        </w:tc>
        <w:tc>
          <w:tcPr>
            <w:tcW w:w="15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0"/>
              <w:jc w:val="center"/>
              <w:rPr>
                <w:rFonts w:ascii="Arial" w:hAnsi="Arial" w:cs="Arial" w:eastAsia="Arial" w:hint="default"/>
                <w:sz w:val="18"/>
                <w:szCs w:val="18"/>
              </w:rPr>
            </w:pPr>
            <w:r>
              <w:rPr>
                <w:rFonts w:ascii="Arial"/>
                <w:sz w:val="18"/>
              </w:rPr>
              <w:t>62,913,419.18</w:t>
            </w:r>
          </w:p>
        </w:tc>
        <w:tc>
          <w:tcPr>
            <w:tcW w:w="13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left="381" w:right="0"/>
              <w:jc w:val="left"/>
              <w:rPr>
                <w:rFonts w:ascii="Arial" w:hAnsi="Arial" w:cs="Arial" w:eastAsia="Arial" w:hint="default"/>
                <w:sz w:val="18"/>
                <w:szCs w:val="18"/>
              </w:rPr>
            </w:pPr>
            <w:r>
              <w:rPr>
                <w:rFonts w:ascii="Arial"/>
                <w:sz w:val="18"/>
              </w:rPr>
              <w:t>100.00</w:t>
            </w:r>
          </w:p>
        </w:tc>
        <w:tc>
          <w:tcPr>
            <w:tcW w:w="16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1"/>
              <w:jc w:val="center"/>
              <w:rPr>
                <w:rFonts w:ascii="Arial" w:hAnsi="Arial" w:cs="Arial" w:eastAsia="Arial" w:hint="default"/>
                <w:sz w:val="18"/>
                <w:szCs w:val="18"/>
              </w:rPr>
            </w:pPr>
            <w:r>
              <w:rPr>
                <w:rFonts w:ascii="Arial"/>
                <w:sz w:val="18"/>
              </w:rPr>
              <w:t>-69.23</w:t>
            </w:r>
          </w:p>
        </w:tc>
      </w:tr>
    </w:tbl>
    <w:p>
      <w:pPr>
        <w:pStyle w:val="BodyText"/>
        <w:spacing w:line="240" w:lineRule="auto" w:before="57"/>
        <w:ind w:left="796" w:right="0"/>
        <w:jc w:val="left"/>
      </w:pPr>
      <w:r>
        <w:rPr/>
        <w:t>变动说明：</w:t>
      </w:r>
    </w:p>
    <w:p>
      <w:pPr>
        <w:pStyle w:val="BodyText"/>
        <w:spacing w:line="369" w:lineRule="auto" w:before="180"/>
        <w:ind w:left="357" w:right="0" w:firstLine="439"/>
        <w:jc w:val="left"/>
      </w:pPr>
      <w:r>
        <w:rPr>
          <w:spacing w:val="-2"/>
        </w:rPr>
        <w:t>（</w:t>
      </w:r>
      <w:r>
        <w:rPr>
          <w:rFonts w:ascii="Arial" w:hAnsi="Arial" w:cs="Arial" w:eastAsia="Arial" w:hint="default"/>
          <w:spacing w:val="-2"/>
        </w:rPr>
        <w:t>1</w:t>
      </w:r>
      <w:r>
        <w:rPr>
          <w:spacing w:val="-2"/>
        </w:rPr>
        <w:t>）短期借款余额比年初减幅</w:t>
      </w:r>
      <w:r>
        <w:rPr>
          <w:spacing w:val="-20"/>
        </w:rPr>
        <w:t> </w:t>
      </w:r>
      <w:r>
        <w:rPr>
          <w:rFonts w:ascii="Arial" w:hAnsi="Arial" w:cs="Arial" w:eastAsia="Arial" w:hint="default"/>
          <w:spacing w:val="-2"/>
        </w:rPr>
        <w:t>100%</w:t>
      </w:r>
      <w:r>
        <w:rPr>
          <w:spacing w:val="-2"/>
        </w:rPr>
        <w:t>，主要原因是：报告期内，根据公司第一届董事</w:t>
      </w:r>
      <w:r>
        <w:rPr>
          <w:w w:val="100"/>
        </w:rPr>
        <w:t> </w:t>
      </w:r>
      <w:r>
        <w:rPr/>
        <w:t>会第十六次会议决议，</w:t>
      </w:r>
      <w:r>
        <w:rPr>
          <w:spacing w:val="-5"/>
        </w:rPr>
        <w:t> </w:t>
      </w:r>
      <w:r>
        <w:rPr/>
        <w:t>董事会同意公司使用</w:t>
      </w:r>
      <w:r>
        <w:rPr>
          <w:spacing w:val="-57"/>
        </w:rPr>
        <w:t> </w:t>
      </w:r>
      <w:r>
        <w:rPr>
          <w:rFonts w:ascii="Arial" w:hAnsi="Arial" w:cs="Arial" w:eastAsia="Arial" w:hint="default"/>
        </w:rPr>
        <w:t>3,500</w:t>
      </w:r>
      <w:r>
        <w:rPr>
          <w:rFonts w:ascii="Arial" w:hAnsi="Arial" w:cs="Arial" w:eastAsia="Arial" w:hint="default"/>
          <w:spacing w:val="-9"/>
        </w:rPr>
        <w:t> </w:t>
      </w:r>
      <w:r>
        <w:rPr/>
        <w:t>万元超募资金偿还银行贷款所致；</w:t>
      </w:r>
    </w:p>
    <w:p>
      <w:pPr>
        <w:pStyle w:val="BodyText"/>
        <w:spacing w:line="240" w:lineRule="auto" w:before="31"/>
        <w:ind w:left="796" w:right="0"/>
        <w:jc w:val="left"/>
      </w:pPr>
      <w:r>
        <w:rPr/>
        <w:t>（</w:t>
      </w:r>
      <w:r>
        <w:rPr>
          <w:rFonts w:ascii="Arial" w:hAnsi="Arial" w:cs="Arial" w:eastAsia="Arial" w:hint="default"/>
        </w:rPr>
        <w:t>2</w:t>
      </w:r>
      <w:r>
        <w:rPr/>
        <w:t>）应付票据年末余额比年初减幅</w:t>
      </w:r>
      <w:r>
        <w:rPr>
          <w:spacing w:val="-58"/>
        </w:rPr>
        <w:t> </w:t>
      </w:r>
      <w:r>
        <w:rPr>
          <w:rFonts w:ascii="Arial" w:hAnsi="Arial" w:cs="Arial" w:eastAsia="Arial" w:hint="default"/>
          <w:spacing w:val="-3"/>
        </w:rPr>
        <w:t>100%</w:t>
      </w:r>
      <w:r>
        <w:rPr>
          <w:spacing w:val="-3"/>
        </w:rPr>
        <w:t>，主要原因是：上年</w:t>
      </w:r>
      <w:r>
        <w:rPr>
          <w:spacing w:val="-58"/>
        </w:rPr>
        <w:t> </w:t>
      </w:r>
      <w:r>
        <w:rPr>
          <w:rFonts w:ascii="Arial" w:hAnsi="Arial" w:cs="Arial" w:eastAsia="Arial" w:hint="default"/>
        </w:rPr>
        <w:t>9</w:t>
      </w:r>
      <w:r>
        <w:rPr>
          <w:rFonts w:ascii="Arial" w:hAnsi="Arial" w:cs="Arial" w:eastAsia="Arial" w:hint="default"/>
          <w:spacing w:val="-10"/>
        </w:rPr>
        <w:t> </w:t>
      </w:r>
      <w:r>
        <w:rPr/>
        <w:t>月公司开具给供应商</w:t>
      </w:r>
    </w:p>
    <w:p>
      <w:pPr>
        <w:pStyle w:val="BodyText"/>
        <w:spacing w:line="240" w:lineRule="auto" w:before="164"/>
        <w:ind w:left="357" w:right="0"/>
        <w:jc w:val="left"/>
      </w:pPr>
      <w:r>
        <w:rPr>
          <w:rFonts w:ascii="Arial" w:hAnsi="Arial" w:cs="Arial" w:eastAsia="Arial" w:hint="default"/>
        </w:rPr>
        <w:t>6</w:t>
      </w:r>
      <w:r>
        <w:rPr>
          <w:rFonts w:ascii="Arial" w:hAnsi="Arial" w:cs="Arial" w:eastAsia="Arial" w:hint="default"/>
          <w:spacing w:val="-8"/>
        </w:rPr>
        <w:t> </w:t>
      </w:r>
      <w:r>
        <w:rPr/>
        <w:t>个月银行承兑汇票</w:t>
      </w:r>
      <w:r>
        <w:rPr>
          <w:spacing w:val="-56"/>
        </w:rPr>
        <w:t> </w:t>
      </w:r>
      <w:r>
        <w:rPr>
          <w:rFonts w:ascii="Arial" w:hAnsi="Arial" w:cs="Arial" w:eastAsia="Arial" w:hint="default"/>
        </w:rPr>
        <w:t>290</w:t>
      </w:r>
      <w:r>
        <w:rPr>
          <w:rFonts w:ascii="Arial" w:hAnsi="Arial" w:cs="Arial" w:eastAsia="Arial" w:hint="default"/>
          <w:spacing w:val="-10"/>
        </w:rPr>
        <w:t> </w:t>
      </w:r>
      <w:r>
        <w:rPr/>
        <w:t>万元，于本报告期</w:t>
      </w:r>
      <w:r>
        <w:rPr>
          <w:spacing w:val="-56"/>
        </w:rPr>
        <w:t> </w:t>
      </w:r>
      <w:r>
        <w:rPr>
          <w:rFonts w:ascii="Arial" w:hAnsi="Arial" w:cs="Arial" w:eastAsia="Arial" w:hint="default"/>
        </w:rPr>
        <w:t>3</w:t>
      </w:r>
      <w:r>
        <w:rPr>
          <w:rFonts w:ascii="Arial" w:hAnsi="Arial" w:cs="Arial" w:eastAsia="Arial" w:hint="default"/>
          <w:spacing w:val="-8"/>
        </w:rPr>
        <w:t> </w:t>
      </w:r>
      <w:r>
        <w:rPr/>
        <w:t>月到期支付所致；</w:t>
      </w:r>
    </w:p>
    <w:p>
      <w:pPr>
        <w:spacing w:after="0" w:line="240" w:lineRule="auto"/>
        <w:jc w:val="left"/>
        <w:sectPr>
          <w:footerReference w:type="default" r:id="rId16"/>
          <w:pgSz w:w="11900" w:h="16840"/>
          <w:pgMar w:footer="981" w:header="877" w:top="1100" w:bottom="1180" w:left="1440" w:right="1080"/>
          <w:pgNumType w:start="10"/>
        </w:sectPr>
      </w:pPr>
    </w:p>
    <w:p>
      <w:pPr>
        <w:spacing w:line="240" w:lineRule="auto" w:before="4"/>
        <w:rPr>
          <w:rFonts w:ascii="宋体" w:hAnsi="宋体" w:cs="宋体" w:eastAsia="宋体" w:hint="default"/>
          <w:sz w:val="26"/>
          <w:szCs w:val="26"/>
        </w:rPr>
      </w:pPr>
    </w:p>
    <w:p>
      <w:pPr>
        <w:pStyle w:val="BodyText"/>
        <w:spacing w:line="379" w:lineRule="auto"/>
        <w:ind w:left="237" w:right="455" w:firstLine="439"/>
        <w:jc w:val="both"/>
      </w:pPr>
      <w:r>
        <w:rPr/>
        <w:t>（</w:t>
      </w:r>
      <w:r>
        <w:rPr>
          <w:rFonts w:ascii="Arial" w:hAnsi="Arial" w:cs="Arial" w:eastAsia="Arial" w:hint="default"/>
        </w:rPr>
        <w:t>3</w:t>
      </w:r>
      <w:r>
        <w:rPr/>
        <w:t>）应付账款年末余额比年初减幅</w:t>
      </w:r>
      <w:r>
        <w:rPr>
          <w:spacing w:val="-49"/>
        </w:rPr>
        <w:t> </w:t>
      </w:r>
      <w:r>
        <w:rPr>
          <w:rFonts w:ascii="Arial" w:hAnsi="Arial" w:cs="Arial" w:eastAsia="Arial" w:hint="default"/>
        </w:rPr>
        <w:t>35.92%</w:t>
      </w:r>
      <w:r>
        <w:rPr/>
        <w:t>，主要原因是：报告期内，受宏观经济影</w:t>
      </w:r>
      <w:r>
        <w:rPr>
          <w:w w:val="100"/>
        </w:rPr>
        <w:t> </w:t>
      </w:r>
      <w:r>
        <w:rPr/>
        <w:t>响，原材料及染料成品价格持续上涨，公司为减少价格波动对经营影响，调整减少了相应</w:t>
      </w:r>
      <w:r>
        <w:rPr>
          <w:spacing w:val="-57"/>
        </w:rPr>
        <w:t> </w:t>
      </w:r>
      <w:r>
        <w:rPr>
          <w:spacing w:val="-57"/>
        </w:rPr>
      </w:r>
      <w:r>
        <w:rPr/>
        <w:t>供应商的付款周期；</w:t>
      </w:r>
    </w:p>
    <w:p>
      <w:pPr>
        <w:pStyle w:val="BodyText"/>
        <w:spacing w:line="369" w:lineRule="auto" w:before="52"/>
        <w:ind w:left="237" w:right="458" w:firstLine="439"/>
        <w:jc w:val="both"/>
      </w:pPr>
      <w:r>
        <w:rPr>
          <w:spacing w:val="-3"/>
        </w:rPr>
        <w:t>（</w:t>
      </w:r>
      <w:r>
        <w:rPr>
          <w:rFonts w:ascii="Arial" w:hAnsi="Arial" w:cs="Arial" w:eastAsia="Arial" w:hint="default"/>
          <w:spacing w:val="-3"/>
        </w:rPr>
        <w:t>4</w:t>
      </w:r>
      <w:r>
        <w:rPr>
          <w:spacing w:val="-3"/>
        </w:rPr>
        <w:t>）预收款项年末余额比年初数增长</w:t>
      </w:r>
      <w:r>
        <w:rPr>
          <w:spacing w:val="-33"/>
        </w:rPr>
        <w:t> </w:t>
      </w:r>
      <w:r>
        <w:rPr>
          <w:rFonts w:ascii="Arial" w:hAnsi="Arial" w:cs="Arial" w:eastAsia="Arial" w:hint="default"/>
          <w:spacing w:val="-4"/>
        </w:rPr>
        <w:t>537.92%</w:t>
      </w:r>
      <w:r>
        <w:rPr>
          <w:spacing w:val="-4"/>
        </w:rPr>
        <w:t>，主要原因是：报告期内客户预付采购</w:t>
      </w:r>
      <w:r>
        <w:rPr>
          <w:w w:val="100"/>
        </w:rPr>
        <w:t> </w:t>
      </w:r>
      <w:r>
        <w:rPr/>
        <w:t>货款增加所致；</w:t>
      </w:r>
    </w:p>
    <w:p>
      <w:pPr>
        <w:pStyle w:val="BodyText"/>
        <w:spacing w:line="369" w:lineRule="auto" w:before="61"/>
        <w:ind w:left="237" w:right="458" w:firstLine="439"/>
        <w:jc w:val="both"/>
      </w:pPr>
      <w:r>
        <w:rPr>
          <w:spacing w:val="-3"/>
        </w:rPr>
        <w:t>（</w:t>
      </w:r>
      <w:r>
        <w:rPr>
          <w:rFonts w:ascii="Arial" w:hAnsi="Arial" w:cs="Arial" w:eastAsia="Arial" w:hint="default"/>
          <w:spacing w:val="-3"/>
        </w:rPr>
        <w:t>5</w:t>
      </w:r>
      <w:r>
        <w:rPr>
          <w:spacing w:val="-3"/>
        </w:rPr>
        <w:t>）应交税费年末余额较年初数下降</w:t>
      </w:r>
      <w:r>
        <w:rPr>
          <w:spacing w:val="-33"/>
        </w:rPr>
        <w:t> </w:t>
      </w:r>
      <w:r>
        <w:rPr>
          <w:rFonts w:ascii="Arial" w:hAnsi="Arial" w:cs="Arial" w:eastAsia="Arial" w:hint="default"/>
          <w:spacing w:val="-4"/>
        </w:rPr>
        <w:t>474.88%</w:t>
      </w:r>
      <w:r>
        <w:rPr>
          <w:spacing w:val="-4"/>
        </w:rPr>
        <w:t>，主要原因是：报告期内募集资金采购</w:t>
      </w:r>
      <w:r>
        <w:rPr>
          <w:w w:val="100"/>
        </w:rPr>
        <w:t> </w:t>
      </w:r>
      <w:r>
        <w:rPr/>
        <w:t>设备进项税额抵扣增加所致；</w:t>
      </w:r>
    </w:p>
    <w:p>
      <w:pPr>
        <w:pStyle w:val="BodyText"/>
        <w:spacing w:line="369" w:lineRule="auto" w:before="61"/>
        <w:ind w:left="237" w:right="458" w:firstLine="439"/>
        <w:jc w:val="both"/>
      </w:pPr>
      <w:r>
        <w:rPr/>
        <w:t>（</w:t>
      </w:r>
      <w:r>
        <w:rPr>
          <w:rFonts w:ascii="Arial" w:hAnsi="Arial" w:cs="Arial" w:eastAsia="Arial" w:hint="default"/>
        </w:rPr>
        <w:t>6</w:t>
      </w:r>
      <w:r>
        <w:rPr/>
        <w:t>）其他应付款年末余额比年初增幅</w:t>
      </w:r>
      <w:r>
        <w:rPr>
          <w:spacing w:val="-12"/>
        </w:rPr>
        <w:t> </w:t>
      </w:r>
      <w:r>
        <w:rPr>
          <w:rFonts w:ascii="Arial" w:hAnsi="Arial" w:cs="Arial" w:eastAsia="Arial" w:hint="default"/>
        </w:rPr>
        <w:t>329.16%</w:t>
      </w:r>
      <w:r>
        <w:rPr/>
        <w:t>，主要原因是</w:t>
      </w:r>
      <w:r>
        <w:rPr>
          <w:rFonts w:ascii="Arial" w:hAnsi="Arial" w:cs="Arial" w:eastAsia="Arial" w:hint="default"/>
        </w:rPr>
        <w:t>:</w:t>
      </w:r>
      <w:r>
        <w:rPr/>
        <w:t>报告期内公司收购烟台</w:t>
      </w:r>
      <w:r>
        <w:rPr>
          <w:w w:val="100"/>
        </w:rPr>
        <w:t> </w:t>
      </w:r>
      <w:r>
        <w:rPr/>
        <w:t>安诺其自然人股东延元起先生</w:t>
      </w:r>
      <w:r>
        <w:rPr>
          <w:spacing w:val="-60"/>
        </w:rPr>
        <w:t> </w:t>
      </w:r>
      <w:r>
        <w:rPr>
          <w:rFonts w:ascii="Arial" w:hAnsi="Arial" w:cs="Arial" w:eastAsia="Arial" w:hint="default"/>
        </w:rPr>
        <w:t>4.69%</w:t>
      </w:r>
      <w:r>
        <w:rPr/>
        <w:t>股权，截止到年末尚有</w:t>
      </w:r>
      <w:r>
        <w:rPr>
          <w:spacing w:val="-60"/>
        </w:rPr>
        <w:t> </w:t>
      </w:r>
      <w:r>
        <w:rPr>
          <w:rFonts w:ascii="Arial" w:hAnsi="Arial" w:cs="Arial" w:eastAsia="Arial" w:hint="default"/>
        </w:rPr>
        <w:t>916</w:t>
      </w:r>
      <w:r>
        <w:rPr>
          <w:rFonts w:ascii="Arial" w:hAnsi="Arial" w:cs="Arial" w:eastAsia="Arial" w:hint="default"/>
          <w:spacing w:val="-12"/>
        </w:rPr>
        <w:t> </w:t>
      </w:r>
      <w:r>
        <w:rPr/>
        <w:t>万元收购股权款未支付。</w:t>
      </w:r>
    </w:p>
    <w:p>
      <w:pPr>
        <w:pStyle w:val="BodyText"/>
        <w:spacing w:line="240" w:lineRule="auto" w:before="31"/>
        <w:ind w:left="676" w:right="376"/>
        <w:jc w:val="left"/>
      </w:pPr>
      <w:r>
        <w:rPr>
          <w:rFonts w:ascii="Arial" w:hAnsi="Arial" w:cs="Arial" w:eastAsia="Arial" w:hint="default"/>
        </w:rPr>
        <w:t>3</w:t>
      </w:r>
      <w:r>
        <w:rPr/>
        <w:t>）报告期内公司主要期间费用情况</w:t>
      </w:r>
    </w:p>
    <w:p>
      <w:pPr>
        <w:spacing w:line="240" w:lineRule="auto" w:before="5"/>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548"/>
        <w:gridCol w:w="1771"/>
        <w:gridCol w:w="1606"/>
        <w:gridCol w:w="1980"/>
        <w:gridCol w:w="2160"/>
      </w:tblGrid>
      <w:tr>
        <w:trPr>
          <w:trHeight w:val="526" w:hRule="exact"/>
        </w:trPr>
        <w:tc>
          <w:tcPr>
            <w:tcW w:w="1548" w:type="dxa"/>
            <w:tcBorders>
              <w:top w:val="single" w:sz="12" w:space="0" w:color="000000"/>
              <w:left w:val="single" w:sz="12" w:space="0" w:color="000000"/>
              <w:bottom w:val="single" w:sz="12" w:space="0" w:color="000000"/>
              <w:right w:val="single" w:sz="12" w:space="0" w:color="000000"/>
            </w:tcBorders>
            <w:shd w:val="clear" w:color="auto" w:fill="B3B3B3"/>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71" w:type="dxa"/>
            <w:tcBorders>
              <w:top w:val="single" w:sz="12" w:space="0" w:color="000000"/>
              <w:left w:val="single" w:sz="12" w:space="0" w:color="000000"/>
              <w:bottom w:val="single" w:sz="12" w:space="0" w:color="000000"/>
              <w:right w:val="single" w:sz="12" w:space="0" w:color="000000"/>
            </w:tcBorders>
            <w:shd w:val="clear" w:color="auto" w:fill="B3B3B3"/>
          </w:tcPr>
          <w:p>
            <w:pPr>
              <w:pStyle w:val="TableParagraph"/>
              <w:spacing w:line="240" w:lineRule="auto" w:before="101"/>
              <w:ind w:left="578" w:right="0"/>
              <w:jc w:val="left"/>
              <w:rPr>
                <w:rFonts w:ascii="宋体" w:hAnsi="宋体" w:cs="宋体" w:eastAsia="宋体" w:hint="default"/>
                <w:sz w:val="18"/>
                <w:szCs w:val="18"/>
              </w:rPr>
            </w:pPr>
            <w:r>
              <w:rPr>
                <w:rFonts w:ascii="Arial" w:hAnsi="Arial" w:cs="Arial" w:eastAsia="Arial" w:hint="default"/>
                <w:sz w:val="18"/>
                <w:szCs w:val="18"/>
              </w:rPr>
              <w:t>2010</w:t>
            </w:r>
            <w:r>
              <w:rPr>
                <w:rFonts w:ascii="宋体" w:hAnsi="宋体" w:cs="宋体" w:eastAsia="宋体" w:hint="default"/>
                <w:sz w:val="18"/>
                <w:szCs w:val="18"/>
              </w:rPr>
              <w:t>年</w:t>
            </w:r>
          </w:p>
        </w:tc>
        <w:tc>
          <w:tcPr>
            <w:tcW w:w="1606" w:type="dxa"/>
            <w:tcBorders>
              <w:top w:val="single" w:sz="12" w:space="0" w:color="000000"/>
              <w:left w:val="single" w:sz="12" w:space="0" w:color="000000"/>
              <w:bottom w:val="single" w:sz="12" w:space="0" w:color="000000"/>
              <w:right w:val="single" w:sz="12" w:space="0" w:color="000000"/>
            </w:tcBorders>
            <w:shd w:val="clear" w:color="auto" w:fill="B3B3B3"/>
          </w:tcPr>
          <w:p>
            <w:pPr>
              <w:pStyle w:val="TableParagraph"/>
              <w:spacing w:line="240" w:lineRule="auto" w:before="101"/>
              <w:ind w:left="496" w:right="0"/>
              <w:jc w:val="left"/>
              <w:rPr>
                <w:rFonts w:ascii="宋体" w:hAnsi="宋体" w:cs="宋体" w:eastAsia="宋体" w:hint="default"/>
                <w:sz w:val="18"/>
                <w:szCs w:val="18"/>
              </w:rPr>
            </w:pPr>
            <w:r>
              <w:rPr>
                <w:rFonts w:ascii="Arial" w:hAnsi="Arial" w:cs="Arial" w:eastAsia="Arial" w:hint="default"/>
                <w:sz w:val="18"/>
                <w:szCs w:val="18"/>
              </w:rPr>
              <w:t>2009</w:t>
            </w:r>
            <w:r>
              <w:rPr>
                <w:rFonts w:ascii="宋体" w:hAnsi="宋体" w:cs="宋体" w:eastAsia="宋体" w:hint="default"/>
                <w:sz w:val="18"/>
                <w:szCs w:val="18"/>
              </w:rPr>
              <w:t>年</w:t>
            </w:r>
          </w:p>
        </w:tc>
        <w:tc>
          <w:tcPr>
            <w:tcW w:w="1980" w:type="dxa"/>
            <w:tcBorders>
              <w:top w:val="single" w:sz="12" w:space="0" w:color="000000"/>
              <w:left w:val="single" w:sz="12" w:space="0" w:color="000000"/>
              <w:bottom w:val="single" w:sz="12" w:space="0" w:color="000000"/>
              <w:right w:val="single" w:sz="12" w:space="0" w:color="000000"/>
            </w:tcBorders>
            <w:shd w:val="clear" w:color="auto" w:fill="B3B3B3"/>
          </w:tcPr>
          <w:p>
            <w:pPr>
              <w:pStyle w:val="TableParagraph"/>
              <w:spacing w:line="240" w:lineRule="auto" w:before="101"/>
              <w:ind w:left="165" w:right="0"/>
              <w:jc w:val="left"/>
              <w:rPr>
                <w:rFonts w:ascii="宋体" w:hAnsi="宋体" w:cs="宋体" w:eastAsia="宋体" w:hint="default"/>
                <w:sz w:val="18"/>
                <w:szCs w:val="18"/>
              </w:rPr>
            </w:pPr>
            <w:r>
              <w:rPr>
                <w:rFonts w:ascii="宋体" w:hAnsi="宋体" w:cs="宋体" w:eastAsia="宋体" w:hint="default"/>
                <w:sz w:val="18"/>
                <w:szCs w:val="18"/>
              </w:rPr>
              <w:t>本年较上年增减幅度</w:t>
            </w:r>
          </w:p>
        </w:tc>
        <w:tc>
          <w:tcPr>
            <w:tcW w:w="2160" w:type="dxa"/>
            <w:tcBorders>
              <w:top w:val="single" w:sz="12" w:space="0" w:color="000000"/>
              <w:left w:val="single" w:sz="12" w:space="0" w:color="000000"/>
              <w:bottom w:val="single" w:sz="12" w:space="0" w:color="000000"/>
              <w:right w:val="single" w:sz="12" w:space="0" w:color="000000"/>
            </w:tcBorders>
            <w:shd w:val="clear" w:color="auto" w:fill="B3B3B3"/>
          </w:tcPr>
          <w:p>
            <w:pPr>
              <w:pStyle w:val="TableParagraph"/>
              <w:spacing w:line="240" w:lineRule="auto" w:before="101"/>
              <w:ind w:left="143" w:right="0"/>
              <w:jc w:val="left"/>
              <w:rPr>
                <w:rFonts w:ascii="宋体" w:hAnsi="宋体" w:cs="宋体" w:eastAsia="宋体" w:hint="default"/>
                <w:sz w:val="18"/>
                <w:szCs w:val="18"/>
              </w:rPr>
            </w:pPr>
            <w:r>
              <w:rPr>
                <w:rFonts w:ascii="宋体" w:hAnsi="宋体" w:cs="宋体" w:eastAsia="宋体" w:hint="default"/>
                <w:sz w:val="18"/>
                <w:szCs w:val="18"/>
              </w:rPr>
              <w:t>占</w:t>
            </w:r>
            <w:r>
              <w:rPr>
                <w:rFonts w:ascii="Arial" w:hAnsi="Arial" w:cs="Arial" w:eastAsia="Arial" w:hint="default"/>
                <w:sz w:val="18"/>
                <w:szCs w:val="18"/>
              </w:rPr>
              <w:t>2010</w:t>
            </w:r>
            <w:r>
              <w:rPr>
                <w:rFonts w:ascii="宋体" w:hAnsi="宋体" w:cs="宋体" w:eastAsia="宋体" w:hint="default"/>
                <w:sz w:val="18"/>
                <w:szCs w:val="18"/>
              </w:rPr>
              <w:t>年营业收入比例</w:t>
            </w:r>
          </w:p>
        </w:tc>
      </w:tr>
      <w:tr>
        <w:trPr>
          <w:trHeight w:val="341" w:hRule="exact"/>
        </w:trPr>
        <w:tc>
          <w:tcPr>
            <w:tcW w:w="1548" w:type="dxa"/>
            <w:tcBorders>
              <w:top w:val="single" w:sz="12" w:space="0" w:color="000000"/>
              <w:left w:val="single" w:sz="12" w:space="0" w:color="000000"/>
              <w:bottom w:val="single" w:sz="12" w:space="0" w:color="000000"/>
              <w:right w:val="single" w:sz="12" w:space="0" w:color="000000"/>
            </w:tcBorders>
            <w:shd w:val="clear" w:color="auto" w:fill="B3B3B3"/>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7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2"/>
              <w:jc w:val="right"/>
              <w:rPr>
                <w:rFonts w:ascii="Arial" w:hAnsi="Arial" w:cs="Arial" w:eastAsia="Arial" w:hint="default"/>
                <w:sz w:val="18"/>
                <w:szCs w:val="18"/>
              </w:rPr>
            </w:pPr>
            <w:r>
              <w:rPr>
                <w:rFonts w:ascii="Arial"/>
                <w:spacing w:val="-1"/>
                <w:sz w:val="18"/>
              </w:rPr>
              <w:t>153,621.91</w:t>
            </w:r>
          </w:p>
        </w:tc>
        <w:tc>
          <w:tcPr>
            <w:tcW w:w="1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2"/>
              <w:jc w:val="right"/>
              <w:rPr>
                <w:rFonts w:ascii="Arial" w:hAnsi="Arial" w:cs="Arial" w:eastAsia="Arial" w:hint="default"/>
                <w:sz w:val="18"/>
                <w:szCs w:val="18"/>
              </w:rPr>
            </w:pPr>
            <w:r>
              <w:rPr>
                <w:rFonts w:ascii="Arial"/>
                <w:spacing w:val="-1"/>
                <w:sz w:val="18"/>
              </w:rPr>
              <w:t>201,395.53</w:t>
            </w:r>
          </w:p>
        </w:tc>
        <w:tc>
          <w:tcPr>
            <w:tcW w:w="198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2"/>
              <w:jc w:val="right"/>
              <w:rPr>
                <w:rFonts w:ascii="Arial" w:hAnsi="Arial" w:cs="Arial" w:eastAsia="Arial" w:hint="default"/>
                <w:sz w:val="18"/>
                <w:szCs w:val="18"/>
              </w:rPr>
            </w:pPr>
            <w:r>
              <w:rPr>
                <w:rFonts w:ascii="Arial"/>
                <w:w w:val="95"/>
                <w:sz w:val="18"/>
              </w:rPr>
              <w:t>-23.72</w:t>
            </w:r>
            <w:r>
              <w:rPr>
                <w:rFonts w:ascii="Arial"/>
                <w:sz w:val="18"/>
              </w:rPr>
            </w:r>
          </w:p>
        </w:tc>
        <w:tc>
          <w:tcPr>
            <w:tcW w:w="21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2"/>
              <w:jc w:val="right"/>
              <w:rPr>
                <w:rFonts w:ascii="Arial" w:hAnsi="Arial" w:cs="Arial" w:eastAsia="Arial" w:hint="default"/>
                <w:sz w:val="18"/>
                <w:szCs w:val="18"/>
              </w:rPr>
            </w:pPr>
            <w:r>
              <w:rPr>
                <w:rFonts w:ascii="Arial"/>
                <w:w w:val="95"/>
                <w:sz w:val="18"/>
              </w:rPr>
              <w:t>0.08</w:t>
            </w:r>
            <w:r>
              <w:rPr>
                <w:rFonts w:ascii="Arial"/>
                <w:sz w:val="18"/>
              </w:rPr>
            </w:r>
          </w:p>
        </w:tc>
      </w:tr>
      <w:tr>
        <w:trPr>
          <w:trHeight w:val="343" w:hRule="exact"/>
        </w:trPr>
        <w:tc>
          <w:tcPr>
            <w:tcW w:w="1548" w:type="dxa"/>
            <w:tcBorders>
              <w:top w:val="single" w:sz="12" w:space="0" w:color="000000"/>
              <w:left w:val="single" w:sz="12" w:space="0" w:color="000000"/>
              <w:bottom w:val="single" w:sz="12" w:space="0" w:color="000000"/>
              <w:right w:val="single" w:sz="12" w:space="0" w:color="000000"/>
            </w:tcBorders>
            <w:shd w:val="clear" w:color="auto" w:fill="B3B3B3"/>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7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2"/>
              <w:jc w:val="right"/>
              <w:rPr>
                <w:rFonts w:ascii="Arial" w:hAnsi="Arial" w:cs="Arial" w:eastAsia="Arial" w:hint="default"/>
                <w:sz w:val="18"/>
                <w:szCs w:val="18"/>
              </w:rPr>
            </w:pPr>
            <w:r>
              <w:rPr>
                <w:rFonts w:ascii="Arial"/>
                <w:spacing w:val="-1"/>
                <w:sz w:val="18"/>
              </w:rPr>
              <w:t>16,217,503.16</w:t>
            </w:r>
          </w:p>
        </w:tc>
        <w:tc>
          <w:tcPr>
            <w:tcW w:w="1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2"/>
              <w:jc w:val="right"/>
              <w:rPr>
                <w:rFonts w:ascii="Arial" w:hAnsi="Arial" w:cs="Arial" w:eastAsia="Arial" w:hint="default"/>
                <w:sz w:val="18"/>
                <w:szCs w:val="18"/>
              </w:rPr>
            </w:pPr>
            <w:r>
              <w:rPr>
                <w:rFonts w:ascii="Arial"/>
                <w:spacing w:val="-1"/>
                <w:sz w:val="18"/>
              </w:rPr>
              <w:t>11,173,833.09</w:t>
            </w:r>
          </w:p>
        </w:tc>
        <w:tc>
          <w:tcPr>
            <w:tcW w:w="198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2"/>
              <w:jc w:val="right"/>
              <w:rPr>
                <w:rFonts w:ascii="Arial" w:hAnsi="Arial" w:cs="Arial" w:eastAsia="Arial" w:hint="default"/>
                <w:sz w:val="18"/>
                <w:szCs w:val="18"/>
              </w:rPr>
            </w:pPr>
            <w:r>
              <w:rPr>
                <w:rFonts w:ascii="Arial"/>
                <w:w w:val="95"/>
                <w:sz w:val="18"/>
              </w:rPr>
              <w:t>45.14</w:t>
            </w:r>
            <w:r>
              <w:rPr>
                <w:rFonts w:ascii="Arial"/>
                <w:sz w:val="18"/>
              </w:rPr>
            </w:r>
          </w:p>
        </w:tc>
        <w:tc>
          <w:tcPr>
            <w:tcW w:w="21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2"/>
              <w:jc w:val="right"/>
              <w:rPr>
                <w:rFonts w:ascii="Arial" w:hAnsi="Arial" w:cs="Arial" w:eastAsia="Arial" w:hint="default"/>
                <w:sz w:val="18"/>
                <w:szCs w:val="18"/>
              </w:rPr>
            </w:pPr>
            <w:r>
              <w:rPr>
                <w:rFonts w:ascii="Arial"/>
                <w:w w:val="95"/>
                <w:sz w:val="18"/>
              </w:rPr>
              <w:t>8.64</w:t>
            </w:r>
            <w:r>
              <w:rPr>
                <w:rFonts w:ascii="Arial"/>
                <w:sz w:val="18"/>
              </w:rPr>
            </w:r>
          </w:p>
        </w:tc>
      </w:tr>
      <w:tr>
        <w:trPr>
          <w:trHeight w:val="341" w:hRule="exact"/>
        </w:trPr>
        <w:tc>
          <w:tcPr>
            <w:tcW w:w="1548" w:type="dxa"/>
            <w:tcBorders>
              <w:top w:val="single" w:sz="12" w:space="0" w:color="000000"/>
              <w:left w:val="single" w:sz="12" w:space="0" w:color="000000"/>
              <w:bottom w:val="single" w:sz="12" w:space="0" w:color="000000"/>
              <w:right w:val="single" w:sz="12" w:space="0" w:color="000000"/>
            </w:tcBorders>
            <w:shd w:val="clear" w:color="auto" w:fill="B3B3B3"/>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7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2"/>
              <w:jc w:val="right"/>
              <w:rPr>
                <w:rFonts w:ascii="Arial" w:hAnsi="Arial" w:cs="Arial" w:eastAsia="Arial" w:hint="default"/>
                <w:sz w:val="18"/>
                <w:szCs w:val="18"/>
              </w:rPr>
            </w:pPr>
            <w:r>
              <w:rPr>
                <w:rFonts w:ascii="Arial"/>
                <w:spacing w:val="-1"/>
                <w:sz w:val="18"/>
              </w:rPr>
              <w:t>32,086,671.58</w:t>
            </w:r>
          </w:p>
        </w:tc>
        <w:tc>
          <w:tcPr>
            <w:tcW w:w="1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2"/>
              <w:jc w:val="right"/>
              <w:rPr>
                <w:rFonts w:ascii="Arial" w:hAnsi="Arial" w:cs="Arial" w:eastAsia="Arial" w:hint="default"/>
                <w:sz w:val="18"/>
                <w:szCs w:val="18"/>
              </w:rPr>
            </w:pPr>
            <w:r>
              <w:rPr>
                <w:rFonts w:ascii="Arial"/>
                <w:spacing w:val="-1"/>
                <w:sz w:val="18"/>
              </w:rPr>
              <w:t>20,987,995.61</w:t>
            </w:r>
          </w:p>
        </w:tc>
        <w:tc>
          <w:tcPr>
            <w:tcW w:w="198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2"/>
              <w:jc w:val="right"/>
              <w:rPr>
                <w:rFonts w:ascii="Arial" w:hAnsi="Arial" w:cs="Arial" w:eastAsia="Arial" w:hint="default"/>
                <w:sz w:val="18"/>
                <w:szCs w:val="18"/>
              </w:rPr>
            </w:pPr>
            <w:r>
              <w:rPr>
                <w:rFonts w:ascii="Arial"/>
                <w:w w:val="95"/>
                <w:sz w:val="18"/>
              </w:rPr>
              <w:t>52.88</w:t>
            </w:r>
            <w:r>
              <w:rPr>
                <w:rFonts w:ascii="Arial"/>
                <w:sz w:val="18"/>
              </w:rPr>
            </w:r>
          </w:p>
        </w:tc>
        <w:tc>
          <w:tcPr>
            <w:tcW w:w="21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2"/>
              <w:jc w:val="right"/>
              <w:rPr>
                <w:rFonts w:ascii="Arial" w:hAnsi="Arial" w:cs="Arial" w:eastAsia="Arial" w:hint="default"/>
                <w:sz w:val="18"/>
                <w:szCs w:val="18"/>
              </w:rPr>
            </w:pPr>
            <w:r>
              <w:rPr>
                <w:rFonts w:ascii="Arial"/>
                <w:w w:val="95"/>
                <w:sz w:val="18"/>
              </w:rPr>
              <w:t>17.10</w:t>
            </w:r>
            <w:r>
              <w:rPr>
                <w:rFonts w:ascii="Arial"/>
                <w:sz w:val="18"/>
              </w:rPr>
            </w:r>
          </w:p>
        </w:tc>
      </w:tr>
      <w:tr>
        <w:trPr>
          <w:trHeight w:val="343" w:hRule="exact"/>
        </w:trPr>
        <w:tc>
          <w:tcPr>
            <w:tcW w:w="1548" w:type="dxa"/>
            <w:tcBorders>
              <w:top w:val="single" w:sz="12" w:space="0" w:color="000000"/>
              <w:left w:val="single" w:sz="12" w:space="0" w:color="000000"/>
              <w:bottom w:val="single" w:sz="12" w:space="0" w:color="000000"/>
              <w:right w:val="single" w:sz="12" w:space="0" w:color="000000"/>
            </w:tcBorders>
            <w:shd w:val="clear" w:color="auto" w:fill="B3B3B3"/>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7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2"/>
              <w:jc w:val="right"/>
              <w:rPr>
                <w:rFonts w:ascii="Arial" w:hAnsi="Arial" w:cs="Arial" w:eastAsia="Arial" w:hint="default"/>
                <w:sz w:val="18"/>
                <w:szCs w:val="18"/>
              </w:rPr>
            </w:pPr>
            <w:r>
              <w:rPr>
                <w:rFonts w:ascii="Arial"/>
                <w:spacing w:val="-1"/>
                <w:sz w:val="18"/>
              </w:rPr>
              <w:t>-2,826,844.69</w:t>
            </w:r>
          </w:p>
        </w:tc>
        <w:tc>
          <w:tcPr>
            <w:tcW w:w="1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2"/>
              <w:jc w:val="right"/>
              <w:rPr>
                <w:rFonts w:ascii="Arial" w:hAnsi="Arial" w:cs="Arial" w:eastAsia="Arial" w:hint="default"/>
                <w:sz w:val="18"/>
                <w:szCs w:val="18"/>
              </w:rPr>
            </w:pPr>
            <w:r>
              <w:rPr>
                <w:rFonts w:ascii="Arial"/>
                <w:spacing w:val="-1"/>
                <w:sz w:val="18"/>
              </w:rPr>
              <w:t>1,306,685.88</w:t>
            </w:r>
          </w:p>
        </w:tc>
        <w:tc>
          <w:tcPr>
            <w:tcW w:w="198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2"/>
              <w:jc w:val="right"/>
              <w:rPr>
                <w:rFonts w:ascii="Arial" w:hAnsi="Arial" w:cs="Arial" w:eastAsia="Arial" w:hint="default"/>
                <w:sz w:val="18"/>
                <w:szCs w:val="18"/>
              </w:rPr>
            </w:pPr>
            <w:r>
              <w:rPr>
                <w:rFonts w:ascii="Arial"/>
                <w:spacing w:val="-1"/>
                <w:sz w:val="18"/>
              </w:rPr>
              <w:t>-316.34</w:t>
            </w:r>
          </w:p>
        </w:tc>
        <w:tc>
          <w:tcPr>
            <w:tcW w:w="21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2"/>
              <w:jc w:val="right"/>
              <w:rPr>
                <w:rFonts w:ascii="Arial" w:hAnsi="Arial" w:cs="Arial" w:eastAsia="Arial" w:hint="default"/>
                <w:sz w:val="18"/>
                <w:szCs w:val="18"/>
              </w:rPr>
            </w:pPr>
            <w:r>
              <w:rPr>
                <w:rFonts w:ascii="Arial"/>
                <w:w w:val="95"/>
                <w:sz w:val="18"/>
              </w:rPr>
              <w:t>-1.51</w:t>
            </w:r>
            <w:r>
              <w:rPr>
                <w:rFonts w:ascii="Arial"/>
                <w:sz w:val="18"/>
              </w:rPr>
            </w:r>
          </w:p>
        </w:tc>
      </w:tr>
      <w:tr>
        <w:trPr>
          <w:trHeight w:val="341" w:hRule="exact"/>
        </w:trPr>
        <w:tc>
          <w:tcPr>
            <w:tcW w:w="1548" w:type="dxa"/>
            <w:tcBorders>
              <w:top w:val="single" w:sz="12" w:space="0" w:color="000000"/>
              <w:left w:val="single" w:sz="12" w:space="0" w:color="000000"/>
              <w:bottom w:val="single" w:sz="12" w:space="0" w:color="000000"/>
              <w:right w:val="single" w:sz="12" w:space="0" w:color="000000"/>
            </w:tcBorders>
            <w:shd w:val="clear" w:color="auto" w:fill="B3B3B3"/>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7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2"/>
              <w:jc w:val="right"/>
              <w:rPr>
                <w:rFonts w:ascii="Arial" w:hAnsi="Arial" w:cs="Arial" w:eastAsia="Arial" w:hint="default"/>
                <w:sz w:val="18"/>
                <w:szCs w:val="18"/>
              </w:rPr>
            </w:pPr>
            <w:r>
              <w:rPr>
                <w:rFonts w:ascii="Arial"/>
                <w:spacing w:val="-1"/>
                <w:sz w:val="18"/>
              </w:rPr>
              <w:t>3,982,064.93</w:t>
            </w:r>
          </w:p>
        </w:tc>
        <w:tc>
          <w:tcPr>
            <w:tcW w:w="1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2"/>
              <w:jc w:val="right"/>
              <w:rPr>
                <w:rFonts w:ascii="Arial" w:hAnsi="Arial" w:cs="Arial" w:eastAsia="Arial" w:hint="default"/>
                <w:sz w:val="18"/>
                <w:szCs w:val="18"/>
              </w:rPr>
            </w:pPr>
            <w:r>
              <w:rPr>
                <w:rFonts w:ascii="Arial"/>
                <w:spacing w:val="-1"/>
                <w:sz w:val="18"/>
              </w:rPr>
              <w:t>7,004,367.49</w:t>
            </w:r>
          </w:p>
        </w:tc>
        <w:tc>
          <w:tcPr>
            <w:tcW w:w="198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2"/>
              <w:jc w:val="right"/>
              <w:rPr>
                <w:rFonts w:ascii="Arial" w:hAnsi="Arial" w:cs="Arial" w:eastAsia="Arial" w:hint="default"/>
                <w:sz w:val="18"/>
                <w:szCs w:val="18"/>
              </w:rPr>
            </w:pPr>
            <w:r>
              <w:rPr>
                <w:rFonts w:ascii="Arial"/>
                <w:w w:val="95"/>
                <w:sz w:val="18"/>
              </w:rPr>
              <w:t>-43.15</w:t>
            </w:r>
            <w:r>
              <w:rPr>
                <w:rFonts w:ascii="Arial"/>
                <w:sz w:val="18"/>
              </w:rPr>
            </w:r>
          </w:p>
        </w:tc>
        <w:tc>
          <w:tcPr>
            <w:tcW w:w="21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2"/>
              <w:jc w:val="right"/>
              <w:rPr>
                <w:rFonts w:ascii="Arial" w:hAnsi="Arial" w:cs="Arial" w:eastAsia="Arial" w:hint="default"/>
                <w:sz w:val="18"/>
                <w:szCs w:val="18"/>
              </w:rPr>
            </w:pPr>
            <w:r>
              <w:rPr>
                <w:rFonts w:ascii="Arial"/>
                <w:w w:val="95"/>
                <w:sz w:val="18"/>
              </w:rPr>
              <w:t>2.12</w:t>
            </w:r>
            <w:r>
              <w:rPr>
                <w:rFonts w:ascii="Arial"/>
                <w:sz w:val="18"/>
              </w:rPr>
            </w:r>
          </w:p>
        </w:tc>
      </w:tr>
      <w:tr>
        <w:trPr>
          <w:trHeight w:val="341" w:hRule="exact"/>
        </w:trPr>
        <w:tc>
          <w:tcPr>
            <w:tcW w:w="1548" w:type="dxa"/>
            <w:tcBorders>
              <w:top w:val="single" w:sz="12" w:space="0" w:color="000000"/>
              <w:left w:val="single" w:sz="12" w:space="0" w:color="000000"/>
              <w:bottom w:val="single" w:sz="12" w:space="0" w:color="000000"/>
              <w:right w:val="single" w:sz="12" w:space="0" w:color="000000"/>
            </w:tcBorders>
            <w:shd w:val="clear" w:color="auto" w:fill="B3B3B3"/>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2"/>
              <w:jc w:val="right"/>
              <w:rPr>
                <w:rFonts w:ascii="Arial" w:hAnsi="Arial" w:cs="Arial" w:eastAsia="Arial" w:hint="default"/>
                <w:sz w:val="18"/>
                <w:szCs w:val="18"/>
              </w:rPr>
            </w:pPr>
            <w:r>
              <w:rPr>
                <w:rFonts w:ascii="Arial"/>
                <w:spacing w:val="-1"/>
                <w:sz w:val="18"/>
              </w:rPr>
              <w:t>49,613,016.89</w:t>
            </w:r>
          </w:p>
        </w:tc>
        <w:tc>
          <w:tcPr>
            <w:tcW w:w="1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2"/>
              <w:jc w:val="right"/>
              <w:rPr>
                <w:rFonts w:ascii="Arial" w:hAnsi="Arial" w:cs="Arial" w:eastAsia="Arial" w:hint="default"/>
                <w:sz w:val="18"/>
                <w:szCs w:val="18"/>
              </w:rPr>
            </w:pPr>
            <w:r>
              <w:rPr>
                <w:rFonts w:ascii="Arial"/>
                <w:spacing w:val="-1"/>
                <w:sz w:val="18"/>
              </w:rPr>
              <w:t>40,674,277.60</w:t>
            </w:r>
          </w:p>
        </w:tc>
        <w:tc>
          <w:tcPr>
            <w:tcW w:w="198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2"/>
              <w:jc w:val="right"/>
              <w:rPr>
                <w:rFonts w:ascii="Arial" w:hAnsi="Arial" w:cs="Arial" w:eastAsia="Arial" w:hint="default"/>
                <w:sz w:val="18"/>
                <w:szCs w:val="18"/>
              </w:rPr>
            </w:pPr>
            <w:r>
              <w:rPr>
                <w:rFonts w:ascii="Arial"/>
                <w:w w:val="95"/>
                <w:sz w:val="18"/>
              </w:rPr>
              <w:t>21.98</w:t>
            </w:r>
            <w:r>
              <w:rPr>
                <w:rFonts w:ascii="Arial"/>
                <w:sz w:val="18"/>
              </w:rPr>
            </w:r>
          </w:p>
        </w:tc>
        <w:tc>
          <w:tcPr>
            <w:tcW w:w="21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2"/>
              <w:jc w:val="right"/>
              <w:rPr>
                <w:rFonts w:ascii="Arial" w:hAnsi="Arial" w:cs="Arial" w:eastAsia="Arial" w:hint="default"/>
                <w:sz w:val="18"/>
                <w:szCs w:val="18"/>
              </w:rPr>
            </w:pPr>
            <w:r>
              <w:rPr>
                <w:rFonts w:ascii="Arial"/>
                <w:w w:val="95"/>
                <w:sz w:val="18"/>
              </w:rPr>
              <w:t>26.43</w:t>
            </w:r>
            <w:r>
              <w:rPr>
                <w:rFonts w:ascii="Arial"/>
                <w:sz w:val="18"/>
              </w:rPr>
            </w:r>
          </w:p>
        </w:tc>
      </w:tr>
    </w:tbl>
    <w:p>
      <w:pPr>
        <w:pStyle w:val="BodyText"/>
        <w:spacing w:line="240" w:lineRule="auto" w:before="57"/>
        <w:ind w:left="676" w:right="376"/>
        <w:jc w:val="left"/>
      </w:pPr>
      <w:r>
        <w:rPr/>
        <w:t>变动说明：</w:t>
      </w:r>
    </w:p>
    <w:p>
      <w:pPr>
        <w:pStyle w:val="BodyText"/>
        <w:spacing w:line="240" w:lineRule="auto" w:before="180"/>
        <w:ind w:left="676" w:right="376"/>
        <w:jc w:val="left"/>
      </w:pPr>
      <w:r>
        <w:rPr/>
        <w:t>（</w:t>
      </w:r>
      <w:r>
        <w:rPr>
          <w:rFonts w:ascii="Arial" w:hAnsi="Arial" w:cs="Arial" w:eastAsia="Arial" w:hint="default"/>
        </w:rPr>
        <w:t>1</w:t>
      </w:r>
      <w:r>
        <w:rPr/>
        <w:t>）销售费用同比增加</w:t>
      </w:r>
      <w:r>
        <w:rPr>
          <w:spacing w:val="-60"/>
        </w:rPr>
        <w:t> </w:t>
      </w:r>
      <w:r>
        <w:rPr>
          <w:rFonts w:ascii="Arial" w:hAnsi="Arial" w:cs="Arial" w:eastAsia="Arial" w:hint="default"/>
        </w:rPr>
        <w:t>504</w:t>
      </w:r>
      <w:r>
        <w:rPr>
          <w:rFonts w:ascii="Arial" w:hAnsi="Arial" w:cs="Arial" w:eastAsia="Arial" w:hint="default"/>
          <w:spacing w:val="-9"/>
        </w:rPr>
        <w:t> </w:t>
      </w:r>
      <w:r>
        <w:rPr/>
        <w:t>万元，增幅</w:t>
      </w:r>
      <w:r>
        <w:rPr>
          <w:spacing w:val="-57"/>
        </w:rPr>
        <w:t> </w:t>
      </w:r>
      <w:r>
        <w:rPr>
          <w:rFonts w:ascii="Arial" w:hAnsi="Arial" w:cs="Arial" w:eastAsia="Arial" w:hint="default"/>
        </w:rPr>
        <w:t>45.14%</w:t>
      </w:r>
      <w:r>
        <w:rPr/>
        <w:t>，主要是：</w:t>
      </w:r>
    </w:p>
    <w:p>
      <w:pPr>
        <w:pStyle w:val="BodyText"/>
        <w:spacing w:line="376" w:lineRule="auto" w:before="164"/>
        <w:ind w:left="237" w:right="455" w:firstLine="439"/>
        <w:jc w:val="both"/>
      </w:pPr>
      <w:r>
        <w:rPr>
          <w:rFonts w:ascii="Arial" w:hAnsi="Arial" w:cs="Arial" w:eastAsia="Arial" w:hint="default"/>
        </w:rPr>
        <w:t>2010 </w:t>
      </w:r>
      <w:r>
        <w:rPr/>
        <w:t>年工资费用同比增加</w:t>
      </w:r>
      <w:r>
        <w:rPr>
          <w:spacing w:val="-48"/>
        </w:rPr>
        <w:t> </w:t>
      </w:r>
      <w:r>
        <w:rPr>
          <w:rFonts w:ascii="Arial" w:hAnsi="Arial" w:cs="Arial" w:eastAsia="Arial" w:hint="default"/>
        </w:rPr>
        <w:t>132 </w:t>
      </w:r>
      <w:r>
        <w:rPr>
          <w:spacing w:val="-5"/>
        </w:rPr>
        <w:t>万元，主要是：公司为做好募集资金投资项目产品的销</w:t>
      </w:r>
      <w:r>
        <w:rPr>
          <w:w w:val="100"/>
        </w:rPr>
        <w:t> </w:t>
      </w:r>
      <w:r>
        <w:rPr/>
        <w:t>售渠道建设，加大销售渠道队伍建设，储备相应销售人才，上半年度发放销售人员上一年</w:t>
      </w:r>
      <w:r>
        <w:rPr>
          <w:spacing w:val="-57"/>
        </w:rPr>
        <w:t> </w:t>
      </w:r>
      <w:r>
        <w:rPr>
          <w:spacing w:val="-57"/>
        </w:rPr>
      </w:r>
      <w:r>
        <w:rPr/>
        <w:t>业绩考核奖金，</w:t>
      </w:r>
      <w:r>
        <w:rPr>
          <w:rFonts w:ascii="Arial" w:hAnsi="Arial" w:cs="Arial" w:eastAsia="Arial" w:hint="default"/>
        </w:rPr>
        <w:t>2009</w:t>
      </w:r>
      <w:r>
        <w:rPr>
          <w:rFonts w:ascii="Arial" w:hAnsi="Arial" w:cs="Arial" w:eastAsia="Arial" w:hint="default"/>
          <w:spacing w:val="-7"/>
        </w:rPr>
        <w:t> </w:t>
      </w:r>
      <w:r>
        <w:rPr/>
        <w:t>年度经营业绩比</w:t>
      </w:r>
      <w:r>
        <w:rPr>
          <w:spacing w:val="-53"/>
        </w:rPr>
        <w:t> </w:t>
      </w:r>
      <w:r>
        <w:rPr>
          <w:rFonts w:ascii="Arial" w:hAnsi="Arial" w:cs="Arial" w:eastAsia="Arial" w:hint="default"/>
        </w:rPr>
        <w:t>2008</w:t>
      </w:r>
      <w:r>
        <w:rPr>
          <w:rFonts w:ascii="Arial" w:hAnsi="Arial" w:cs="Arial" w:eastAsia="Arial" w:hint="default"/>
          <w:spacing w:val="-5"/>
        </w:rPr>
        <w:t> </w:t>
      </w:r>
      <w:r>
        <w:rPr/>
        <w:t>年度有所增长，本年相应增加业绩考核奖金发</w:t>
      </w:r>
      <w:r>
        <w:rPr>
          <w:w w:val="100"/>
        </w:rPr>
        <w:t> </w:t>
      </w:r>
      <w:r>
        <w:rPr/>
        <w:t>放；</w:t>
      </w:r>
    </w:p>
    <w:p>
      <w:pPr>
        <w:pStyle w:val="BodyText"/>
        <w:spacing w:line="379" w:lineRule="auto" w:before="54"/>
        <w:ind w:left="237" w:right="376" w:firstLine="439"/>
        <w:jc w:val="left"/>
      </w:pPr>
      <w:r>
        <w:rPr>
          <w:rFonts w:ascii="Arial" w:hAnsi="Arial" w:cs="Arial" w:eastAsia="Arial" w:hint="default"/>
        </w:rPr>
        <w:t>2010</w:t>
      </w:r>
      <w:r>
        <w:rPr>
          <w:rFonts w:ascii="Arial" w:hAnsi="Arial" w:cs="Arial" w:eastAsia="Arial" w:hint="default"/>
          <w:spacing w:val="-11"/>
        </w:rPr>
        <w:t> </w:t>
      </w:r>
      <w:r>
        <w:rPr/>
        <w:t>年运费同比增加</w:t>
      </w:r>
      <w:r>
        <w:rPr>
          <w:spacing w:val="-59"/>
        </w:rPr>
        <w:t> </w:t>
      </w:r>
      <w:r>
        <w:rPr>
          <w:rFonts w:ascii="Arial" w:hAnsi="Arial" w:cs="Arial" w:eastAsia="Arial" w:hint="default"/>
        </w:rPr>
        <w:t>129</w:t>
      </w:r>
      <w:r>
        <w:rPr>
          <w:rFonts w:ascii="Arial" w:hAnsi="Arial" w:cs="Arial" w:eastAsia="Arial" w:hint="default"/>
          <w:spacing w:val="-11"/>
        </w:rPr>
        <w:t> </w:t>
      </w:r>
      <w:r>
        <w:rPr/>
        <w:t>万元，主要是：东营子公司试生产滤饼销售给烟台子公司，</w:t>
      </w:r>
      <w:r>
        <w:rPr>
          <w:w w:val="100"/>
        </w:rPr>
        <w:t> </w:t>
      </w:r>
      <w:r>
        <w:rPr/>
        <w:t>其运输发生费用计入运费，上年烟台子公司外购，其发生运费计入采购成本；受宏观经济</w:t>
      </w:r>
      <w:r>
        <w:rPr>
          <w:spacing w:val="-57"/>
        </w:rPr>
        <w:t> </w:t>
      </w:r>
      <w:r>
        <w:rPr>
          <w:spacing w:val="-57"/>
        </w:rPr>
      </w:r>
      <w:r>
        <w:rPr/>
        <w:t>影响，</w:t>
      </w:r>
      <w:r>
        <w:rPr>
          <w:rFonts w:ascii="Arial" w:hAnsi="Arial" w:cs="Arial" w:eastAsia="Arial" w:hint="default"/>
        </w:rPr>
        <w:t>2010 </w:t>
      </w:r>
      <w:r>
        <w:rPr/>
        <w:t>年运费单价同比上涨；</w:t>
      </w:r>
      <w:r>
        <w:rPr>
          <w:rFonts w:ascii="Arial" w:hAnsi="Arial" w:cs="Arial" w:eastAsia="Arial" w:hint="default"/>
        </w:rPr>
        <w:t>2010</w:t>
      </w:r>
      <w:r>
        <w:rPr>
          <w:rFonts w:ascii="Arial" w:hAnsi="Arial" w:cs="Arial" w:eastAsia="Arial" w:hint="default"/>
          <w:spacing w:val="-28"/>
        </w:rPr>
        <w:t> </w:t>
      </w:r>
      <w:r>
        <w:rPr/>
        <w:t>年销售客户自行提货比例有所下降；</w:t>
      </w:r>
    </w:p>
    <w:p>
      <w:pPr>
        <w:pStyle w:val="BodyText"/>
        <w:spacing w:line="240" w:lineRule="auto" w:before="22"/>
        <w:ind w:left="676" w:right="376"/>
        <w:jc w:val="left"/>
        <w:rPr>
          <w:rFonts w:ascii="Arial" w:hAnsi="Arial" w:cs="Arial" w:eastAsia="Arial" w:hint="default"/>
        </w:rPr>
      </w:pPr>
      <w:r>
        <w:rPr>
          <w:rFonts w:ascii="Arial" w:hAnsi="Arial" w:cs="Arial" w:eastAsia="Arial" w:hint="default"/>
        </w:rPr>
        <w:t>2010 </w:t>
      </w:r>
      <w:r>
        <w:rPr/>
        <w:t>年劳动保险费同比增加 </w:t>
      </w:r>
      <w:r>
        <w:rPr>
          <w:rFonts w:ascii="Arial" w:hAnsi="Arial" w:cs="Arial" w:eastAsia="Arial" w:hint="default"/>
        </w:rPr>
        <w:t>71 </w:t>
      </w:r>
      <w:r>
        <w:rPr/>
        <w:t>万元，主要是：根据沪人社养发</w:t>
      </w:r>
      <w:r>
        <w:rPr>
          <w:rFonts w:ascii="Arial" w:hAnsi="Arial" w:cs="Arial" w:eastAsia="Arial" w:hint="default"/>
        </w:rPr>
        <w:t>[2009]22 </w:t>
      </w:r>
      <w:r>
        <w:rPr>
          <w:rFonts w:ascii="Arial" w:hAnsi="Arial" w:cs="Arial" w:eastAsia="Arial" w:hint="default"/>
          <w:spacing w:val="23"/>
        </w:rPr>
        <w:t> </w:t>
      </w:r>
      <w:r>
        <w:rPr/>
        <w:t>号文规定</w:t>
      </w:r>
      <w:r>
        <w:rPr>
          <w:rFonts w:ascii="Arial" w:hAnsi="Arial" w:cs="Arial" w:eastAsia="Arial" w:hint="default"/>
        </w:rPr>
        <w:t>,</w:t>
      </w:r>
    </w:p>
    <w:p>
      <w:pPr>
        <w:pStyle w:val="BodyText"/>
        <w:spacing w:line="369" w:lineRule="auto" w:before="164"/>
        <w:ind w:left="237" w:right="454"/>
        <w:jc w:val="left"/>
      </w:pPr>
      <w:r>
        <w:rPr/>
        <w:t>企业对非上海户籍职工从</w:t>
      </w:r>
      <w:r>
        <w:rPr>
          <w:spacing w:val="-56"/>
        </w:rPr>
        <w:t> </w:t>
      </w:r>
      <w:r>
        <w:rPr>
          <w:rFonts w:ascii="Arial" w:hAnsi="Arial" w:cs="Arial" w:eastAsia="Arial" w:hint="default"/>
        </w:rPr>
        <w:t>2009</w:t>
      </w:r>
      <w:r>
        <w:rPr>
          <w:rFonts w:ascii="Arial" w:hAnsi="Arial" w:cs="Arial" w:eastAsia="Arial" w:hint="default"/>
          <w:spacing w:val="-8"/>
        </w:rPr>
        <w:t> </w:t>
      </w:r>
      <w:r>
        <w:rPr/>
        <w:t>年</w:t>
      </w:r>
      <w:r>
        <w:rPr>
          <w:spacing w:val="-56"/>
        </w:rPr>
        <w:t> </w:t>
      </w:r>
      <w:r>
        <w:rPr>
          <w:rFonts w:ascii="Arial" w:hAnsi="Arial" w:cs="Arial" w:eastAsia="Arial" w:hint="default"/>
        </w:rPr>
        <w:t>9</w:t>
      </w:r>
      <w:r>
        <w:rPr>
          <w:rFonts w:ascii="Arial" w:hAnsi="Arial" w:cs="Arial" w:eastAsia="Arial" w:hint="default"/>
          <w:spacing w:val="-8"/>
        </w:rPr>
        <w:t> </w:t>
      </w:r>
      <w:r>
        <w:rPr/>
        <w:t>月起由综合保险调整为基本养老保险，</w:t>
      </w:r>
      <w:r>
        <w:rPr>
          <w:rFonts w:ascii="Arial" w:hAnsi="Arial" w:cs="Arial" w:eastAsia="Arial" w:hint="default"/>
        </w:rPr>
        <w:t>2010</w:t>
      </w:r>
      <w:r>
        <w:rPr>
          <w:rFonts w:ascii="Arial" w:hAnsi="Arial" w:cs="Arial" w:eastAsia="Arial" w:hint="default"/>
          <w:spacing w:val="-8"/>
        </w:rPr>
        <w:t> </w:t>
      </w:r>
      <w:r>
        <w:rPr/>
        <w:t>年企业缴</w:t>
      </w:r>
      <w:r>
        <w:rPr>
          <w:w w:val="100"/>
        </w:rPr>
        <w:t> </w:t>
      </w:r>
      <w:r>
        <w:rPr/>
        <w:t>纳基数同比增加，</w:t>
      </w:r>
      <w:r>
        <w:rPr>
          <w:rFonts w:ascii="Arial" w:hAnsi="Arial" w:cs="Arial" w:eastAsia="Arial" w:hint="default"/>
        </w:rPr>
        <w:t>2010</w:t>
      </w:r>
      <w:r>
        <w:rPr>
          <w:rFonts w:ascii="Arial" w:hAnsi="Arial" w:cs="Arial" w:eastAsia="Arial" w:hint="default"/>
          <w:spacing w:val="-11"/>
        </w:rPr>
        <w:t> </w:t>
      </w:r>
      <w:r>
        <w:rPr/>
        <w:t>年销售团队人员增加；</w:t>
      </w:r>
    </w:p>
    <w:p>
      <w:pPr>
        <w:pStyle w:val="BodyText"/>
        <w:spacing w:line="240" w:lineRule="auto" w:before="31"/>
        <w:ind w:left="676" w:right="376"/>
        <w:jc w:val="left"/>
      </w:pPr>
      <w:r>
        <w:rPr>
          <w:rFonts w:ascii="Arial" w:hAnsi="Arial" w:cs="Arial" w:eastAsia="Arial" w:hint="default"/>
        </w:rPr>
        <w:t>2010</w:t>
      </w:r>
      <w:r>
        <w:rPr>
          <w:rFonts w:ascii="Arial" w:hAnsi="Arial" w:cs="Arial" w:eastAsia="Arial" w:hint="default"/>
          <w:spacing w:val="2"/>
        </w:rPr>
        <w:t> </w:t>
      </w:r>
      <w:r>
        <w:rPr/>
        <w:t>年包装费用同比增加</w:t>
      </w:r>
      <w:r>
        <w:rPr>
          <w:spacing w:val="-46"/>
        </w:rPr>
        <w:t> </w:t>
      </w:r>
      <w:r>
        <w:rPr>
          <w:rFonts w:ascii="Arial" w:hAnsi="Arial" w:cs="Arial" w:eastAsia="Arial" w:hint="default"/>
        </w:rPr>
        <w:t>55</w:t>
      </w:r>
      <w:r>
        <w:rPr>
          <w:rFonts w:ascii="Arial" w:hAnsi="Arial" w:cs="Arial" w:eastAsia="Arial" w:hint="default"/>
          <w:spacing w:val="2"/>
        </w:rPr>
        <w:t> </w:t>
      </w:r>
      <w:r>
        <w:rPr/>
        <w:t>万元，主要是：</w:t>
      </w:r>
      <w:r>
        <w:rPr>
          <w:spacing w:val="-4"/>
        </w:rPr>
        <w:t> </w:t>
      </w:r>
      <w:r>
        <w:rPr>
          <w:rFonts w:ascii="Arial" w:hAnsi="Arial" w:cs="Arial" w:eastAsia="Arial" w:hint="default"/>
        </w:rPr>
        <w:t>2010</w:t>
      </w:r>
      <w:r>
        <w:rPr>
          <w:rFonts w:ascii="Arial" w:hAnsi="Arial" w:cs="Arial" w:eastAsia="Arial" w:hint="default"/>
          <w:spacing w:val="2"/>
        </w:rPr>
        <w:t> </w:t>
      </w:r>
      <w:r>
        <w:rPr/>
        <w:t>年年末染料成品库存比年初增幅</w:t>
      </w:r>
    </w:p>
    <w:p>
      <w:pPr>
        <w:pStyle w:val="BodyText"/>
        <w:spacing w:line="240" w:lineRule="auto" w:before="164"/>
        <w:ind w:left="237" w:right="376"/>
        <w:jc w:val="left"/>
      </w:pPr>
      <w:r>
        <w:rPr>
          <w:rFonts w:ascii="Arial" w:hAnsi="Arial" w:cs="Arial" w:eastAsia="Arial" w:hint="default"/>
        </w:rPr>
        <w:t>224.42%</w:t>
      </w:r>
      <w:r>
        <w:rPr/>
        <w:t>，包装费用增加，另受宏观经济影响，包装材料价格上涨。</w:t>
      </w:r>
    </w:p>
    <w:p>
      <w:pPr>
        <w:spacing w:after="0" w:line="240" w:lineRule="auto"/>
        <w:jc w:val="left"/>
        <w:sectPr>
          <w:pgSz w:w="11900" w:h="16840"/>
          <w:pgMar w:header="877" w:footer="981" w:top="1100" w:bottom="1180" w:left="1560" w:right="1000"/>
        </w:sectPr>
      </w:pPr>
    </w:p>
    <w:p>
      <w:pPr>
        <w:spacing w:line="240" w:lineRule="auto" w:before="4"/>
        <w:rPr>
          <w:rFonts w:ascii="宋体" w:hAnsi="宋体" w:cs="宋体" w:eastAsia="宋体" w:hint="default"/>
          <w:sz w:val="26"/>
          <w:szCs w:val="26"/>
        </w:rPr>
      </w:pPr>
    </w:p>
    <w:p>
      <w:pPr>
        <w:pStyle w:val="BodyText"/>
        <w:spacing w:line="240" w:lineRule="auto"/>
        <w:ind w:left="676" w:right="217"/>
        <w:jc w:val="left"/>
      </w:pPr>
      <w:r>
        <w:rPr/>
        <w:t>（</w:t>
      </w:r>
      <w:r>
        <w:rPr>
          <w:rFonts w:ascii="Arial" w:hAnsi="Arial" w:cs="Arial" w:eastAsia="Arial" w:hint="default"/>
        </w:rPr>
        <w:t>2</w:t>
      </w:r>
      <w:r>
        <w:rPr/>
        <w:t>）管理费用同比增加</w:t>
      </w:r>
      <w:r>
        <w:rPr>
          <w:spacing w:val="-59"/>
        </w:rPr>
        <w:t> </w:t>
      </w:r>
      <w:r>
        <w:rPr>
          <w:rFonts w:ascii="Arial" w:hAnsi="Arial" w:cs="Arial" w:eastAsia="Arial" w:hint="default"/>
          <w:spacing w:val="-4"/>
        </w:rPr>
        <w:t>1,110</w:t>
      </w:r>
      <w:r>
        <w:rPr>
          <w:rFonts w:ascii="Arial" w:hAnsi="Arial" w:cs="Arial" w:eastAsia="Arial" w:hint="default"/>
          <w:spacing w:val="-8"/>
        </w:rPr>
        <w:t> </w:t>
      </w:r>
      <w:r>
        <w:rPr/>
        <w:t>万元，增幅</w:t>
      </w:r>
      <w:r>
        <w:rPr>
          <w:spacing w:val="-56"/>
        </w:rPr>
        <w:t> </w:t>
      </w:r>
      <w:r>
        <w:rPr>
          <w:rFonts w:ascii="Arial" w:hAnsi="Arial" w:cs="Arial" w:eastAsia="Arial" w:hint="default"/>
        </w:rPr>
        <w:t>52.88%,</w:t>
      </w:r>
      <w:r>
        <w:rPr/>
        <w:t>主要是：</w:t>
      </w:r>
    </w:p>
    <w:p>
      <w:pPr>
        <w:pStyle w:val="BodyText"/>
        <w:spacing w:line="369" w:lineRule="auto" w:before="164"/>
        <w:ind w:left="237" w:right="217" w:firstLine="439"/>
        <w:jc w:val="left"/>
      </w:pPr>
      <w:r>
        <w:rPr>
          <w:rFonts w:ascii="Arial" w:hAnsi="Arial" w:cs="Arial" w:eastAsia="Arial" w:hint="default"/>
        </w:rPr>
        <w:t>2010</w:t>
      </w:r>
      <w:r>
        <w:rPr>
          <w:rFonts w:ascii="Arial" w:hAnsi="Arial" w:cs="Arial" w:eastAsia="Arial" w:hint="default"/>
          <w:spacing w:val="-5"/>
        </w:rPr>
        <w:t> </w:t>
      </w:r>
      <w:r>
        <w:rPr/>
        <w:t>年研发费用投入同比增加</w:t>
      </w:r>
      <w:r>
        <w:rPr>
          <w:spacing w:val="-53"/>
        </w:rPr>
        <w:t> </w:t>
      </w:r>
      <w:r>
        <w:rPr>
          <w:rFonts w:ascii="Arial" w:hAnsi="Arial" w:cs="Arial" w:eastAsia="Arial" w:hint="default"/>
        </w:rPr>
        <w:t>527</w:t>
      </w:r>
      <w:r>
        <w:rPr>
          <w:rFonts w:ascii="Arial" w:hAnsi="Arial" w:cs="Arial" w:eastAsia="Arial" w:hint="default"/>
          <w:spacing w:val="-8"/>
        </w:rPr>
        <w:t> </w:t>
      </w:r>
      <w:r>
        <w:rPr>
          <w:spacing w:val="-5"/>
        </w:rPr>
        <w:t>万元，主要是：</w:t>
      </w:r>
      <w:r>
        <w:rPr>
          <w:spacing w:val="-23"/>
        </w:rPr>
        <w:t> </w:t>
      </w:r>
      <w:r>
        <w:rPr>
          <w:rFonts w:ascii="Arial" w:hAnsi="Arial" w:cs="Arial" w:eastAsia="Arial" w:hint="default"/>
        </w:rPr>
        <w:t>2010</w:t>
      </w:r>
      <w:r>
        <w:rPr>
          <w:rFonts w:ascii="Arial" w:hAnsi="Arial" w:cs="Arial" w:eastAsia="Arial" w:hint="default"/>
          <w:spacing w:val="-5"/>
        </w:rPr>
        <w:t> </w:t>
      </w:r>
      <w:r>
        <w:rPr>
          <w:spacing w:val="-3"/>
        </w:rPr>
        <w:t>年公司加大对研发投入，以</w:t>
      </w:r>
      <w:r>
        <w:rPr>
          <w:w w:val="100"/>
        </w:rPr>
        <w:t> </w:t>
      </w:r>
      <w:r>
        <w:rPr/>
        <w:t>满足销售及募集资金项目投产对新产品的需求；</w:t>
      </w:r>
    </w:p>
    <w:p>
      <w:pPr>
        <w:pStyle w:val="BodyText"/>
        <w:spacing w:line="369" w:lineRule="auto" w:before="61"/>
        <w:ind w:left="237" w:right="217" w:firstLine="439"/>
        <w:jc w:val="left"/>
      </w:pPr>
      <w:r>
        <w:rPr>
          <w:rFonts w:ascii="Arial" w:hAnsi="Arial" w:cs="Arial" w:eastAsia="Arial" w:hint="default"/>
        </w:rPr>
        <w:t>2010</w:t>
      </w:r>
      <w:r>
        <w:rPr>
          <w:rFonts w:ascii="Arial" w:hAnsi="Arial" w:cs="Arial" w:eastAsia="Arial" w:hint="default"/>
          <w:spacing w:val="-1"/>
        </w:rPr>
        <w:t> </w:t>
      </w:r>
      <w:r>
        <w:rPr/>
        <w:t>年工资费用同比增加</w:t>
      </w:r>
      <w:r>
        <w:rPr>
          <w:spacing w:val="-50"/>
        </w:rPr>
        <w:t> </w:t>
      </w:r>
      <w:r>
        <w:rPr>
          <w:rFonts w:ascii="Arial" w:hAnsi="Arial" w:cs="Arial" w:eastAsia="Arial" w:hint="default"/>
        </w:rPr>
        <w:t>120</w:t>
      </w:r>
      <w:r>
        <w:rPr>
          <w:rFonts w:ascii="Arial" w:hAnsi="Arial" w:cs="Arial" w:eastAsia="Arial" w:hint="default"/>
          <w:spacing w:val="-1"/>
        </w:rPr>
        <w:t> </w:t>
      </w:r>
      <w:r>
        <w:rPr/>
        <w:t>万元，主要是：</w:t>
      </w:r>
      <w:r>
        <w:rPr>
          <w:rFonts w:ascii="Arial" w:hAnsi="Arial" w:cs="Arial" w:eastAsia="Arial" w:hint="default"/>
        </w:rPr>
        <w:t>2010</w:t>
      </w:r>
      <w:r>
        <w:rPr>
          <w:rFonts w:ascii="Arial" w:hAnsi="Arial" w:cs="Arial" w:eastAsia="Arial" w:hint="default"/>
          <w:spacing w:val="-1"/>
        </w:rPr>
        <w:t> </w:t>
      </w:r>
      <w:r>
        <w:rPr/>
        <w:t>年公司首发上市后，根据募集资</w:t>
      </w:r>
      <w:r>
        <w:rPr>
          <w:w w:val="100"/>
        </w:rPr>
        <w:t> </w:t>
      </w:r>
      <w:r>
        <w:rPr/>
        <w:t>金项目管理需求及提升公司整体管理水平需求</w:t>
      </w:r>
      <w:r>
        <w:rPr>
          <w:rFonts w:ascii="Arial" w:hAnsi="Arial" w:cs="Arial" w:eastAsia="Arial" w:hint="default"/>
        </w:rPr>
        <w:t>,</w:t>
      </w:r>
      <w:r>
        <w:rPr/>
        <w:t>加大了管理团队的建设；</w:t>
      </w:r>
    </w:p>
    <w:p>
      <w:pPr>
        <w:pStyle w:val="BodyText"/>
        <w:spacing w:line="240" w:lineRule="auto" w:before="31"/>
        <w:ind w:left="676" w:right="0"/>
        <w:jc w:val="left"/>
        <w:rPr>
          <w:rFonts w:ascii="Arial" w:hAnsi="Arial" w:cs="Arial" w:eastAsia="Arial" w:hint="default"/>
        </w:rPr>
      </w:pPr>
      <w:r>
        <w:rPr>
          <w:spacing w:val="-4"/>
        </w:rPr>
        <w:t>本公司之子公司东营公司取得土地使用权后，从</w:t>
      </w:r>
      <w:r>
        <w:rPr>
          <w:spacing w:val="-54"/>
        </w:rPr>
        <w:t> </w:t>
      </w:r>
      <w:r>
        <w:rPr>
          <w:rFonts w:ascii="Arial" w:hAnsi="Arial" w:cs="Arial" w:eastAsia="Arial" w:hint="default"/>
        </w:rPr>
        <w:t>2010</w:t>
      </w:r>
      <w:r>
        <w:rPr>
          <w:rFonts w:ascii="Arial" w:hAnsi="Arial" w:cs="Arial" w:eastAsia="Arial" w:hint="default"/>
          <w:spacing w:val="-3"/>
        </w:rPr>
        <w:t> </w:t>
      </w:r>
      <w:r>
        <w:rPr/>
        <w:t>年起计提土地使用税及摊销</w:t>
      </w:r>
      <w:r>
        <w:rPr>
          <w:spacing w:val="-51"/>
        </w:rPr>
        <w:t> </w:t>
      </w:r>
      <w:r>
        <w:rPr>
          <w:rFonts w:ascii="Arial" w:hAnsi="Arial" w:cs="Arial" w:eastAsia="Arial" w:hint="default"/>
          <w:spacing w:val="-7"/>
        </w:rPr>
        <w:t>110</w:t>
      </w:r>
    </w:p>
    <w:p>
      <w:pPr>
        <w:pStyle w:val="BodyText"/>
        <w:spacing w:line="240" w:lineRule="auto" w:before="164"/>
        <w:ind w:left="237" w:right="217"/>
        <w:jc w:val="left"/>
      </w:pPr>
      <w:r>
        <w:rPr/>
        <w:t>万元；</w:t>
      </w:r>
    </w:p>
    <w:p>
      <w:pPr>
        <w:pStyle w:val="BodyText"/>
        <w:spacing w:line="240" w:lineRule="auto" w:before="180"/>
        <w:ind w:left="676" w:right="217"/>
        <w:jc w:val="left"/>
      </w:pPr>
      <w:r>
        <w:rPr>
          <w:rFonts w:ascii="Arial" w:hAnsi="Arial" w:cs="Arial" w:eastAsia="Arial" w:hint="default"/>
        </w:rPr>
        <w:t>2010</w:t>
      </w:r>
      <w:r>
        <w:rPr>
          <w:rFonts w:ascii="Arial" w:hAnsi="Arial" w:cs="Arial" w:eastAsia="Arial" w:hint="default"/>
          <w:spacing w:val="-9"/>
        </w:rPr>
        <w:t> </w:t>
      </w:r>
      <w:r>
        <w:rPr/>
        <w:t>年公司首发新股，支付同</w:t>
      </w:r>
      <w:r>
        <w:rPr>
          <w:spacing w:val="-60"/>
        </w:rPr>
        <w:t> </w:t>
      </w:r>
      <w:r>
        <w:rPr>
          <w:rFonts w:ascii="Arial" w:hAnsi="Arial" w:cs="Arial" w:eastAsia="Arial" w:hint="default"/>
        </w:rPr>
        <w:t>IPO</w:t>
      </w:r>
      <w:r>
        <w:rPr>
          <w:rFonts w:ascii="Arial" w:hAnsi="Arial" w:cs="Arial" w:eastAsia="Arial" w:hint="default"/>
          <w:spacing w:val="-10"/>
        </w:rPr>
        <w:t> </w:t>
      </w:r>
      <w:r>
        <w:rPr/>
        <w:t>相关的路演费等</w:t>
      </w:r>
      <w:r>
        <w:rPr>
          <w:spacing w:val="-57"/>
        </w:rPr>
        <w:t> </w:t>
      </w:r>
      <w:r>
        <w:rPr>
          <w:rFonts w:ascii="Arial" w:hAnsi="Arial" w:cs="Arial" w:eastAsia="Arial" w:hint="default"/>
        </w:rPr>
        <w:t>242</w:t>
      </w:r>
      <w:r>
        <w:rPr>
          <w:rFonts w:ascii="Arial" w:hAnsi="Arial" w:cs="Arial" w:eastAsia="Arial" w:hint="default"/>
          <w:spacing w:val="-9"/>
        </w:rPr>
        <w:t> </w:t>
      </w:r>
      <w:r>
        <w:rPr/>
        <w:t>万元。</w:t>
      </w:r>
    </w:p>
    <w:p>
      <w:pPr>
        <w:pStyle w:val="BodyText"/>
        <w:spacing w:line="240" w:lineRule="auto" w:before="164"/>
        <w:ind w:left="676" w:right="217"/>
        <w:jc w:val="left"/>
      </w:pPr>
      <w:r>
        <w:rPr/>
        <w:t>（</w:t>
      </w:r>
      <w:r>
        <w:rPr>
          <w:rFonts w:ascii="Arial" w:hAnsi="Arial" w:cs="Arial" w:eastAsia="Arial" w:hint="default"/>
        </w:rPr>
        <w:t>3</w:t>
      </w:r>
      <w:r>
        <w:rPr/>
        <w:t>）财务费用同比减少</w:t>
      </w:r>
      <w:r>
        <w:rPr>
          <w:spacing w:val="-60"/>
        </w:rPr>
        <w:t> </w:t>
      </w:r>
      <w:r>
        <w:rPr>
          <w:rFonts w:ascii="Arial" w:hAnsi="Arial" w:cs="Arial" w:eastAsia="Arial" w:hint="default"/>
        </w:rPr>
        <w:t>413</w:t>
      </w:r>
      <w:r>
        <w:rPr>
          <w:rFonts w:ascii="Arial" w:hAnsi="Arial" w:cs="Arial" w:eastAsia="Arial" w:hint="default"/>
          <w:spacing w:val="-9"/>
        </w:rPr>
        <w:t> </w:t>
      </w:r>
      <w:r>
        <w:rPr/>
        <w:t>万元，减幅</w:t>
      </w:r>
      <w:r>
        <w:rPr>
          <w:spacing w:val="-57"/>
        </w:rPr>
        <w:t> </w:t>
      </w:r>
      <w:r>
        <w:rPr>
          <w:rFonts w:ascii="Arial" w:hAnsi="Arial" w:cs="Arial" w:eastAsia="Arial" w:hint="default"/>
        </w:rPr>
        <w:t>316.34%</w:t>
      </w:r>
      <w:r>
        <w:rPr/>
        <w:t>，主要是：</w:t>
      </w:r>
    </w:p>
    <w:p>
      <w:pPr>
        <w:pStyle w:val="BodyText"/>
        <w:spacing w:line="369" w:lineRule="auto" w:before="164"/>
        <w:ind w:left="237" w:right="217" w:firstLine="439"/>
        <w:jc w:val="left"/>
      </w:pPr>
      <w:r>
        <w:rPr>
          <w:rFonts w:ascii="Arial" w:hAnsi="Arial" w:cs="Arial" w:eastAsia="Arial" w:hint="default"/>
        </w:rPr>
        <w:t>2010</w:t>
      </w:r>
      <w:r>
        <w:rPr>
          <w:rFonts w:ascii="Arial" w:hAnsi="Arial" w:cs="Arial" w:eastAsia="Arial" w:hint="default"/>
          <w:spacing w:val="-10"/>
        </w:rPr>
        <w:t> </w:t>
      </w:r>
      <w:r>
        <w:rPr/>
        <w:t>年利息收入同比增加</w:t>
      </w:r>
      <w:r>
        <w:rPr>
          <w:spacing w:val="-58"/>
        </w:rPr>
        <w:t> </w:t>
      </w:r>
      <w:r>
        <w:rPr>
          <w:rFonts w:ascii="Arial" w:hAnsi="Arial" w:cs="Arial" w:eastAsia="Arial" w:hint="default"/>
        </w:rPr>
        <w:t>360</w:t>
      </w:r>
      <w:r>
        <w:rPr>
          <w:rFonts w:ascii="Arial" w:hAnsi="Arial" w:cs="Arial" w:eastAsia="Arial" w:hint="default"/>
          <w:spacing w:val="-10"/>
        </w:rPr>
        <w:t> </w:t>
      </w:r>
      <w:r>
        <w:rPr>
          <w:spacing w:val="-3"/>
        </w:rPr>
        <w:t>万元，主要是</w:t>
      </w:r>
      <w:r>
        <w:rPr>
          <w:spacing w:val="-58"/>
        </w:rPr>
        <w:t> </w:t>
      </w:r>
      <w:r>
        <w:rPr>
          <w:rFonts w:ascii="Arial" w:hAnsi="Arial" w:cs="Arial" w:eastAsia="Arial" w:hint="default"/>
        </w:rPr>
        <w:t>2010</w:t>
      </w:r>
      <w:r>
        <w:rPr>
          <w:rFonts w:ascii="Arial" w:hAnsi="Arial" w:cs="Arial" w:eastAsia="Arial" w:hint="default"/>
          <w:spacing w:val="-10"/>
        </w:rPr>
        <w:t> </w:t>
      </w:r>
      <w:r>
        <w:rPr/>
        <w:t>年首发新股取得募集资金，对暂时</w:t>
      </w:r>
      <w:r>
        <w:rPr>
          <w:w w:val="100"/>
        </w:rPr>
        <w:t> </w:t>
      </w:r>
      <w:r>
        <w:rPr/>
        <w:t>尚未使用的募集资金通过七天存款及定期存款方式取得相应利息收入；</w:t>
      </w:r>
    </w:p>
    <w:p>
      <w:pPr>
        <w:pStyle w:val="BodyText"/>
        <w:spacing w:line="240" w:lineRule="auto" w:before="61"/>
        <w:ind w:left="676" w:right="0"/>
        <w:jc w:val="left"/>
      </w:pPr>
      <w:r>
        <w:rPr>
          <w:rFonts w:ascii="Arial" w:hAnsi="Arial" w:cs="Arial" w:eastAsia="Arial" w:hint="default"/>
        </w:rPr>
        <w:t>2010</w:t>
      </w:r>
      <w:r>
        <w:rPr>
          <w:rFonts w:ascii="Arial" w:hAnsi="Arial" w:cs="Arial" w:eastAsia="Arial" w:hint="default"/>
          <w:spacing w:val="-1"/>
        </w:rPr>
        <w:t> </w:t>
      </w:r>
      <w:r>
        <w:rPr/>
        <w:t>年利息支出同比减少</w:t>
      </w:r>
      <w:r>
        <w:rPr>
          <w:spacing w:val="-49"/>
        </w:rPr>
        <w:t> </w:t>
      </w:r>
      <w:r>
        <w:rPr>
          <w:rFonts w:ascii="Arial" w:hAnsi="Arial" w:cs="Arial" w:eastAsia="Arial" w:hint="default"/>
        </w:rPr>
        <w:t>56</w:t>
      </w:r>
      <w:r>
        <w:rPr>
          <w:rFonts w:ascii="Arial" w:hAnsi="Arial" w:cs="Arial" w:eastAsia="Arial" w:hint="default"/>
          <w:spacing w:val="-1"/>
        </w:rPr>
        <w:t> </w:t>
      </w:r>
      <w:r>
        <w:rPr>
          <w:spacing w:val="-4"/>
        </w:rPr>
        <w:t>万元，主要是根据公司第一届董事会第十六次会议决议，</w:t>
      </w:r>
    </w:p>
    <w:p>
      <w:pPr>
        <w:pStyle w:val="BodyText"/>
        <w:spacing w:line="240" w:lineRule="auto" w:before="164"/>
        <w:ind w:left="237" w:right="0"/>
        <w:jc w:val="left"/>
      </w:pPr>
      <w:r>
        <w:rPr>
          <w:w w:val="100"/>
        </w:rPr>
        <w:t>董事会</w:t>
      </w:r>
      <w:r>
        <w:rPr>
          <w:spacing w:val="-3"/>
          <w:w w:val="100"/>
        </w:rPr>
        <w:t>同</w:t>
      </w:r>
      <w:r>
        <w:rPr>
          <w:w w:val="100"/>
        </w:rPr>
        <w:t>意公</w:t>
      </w:r>
      <w:r>
        <w:rPr>
          <w:spacing w:val="-3"/>
          <w:w w:val="100"/>
        </w:rPr>
        <w:t>司</w:t>
      </w:r>
      <w:r>
        <w:rPr>
          <w:w w:val="100"/>
        </w:rPr>
        <w:t>使用</w:t>
      </w:r>
      <w:r>
        <w:rPr>
          <w:spacing w:val="-67"/>
        </w:rPr>
        <w:t> </w:t>
      </w:r>
      <w:r>
        <w:rPr>
          <w:rFonts w:ascii="Arial" w:hAnsi="Arial" w:cs="Arial" w:eastAsia="Arial" w:hint="default"/>
          <w:spacing w:val="-1"/>
          <w:w w:val="100"/>
        </w:rPr>
        <w:t>3</w:t>
      </w:r>
      <w:r>
        <w:rPr>
          <w:rFonts w:ascii="Arial" w:hAnsi="Arial" w:cs="Arial" w:eastAsia="Arial" w:hint="default"/>
          <w:spacing w:val="1"/>
          <w:w w:val="100"/>
        </w:rPr>
        <w:t>,</w:t>
      </w:r>
      <w:r>
        <w:rPr>
          <w:rFonts w:ascii="Arial" w:hAnsi="Arial" w:cs="Arial" w:eastAsia="Arial" w:hint="default"/>
          <w:spacing w:val="-1"/>
          <w:w w:val="100"/>
        </w:rPr>
        <w:t>5</w:t>
      </w:r>
      <w:r>
        <w:rPr>
          <w:rFonts w:ascii="Arial" w:hAnsi="Arial" w:cs="Arial" w:eastAsia="Arial" w:hint="default"/>
          <w:spacing w:val="-3"/>
          <w:w w:val="100"/>
        </w:rPr>
        <w:t>0</w:t>
      </w:r>
      <w:r>
        <w:rPr>
          <w:rFonts w:ascii="Arial" w:hAnsi="Arial" w:cs="Arial" w:eastAsia="Arial" w:hint="default"/>
          <w:w w:val="100"/>
        </w:rPr>
        <w:t>0</w:t>
      </w:r>
      <w:r>
        <w:rPr>
          <w:rFonts w:ascii="Arial" w:hAnsi="Arial" w:cs="Arial" w:eastAsia="Arial" w:hint="default"/>
          <w:spacing w:val="-19"/>
        </w:rPr>
        <w:t> </w:t>
      </w:r>
      <w:r>
        <w:rPr>
          <w:w w:val="100"/>
        </w:rPr>
        <w:t>万元超</w:t>
      </w:r>
      <w:r>
        <w:rPr>
          <w:spacing w:val="-3"/>
          <w:w w:val="100"/>
        </w:rPr>
        <w:t>募</w:t>
      </w:r>
      <w:r>
        <w:rPr>
          <w:w w:val="100"/>
        </w:rPr>
        <w:t>资金偿</w:t>
      </w:r>
      <w:r>
        <w:rPr>
          <w:spacing w:val="-3"/>
          <w:w w:val="100"/>
        </w:rPr>
        <w:t>还</w:t>
      </w:r>
      <w:r>
        <w:rPr>
          <w:w w:val="100"/>
        </w:rPr>
        <w:t>银</w:t>
      </w:r>
      <w:r>
        <w:rPr>
          <w:spacing w:val="-3"/>
          <w:w w:val="100"/>
        </w:rPr>
        <w:t>行</w:t>
      </w:r>
      <w:r>
        <w:rPr>
          <w:w w:val="100"/>
        </w:rPr>
        <w:t>贷款</w:t>
      </w:r>
      <w:r>
        <w:rPr>
          <w:spacing w:val="-111"/>
          <w:w w:val="100"/>
        </w:rPr>
        <w:t>，</w:t>
      </w:r>
      <w:r>
        <w:rPr>
          <w:rFonts w:ascii="Arial" w:hAnsi="Arial" w:cs="Arial" w:eastAsia="Arial" w:hint="default"/>
          <w:spacing w:val="-1"/>
          <w:w w:val="100"/>
        </w:rPr>
        <w:t>201</w:t>
      </w:r>
      <w:r>
        <w:rPr>
          <w:rFonts w:ascii="Arial" w:hAnsi="Arial" w:cs="Arial" w:eastAsia="Arial" w:hint="default"/>
          <w:w w:val="100"/>
        </w:rPr>
        <w:t>0</w:t>
      </w:r>
      <w:r>
        <w:rPr>
          <w:rFonts w:ascii="Arial" w:hAnsi="Arial" w:cs="Arial" w:eastAsia="Arial" w:hint="default"/>
          <w:spacing w:val="-19"/>
        </w:rPr>
        <w:t> </w:t>
      </w:r>
      <w:r>
        <w:rPr>
          <w:w w:val="100"/>
        </w:rPr>
        <w:t>年</w:t>
      </w:r>
      <w:r>
        <w:rPr>
          <w:spacing w:val="-67"/>
        </w:rPr>
        <w:t> </w:t>
      </w:r>
      <w:r>
        <w:rPr>
          <w:rFonts w:ascii="Arial" w:hAnsi="Arial" w:cs="Arial" w:eastAsia="Arial" w:hint="default"/>
          <w:w w:val="100"/>
        </w:rPr>
        <w:t>5</w:t>
      </w:r>
      <w:r>
        <w:rPr>
          <w:rFonts w:ascii="Arial" w:hAnsi="Arial" w:cs="Arial" w:eastAsia="Arial" w:hint="default"/>
          <w:spacing w:val="-19"/>
        </w:rPr>
        <w:t> </w:t>
      </w:r>
      <w:r>
        <w:rPr>
          <w:w w:val="100"/>
        </w:rPr>
        <w:t>月</w:t>
      </w:r>
      <w:r>
        <w:rPr>
          <w:spacing w:val="-3"/>
          <w:w w:val="100"/>
        </w:rPr>
        <w:t>已</w:t>
      </w:r>
      <w:r>
        <w:rPr>
          <w:w w:val="100"/>
        </w:rPr>
        <w:t>全</w:t>
      </w:r>
      <w:r>
        <w:rPr>
          <w:spacing w:val="-3"/>
          <w:w w:val="100"/>
        </w:rPr>
        <w:t>部</w:t>
      </w:r>
      <w:r>
        <w:rPr>
          <w:w w:val="100"/>
        </w:rPr>
        <w:t>归还银</w:t>
      </w:r>
      <w:r>
        <w:rPr>
          <w:spacing w:val="-3"/>
          <w:w w:val="100"/>
        </w:rPr>
        <w:t>行</w:t>
      </w:r>
      <w:r>
        <w:rPr>
          <w:w w:val="100"/>
        </w:rPr>
        <w:t>贷</w:t>
      </w:r>
      <w:r>
        <w:rPr>
          <w:spacing w:val="-3"/>
          <w:w w:val="100"/>
        </w:rPr>
        <w:t>款</w:t>
      </w:r>
      <w:r>
        <w:rPr>
          <w:w w:val="100"/>
        </w:rPr>
        <w:t>。</w:t>
      </w:r>
    </w:p>
    <w:p>
      <w:pPr>
        <w:pStyle w:val="BodyText"/>
        <w:spacing w:line="369" w:lineRule="auto" w:before="164"/>
        <w:ind w:left="237" w:right="217" w:firstLine="439"/>
        <w:jc w:val="left"/>
      </w:pPr>
      <w:r>
        <w:rPr/>
        <w:t>（</w:t>
      </w:r>
      <w:r>
        <w:rPr>
          <w:rFonts w:ascii="Arial" w:hAnsi="Arial" w:cs="Arial" w:eastAsia="Arial" w:hint="default"/>
        </w:rPr>
        <w:t>4</w:t>
      </w:r>
      <w:r>
        <w:rPr/>
        <w:t>）所得税费用同比减少 </w:t>
      </w:r>
      <w:r>
        <w:rPr>
          <w:rFonts w:ascii="Arial" w:hAnsi="Arial" w:cs="Arial" w:eastAsia="Arial" w:hint="default"/>
        </w:rPr>
        <w:t>302.23 </w:t>
      </w:r>
      <w:r>
        <w:rPr/>
        <w:t>万元，减幅</w:t>
      </w:r>
      <w:r>
        <w:rPr>
          <w:spacing w:val="-77"/>
        </w:rPr>
        <w:t> </w:t>
      </w:r>
      <w:r>
        <w:rPr>
          <w:rFonts w:ascii="Arial" w:hAnsi="Arial" w:cs="Arial" w:eastAsia="Arial" w:hint="default"/>
        </w:rPr>
        <w:t>43.15%</w:t>
      </w:r>
      <w:r>
        <w:rPr/>
        <w:t>，主要原因：报告期内</w:t>
      </w:r>
      <w:r>
        <w:rPr>
          <w:rFonts w:ascii="Arial" w:hAnsi="Arial" w:cs="Arial" w:eastAsia="Arial" w:hint="default"/>
        </w:rPr>
        <w:t>,</w:t>
      </w:r>
      <w:r>
        <w:rPr/>
        <w:t>公司税</w:t>
      </w:r>
      <w:r>
        <w:rPr>
          <w:w w:val="100"/>
        </w:rPr>
        <w:t> </w:t>
      </w:r>
      <w:r>
        <w:rPr/>
        <w:t>前利润同比减少所致。</w:t>
      </w:r>
    </w:p>
    <w:p>
      <w:pPr>
        <w:pStyle w:val="BodyText"/>
        <w:spacing w:line="240" w:lineRule="auto" w:before="61"/>
        <w:ind w:left="676" w:right="217"/>
        <w:jc w:val="left"/>
      </w:pPr>
      <w:r>
        <w:rPr>
          <w:rFonts w:ascii="Arial" w:hAnsi="Arial" w:cs="Arial" w:eastAsia="Arial" w:hint="default"/>
        </w:rPr>
        <w:t>4</w:t>
      </w:r>
      <w:r>
        <w:rPr/>
        <w:t>）主要财务指标分析</w:t>
      </w:r>
    </w:p>
    <w:p>
      <w:pPr>
        <w:spacing w:line="240" w:lineRule="auto" w:before="5"/>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368"/>
        <w:gridCol w:w="2160"/>
        <w:gridCol w:w="1771"/>
        <w:gridCol w:w="1771"/>
        <w:gridCol w:w="1771"/>
      </w:tblGrid>
      <w:tr>
        <w:trPr>
          <w:trHeight w:val="498" w:hRule="exact"/>
        </w:trPr>
        <w:tc>
          <w:tcPr>
            <w:tcW w:w="1368"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60"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771"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89"/>
              <w:ind w:left="489" w:right="0"/>
              <w:jc w:val="left"/>
              <w:rPr>
                <w:rFonts w:ascii="宋体" w:hAnsi="宋体" w:cs="宋体" w:eastAsia="宋体" w:hint="default"/>
                <w:sz w:val="18"/>
                <w:szCs w:val="18"/>
              </w:rPr>
            </w:pPr>
            <w:r>
              <w:rPr>
                <w:rFonts w:ascii="Arial" w:hAnsi="Arial" w:cs="Arial" w:eastAsia="Arial" w:hint="default"/>
                <w:sz w:val="18"/>
                <w:szCs w:val="18"/>
              </w:rPr>
              <w:t>2010</w:t>
            </w:r>
            <w:r>
              <w:rPr>
                <w:rFonts w:ascii="宋体" w:hAnsi="宋体" w:cs="宋体" w:eastAsia="宋体" w:hint="default"/>
                <w:sz w:val="18"/>
                <w:szCs w:val="18"/>
              </w:rPr>
              <w:t>年度</w:t>
            </w:r>
          </w:p>
        </w:tc>
        <w:tc>
          <w:tcPr>
            <w:tcW w:w="1771"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89"/>
              <w:ind w:left="489" w:right="0"/>
              <w:jc w:val="left"/>
              <w:rPr>
                <w:rFonts w:ascii="宋体" w:hAnsi="宋体" w:cs="宋体" w:eastAsia="宋体" w:hint="default"/>
                <w:sz w:val="18"/>
                <w:szCs w:val="18"/>
              </w:rPr>
            </w:pPr>
            <w:r>
              <w:rPr>
                <w:rFonts w:ascii="Arial" w:hAnsi="Arial" w:cs="Arial" w:eastAsia="Arial" w:hint="default"/>
                <w:sz w:val="18"/>
                <w:szCs w:val="18"/>
              </w:rPr>
              <w:t>2009</w:t>
            </w:r>
            <w:r>
              <w:rPr>
                <w:rFonts w:ascii="宋体" w:hAnsi="宋体" w:cs="宋体" w:eastAsia="宋体" w:hint="default"/>
                <w:sz w:val="18"/>
                <w:szCs w:val="18"/>
              </w:rPr>
              <w:t>年度</w:t>
            </w:r>
          </w:p>
        </w:tc>
        <w:tc>
          <w:tcPr>
            <w:tcW w:w="1771"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89"/>
              <w:ind w:left="331" w:right="0"/>
              <w:jc w:val="left"/>
              <w:rPr>
                <w:rFonts w:ascii="宋体" w:hAnsi="宋体" w:cs="宋体" w:eastAsia="宋体" w:hint="default"/>
                <w:sz w:val="18"/>
                <w:szCs w:val="18"/>
              </w:rPr>
            </w:pPr>
            <w:r>
              <w:rPr>
                <w:rFonts w:ascii="宋体" w:hAnsi="宋体" w:cs="宋体" w:eastAsia="宋体" w:hint="default"/>
                <w:sz w:val="18"/>
                <w:szCs w:val="18"/>
              </w:rPr>
              <w:t>年度增长变化</w:t>
            </w:r>
          </w:p>
        </w:tc>
      </w:tr>
      <w:tr>
        <w:trPr>
          <w:trHeight w:val="498" w:hRule="exact"/>
        </w:trPr>
        <w:tc>
          <w:tcPr>
            <w:tcW w:w="1368" w:type="dxa"/>
            <w:vMerge w:val="restart"/>
            <w:tcBorders>
              <w:top w:val="single" w:sz="12" w:space="0" w:color="000000"/>
              <w:left w:val="single" w:sz="12" w:space="0" w:color="000000"/>
              <w:right w:val="single" w:sz="12" w:space="0" w:color="000000"/>
            </w:tcBorders>
            <w:shd w:val="clear" w:color="auto" w:fill="C0C0C0"/>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盈利能力</w:t>
            </w:r>
          </w:p>
        </w:tc>
        <w:tc>
          <w:tcPr>
            <w:tcW w:w="2160"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88"/>
              <w:ind w:left="93" w:right="0"/>
              <w:jc w:val="left"/>
              <w:rPr>
                <w:rFonts w:ascii="宋体" w:hAnsi="宋体" w:cs="宋体" w:eastAsia="宋体" w:hint="default"/>
                <w:sz w:val="18"/>
                <w:szCs w:val="18"/>
              </w:rPr>
            </w:pPr>
            <w:r>
              <w:rPr>
                <w:rFonts w:ascii="宋体" w:hAnsi="宋体" w:cs="宋体" w:eastAsia="宋体" w:hint="default"/>
                <w:sz w:val="18"/>
                <w:szCs w:val="18"/>
              </w:rPr>
              <w:t>销售毛利率</w:t>
            </w:r>
          </w:p>
        </w:tc>
        <w:tc>
          <w:tcPr>
            <w:tcW w:w="17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8"/>
              <w:ind w:right="92"/>
              <w:jc w:val="right"/>
              <w:rPr>
                <w:rFonts w:ascii="Arial" w:hAnsi="Arial" w:cs="Arial" w:eastAsia="Arial" w:hint="default"/>
                <w:sz w:val="20"/>
                <w:szCs w:val="20"/>
              </w:rPr>
            </w:pPr>
            <w:r>
              <w:rPr>
                <w:rFonts w:ascii="Arial"/>
                <w:spacing w:val="-1"/>
                <w:sz w:val="20"/>
              </w:rPr>
              <w:t>37.52%</w:t>
            </w:r>
          </w:p>
        </w:tc>
        <w:tc>
          <w:tcPr>
            <w:tcW w:w="17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8"/>
              <w:ind w:right="92"/>
              <w:jc w:val="right"/>
              <w:rPr>
                <w:rFonts w:ascii="Arial" w:hAnsi="Arial" w:cs="Arial" w:eastAsia="Arial" w:hint="default"/>
                <w:sz w:val="20"/>
                <w:szCs w:val="20"/>
              </w:rPr>
            </w:pPr>
            <w:r>
              <w:rPr>
                <w:rFonts w:ascii="Arial"/>
                <w:spacing w:val="-1"/>
                <w:sz w:val="20"/>
              </w:rPr>
              <w:t>42.47%</w:t>
            </w:r>
          </w:p>
        </w:tc>
        <w:tc>
          <w:tcPr>
            <w:tcW w:w="17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8"/>
              <w:ind w:right="91"/>
              <w:jc w:val="right"/>
              <w:rPr>
                <w:rFonts w:ascii="Arial" w:hAnsi="Arial" w:cs="Arial" w:eastAsia="Arial" w:hint="default"/>
                <w:sz w:val="20"/>
                <w:szCs w:val="20"/>
              </w:rPr>
            </w:pPr>
            <w:r>
              <w:rPr>
                <w:rFonts w:ascii="Arial"/>
                <w:spacing w:val="-1"/>
                <w:w w:val="95"/>
                <w:sz w:val="20"/>
              </w:rPr>
              <w:t>-4.96</w:t>
            </w:r>
            <w:r>
              <w:rPr>
                <w:rFonts w:ascii="Arial"/>
                <w:spacing w:val="-1"/>
                <w:sz w:val="20"/>
              </w:rPr>
            </w:r>
          </w:p>
        </w:tc>
      </w:tr>
      <w:tr>
        <w:trPr>
          <w:trHeight w:val="498" w:hRule="exact"/>
        </w:trPr>
        <w:tc>
          <w:tcPr>
            <w:tcW w:w="1368" w:type="dxa"/>
            <w:vMerge/>
            <w:tcBorders>
              <w:left w:val="single" w:sz="12" w:space="0" w:color="000000"/>
              <w:bottom w:val="single" w:sz="12" w:space="0" w:color="000000"/>
              <w:right w:val="single" w:sz="12" w:space="0" w:color="000000"/>
            </w:tcBorders>
            <w:shd w:val="clear" w:color="auto" w:fill="C0C0C0"/>
          </w:tcPr>
          <w:p>
            <w:pPr/>
          </w:p>
        </w:tc>
        <w:tc>
          <w:tcPr>
            <w:tcW w:w="2160"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89"/>
              <w:ind w:left="9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7"/>
              <w:ind w:right="92"/>
              <w:jc w:val="right"/>
              <w:rPr>
                <w:rFonts w:ascii="Arial" w:hAnsi="Arial" w:cs="Arial" w:eastAsia="Arial" w:hint="default"/>
                <w:sz w:val="20"/>
                <w:szCs w:val="20"/>
              </w:rPr>
            </w:pPr>
            <w:r>
              <w:rPr>
                <w:rFonts w:ascii="Arial"/>
                <w:spacing w:val="-1"/>
                <w:w w:val="95"/>
                <w:sz w:val="20"/>
              </w:rPr>
              <w:t>5.04%</w:t>
            </w:r>
            <w:r>
              <w:rPr>
                <w:rFonts w:ascii="Arial"/>
                <w:spacing w:val="-1"/>
                <w:sz w:val="20"/>
              </w:rPr>
            </w:r>
          </w:p>
        </w:tc>
        <w:tc>
          <w:tcPr>
            <w:tcW w:w="17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7"/>
              <w:ind w:right="92"/>
              <w:jc w:val="right"/>
              <w:rPr>
                <w:rFonts w:ascii="Arial" w:hAnsi="Arial" w:cs="Arial" w:eastAsia="Arial" w:hint="default"/>
                <w:sz w:val="20"/>
                <w:szCs w:val="20"/>
              </w:rPr>
            </w:pPr>
            <w:r>
              <w:rPr>
                <w:rFonts w:ascii="Arial"/>
                <w:spacing w:val="-1"/>
                <w:sz w:val="20"/>
              </w:rPr>
              <w:t>31.39%</w:t>
            </w:r>
          </w:p>
        </w:tc>
        <w:tc>
          <w:tcPr>
            <w:tcW w:w="17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0"/>
              <w:ind w:right="92"/>
              <w:jc w:val="right"/>
              <w:rPr>
                <w:rFonts w:ascii="Arial" w:hAnsi="Arial" w:cs="Arial" w:eastAsia="Arial" w:hint="default"/>
                <w:sz w:val="20"/>
                <w:szCs w:val="20"/>
              </w:rPr>
            </w:pPr>
            <w:r>
              <w:rPr>
                <w:rFonts w:ascii="Arial"/>
                <w:spacing w:val="-1"/>
                <w:w w:val="95"/>
                <w:sz w:val="20"/>
              </w:rPr>
              <w:t>-26.35%</w:t>
            </w:r>
            <w:r>
              <w:rPr>
                <w:rFonts w:ascii="Arial"/>
                <w:spacing w:val="-1"/>
                <w:sz w:val="20"/>
              </w:rPr>
            </w:r>
          </w:p>
        </w:tc>
      </w:tr>
      <w:tr>
        <w:trPr>
          <w:trHeight w:val="498" w:hRule="exact"/>
        </w:trPr>
        <w:tc>
          <w:tcPr>
            <w:tcW w:w="1368" w:type="dxa"/>
            <w:vMerge w:val="restart"/>
            <w:tcBorders>
              <w:top w:val="single" w:sz="12" w:space="0" w:color="000000"/>
              <w:left w:val="single" w:sz="12" w:space="0" w:color="000000"/>
              <w:right w:val="single" w:sz="12"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偿债能力</w:t>
            </w:r>
          </w:p>
        </w:tc>
        <w:tc>
          <w:tcPr>
            <w:tcW w:w="2160"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89"/>
              <w:ind w:left="93"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17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9"/>
              <w:ind w:right="91"/>
              <w:jc w:val="right"/>
              <w:rPr>
                <w:rFonts w:ascii="Arial" w:hAnsi="Arial" w:cs="Arial" w:eastAsia="Arial" w:hint="default"/>
                <w:sz w:val="20"/>
                <w:szCs w:val="20"/>
              </w:rPr>
            </w:pPr>
            <w:r>
              <w:rPr>
                <w:rFonts w:ascii="Arial"/>
                <w:spacing w:val="-1"/>
                <w:sz w:val="20"/>
              </w:rPr>
              <w:t>30.73</w:t>
            </w:r>
          </w:p>
        </w:tc>
        <w:tc>
          <w:tcPr>
            <w:tcW w:w="17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9"/>
              <w:ind w:right="91"/>
              <w:jc w:val="right"/>
              <w:rPr>
                <w:rFonts w:ascii="Arial" w:hAnsi="Arial" w:cs="Arial" w:eastAsia="Arial" w:hint="default"/>
                <w:sz w:val="20"/>
                <w:szCs w:val="20"/>
              </w:rPr>
            </w:pPr>
            <w:r>
              <w:rPr>
                <w:rFonts w:ascii="Arial"/>
                <w:spacing w:val="-1"/>
                <w:w w:val="95"/>
                <w:sz w:val="20"/>
              </w:rPr>
              <w:t>2.21</w:t>
            </w:r>
            <w:r>
              <w:rPr>
                <w:rFonts w:ascii="Arial"/>
                <w:spacing w:val="-1"/>
                <w:sz w:val="20"/>
              </w:rPr>
            </w:r>
          </w:p>
        </w:tc>
        <w:tc>
          <w:tcPr>
            <w:tcW w:w="17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9"/>
              <w:ind w:right="91"/>
              <w:jc w:val="right"/>
              <w:rPr>
                <w:rFonts w:ascii="Arial" w:hAnsi="Arial" w:cs="Arial" w:eastAsia="Arial" w:hint="default"/>
                <w:sz w:val="20"/>
                <w:szCs w:val="20"/>
              </w:rPr>
            </w:pPr>
            <w:r>
              <w:rPr>
                <w:rFonts w:ascii="Arial"/>
                <w:spacing w:val="-1"/>
                <w:sz w:val="20"/>
              </w:rPr>
              <w:t>28.52</w:t>
            </w:r>
          </w:p>
        </w:tc>
      </w:tr>
      <w:tr>
        <w:trPr>
          <w:trHeight w:val="497" w:hRule="exact"/>
        </w:trPr>
        <w:tc>
          <w:tcPr>
            <w:tcW w:w="1368" w:type="dxa"/>
            <w:vMerge/>
            <w:tcBorders>
              <w:left w:val="single" w:sz="12" w:space="0" w:color="000000"/>
              <w:right w:val="single" w:sz="12" w:space="0" w:color="000000"/>
            </w:tcBorders>
            <w:shd w:val="clear" w:color="auto" w:fill="C0C0C0"/>
          </w:tcPr>
          <w:p>
            <w:pPr/>
          </w:p>
        </w:tc>
        <w:tc>
          <w:tcPr>
            <w:tcW w:w="2160"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89"/>
              <w:ind w:left="93"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17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0"/>
              <w:ind w:right="91"/>
              <w:jc w:val="right"/>
              <w:rPr>
                <w:rFonts w:ascii="Arial" w:hAnsi="Arial" w:cs="Arial" w:eastAsia="Arial" w:hint="default"/>
                <w:sz w:val="20"/>
                <w:szCs w:val="20"/>
              </w:rPr>
            </w:pPr>
            <w:r>
              <w:rPr>
                <w:rFonts w:ascii="Arial"/>
                <w:spacing w:val="-1"/>
                <w:sz w:val="20"/>
              </w:rPr>
              <w:t>26.99</w:t>
            </w:r>
          </w:p>
        </w:tc>
        <w:tc>
          <w:tcPr>
            <w:tcW w:w="17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0"/>
              <w:ind w:right="91"/>
              <w:jc w:val="right"/>
              <w:rPr>
                <w:rFonts w:ascii="Arial" w:hAnsi="Arial" w:cs="Arial" w:eastAsia="Arial" w:hint="default"/>
                <w:sz w:val="20"/>
                <w:szCs w:val="20"/>
              </w:rPr>
            </w:pPr>
            <w:r>
              <w:rPr>
                <w:rFonts w:ascii="Arial"/>
                <w:spacing w:val="-1"/>
                <w:w w:val="95"/>
                <w:sz w:val="20"/>
              </w:rPr>
              <w:t>1.75</w:t>
            </w:r>
            <w:r>
              <w:rPr>
                <w:rFonts w:ascii="Arial"/>
                <w:spacing w:val="-1"/>
                <w:sz w:val="20"/>
              </w:rPr>
            </w:r>
          </w:p>
        </w:tc>
        <w:tc>
          <w:tcPr>
            <w:tcW w:w="17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0"/>
              <w:ind w:right="91"/>
              <w:jc w:val="right"/>
              <w:rPr>
                <w:rFonts w:ascii="Arial" w:hAnsi="Arial" w:cs="Arial" w:eastAsia="Arial" w:hint="default"/>
                <w:sz w:val="20"/>
                <w:szCs w:val="20"/>
              </w:rPr>
            </w:pPr>
            <w:r>
              <w:rPr>
                <w:rFonts w:ascii="Arial"/>
                <w:spacing w:val="-1"/>
                <w:sz w:val="20"/>
              </w:rPr>
              <w:t>25.24</w:t>
            </w:r>
          </w:p>
        </w:tc>
      </w:tr>
      <w:tr>
        <w:trPr>
          <w:trHeight w:val="500" w:hRule="exact"/>
        </w:trPr>
        <w:tc>
          <w:tcPr>
            <w:tcW w:w="1368" w:type="dxa"/>
            <w:vMerge/>
            <w:tcBorders>
              <w:left w:val="single" w:sz="12" w:space="0" w:color="000000"/>
              <w:bottom w:val="single" w:sz="12" w:space="0" w:color="000000"/>
              <w:right w:val="single" w:sz="12" w:space="0" w:color="000000"/>
            </w:tcBorders>
            <w:shd w:val="clear" w:color="auto" w:fill="C0C0C0"/>
          </w:tcPr>
          <w:p>
            <w:pPr/>
          </w:p>
        </w:tc>
        <w:tc>
          <w:tcPr>
            <w:tcW w:w="2160"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89"/>
              <w:ind w:left="93"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7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7"/>
              <w:ind w:right="92"/>
              <w:jc w:val="right"/>
              <w:rPr>
                <w:rFonts w:ascii="Arial" w:hAnsi="Arial" w:cs="Arial" w:eastAsia="Arial" w:hint="default"/>
                <w:sz w:val="20"/>
                <w:szCs w:val="20"/>
              </w:rPr>
            </w:pPr>
            <w:r>
              <w:rPr>
                <w:rFonts w:ascii="Arial"/>
                <w:spacing w:val="-1"/>
                <w:w w:val="95"/>
                <w:sz w:val="20"/>
              </w:rPr>
              <w:t>2.60%</w:t>
            </w:r>
            <w:r>
              <w:rPr>
                <w:rFonts w:ascii="Arial"/>
                <w:spacing w:val="-1"/>
                <w:sz w:val="20"/>
              </w:rPr>
            </w:r>
          </w:p>
        </w:tc>
        <w:tc>
          <w:tcPr>
            <w:tcW w:w="17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7"/>
              <w:ind w:right="92"/>
              <w:jc w:val="right"/>
              <w:rPr>
                <w:rFonts w:ascii="Arial" w:hAnsi="Arial" w:cs="Arial" w:eastAsia="Arial" w:hint="default"/>
                <w:sz w:val="20"/>
                <w:szCs w:val="20"/>
              </w:rPr>
            </w:pPr>
            <w:r>
              <w:rPr>
                <w:rFonts w:ascii="Arial"/>
                <w:spacing w:val="-1"/>
                <w:sz w:val="20"/>
              </w:rPr>
              <w:t>26.17%</w:t>
            </w:r>
          </w:p>
        </w:tc>
        <w:tc>
          <w:tcPr>
            <w:tcW w:w="17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7"/>
              <w:ind w:right="92"/>
              <w:jc w:val="right"/>
              <w:rPr>
                <w:rFonts w:ascii="Arial" w:hAnsi="Arial" w:cs="Arial" w:eastAsia="Arial" w:hint="default"/>
                <w:sz w:val="20"/>
                <w:szCs w:val="20"/>
              </w:rPr>
            </w:pPr>
            <w:r>
              <w:rPr>
                <w:rFonts w:ascii="Arial"/>
                <w:spacing w:val="-1"/>
                <w:w w:val="95"/>
                <w:sz w:val="20"/>
              </w:rPr>
              <w:t>-23.57%</w:t>
            </w:r>
            <w:r>
              <w:rPr>
                <w:rFonts w:ascii="Arial"/>
                <w:spacing w:val="-1"/>
                <w:sz w:val="20"/>
              </w:rPr>
            </w:r>
          </w:p>
        </w:tc>
      </w:tr>
      <w:tr>
        <w:trPr>
          <w:trHeight w:val="496" w:hRule="exact"/>
        </w:trPr>
        <w:tc>
          <w:tcPr>
            <w:tcW w:w="1368" w:type="dxa"/>
            <w:vMerge w:val="restart"/>
            <w:tcBorders>
              <w:top w:val="single" w:sz="12" w:space="0" w:color="000000"/>
              <w:left w:val="single" w:sz="12" w:space="0" w:color="000000"/>
              <w:right w:val="single" w:sz="12" w:space="0" w:color="000000"/>
            </w:tcBorders>
            <w:shd w:val="clear" w:color="auto" w:fill="C0C0C0"/>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营运能力</w:t>
            </w:r>
          </w:p>
        </w:tc>
        <w:tc>
          <w:tcPr>
            <w:tcW w:w="2160"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88"/>
              <w:ind w:left="93" w:right="0"/>
              <w:jc w:val="left"/>
              <w:rPr>
                <w:rFonts w:ascii="宋体" w:hAnsi="宋体" w:cs="宋体" w:eastAsia="宋体" w:hint="default"/>
                <w:sz w:val="18"/>
                <w:szCs w:val="18"/>
              </w:rPr>
            </w:pPr>
            <w:r>
              <w:rPr>
                <w:rFonts w:ascii="宋体" w:hAnsi="宋体" w:cs="宋体" w:eastAsia="宋体" w:hint="default"/>
                <w:sz w:val="18"/>
                <w:szCs w:val="18"/>
              </w:rPr>
              <w:t>应收账款周转率</w:t>
            </w:r>
          </w:p>
        </w:tc>
        <w:tc>
          <w:tcPr>
            <w:tcW w:w="17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9"/>
              <w:ind w:right="91"/>
              <w:jc w:val="right"/>
              <w:rPr>
                <w:rFonts w:ascii="Arial" w:hAnsi="Arial" w:cs="Arial" w:eastAsia="Arial" w:hint="default"/>
                <w:sz w:val="20"/>
                <w:szCs w:val="20"/>
              </w:rPr>
            </w:pPr>
            <w:r>
              <w:rPr>
                <w:rFonts w:ascii="Arial"/>
                <w:spacing w:val="-1"/>
                <w:w w:val="95"/>
                <w:sz w:val="20"/>
              </w:rPr>
              <w:t>4.84</w:t>
            </w:r>
            <w:r>
              <w:rPr>
                <w:rFonts w:ascii="Arial"/>
                <w:spacing w:val="-1"/>
                <w:sz w:val="20"/>
              </w:rPr>
            </w:r>
          </w:p>
        </w:tc>
        <w:tc>
          <w:tcPr>
            <w:tcW w:w="17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9"/>
              <w:ind w:right="91"/>
              <w:jc w:val="right"/>
              <w:rPr>
                <w:rFonts w:ascii="Arial" w:hAnsi="Arial" w:cs="Arial" w:eastAsia="Arial" w:hint="default"/>
                <w:sz w:val="20"/>
                <w:szCs w:val="20"/>
              </w:rPr>
            </w:pPr>
            <w:r>
              <w:rPr>
                <w:rFonts w:ascii="Arial"/>
                <w:spacing w:val="-1"/>
                <w:w w:val="95"/>
                <w:sz w:val="20"/>
              </w:rPr>
              <w:t>5.82</w:t>
            </w:r>
            <w:r>
              <w:rPr>
                <w:rFonts w:ascii="Arial"/>
                <w:spacing w:val="-1"/>
                <w:sz w:val="20"/>
              </w:rPr>
            </w:r>
          </w:p>
        </w:tc>
        <w:tc>
          <w:tcPr>
            <w:tcW w:w="17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9"/>
              <w:ind w:right="91"/>
              <w:jc w:val="right"/>
              <w:rPr>
                <w:rFonts w:ascii="Arial" w:hAnsi="Arial" w:cs="Arial" w:eastAsia="Arial" w:hint="default"/>
                <w:sz w:val="20"/>
                <w:szCs w:val="20"/>
              </w:rPr>
            </w:pPr>
            <w:r>
              <w:rPr>
                <w:rFonts w:ascii="Arial"/>
                <w:spacing w:val="-1"/>
                <w:w w:val="95"/>
                <w:sz w:val="20"/>
              </w:rPr>
              <w:t>-0.98</w:t>
            </w:r>
            <w:r>
              <w:rPr>
                <w:rFonts w:ascii="Arial"/>
                <w:spacing w:val="-1"/>
                <w:sz w:val="20"/>
              </w:rPr>
            </w:r>
          </w:p>
        </w:tc>
      </w:tr>
      <w:tr>
        <w:trPr>
          <w:trHeight w:val="497" w:hRule="exact"/>
        </w:trPr>
        <w:tc>
          <w:tcPr>
            <w:tcW w:w="1368" w:type="dxa"/>
            <w:vMerge/>
            <w:tcBorders>
              <w:left w:val="single" w:sz="12" w:space="0" w:color="000000"/>
              <w:bottom w:val="single" w:sz="12" w:space="0" w:color="000000"/>
              <w:right w:val="single" w:sz="12" w:space="0" w:color="000000"/>
            </w:tcBorders>
            <w:shd w:val="clear" w:color="auto" w:fill="C0C0C0"/>
          </w:tcPr>
          <w:p>
            <w:pPr/>
          </w:p>
        </w:tc>
        <w:tc>
          <w:tcPr>
            <w:tcW w:w="2160"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89"/>
              <w:ind w:left="93" w:right="0"/>
              <w:jc w:val="left"/>
              <w:rPr>
                <w:rFonts w:ascii="宋体" w:hAnsi="宋体" w:cs="宋体" w:eastAsia="宋体" w:hint="default"/>
                <w:sz w:val="18"/>
                <w:szCs w:val="18"/>
              </w:rPr>
            </w:pPr>
            <w:r>
              <w:rPr>
                <w:rFonts w:ascii="宋体" w:hAnsi="宋体" w:cs="宋体" w:eastAsia="宋体" w:hint="default"/>
                <w:sz w:val="18"/>
                <w:szCs w:val="18"/>
              </w:rPr>
              <w:t>存货周转率</w:t>
            </w:r>
          </w:p>
        </w:tc>
        <w:tc>
          <w:tcPr>
            <w:tcW w:w="17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0"/>
              <w:ind w:right="91"/>
              <w:jc w:val="right"/>
              <w:rPr>
                <w:rFonts w:ascii="Arial" w:hAnsi="Arial" w:cs="Arial" w:eastAsia="Arial" w:hint="default"/>
                <w:sz w:val="20"/>
                <w:szCs w:val="20"/>
              </w:rPr>
            </w:pPr>
            <w:r>
              <w:rPr>
                <w:rFonts w:ascii="Arial"/>
                <w:spacing w:val="-1"/>
                <w:w w:val="95"/>
                <w:sz w:val="20"/>
              </w:rPr>
              <w:t>2.31</w:t>
            </w:r>
            <w:r>
              <w:rPr>
                <w:rFonts w:ascii="Arial"/>
                <w:spacing w:val="-1"/>
                <w:sz w:val="20"/>
              </w:rPr>
            </w:r>
          </w:p>
        </w:tc>
        <w:tc>
          <w:tcPr>
            <w:tcW w:w="17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0"/>
              <w:ind w:right="91"/>
              <w:jc w:val="right"/>
              <w:rPr>
                <w:rFonts w:ascii="Arial" w:hAnsi="Arial" w:cs="Arial" w:eastAsia="Arial" w:hint="default"/>
                <w:sz w:val="20"/>
                <w:szCs w:val="20"/>
              </w:rPr>
            </w:pPr>
            <w:r>
              <w:rPr>
                <w:rFonts w:ascii="Arial"/>
                <w:spacing w:val="-1"/>
                <w:w w:val="95"/>
                <w:sz w:val="20"/>
              </w:rPr>
              <w:t>3.93</w:t>
            </w:r>
            <w:r>
              <w:rPr>
                <w:rFonts w:ascii="Arial"/>
                <w:spacing w:val="-1"/>
                <w:sz w:val="20"/>
              </w:rPr>
            </w:r>
          </w:p>
        </w:tc>
        <w:tc>
          <w:tcPr>
            <w:tcW w:w="17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0"/>
              <w:ind w:right="91"/>
              <w:jc w:val="right"/>
              <w:rPr>
                <w:rFonts w:ascii="Arial" w:hAnsi="Arial" w:cs="Arial" w:eastAsia="Arial" w:hint="default"/>
                <w:sz w:val="20"/>
                <w:szCs w:val="20"/>
              </w:rPr>
            </w:pPr>
            <w:r>
              <w:rPr>
                <w:rFonts w:ascii="Arial"/>
                <w:spacing w:val="-1"/>
                <w:w w:val="95"/>
                <w:sz w:val="20"/>
              </w:rPr>
              <w:t>-1.62</w:t>
            </w:r>
            <w:r>
              <w:rPr>
                <w:rFonts w:ascii="Arial"/>
                <w:spacing w:val="-1"/>
                <w:sz w:val="20"/>
              </w:rPr>
            </w:r>
          </w:p>
        </w:tc>
      </w:tr>
    </w:tbl>
    <w:p>
      <w:pPr>
        <w:pStyle w:val="BodyText"/>
        <w:spacing w:line="240" w:lineRule="auto" w:before="57"/>
        <w:ind w:left="676" w:right="217"/>
        <w:jc w:val="left"/>
      </w:pPr>
      <w:r>
        <w:rPr/>
        <w:t>（</w:t>
      </w:r>
      <w:r>
        <w:rPr>
          <w:rFonts w:ascii="Arial" w:hAnsi="Arial" w:cs="Arial" w:eastAsia="Arial" w:hint="default"/>
        </w:rPr>
        <w:t>1</w:t>
      </w:r>
      <w:r>
        <w:rPr/>
        <w:t>）盈利能力分析：</w:t>
      </w:r>
    </w:p>
    <w:p>
      <w:pPr>
        <w:pStyle w:val="BodyText"/>
        <w:spacing w:line="369" w:lineRule="auto" w:before="164"/>
        <w:ind w:left="676" w:right="217"/>
        <w:jc w:val="left"/>
      </w:pPr>
      <w:r>
        <w:rPr/>
        <w:t>销售毛利率</w:t>
      </w:r>
      <w:r>
        <w:rPr>
          <w:spacing w:val="-56"/>
        </w:rPr>
        <w:t> </w:t>
      </w:r>
      <w:r>
        <w:rPr>
          <w:rFonts w:ascii="Arial" w:hAnsi="Arial" w:cs="Arial" w:eastAsia="Arial" w:hint="default"/>
        </w:rPr>
        <w:t>2010</w:t>
      </w:r>
      <w:r>
        <w:rPr>
          <w:rFonts w:ascii="Arial" w:hAnsi="Arial" w:cs="Arial" w:eastAsia="Arial" w:hint="default"/>
          <w:spacing w:val="-8"/>
        </w:rPr>
        <w:t> </w:t>
      </w:r>
      <w:r>
        <w:rPr/>
        <w:t>年度比上年下降</w:t>
      </w:r>
      <w:r>
        <w:rPr>
          <w:spacing w:val="-56"/>
        </w:rPr>
        <w:t> </w:t>
      </w:r>
      <w:r>
        <w:rPr>
          <w:rFonts w:ascii="Arial" w:hAnsi="Arial" w:cs="Arial" w:eastAsia="Arial" w:hint="default"/>
        </w:rPr>
        <w:t>4.96</w:t>
      </w:r>
      <w:r>
        <w:rPr>
          <w:rFonts w:ascii="Arial" w:hAnsi="Arial" w:cs="Arial" w:eastAsia="Arial" w:hint="default"/>
          <w:spacing w:val="-8"/>
        </w:rPr>
        <w:t> </w:t>
      </w:r>
      <w:r>
        <w:rPr/>
        <w:t>个百分点，主要是：</w:t>
      </w:r>
      <w:r>
        <w:rPr>
          <w:w w:val="100"/>
        </w:rPr>
        <w:t> </w:t>
      </w:r>
      <w:r>
        <w:rPr>
          <w:spacing w:val="-3"/>
        </w:rPr>
        <w:t>东营年产</w:t>
      </w:r>
      <w:r>
        <w:rPr>
          <w:rFonts w:ascii="Arial" w:hAnsi="Arial" w:cs="Arial" w:eastAsia="Arial" w:hint="default"/>
          <w:spacing w:val="-3"/>
        </w:rPr>
        <w:t>5,500</w:t>
      </w:r>
      <w:r>
        <w:rPr>
          <w:spacing w:val="-3"/>
        </w:rPr>
        <w:t>吨染料滤饼项目，</w:t>
      </w:r>
      <w:r>
        <w:rPr>
          <w:rFonts w:ascii="Arial" w:hAnsi="Arial" w:cs="Arial" w:eastAsia="Arial" w:hint="default"/>
          <w:spacing w:val="-3"/>
        </w:rPr>
        <w:t>2010</w:t>
      </w:r>
      <w:r>
        <w:rPr>
          <w:spacing w:val="-3"/>
        </w:rPr>
        <w:t>年投入试生产</w:t>
      </w:r>
      <w:r>
        <w:rPr>
          <w:rFonts w:ascii="Arial" w:hAnsi="Arial" w:cs="Arial" w:eastAsia="Arial" w:hint="default"/>
          <w:spacing w:val="-3"/>
        </w:rPr>
        <w:t>,</w:t>
      </w:r>
      <w:r>
        <w:rPr>
          <w:spacing w:val="-3"/>
        </w:rPr>
        <w:t>生产入库滤饼</w:t>
      </w:r>
      <w:r>
        <w:rPr>
          <w:rFonts w:ascii="Arial" w:hAnsi="Arial" w:cs="Arial" w:eastAsia="Arial" w:hint="default"/>
          <w:spacing w:val="-3"/>
        </w:rPr>
        <w:t>1,414</w:t>
      </w:r>
      <w:r>
        <w:rPr>
          <w:spacing w:val="-3"/>
        </w:rPr>
        <w:t>吨，仅占项目</w:t>
      </w:r>
    </w:p>
    <w:p>
      <w:pPr>
        <w:pStyle w:val="BodyText"/>
        <w:spacing w:line="369" w:lineRule="auto" w:before="31"/>
        <w:ind w:left="568" w:right="217" w:hanging="332"/>
        <w:jc w:val="left"/>
      </w:pPr>
      <w:r>
        <w:rPr/>
        <w:t>产能</w:t>
      </w:r>
      <w:r>
        <w:rPr>
          <w:rFonts w:ascii="Arial" w:hAnsi="Arial" w:cs="Arial" w:eastAsia="Arial" w:hint="default"/>
        </w:rPr>
        <w:t>26%</w:t>
      </w:r>
      <w:r>
        <w:rPr/>
        <w:t>，固定生产成本摊薄较高，其产品成本优势尚未体现；</w:t>
      </w:r>
      <w:r>
        <w:rPr>
          <w:w w:val="100"/>
        </w:rPr>
        <w:t> </w:t>
      </w:r>
      <w:r>
        <w:rPr>
          <w:spacing w:val="-4"/>
        </w:rPr>
        <w:t>公司积极拓展市场，为募投项目投产产品做好前期销售渠道建设，</w:t>
      </w:r>
      <w:r>
        <w:rPr>
          <w:rFonts w:ascii="Arial" w:hAnsi="Arial" w:cs="Arial" w:eastAsia="Arial" w:hint="default"/>
          <w:spacing w:val="-4"/>
        </w:rPr>
        <w:t>2010</w:t>
      </w:r>
      <w:r>
        <w:rPr>
          <w:spacing w:val="-4"/>
        </w:rPr>
        <w:t>年增加了出口及</w:t>
      </w:r>
    </w:p>
    <w:p>
      <w:pPr>
        <w:spacing w:after="0" w:line="369" w:lineRule="auto"/>
        <w:jc w:val="left"/>
        <w:sectPr>
          <w:pgSz w:w="11900" w:h="16840"/>
          <w:pgMar w:header="877" w:footer="981" w:top="1100" w:bottom="1180" w:left="1560" w:right="1240"/>
        </w:sectPr>
      </w:pPr>
    </w:p>
    <w:p>
      <w:pPr>
        <w:spacing w:line="240" w:lineRule="auto" w:before="4"/>
        <w:rPr>
          <w:rFonts w:ascii="宋体" w:hAnsi="宋体" w:cs="宋体" w:eastAsia="宋体" w:hint="default"/>
          <w:sz w:val="26"/>
          <w:szCs w:val="26"/>
        </w:rPr>
      </w:pPr>
    </w:p>
    <w:p>
      <w:pPr>
        <w:pStyle w:val="BodyText"/>
        <w:spacing w:line="369" w:lineRule="auto"/>
        <w:ind w:left="628" w:right="0" w:hanging="332"/>
        <w:jc w:val="left"/>
      </w:pPr>
      <w:r>
        <w:rPr/>
        <w:t>经销商渠道的销售，销量同比增加</w:t>
      </w:r>
      <w:r>
        <w:rPr>
          <w:rFonts w:ascii="Arial" w:hAnsi="Arial" w:cs="Arial" w:eastAsia="Arial" w:hint="default"/>
        </w:rPr>
        <w:t>880</w:t>
      </w:r>
      <w:r>
        <w:rPr/>
        <w:t>吨</w:t>
      </w:r>
      <w:r>
        <w:rPr>
          <w:rFonts w:ascii="Arial" w:hAnsi="Arial" w:cs="Arial" w:eastAsia="Arial" w:hint="default"/>
        </w:rPr>
        <w:t>,</w:t>
      </w:r>
      <w:r>
        <w:rPr/>
        <w:t>增幅</w:t>
      </w:r>
      <w:r>
        <w:rPr>
          <w:rFonts w:ascii="Arial" w:hAnsi="Arial" w:cs="Arial" w:eastAsia="Arial" w:hint="default"/>
        </w:rPr>
        <w:t>385%</w:t>
      </w:r>
      <w:r>
        <w:rPr/>
        <w:t>，其渠道销售毛利率较低；</w:t>
      </w:r>
      <w:r>
        <w:rPr>
          <w:w w:val="100"/>
        </w:rPr>
        <w:t> </w:t>
      </w:r>
      <w:r>
        <w:rPr>
          <w:spacing w:val="-4"/>
        </w:rPr>
        <w:t>受总体宏观经济影响，</w:t>
      </w:r>
      <w:r>
        <w:rPr>
          <w:rFonts w:ascii="Arial" w:hAnsi="Arial" w:cs="Arial" w:eastAsia="Arial" w:hint="default"/>
          <w:spacing w:val="-4"/>
        </w:rPr>
        <w:t>2010</w:t>
      </w:r>
      <w:r>
        <w:rPr>
          <w:spacing w:val="-4"/>
        </w:rPr>
        <w:t>年外购原材料价格持续上涨，其成品染料价格调整滞后，影</w:t>
      </w:r>
    </w:p>
    <w:p>
      <w:pPr>
        <w:pStyle w:val="BodyText"/>
        <w:spacing w:line="391" w:lineRule="auto" w:before="31"/>
        <w:ind w:left="736" w:right="0" w:hanging="440"/>
        <w:jc w:val="left"/>
      </w:pPr>
      <w:r>
        <w:rPr/>
        <w:t>响产品销售利润空间；</w:t>
      </w:r>
      <w:r>
        <w:rPr>
          <w:w w:val="100"/>
        </w:rPr>
        <w:t> </w:t>
      </w:r>
      <w:r>
        <w:rPr>
          <w:spacing w:val="-1"/>
        </w:rPr>
        <w:t>受市场竞争激烈因素影响，下半年起活性及酸性染料销售单价有所下降。</w:t>
      </w:r>
      <w:r>
        <w:rPr>
          <w:w w:val="100"/>
        </w:rPr>
        <w:t> </w:t>
      </w:r>
      <w:r>
        <w:rPr/>
        <w:t>加权平均净资产收益率</w:t>
      </w:r>
      <w:r>
        <w:rPr>
          <w:spacing w:val="-56"/>
        </w:rPr>
        <w:t> </w:t>
      </w:r>
      <w:r>
        <w:rPr>
          <w:rFonts w:ascii="Arial" w:hAnsi="Arial" w:cs="Arial" w:eastAsia="Arial" w:hint="default"/>
        </w:rPr>
        <w:t>2010</w:t>
      </w:r>
      <w:r>
        <w:rPr>
          <w:rFonts w:ascii="Arial" w:hAnsi="Arial" w:cs="Arial" w:eastAsia="Arial" w:hint="default"/>
          <w:spacing w:val="-8"/>
        </w:rPr>
        <w:t> </w:t>
      </w:r>
      <w:r>
        <w:rPr/>
        <w:t>年度比上年下降</w:t>
      </w:r>
      <w:r>
        <w:rPr>
          <w:spacing w:val="-59"/>
        </w:rPr>
        <w:t> </w:t>
      </w:r>
      <w:r>
        <w:rPr>
          <w:rFonts w:ascii="Arial" w:hAnsi="Arial" w:cs="Arial" w:eastAsia="Arial" w:hint="default"/>
        </w:rPr>
        <w:t>26.35</w:t>
      </w:r>
      <w:r>
        <w:rPr>
          <w:rFonts w:ascii="Arial" w:hAnsi="Arial" w:cs="Arial" w:eastAsia="Arial" w:hint="default"/>
          <w:spacing w:val="-8"/>
        </w:rPr>
        <w:t> </w:t>
      </w:r>
      <w:r>
        <w:rPr/>
        <w:t>个百分点，主要是：</w:t>
      </w:r>
    </w:p>
    <w:p>
      <w:pPr>
        <w:pStyle w:val="BodyText"/>
        <w:spacing w:line="369" w:lineRule="auto" w:before="9"/>
        <w:ind w:left="297" w:right="300" w:firstLine="439"/>
        <w:jc w:val="both"/>
      </w:pPr>
      <w:r>
        <w:rPr>
          <w:rFonts w:ascii="Arial" w:hAnsi="Arial" w:cs="Arial" w:eastAsia="Arial" w:hint="default"/>
        </w:rPr>
        <w:t>2010 </w:t>
      </w:r>
      <w:r>
        <w:rPr/>
        <w:t>年首发新股，加权平均净资产比上年同期增加 </w:t>
      </w:r>
      <w:r>
        <w:rPr>
          <w:rFonts w:ascii="Arial" w:hAnsi="Arial" w:cs="Arial" w:eastAsia="Arial" w:hint="default"/>
        </w:rPr>
        <w:t>264.83</w:t>
      </w:r>
      <w:r>
        <w:rPr>
          <w:rFonts w:ascii="Arial" w:hAnsi="Arial" w:cs="Arial" w:eastAsia="Arial" w:hint="default"/>
          <w:spacing w:val="-6"/>
        </w:rPr>
        <w:t> </w:t>
      </w:r>
      <w:r>
        <w:rPr>
          <w:rFonts w:ascii="Arial" w:hAnsi="Arial" w:cs="Arial" w:eastAsia="Arial" w:hint="default"/>
        </w:rPr>
        <w:t>%</w:t>
      </w:r>
      <w:r>
        <w:rPr/>
        <w:t>，募集资金项目尚在建</w:t>
      </w:r>
      <w:r>
        <w:rPr>
          <w:w w:val="100"/>
        </w:rPr>
        <w:t> </w:t>
      </w:r>
      <w:r>
        <w:rPr/>
        <w:t>设期，效益尚未体现，</w:t>
      </w:r>
      <w:r>
        <w:rPr>
          <w:rFonts w:ascii="Arial" w:hAnsi="Arial" w:cs="Arial" w:eastAsia="Arial" w:hint="default"/>
        </w:rPr>
        <w:t>2010 </w:t>
      </w:r>
      <w:r>
        <w:rPr/>
        <w:t>年归属上市公司股东的净利润同比减少</w:t>
      </w:r>
      <w:r>
        <w:rPr>
          <w:spacing w:val="-71"/>
        </w:rPr>
        <w:t> </w:t>
      </w:r>
      <w:r>
        <w:rPr>
          <w:rFonts w:ascii="Arial" w:hAnsi="Arial" w:cs="Arial" w:eastAsia="Arial" w:hint="default"/>
        </w:rPr>
        <w:t>41.48%</w:t>
      </w:r>
      <w:r>
        <w:rPr/>
        <w:t>。</w:t>
      </w:r>
    </w:p>
    <w:p>
      <w:pPr>
        <w:pStyle w:val="BodyText"/>
        <w:spacing w:line="240" w:lineRule="auto" w:before="31"/>
        <w:ind w:left="736" w:right="0"/>
        <w:jc w:val="left"/>
      </w:pPr>
      <w:r>
        <w:rPr/>
        <w:t>（</w:t>
      </w:r>
      <w:r>
        <w:rPr>
          <w:rFonts w:ascii="Arial" w:hAnsi="Arial" w:cs="Arial" w:eastAsia="Arial" w:hint="default"/>
        </w:rPr>
        <w:t>2</w:t>
      </w:r>
      <w:r>
        <w:rPr/>
        <w:t>）偿债能力分析：</w:t>
      </w:r>
    </w:p>
    <w:p>
      <w:pPr>
        <w:pStyle w:val="BodyText"/>
        <w:spacing w:line="240" w:lineRule="auto" w:before="164"/>
        <w:ind w:left="736" w:right="0"/>
        <w:jc w:val="left"/>
      </w:pPr>
      <w:r>
        <w:rPr>
          <w:rFonts w:ascii="Arial" w:hAnsi="Arial" w:cs="Arial" w:eastAsia="Arial" w:hint="default"/>
        </w:rPr>
        <w:t>2010 </w:t>
      </w:r>
      <w:r>
        <w:rPr/>
        <w:t>年公司首发新股，募集资金 </w:t>
      </w:r>
      <w:r>
        <w:rPr>
          <w:rFonts w:ascii="Arial" w:hAnsi="Arial" w:cs="Arial" w:eastAsia="Arial" w:hint="default"/>
        </w:rPr>
        <w:t>52,886</w:t>
      </w:r>
      <w:r>
        <w:rPr>
          <w:rFonts w:ascii="Arial" w:hAnsi="Arial" w:cs="Arial" w:eastAsia="Arial" w:hint="default"/>
          <w:spacing w:val="-26"/>
        </w:rPr>
        <w:t> </w:t>
      </w:r>
      <w:r>
        <w:rPr/>
        <w:t>万元，截止到报告期期末，募集资金尚结存</w:t>
      </w:r>
    </w:p>
    <w:p>
      <w:pPr>
        <w:pStyle w:val="BodyText"/>
        <w:spacing w:line="369" w:lineRule="auto" w:before="164"/>
        <w:ind w:left="297" w:right="298"/>
        <w:jc w:val="both"/>
      </w:pPr>
      <w:r>
        <w:rPr>
          <w:rFonts w:ascii="Arial" w:hAnsi="Arial" w:cs="Arial" w:eastAsia="Arial" w:hint="default"/>
        </w:rPr>
        <w:t>38,805</w:t>
      </w:r>
      <w:r>
        <w:rPr>
          <w:rFonts w:ascii="Arial" w:hAnsi="Arial" w:cs="Arial" w:eastAsia="Arial" w:hint="default"/>
          <w:spacing w:val="-24"/>
        </w:rPr>
        <w:t> </w:t>
      </w:r>
      <w:r>
        <w:rPr/>
        <w:t>万元。另募集资金到位后，根据公司第一届董事会第十六次会议决议，董事会同意</w:t>
      </w:r>
      <w:r>
        <w:rPr>
          <w:w w:val="100"/>
        </w:rPr>
        <w:t> </w:t>
      </w:r>
      <w:r>
        <w:rPr/>
        <w:t>公司使用</w:t>
      </w:r>
      <w:r>
        <w:rPr>
          <w:spacing w:val="-41"/>
        </w:rPr>
        <w:t> </w:t>
      </w:r>
      <w:r>
        <w:rPr>
          <w:rFonts w:ascii="Arial" w:hAnsi="Arial" w:cs="Arial" w:eastAsia="Arial" w:hint="default"/>
        </w:rPr>
        <w:t>3,500</w:t>
      </w:r>
      <w:r>
        <w:rPr>
          <w:rFonts w:ascii="Arial" w:hAnsi="Arial" w:cs="Arial" w:eastAsia="Arial" w:hint="default"/>
          <w:spacing w:val="7"/>
        </w:rPr>
        <w:t> </w:t>
      </w:r>
      <w:r>
        <w:rPr>
          <w:spacing w:val="-3"/>
        </w:rPr>
        <w:t>万元超募资金偿还短期借款，受上述因素影响，</w:t>
      </w:r>
      <w:r>
        <w:rPr>
          <w:rFonts w:ascii="Arial" w:hAnsi="Arial" w:cs="Arial" w:eastAsia="Arial" w:hint="default"/>
          <w:spacing w:val="-3"/>
        </w:rPr>
        <w:t>2010</w:t>
      </w:r>
      <w:r>
        <w:rPr>
          <w:rFonts w:ascii="Arial" w:hAnsi="Arial" w:cs="Arial" w:eastAsia="Arial" w:hint="default"/>
          <w:spacing w:val="4"/>
        </w:rPr>
        <w:t> </w:t>
      </w:r>
      <w:r>
        <w:rPr>
          <w:spacing w:val="-3"/>
        </w:rPr>
        <w:t>年流动比率、速动比</w:t>
      </w:r>
      <w:r>
        <w:rPr>
          <w:spacing w:val="-106"/>
        </w:rPr>
        <w:t> </w:t>
      </w:r>
      <w:r>
        <w:rPr>
          <w:spacing w:val="-106"/>
        </w:rPr>
      </w:r>
      <w:r>
        <w:rPr/>
        <w:t>率均比上年有大幅增加，资产负债率比上年大幅下降。</w:t>
      </w:r>
    </w:p>
    <w:p>
      <w:pPr>
        <w:pStyle w:val="BodyText"/>
        <w:spacing w:line="369" w:lineRule="auto" w:before="61"/>
        <w:ind w:left="779" w:right="0" w:hanging="44"/>
        <w:jc w:val="left"/>
      </w:pPr>
      <w:r>
        <w:rPr/>
        <w:t>（</w:t>
      </w:r>
      <w:r>
        <w:rPr>
          <w:rFonts w:ascii="Arial" w:hAnsi="Arial" w:cs="Arial" w:eastAsia="Arial" w:hint="default"/>
        </w:rPr>
        <w:t>3</w:t>
      </w:r>
      <w:r>
        <w:rPr/>
        <w:t>）营运能力分析：</w:t>
      </w:r>
      <w:r>
        <w:rPr>
          <w:w w:val="100"/>
        </w:rPr>
        <w:t> </w:t>
      </w:r>
      <w:r>
        <w:rPr>
          <w:spacing w:val="-1"/>
        </w:rPr>
        <w:t>应收帐款周转率</w:t>
      </w:r>
      <w:r>
        <w:rPr>
          <w:rFonts w:ascii="Arial" w:hAnsi="Arial" w:cs="Arial" w:eastAsia="Arial" w:hint="default"/>
          <w:spacing w:val="-1"/>
        </w:rPr>
        <w:t>2010</w:t>
      </w:r>
      <w:r>
        <w:rPr>
          <w:spacing w:val="-1"/>
        </w:rPr>
        <w:t>年比上年下降</w:t>
      </w:r>
      <w:r>
        <w:rPr>
          <w:rFonts w:ascii="Arial" w:hAnsi="Arial" w:cs="Arial" w:eastAsia="Arial" w:hint="default"/>
          <w:spacing w:val="-1"/>
        </w:rPr>
        <w:t>0.98</w:t>
      </w:r>
      <w:r>
        <w:rPr>
          <w:spacing w:val="-1"/>
        </w:rPr>
        <w:t>，主要是公司为拓展募投项目产品销售渠道，</w:t>
      </w:r>
    </w:p>
    <w:p>
      <w:pPr>
        <w:pStyle w:val="BodyText"/>
        <w:spacing w:line="240" w:lineRule="auto" w:before="31"/>
        <w:ind w:left="297" w:right="0"/>
        <w:jc w:val="left"/>
      </w:pPr>
      <w:r>
        <w:rPr/>
        <w:t>针对重点客户季节性调整帐期，</w:t>
      </w:r>
      <w:r>
        <w:rPr>
          <w:rFonts w:ascii="Arial" w:hAnsi="Arial" w:cs="Arial" w:eastAsia="Arial" w:hint="default"/>
        </w:rPr>
        <w:t>2010</w:t>
      </w:r>
      <w:r>
        <w:rPr/>
        <w:t>年应收帐款平均余额有所增加所致；</w:t>
      </w:r>
    </w:p>
    <w:p>
      <w:pPr>
        <w:pStyle w:val="BodyText"/>
        <w:spacing w:line="369" w:lineRule="auto" w:before="164"/>
        <w:ind w:left="297" w:right="298" w:firstLine="439"/>
        <w:jc w:val="both"/>
      </w:pPr>
      <w:r>
        <w:rPr/>
        <w:t>存货周转率 </w:t>
      </w:r>
      <w:r>
        <w:rPr>
          <w:rFonts w:ascii="Arial" w:hAnsi="Arial" w:cs="Arial" w:eastAsia="Arial" w:hint="default"/>
        </w:rPr>
        <w:t>2010 </w:t>
      </w:r>
      <w:r>
        <w:rPr/>
        <w:t>年比上年下降</w:t>
      </w:r>
      <w:r>
        <w:rPr>
          <w:spacing w:val="-53"/>
        </w:rPr>
        <w:t> </w:t>
      </w:r>
      <w:r>
        <w:rPr>
          <w:rFonts w:ascii="Arial" w:hAnsi="Arial" w:cs="Arial" w:eastAsia="Arial" w:hint="default"/>
        </w:rPr>
        <w:t>1.62</w:t>
      </w:r>
      <w:r>
        <w:rPr/>
        <w:t>，主要是：东营公司本报告期试生产，储备原材</w:t>
      </w:r>
      <w:r>
        <w:rPr>
          <w:w w:val="100"/>
        </w:rPr>
        <w:t> </w:t>
      </w:r>
      <w:r>
        <w:rPr/>
        <w:t>料及生产在产品，受宏观经济影响本报告期 </w:t>
      </w:r>
      <w:r>
        <w:rPr>
          <w:rFonts w:ascii="Arial" w:hAnsi="Arial" w:cs="Arial" w:eastAsia="Arial" w:hint="default"/>
        </w:rPr>
        <w:t>OEM</w:t>
      </w:r>
      <w:r>
        <w:rPr>
          <w:rFonts w:ascii="Arial" w:hAnsi="Arial" w:cs="Arial" w:eastAsia="Arial" w:hint="default"/>
          <w:spacing w:val="36"/>
        </w:rPr>
        <w:t> </w:t>
      </w:r>
      <w:r>
        <w:rPr/>
        <w:t>染料成品价格持续上涨，公司为最大限</w:t>
      </w:r>
      <w:r>
        <w:rPr>
          <w:w w:val="100"/>
        </w:rPr>
        <w:t> </w:t>
      </w:r>
      <w:r>
        <w:rPr/>
        <w:t>度减少价格上涨对公司经营影响，年末加大了</w:t>
      </w:r>
      <w:r>
        <w:rPr>
          <w:spacing w:val="-57"/>
        </w:rPr>
        <w:t> </w:t>
      </w:r>
      <w:r>
        <w:rPr>
          <w:rFonts w:ascii="Arial" w:hAnsi="Arial" w:cs="Arial" w:eastAsia="Arial" w:hint="default"/>
        </w:rPr>
        <w:t>OEM</w:t>
      </w:r>
      <w:r>
        <w:rPr>
          <w:rFonts w:ascii="Arial" w:hAnsi="Arial" w:cs="Arial" w:eastAsia="Arial" w:hint="default"/>
          <w:spacing w:val="-10"/>
        </w:rPr>
        <w:t> </w:t>
      </w:r>
      <w:r>
        <w:rPr/>
        <w:t>采购量，受上述因素影响，</w:t>
      </w:r>
      <w:r>
        <w:rPr>
          <w:rFonts w:ascii="Arial" w:hAnsi="Arial" w:cs="Arial" w:eastAsia="Arial" w:hint="default"/>
        </w:rPr>
        <w:t>2010</w:t>
      </w:r>
      <w:r>
        <w:rPr>
          <w:rFonts w:ascii="Arial" w:hAnsi="Arial" w:cs="Arial" w:eastAsia="Arial" w:hint="default"/>
          <w:spacing w:val="-9"/>
        </w:rPr>
        <w:t> </w:t>
      </w:r>
      <w:r>
        <w:rPr/>
        <w:t>年存</w:t>
      </w:r>
      <w:r>
        <w:rPr>
          <w:w w:val="100"/>
        </w:rPr>
        <w:t> </w:t>
      </w:r>
      <w:r>
        <w:rPr/>
        <w:t>货平均余额比上年有所增加。</w:t>
      </w:r>
    </w:p>
    <w:p>
      <w:pPr>
        <w:pStyle w:val="BodyText"/>
        <w:spacing w:line="240" w:lineRule="auto" w:before="61"/>
        <w:ind w:left="736" w:right="0"/>
        <w:jc w:val="left"/>
      </w:pPr>
      <w:r>
        <w:rPr>
          <w:rFonts w:ascii="Arial" w:hAnsi="Arial" w:cs="Arial" w:eastAsia="Arial" w:hint="default"/>
        </w:rPr>
        <w:t>5</w:t>
      </w:r>
      <w:r>
        <w:rPr/>
        <w:t>）报告期内公司现金流量构成分析</w:t>
      </w:r>
    </w:p>
    <w:p>
      <w:pPr>
        <w:spacing w:line="240" w:lineRule="auto" w:before="5"/>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3468"/>
        <w:gridCol w:w="2011"/>
        <w:gridCol w:w="2282"/>
        <w:gridCol w:w="1219"/>
      </w:tblGrid>
      <w:tr>
        <w:trPr>
          <w:trHeight w:val="530" w:hRule="exact"/>
        </w:trPr>
        <w:tc>
          <w:tcPr>
            <w:tcW w:w="3468"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tabs>
                <w:tab w:pos="542" w:val="left" w:leader="none"/>
              </w:tabs>
              <w:spacing w:line="240" w:lineRule="auto" w:before="101"/>
              <w:ind w:right="2"/>
              <w:jc w:val="center"/>
              <w:rPr>
                <w:rFonts w:ascii="宋体" w:hAnsi="宋体" w:cs="宋体" w:eastAsia="宋体" w:hint="default"/>
                <w:sz w:val="18"/>
                <w:szCs w:val="18"/>
              </w:rPr>
            </w:pPr>
            <w:r>
              <w:rPr>
                <w:rFonts w:ascii="宋体" w:hAnsi="宋体" w:cs="宋体" w:eastAsia="宋体" w:hint="default"/>
                <w:w w:val="95"/>
                <w:sz w:val="18"/>
                <w:szCs w:val="18"/>
              </w:rPr>
              <w:t>项</w:t>
              <w:tab/>
            </w:r>
            <w:r>
              <w:rPr>
                <w:rFonts w:ascii="宋体" w:hAnsi="宋体" w:cs="宋体" w:eastAsia="宋体" w:hint="default"/>
                <w:sz w:val="18"/>
                <w:szCs w:val="18"/>
              </w:rPr>
              <w:t>目</w:t>
            </w:r>
          </w:p>
        </w:tc>
        <w:tc>
          <w:tcPr>
            <w:tcW w:w="2011"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101"/>
              <w:ind w:left="407" w:right="0"/>
              <w:jc w:val="left"/>
              <w:rPr>
                <w:rFonts w:ascii="宋体" w:hAnsi="宋体" w:cs="宋体" w:eastAsia="宋体" w:hint="default"/>
                <w:sz w:val="18"/>
                <w:szCs w:val="18"/>
              </w:rPr>
            </w:pPr>
            <w:r>
              <w:rPr>
                <w:rFonts w:ascii="Arial" w:hAnsi="Arial" w:cs="Arial" w:eastAsia="Arial" w:hint="default"/>
                <w:b/>
                <w:bCs/>
                <w:sz w:val="18"/>
                <w:szCs w:val="18"/>
              </w:rPr>
              <w:t>2010</w:t>
            </w:r>
            <w:r>
              <w:rPr>
                <w:rFonts w:ascii="Arial" w:hAnsi="Arial" w:cs="Arial" w:eastAsia="Arial" w:hint="default"/>
                <w:b/>
                <w:bCs/>
                <w:spacing w:val="-9"/>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Arial" w:hAnsi="Arial" w:cs="Arial" w:eastAsia="Arial" w:hint="default"/>
                <w:b/>
                <w:bCs/>
                <w:sz w:val="18"/>
                <w:szCs w:val="18"/>
              </w:rPr>
              <w:t>1-12</w:t>
            </w:r>
            <w:r>
              <w:rPr>
                <w:rFonts w:ascii="Arial" w:hAnsi="Arial" w:cs="Arial" w:eastAsia="Arial" w:hint="default"/>
                <w:b/>
                <w:bCs/>
                <w:spacing w:val="-6"/>
                <w:sz w:val="18"/>
                <w:szCs w:val="18"/>
              </w:rPr>
              <w:t> </w:t>
            </w:r>
            <w:r>
              <w:rPr>
                <w:rFonts w:ascii="宋体" w:hAnsi="宋体" w:cs="宋体" w:eastAsia="宋体" w:hint="default"/>
                <w:sz w:val="18"/>
                <w:szCs w:val="18"/>
              </w:rPr>
              <w:t>月</w:t>
            </w:r>
          </w:p>
        </w:tc>
        <w:tc>
          <w:tcPr>
            <w:tcW w:w="2282"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101"/>
              <w:ind w:left="496" w:right="0"/>
              <w:jc w:val="left"/>
              <w:rPr>
                <w:rFonts w:ascii="宋体" w:hAnsi="宋体" w:cs="宋体" w:eastAsia="宋体" w:hint="default"/>
                <w:sz w:val="18"/>
                <w:szCs w:val="18"/>
              </w:rPr>
            </w:pPr>
            <w:r>
              <w:rPr>
                <w:rFonts w:ascii="Arial" w:hAnsi="Arial" w:cs="Arial" w:eastAsia="Arial" w:hint="default"/>
                <w:b/>
                <w:bCs/>
                <w:sz w:val="18"/>
                <w:szCs w:val="18"/>
              </w:rPr>
              <w:t>2009</w:t>
            </w:r>
            <w:r>
              <w:rPr>
                <w:rFonts w:ascii="Arial" w:hAnsi="Arial" w:cs="Arial" w:eastAsia="Arial" w:hint="default"/>
                <w:b/>
                <w:bCs/>
                <w:spacing w:val="-8"/>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Arial" w:hAnsi="Arial" w:cs="Arial" w:eastAsia="Arial" w:hint="default"/>
                <w:b/>
                <w:bCs/>
                <w:sz w:val="18"/>
                <w:szCs w:val="18"/>
              </w:rPr>
              <w:t>1-12</w:t>
            </w:r>
            <w:r>
              <w:rPr>
                <w:rFonts w:ascii="Arial" w:hAnsi="Arial" w:cs="Arial" w:eastAsia="Arial" w:hint="default"/>
                <w:b/>
                <w:bCs/>
                <w:spacing w:val="-8"/>
                <w:sz w:val="18"/>
                <w:szCs w:val="18"/>
              </w:rPr>
              <w:t> </w:t>
            </w:r>
            <w:r>
              <w:rPr>
                <w:rFonts w:ascii="宋体" w:hAnsi="宋体" w:cs="宋体" w:eastAsia="宋体" w:hint="default"/>
                <w:sz w:val="18"/>
                <w:szCs w:val="18"/>
              </w:rPr>
              <w:t>月</w:t>
            </w:r>
          </w:p>
        </w:tc>
        <w:tc>
          <w:tcPr>
            <w:tcW w:w="1219"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101"/>
              <w:ind w:right="0"/>
              <w:jc w:val="center"/>
              <w:rPr>
                <w:rFonts w:ascii="Arial" w:hAnsi="Arial" w:cs="Arial" w:eastAsia="Arial" w:hint="default"/>
                <w:sz w:val="18"/>
                <w:szCs w:val="18"/>
              </w:rPr>
            </w:pPr>
            <w:r>
              <w:rPr>
                <w:rFonts w:ascii="宋体" w:hAnsi="宋体" w:cs="宋体" w:eastAsia="宋体" w:hint="default"/>
                <w:sz w:val="18"/>
                <w:szCs w:val="18"/>
              </w:rPr>
              <w:t>同比增长</w:t>
            </w:r>
            <w:r>
              <w:rPr>
                <w:rFonts w:ascii="Arial" w:hAnsi="Arial" w:cs="Arial" w:eastAsia="Arial" w:hint="default"/>
                <w:b/>
                <w:bCs/>
                <w:sz w:val="18"/>
                <w:szCs w:val="18"/>
              </w:rPr>
              <w:t>(%)</w:t>
            </w:r>
            <w:r>
              <w:rPr>
                <w:rFonts w:ascii="Arial" w:hAnsi="Arial" w:cs="Arial" w:eastAsia="Arial" w:hint="default"/>
                <w:sz w:val="18"/>
                <w:szCs w:val="18"/>
              </w:rPr>
            </w:r>
          </w:p>
        </w:tc>
      </w:tr>
      <w:tr>
        <w:trPr>
          <w:trHeight w:val="528" w:hRule="exact"/>
        </w:trPr>
        <w:tc>
          <w:tcPr>
            <w:tcW w:w="3468"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一、经营活动产生的现金流量净额</w:t>
            </w:r>
          </w:p>
        </w:tc>
        <w:tc>
          <w:tcPr>
            <w:tcW w:w="20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1"/>
              <w:ind w:left="571" w:right="0"/>
              <w:jc w:val="left"/>
              <w:rPr>
                <w:rFonts w:ascii="Arial" w:hAnsi="Arial" w:cs="Arial" w:eastAsia="Arial" w:hint="default"/>
                <w:sz w:val="18"/>
                <w:szCs w:val="18"/>
              </w:rPr>
            </w:pPr>
            <w:r>
              <w:rPr>
                <w:rFonts w:ascii="Arial"/>
                <w:sz w:val="18"/>
              </w:rPr>
              <w:t>-6,677,667.10</w:t>
            </w:r>
          </w:p>
        </w:tc>
        <w:tc>
          <w:tcPr>
            <w:tcW w:w="22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1"/>
              <w:ind w:left="731" w:right="0"/>
              <w:jc w:val="left"/>
              <w:rPr>
                <w:rFonts w:ascii="Arial" w:hAnsi="Arial" w:cs="Arial" w:eastAsia="Arial" w:hint="default"/>
                <w:sz w:val="18"/>
                <w:szCs w:val="18"/>
              </w:rPr>
            </w:pPr>
            <w:r>
              <w:rPr>
                <w:rFonts w:ascii="Arial"/>
                <w:sz w:val="18"/>
              </w:rPr>
              <w:t>37,344,622.14</w:t>
            </w:r>
          </w:p>
        </w:tc>
        <w:tc>
          <w:tcPr>
            <w:tcW w:w="12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1"/>
              <w:ind w:right="1"/>
              <w:jc w:val="center"/>
              <w:rPr>
                <w:rFonts w:ascii="Arial" w:hAnsi="Arial" w:cs="Arial" w:eastAsia="Arial" w:hint="default"/>
                <w:sz w:val="18"/>
                <w:szCs w:val="18"/>
              </w:rPr>
            </w:pPr>
            <w:r>
              <w:rPr>
                <w:rFonts w:ascii="Arial"/>
                <w:sz w:val="18"/>
              </w:rPr>
              <w:t>-117.88</w:t>
            </w:r>
          </w:p>
        </w:tc>
      </w:tr>
      <w:tr>
        <w:trPr>
          <w:trHeight w:val="530" w:hRule="exact"/>
        </w:trPr>
        <w:tc>
          <w:tcPr>
            <w:tcW w:w="3468"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818"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0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4"/>
              <w:ind w:left="364" w:right="0"/>
              <w:jc w:val="left"/>
              <w:rPr>
                <w:rFonts w:ascii="Arial" w:hAnsi="Arial" w:cs="Arial" w:eastAsia="Arial" w:hint="default"/>
                <w:sz w:val="18"/>
                <w:szCs w:val="18"/>
              </w:rPr>
            </w:pPr>
            <w:r>
              <w:rPr>
                <w:rFonts w:ascii="Arial"/>
                <w:sz w:val="18"/>
              </w:rPr>
              <w:t>104,769,405.43</w:t>
            </w:r>
          </w:p>
        </w:tc>
        <w:tc>
          <w:tcPr>
            <w:tcW w:w="22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4"/>
              <w:ind w:left="731" w:right="0"/>
              <w:jc w:val="left"/>
              <w:rPr>
                <w:rFonts w:ascii="Arial" w:hAnsi="Arial" w:cs="Arial" w:eastAsia="Arial" w:hint="default"/>
                <w:sz w:val="18"/>
                <w:szCs w:val="18"/>
              </w:rPr>
            </w:pPr>
            <w:r>
              <w:rPr>
                <w:rFonts w:ascii="Arial"/>
                <w:sz w:val="18"/>
              </w:rPr>
              <w:t>96,703,960.25</w:t>
            </w:r>
          </w:p>
        </w:tc>
        <w:tc>
          <w:tcPr>
            <w:tcW w:w="12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4"/>
              <w:ind w:right="1"/>
              <w:jc w:val="center"/>
              <w:rPr>
                <w:rFonts w:ascii="Arial" w:hAnsi="Arial" w:cs="Arial" w:eastAsia="Arial" w:hint="default"/>
                <w:sz w:val="18"/>
                <w:szCs w:val="18"/>
              </w:rPr>
            </w:pPr>
            <w:r>
              <w:rPr>
                <w:rFonts w:ascii="Arial"/>
                <w:sz w:val="18"/>
              </w:rPr>
              <w:t>8.34</w:t>
            </w:r>
          </w:p>
        </w:tc>
      </w:tr>
      <w:tr>
        <w:trPr>
          <w:trHeight w:val="528" w:hRule="exact"/>
        </w:trPr>
        <w:tc>
          <w:tcPr>
            <w:tcW w:w="3468"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818"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0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1"/>
              <w:ind w:left="364" w:right="0"/>
              <w:jc w:val="left"/>
              <w:rPr>
                <w:rFonts w:ascii="Arial" w:hAnsi="Arial" w:cs="Arial" w:eastAsia="Arial" w:hint="default"/>
                <w:sz w:val="18"/>
                <w:szCs w:val="18"/>
              </w:rPr>
            </w:pPr>
            <w:r>
              <w:rPr>
                <w:rFonts w:ascii="Arial"/>
                <w:sz w:val="18"/>
              </w:rPr>
              <w:t>111,447,072.53</w:t>
            </w:r>
          </w:p>
        </w:tc>
        <w:tc>
          <w:tcPr>
            <w:tcW w:w="22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1"/>
              <w:ind w:left="731" w:right="0"/>
              <w:jc w:val="left"/>
              <w:rPr>
                <w:rFonts w:ascii="Arial" w:hAnsi="Arial" w:cs="Arial" w:eastAsia="Arial" w:hint="default"/>
                <w:sz w:val="18"/>
                <w:szCs w:val="18"/>
              </w:rPr>
            </w:pPr>
            <w:r>
              <w:rPr>
                <w:rFonts w:ascii="Arial"/>
                <w:sz w:val="18"/>
              </w:rPr>
              <w:t>59,359,338.11</w:t>
            </w:r>
          </w:p>
        </w:tc>
        <w:tc>
          <w:tcPr>
            <w:tcW w:w="12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1"/>
              <w:ind w:right="1"/>
              <w:jc w:val="center"/>
              <w:rPr>
                <w:rFonts w:ascii="Arial" w:hAnsi="Arial" w:cs="Arial" w:eastAsia="Arial" w:hint="default"/>
                <w:sz w:val="18"/>
                <w:szCs w:val="18"/>
              </w:rPr>
            </w:pPr>
            <w:r>
              <w:rPr>
                <w:rFonts w:ascii="Arial"/>
                <w:sz w:val="18"/>
              </w:rPr>
              <w:t>87.74</w:t>
            </w:r>
          </w:p>
        </w:tc>
      </w:tr>
      <w:tr>
        <w:trPr>
          <w:trHeight w:val="530" w:hRule="exact"/>
        </w:trPr>
        <w:tc>
          <w:tcPr>
            <w:tcW w:w="3468"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二、投资活动产生的现金流量净额</w:t>
            </w:r>
          </w:p>
        </w:tc>
        <w:tc>
          <w:tcPr>
            <w:tcW w:w="20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4"/>
              <w:ind w:right="202"/>
              <w:jc w:val="right"/>
              <w:rPr>
                <w:rFonts w:ascii="Arial" w:hAnsi="Arial" w:cs="Arial" w:eastAsia="Arial" w:hint="default"/>
                <w:sz w:val="18"/>
                <w:szCs w:val="18"/>
              </w:rPr>
            </w:pPr>
            <w:r>
              <w:rPr>
                <w:rFonts w:ascii="Arial"/>
                <w:spacing w:val="-1"/>
                <w:sz w:val="18"/>
              </w:rPr>
              <w:t>-89,133,077.85</w:t>
            </w:r>
          </w:p>
        </w:tc>
        <w:tc>
          <w:tcPr>
            <w:tcW w:w="22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4"/>
              <w:ind w:left="655" w:right="0"/>
              <w:jc w:val="left"/>
              <w:rPr>
                <w:rFonts w:ascii="Arial" w:hAnsi="Arial" w:cs="Arial" w:eastAsia="Arial" w:hint="default"/>
                <w:sz w:val="18"/>
                <w:szCs w:val="18"/>
              </w:rPr>
            </w:pPr>
            <w:r>
              <w:rPr>
                <w:rFonts w:ascii="Arial"/>
                <w:sz w:val="18"/>
              </w:rPr>
              <w:t>-42,712,128.37</w:t>
            </w:r>
          </w:p>
        </w:tc>
        <w:tc>
          <w:tcPr>
            <w:tcW w:w="12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4"/>
              <w:ind w:right="0"/>
              <w:jc w:val="center"/>
              <w:rPr>
                <w:rFonts w:ascii="Arial" w:hAnsi="Arial" w:cs="Arial" w:eastAsia="Arial" w:hint="default"/>
                <w:sz w:val="18"/>
                <w:szCs w:val="18"/>
              </w:rPr>
            </w:pPr>
            <w:r>
              <w:rPr>
                <w:rFonts w:ascii="Arial"/>
                <w:sz w:val="18"/>
              </w:rPr>
              <w:t>108.68</w:t>
            </w:r>
          </w:p>
        </w:tc>
      </w:tr>
      <w:tr>
        <w:trPr>
          <w:trHeight w:val="528" w:hRule="exact"/>
        </w:trPr>
        <w:tc>
          <w:tcPr>
            <w:tcW w:w="3468"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818"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0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2"/>
              <w:ind w:right="94"/>
              <w:jc w:val="right"/>
              <w:rPr>
                <w:rFonts w:ascii="Arial" w:hAnsi="Arial" w:cs="Arial" w:eastAsia="Arial" w:hint="default"/>
                <w:sz w:val="18"/>
                <w:szCs w:val="18"/>
              </w:rPr>
            </w:pPr>
            <w:r>
              <w:rPr>
                <w:rFonts w:ascii="Arial"/>
                <w:spacing w:val="-1"/>
                <w:sz w:val="18"/>
              </w:rPr>
              <w:t>69,333.36</w:t>
            </w:r>
          </w:p>
        </w:tc>
        <w:tc>
          <w:tcPr>
            <w:tcW w:w="22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2"/>
              <w:ind w:right="103"/>
              <w:jc w:val="right"/>
              <w:rPr>
                <w:rFonts w:ascii="Arial" w:hAnsi="Arial" w:cs="Arial" w:eastAsia="Arial" w:hint="default"/>
                <w:sz w:val="18"/>
                <w:szCs w:val="18"/>
              </w:rPr>
            </w:pPr>
            <w:r>
              <w:rPr>
                <w:rFonts w:ascii="Arial"/>
                <w:w w:val="99"/>
                <w:sz w:val="18"/>
              </w:rPr>
              <w:t>-</w:t>
            </w:r>
            <w:r>
              <w:rPr>
                <w:rFonts w:ascii="Arial"/>
                <w:sz w:val="18"/>
              </w:rPr>
            </w:r>
          </w:p>
        </w:tc>
        <w:tc>
          <w:tcPr>
            <w:tcW w:w="1219" w:type="dxa"/>
            <w:tcBorders>
              <w:top w:val="single" w:sz="12" w:space="0" w:color="000000"/>
              <w:left w:val="single" w:sz="12" w:space="0" w:color="000000"/>
              <w:bottom w:val="single" w:sz="12" w:space="0" w:color="000000"/>
              <w:right w:val="single" w:sz="12" w:space="0" w:color="000000"/>
            </w:tcBorders>
          </w:tcPr>
          <w:p>
            <w:pPr/>
          </w:p>
        </w:tc>
      </w:tr>
      <w:tr>
        <w:trPr>
          <w:trHeight w:val="528" w:hRule="exact"/>
        </w:trPr>
        <w:tc>
          <w:tcPr>
            <w:tcW w:w="3468"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818"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0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2"/>
              <w:ind w:right="188"/>
              <w:jc w:val="right"/>
              <w:rPr>
                <w:rFonts w:ascii="Arial" w:hAnsi="Arial" w:cs="Arial" w:eastAsia="Arial" w:hint="default"/>
                <w:sz w:val="18"/>
                <w:szCs w:val="18"/>
              </w:rPr>
            </w:pPr>
            <w:r>
              <w:rPr>
                <w:rFonts w:ascii="Arial"/>
                <w:spacing w:val="-1"/>
                <w:sz w:val="18"/>
              </w:rPr>
              <w:t>89,202,411.21</w:t>
            </w:r>
          </w:p>
        </w:tc>
        <w:tc>
          <w:tcPr>
            <w:tcW w:w="22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2"/>
              <w:ind w:left="731" w:right="0"/>
              <w:jc w:val="left"/>
              <w:rPr>
                <w:rFonts w:ascii="Arial" w:hAnsi="Arial" w:cs="Arial" w:eastAsia="Arial" w:hint="default"/>
                <w:sz w:val="18"/>
                <w:szCs w:val="18"/>
              </w:rPr>
            </w:pPr>
            <w:r>
              <w:rPr>
                <w:rFonts w:ascii="Arial"/>
                <w:sz w:val="18"/>
              </w:rPr>
              <w:t>42,712,128.37</w:t>
            </w:r>
          </w:p>
        </w:tc>
        <w:tc>
          <w:tcPr>
            <w:tcW w:w="12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2"/>
              <w:ind w:right="0"/>
              <w:jc w:val="center"/>
              <w:rPr>
                <w:rFonts w:ascii="Arial" w:hAnsi="Arial" w:cs="Arial" w:eastAsia="Arial" w:hint="default"/>
                <w:sz w:val="18"/>
                <w:szCs w:val="18"/>
              </w:rPr>
            </w:pPr>
            <w:r>
              <w:rPr>
                <w:rFonts w:ascii="Arial"/>
                <w:sz w:val="18"/>
              </w:rPr>
              <w:t>108.85</w:t>
            </w:r>
          </w:p>
        </w:tc>
      </w:tr>
      <w:tr>
        <w:trPr>
          <w:trHeight w:val="529" w:hRule="exact"/>
        </w:trPr>
        <w:tc>
          <w:tcPr>
            <w:tcW w:w="3468"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三、筹资活动产生的现金流量净额</w:t>
            </w:r>
          </w:p>
        </w:tc>
        <w:tc>
          <w:tcPr>
            <w:tcW w:w="20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4"/>
              <w:ind w:left="364" w:right="0"/>
              <w:jc w:val="left"/>
              <w:rPr>
                <w:rFonts w:ascii="Arial" w:hAnsi="Arial" w:cs="Arial" w:eastAsia="Arial" w:hint="default"/>
                <w:sz w:val="18"/>
                <w:szCs w:val="18"/>
              </w:rPr>
            </w:pPr>
            <w:r>
              <w:rPr>
                <w:rFonts w:ascii="Arial"/>
                <w:sz w:val="18"/>
              </w:rPr>
              <w:t>496,991,779.73</w:t>
            </w:r>
          </w:p>
        </w:tc>
        <w:tc>
          <w:tcPr>
            <w:tcW w:w="22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4"/>
              <w:ind w:left="731" w:right="0"/>
              <w:jc w:val="left"/>
              <w:rPr>
                <w:rFonts w:ascii="Arial" w:hAnsi="Arial" w:cs="Arial" w:eastAsia="Arial" w:hint="default"/>
                <w:sz w:val="18"/>
                <w:szCs w:val="18"/>
              </w:rPr>
            </w:pPr>
            <w:r>
              <w:rPr>
                <w:rFonts w:ascii="Arial"/>
                <w:sz w:val="18"/>
              </w:rPr>
              <w:t>16,608,225.24</w:t>
            </w:r>
          </w:p>
        </w:tc>
        <w:tc>
          <w:tcPr>
            <w:tcW w:w="12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4"/>
              <w:ind w:right="0"/>
              <w:jc w:val="center"/>
              <w:rPr>
                <w:rFonts w:ascii="Arial" w:hAnsi="Arial" w:cs="Arial" w:eastAsia="Arial" w:hint="default"/>
                <w:sz w:val="18"/>
                <w:szCs w:val="18"/>
              </w:rPr>
            </w:pPr>
            <w:r>
              <w:rPr>
                <w:rFonts w:ascii="Arial"/>
                <w:sz w:val="18"/>
              </w:rPr>
              <w:t>2892.44</w:t>
            </w:r>
          </w:p>
        </w:tc>
      </w:tr>
    </w:tbl>
    <w:p>
      <w:pPr>
        <w:spacing w:after="0" w:line="240" w:lineRule="auto"/>
        <w:jc w:val="center"/>
        <w:rPr>
          <w:rFonts w:ascii="Arial" w:hAnsi="Arial" w:cs="Arial" w:eastAsia="Arial" w:hint="default"/>
          <w:sz w:val="18"/>
          <w:szCs w:val="18"/>
        </w:rPr>
        <w:sectPr>
          <w:pgSz w:w="11900" w:h="16840"/>
          <w:pgMar w:header="877" w:footer="981" w:top="1100" w:bottom="1180" w:left="1500" w:right="1160"/>
        </w:sectPr>
      </w:pPr>
    </w:p>
    <w:p>
      <w:pPr>
        <w:spacing w:line="240" w:lineRule="auto" w:before="8"/>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3468"/>
        <w:gridCol w:w="2011"/>
        <w:gridCol w:w="2282"/>
        <w:gridCol w:w="1219"/>
      </w:tblGrid>
      <w:tr>
        <w:trPr>
          <w:trHeight w:val="530" w:hRule="exact"/>
        </w:trPr>
        <w:tc>
          <w:tcPr>
            <w:tcW w:w="3468"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18"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0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3"/>
              <w:ind w:left="364" w:right="0"/>
              <w:jc w:val="left"/>
              <w:rPr>
                <w:rFonts w:ascii="Arial" w:hAnsi="Arial" w:cs="Arial" w:eastAsia="Arial" w:hint="default"/>
                <w:sz w:val="18"/>
                <w:szCs w:val="18"/>
              </w:rPr>
            </w:pPr>
            <w:r>
              <w:rPr>
                <w:rFonts w:ascii="Arial"/>
                <w:sz w:val="18"/>
              </w:rPr>
              <w:t>557,534,000.00</w:t>
            </w:r>
          </w:p>
        </w:tc>
        <w:tc>
          <w:tcPr>
            <w:tcW w:w="22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3"/>
              <w:ind w:right="368"/>
              <w:jc w:val="right"/>
              <w:rPr>
                <w:rFonts w:ascii="Arial" w:hAnsi="Arial" w:cs="Arial" w:eastAsia="Arial" w:hint="default"/>
                <w:sz w:val="18"/>
                <w:szCs w:val="18"/>
              </w:rPr>
            </w:pPr>
            <w:r>
              <w:rPr>
                <w:rFonts w:ascii="Arial"/>
                <w:spacing w:val="-1"/>
                <w:sz w:val="18"/>
              </w:rPr>
              <w:t>49,000,000.00</w:t>
            </w:r>
          </w:p>
        </w:tc>
        <w:tc>
          <w:tcPr>
            <w:tcW w:w="12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sz w:val="18"/>
              </w:rPr>
              <w:t>1037.82</w:t>
            </w:r>
          </w:p>
        </w:tc>
      </w:tr>
      <w:tr>
        <w:trPr>
          <w:trHeight w:val="528" w:hRule="exact"/>
        </w:trPr>
        <w:tc>
          <w:tcPr>
            <w:tcW w:w="3468"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818"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0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1"/>
              <w:ind w:left="412" w:right="0"/>
              <w:jc w:val="left"/>
              <w:rPr>
                <w:rFonts w:ascii="Arial" w:hAnsi="Arial" w:cs="Arial" w:eastAsia="Arial" w:hint="default"/>
                <w:sz w:val="18"/>
                <w:szCs w:val="18"/>
              </w:rPr>
            </w:pPr>
            <w:r>
              <w:rPr>
                <w:rFonts w:ascii="Arial"/>
                <w:sz w:val="18"/>
              </w:rPr>
              <w:t>60,542,220.27</w:t>
            </w:r>
          </w:p>
        </w:tc>
        <w:tc>
          <w:tcPr>
            <w:tcW w:w="22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1"/>
              <w:ind w:right="368"/>
              <w:jc w:val="right"/>
              <w:rPr>
                <w:rFonts w:ascii="Arial" w:hAnsi="Arial" w:cs="Arial" w:eastAsia="Arial" w:hint="default"/>
                <w:sz w:val="18"/>
                <w:szCs w:val="18"/>
              </w:rPr>
            </w:pPr>
            <w:r>
              <w:rPr>
                <w:rFonts w:ascii="Arial"/>
                <w:spacing w:val="-1"/>
                <w:sz w:val="18"/>
              </w:rPr>
              <w:t>32,391,774.76</w:t>
            </w:r>
          </w:p>
        </w:tc>
        <w:tc>
          <w:tcPr>
            <w:tcW w:w="12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1"/>
              <w:ind w:right="1"/>
              <w:jc w:val="center"/>
              <w:rPr>
                <w:rFonts w:ascii="Arial" w:hAnsi="Arial" w:cs="Arial" w:eastAsia="Arial" w:hint="default"/>
                <w:sz w:val="18"/>
                <w:szCs w:val="18"/>
              </w:rPr>
            </w:pPr>
            <w:r>
              <w:rPr>
                <w:rFonts w:ascii="Arial"/>
                <w:sz w:val="18"/>
              </w:rPr>
              <w:t>86.90</w:t>
            </w:r>
          </w:p>
        </w:tc>
      </w:tr>
      <w:tr>
        <w:trPr>
          <w:trHeight w:val="530" w:hRule="exact"/>
        </w:trPr>
        <w:tc>
          <w:tcPr>
            <w:tcW w:w="3468"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0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4"/>
              <w:ind w:left="1012" w:right="0"/>
              <w:jc w:val="left"/>
              <w:rPr>
                <w:rFonts w:ascii="Arial" w:hAnsi="Arial" w:cs="Arial" w:eastAsia="Arial" w:hint="default"/>
                <w:sz w:val="18"/>
                <w:szCs w:val="18"/>
              </w:rPr>
            </w:pPr>
            <w:r>
              <w:rPr>
                <w:rFonts w:ascii="Arial"/>
                <w:sz w:val="18"/>
              </w:rPr>
              <w:t>-20,990.54</w:t>
            </w:r>
          </w:p>
        </w:tc>
        <w:tc>
          <w:tcPr>
            <w:tcW w:w="2282" w:type="dxa"/>
            <w:tcBorders>
              <w:top w:val="single" w:sz="12" w:space="0" w:color="000000"/>
              <w:left w:val="single" w:sz="12" w:space="0" w:color="000000"/>
              <w:bottom w:val="single" w:sz="12" w:space="0" w:color="000000"/>
              <w:right w:val="single" w:sz="12" w:space="0" w:color="000000"/>
            </w:tcBorders>
          </w:tcPr>
          <w:p>
            <w:pPr/>
          </w:p>
        </w:tc>
        <w:tc>
          <w:tcPr>
            <w:tcW w:w="1219" w:type="dxa"/>
            <w:tcBorders>
              <w:top w:val="single" w:sz="12" w:space="0" w:color="000000"/>
              <w:left w:val="single" w:sz="12" w:space="0" w:color="000000"/>
              <w:bottom w:val="single" w:sz="12" w:space="0" w:color="000000"/>
              <w:right w:val="single" w:sz="12" w:space="0" w:color="000000"/>
            </w:tcBorders>
          </w:tcPr>
          <w:p>
            <w:pPr/>
          </w:p>
        </w:tc>
      </w:tr>
      <w:tr>
        <w:trPr>
          <w:trHeight w:val="527" w:hRule="exact"/>
        </w:trPr>
        <w:tc>
          <w:tcPr>
            <w:tcW w:w="3468"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五、期末现金及现金等价物余额</w:t>
            </w:r>
          </w:p>
        </w:tc>
        <w:tc>
          <w:tcPr>
            <w:tcW w:w="20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1"/>
              <w:ind w:left="501" w:right="0"/>
              <w:jc w:val="left"/>
              <w:rPr>
                <w:rFonts w:ascii="Arial" w:hAnsi="Arial" w:cs="Arial" w:eastAsia="Arial" w:hint="default"/>
                <w:sz w:val="18"/>
                <w:szCs w:val="18"/>
              </w:rPr>
            </w:pPr>
            <w:r>
              <w:rPr>
                <w:rFonts w:ascii="Arial"/>
                <w:sz w:val="18"/>
              </w:rPr>
              <w:t>430,507,645.58</w:t>
            </w:r>
          </w:p>
        </w:tc>
        <w:tc>
          <w:tcPr>
            <w:tcW w:w="22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1"/>
              <w:ind w:right="368"/>
              <w:jc w:val="right"/>
              <w:rPr>
                <w:rFonts w:ascii="Arial" w:hAnsi="Arial" w:cs="Arial" w:eastAsia="Arial" w:hint="default"/>
                <w:sz w:val="18"/>
                <w:szCs w:val="18"/>
              </w:rPr>
            </w:pPr>
            <w:r>
              <w:rPr>
                <w:rFonts w:ascii="Arial"/>
                <w:spacing w:val="-1"/>
                <w:sz w:val="18"/>
              </w:rPr>
              <w:t>29,347,601.34</w:t>
            </w:r>
          </w:p>
        </w:tc>
        <w:tc>
          <w:tcPr>
            <w:tcW w:w="12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1"/>
              <w:ind w:right="0"/>
              <w:jc w:val="center"/>
              <w:rPr>
                <w:rFonts w:ascii="Arial" w:hAnsi="Arial" w:cs="Arial" w:eastAsia="Arial" w:hint="default"/>
                <w:sz w:val="18"/>
                <w:szCs w:val="18"/>
              </w:rPr>
            </w:pPr>
            <w:r>
              <w:rPr>
                <w:rFonts w:ascii="Arial"/>
                <w:sz w:val="18"/>
              </w:rPr>
              <w:t>1366.93</w:t>
            </w:r>
          </w:p>
        </w:tc>
      </w:tr>
    </w:tbl>
    <w:p>
      <w:pPr>
        <w:pStyle w:val="BodyText"/>
        <w:spacing w:line="240" w:lineRule="auto" w:before="57"/>
        <w:ind w:left="779" w:right="0"/>
        <w:jc w:val="left"/>
      </w:pPr>
      <w:r>
        <w:rPr>
          <w:rFonts w:ascii="Arial" w:hAnsi="Arial" w:cs="Arial" w:eastAsia="Arial" w:hint="default"/>
        </w:rPr>
        <w:t>2010</w:t>
      </w:r>
      <w:r>
        <w:rPr/>
        <w:t>年度经营活动现金流量净额</w:t>
      </w:r>
      <w:r>
        <w:rPr>
          <w:rFonts w:ascii="Arial" w:hAnsi="Arial" w:cs="Arial" w:eastAsia="Arial" w:hint="default"/>
        </w:rPr>
        <w:t>-668</w:t>
      </w:r>
      <w:r>
        <w:rPr/>
        <w:t>万元，比上年同期下降</w:t>
      </w:r>
      <w:r>
        <w:rPr>
          <w:rFonts w:ascii="Arial" w:hAnsi="Arial" w:cs="Arial" w:eastAsia="Arial" w:hint="default"/>
        </w:rPr>
        <w:t>117.88%</w:t>
      </w:r>
      <w:r>
        <w:rPr/>
        <w:t>，主要原因是：</w:t>
      </w:r>
    </w:p>
    <w:p>
      <w:pPr>
        <w:pStyle w:val="BodyText"/>
        <w:spacing w:line="369" w:lineRule="auto" w:before="164"/>
        <w:ind w:left="297" w:right="295" w:firstLine="482"/>
        <w:jc w:val="both"/>
      </w:pPr>
      <w:r>
        <w:rPr/>
        <w:t>（</w:t>
      </w:r>
      <w:r>
        <w:rPr>
          <w:rFonts w:ascii="Arial" w:hAnsi="Arial" w:cs="Arial" w:eastAsia="Arial" w:hint="default"/>
        </w:rPr>
        <w:t>1</w:t>
      </w:r>
      <w:r>
        <w:rPr/>
        <w:t>）购买商品、接受劳务的现金同比增加</w:t>
      </w:r>
      <w:r>
        <w:rPr>
          <w:rFonts w:ascii="Arial" w:hAnsi="Arial" w:cs="Arial" w:eastAsia="Arial" w:hint="default"/>
        </w:rPr>
        <w:t>3,741</w:t>
      </w:r>
      <w:r>
        <w:rPr/>
        <w:t>万元，主要是：</w:t>
      </w:r>
      <w:r>
        <w:rPr>
          <w:rFonts w:ascii="Arial" w:hAnsi="Arial" w:cs="Arial" w:eastAsia="Arial" w:hint="default"/>
        </w:rPr>
        <w:t>2010</w:t>
      </w:r>
      <w:r>
        <w:rPr/>
        <w:t>年</w:t>
      </w:r>
      <w:r>
        <w:rPr>
          <w:rFonts w:ascii="Arial" w:hAnsi="Arial" w:cs="Arial" w:eastAsia="Arial" w:hint="default"/>
        </w:rPr>
        <w:t>5</w:t>
      </w:r>
      <w:r>
        <w:rPr/>
        <w:t>月份起，部</w:t>
      </w:r>
      <w:r>
        <w:rPr>
          <w:w w:val="100"/>
        </w:rPr>
        <w:t> </w:t>
      </w:r>
      <w:r>
        <w:rPr/>
        <w:t>分原材料价格上涨，公司为控制采购价格</w:t>
      </w:r>
      <w:r>
        <w:rPr>
          <w:rFonts w:ascii="Arial" w:hAnsi="Arial" w:cs="Arial" w:eastAsia="Arial" w:hint="default"/>
        </w:rPr>
        <w:t>,</w:t>
      </w:r>
      <w:r>
        <w:rPr/>
        <w:t>对部分供应商预付货款</w:t>
      </w:r>
      <w:r>
        <w:rPr>
          <w:rFonts w:ascii="Arial" w:hAnsi="Arial" w:cs="Arial" w:eastAsia="Arial" w:hint="default"/>
        </w:rPr>
        <w:t>800</w:t>
      </w:r>
      <w:r>
        <w:rPr/>
        <w:t>万元，对部分供应商</w:t>
      </w:r>
      <w:r>
        <w:rPr>
          <w:spacing w:val="-51"/>
        </w:rPr>
        <w:t> </w:t>
      </w:r>
      <w:r>
        <w:rPr>
          <w:spacing w:val="-51"/>
        </w:rPr>
      </w:r>
      <w:r>
        <w:rPr/>
        <w:t>调整结算方式，由银行承兑汇票支付调整为货币资金支付，支付</w:t>
      </w:r>
      <w:r>
        <w:rPr>
          <w:rFonts w:ascii="Arial" w:hAnsi="Arial" w:cs="Arial" w:eastAsia="Arial" w:hint="default"/>
        </w:rPr>
        <w:t>600</w:t>
      </w:r>
      <w:r>
        <w:rPr/>
        <w:t>万元。东营</w:t>
      </w:r>
      <w:r>
        <w:rPr>
          <w:rFonts w:ascii="Arial" w:hAnsi="Arial" w:cs="Arial" w:eastAsia="Arial" w:hint="default"/>
        </w:rPr>
        <w:t>2010</w:t>
      </w:r>
      <w:r>
        <w:rPr/>
        <w:t>年度</w:t>
      </w:r>
      <w:r>
        <w:rPr>
          <w:spacing w:val="-43"/>
        </w:rPr>
        <w:t> </w:t>
      </w:r>
      <w:r>
        <w:rPr>
          <w:spacing w:val="-3"/>
        </w:rPr>
        <w:t>逐步试生产，生产滤饼</w:t>
      </w:r>
      <w:r>
        <w:rPr>
          <w:rFonts w:ascii="Arial" w:hAnsi="Arial" w:cs="Arial" w:eastAsia="Arial" w:hint="default"/>
          <w:spacing w:val="-3"/>
        </w:rPr>
        <w:t>1,414</w:t>
      </w:r>
      <w:r>
        <w:rPr>
          <w:spacing w:val="-3"/>
        </w:rPr>
        <w:t>吨，其生产所需采购原材料受国内原料价格持续上涨及供应紧</w:t>
      </w:r>
      <w:r>
        <w:rPr>
          <w:spacing w:val="-48"/>
        </w:rPr>
        <w:t> </w:t>
      </w:r>
      <w:r>
        <w:rPr>
          <w:spacing w:val="-48"/>
        </w:rPr>
      </w:r>
      <w:r>
        <w:rPr>
          <w:spacing w:val="-4"/>
        </w:rPr>
        <w:t>张因素影响，部分需采用现金支付方式，</w:t>
      </w:r>
      <w:r>
        <w:rPr>
          <w:rFonts w:ascii="Arial" w:hAnsi="Arial" w:cs="Arial" w:eastAsia="Arial" w:hint="default"/>
          <w:spacing w:val="-4"/>
        </w:rPr>
        <w:t>2010</w:t>
      </w:r>
      <w:r>
        <w:rPr>
          <w:spacing w:val="-4"/>
        </w:rPr>
        <w:t>年采购原材料等支付现金</w:t>
      </w:r>
      <w:r>
        <w:rPr>
          <w:rFonts w:ascii="Arial" w:hAnsi="Arial" w:cs="Arial" w:eastAsia="Arial" w:hint="default"/>
          <w:spacing w:val="-4"/>
        </w:rPr>
        <w:t>2,197</w:t>
      </w:r>
      <w:r>
        <w:rPr>
          <w:spacing w:val="-4"/>
        </w:rPr>
        <w:t>万元，上年同</w:t>
      </w:r>
      <w:r>
        <w:rPr>
          <w:spacing w:val="-47"/>
        </w:rPr>
        <w:t> </w:t>
      </w:r>
      <w:r>
        <w:rPr>
          <w:spacing w:val="-47"/>
        </w:rPr>
      </w:r>
      <w:r>
        <w:rPr/>
        <w:t>期其对应产品均由公司</w:t>
      </w:r>
      <w:r>
        <w:rPr>
          <w:rFonts w:ascii="Arial" w:hAnsi="Arial" w:cs="Arial" w:eastAsia="Arial" w:hint="default"/>
        </w:rPr>
        <w:t>OEM</w:t>
      </w:r>
      <w:r>
        <w:rPr/>
        <w:t>采购，采用银行承兑汇票支付方式。</w:t>
      </w:r>
    </w:p>
    <w:p>
      <w:pPr>
        <w:pStyle w:val="BodyText"/>
        <w:spacing w:line="369" w:lineRule="auto" w:before="31"/>
        <w:ind w:left="297" w:right="295" w:firstLine="482"/>
        <w:jc w:val="both"/>
      </w:pPr>
      <w:r>
        <w:rPr>
          <w:spacing w:val="-1"/>
        </w:rPr>
        <w:t>（</w:t>
      </w:r>
      <w:r>
        <w:rPr>
          <w:rFonts w:ascii="Arial" w:hAnsi="Arial" w:cs="Arial" w:eastAsia="Arial" w:hint="default"/>
          <w:spacing w:val="-1"/>
        </w:rPr>
        <w:t>2</w:t>
      </w:r>
      <w:r>
        <w:rPr>
          <w:spacing w:val="-1"/>
        </w:rPr>
        <w:t>）支付给职工以及为职工支付的现金同比增加</w:t>
      </w:r>
      <w:r>
        <w:rPr>
          <w:rFonts w:ascii="Arial" w:hAnsi="Arial" w:cs="Arial" w:eastAsia="Arial" w:hint="default"/>
          <w:spacing w:val="-1"/>
        </w:rPr>
        <w:t>710</w:t>
      </w:r>
      <w:r>
        <w:rPr>
          <w:spacing w:val="-1"/>
        </w:rPr>
        <w:t>万元，主要是：公司</w:t>
      </w:r>
      <w:r>
        <w:rPr>
          <w:rFonts w:ascii="Arial" w:hAnsi="Arial" w:cs="Arial" w:eastAsia="Arial" w:hint="default"/>
          <w:spacing w:val="-1"/>
        </w:rPr>
        <w:t>2010</w:t>
      </w:r>
      <w:r>
        <w:rPr>
          <w:spacing w:val="-1"/>
        </w:rPr>
        <w:t>年</w:t>
      </w:r>
      <w:r>
        <w:rPr>
          <w:rFonts w:ascii="Arial" w:hAnsi="Arial" w:cs="Arial" w:eastAsia="Arial" w:hint="default"/>
          <w:spacing w:val="-1"/>
        </w:rPr>
        <w:t>4</w:t>
      </w:r>
      <w:r>
        <w:rPr>
          <w:spacing w:val="-1"/>
        </w:rPr>
        <w:t>月</w:t>
      </w:r>
      <w:r>
        <w:rPr>
          <w:w w:val="100"/>
        </w:rPr>
        <w:t> </w:t>
      </w:r>
      <w:r>
        <w:rPr>
          <w:spacing w:val="-1"/>
        </w:rPr>
        <w:t>上市后</w:t>
      </w:r>
      <w:r>
        <w:rPr>
          <w:rFonts w:ascii="Arial" w:hAnsi="Arial" w:cs="Arial" w:eastAsia="Arial" w:hint="default"/>
          <w:spacing w:val="-1"/>
        </w:rPr>
        <w:t>,</w:t>
      </w:r>
      <w:r>
        <w:rPr>
          <w:spacing w:val="-1"/>
        </w:rPr>
        <w:t>为配合募投项目建设、市场渠道建设、提升管理水平、加大研发力量投入，增加相</w:t>
      </w:r>
      <w:r>
        <w:rPr>
          <w:spacing w:val="-82"/>
        </w:rPr>
        <w:t> </w:t>
      </w:r>
      <w:r>
        <w:rPr>
          <w:spacing w:val="-82"/>
        </w:rPr>
      </w:r>
      <w:r>
        <w:rPr>
          <w:spacing w:val="-1"/>
        </w:rPr>
        <w:t>应的管理、建设、生产、销售、研发团队建设，</w:t>
      </w:r>
      <w:r>
        <w:rPr>
          <w:rFonts w:ascii="Arial" w:hAnsi="Arial" w:cs="Arial" w:eastAsia="Arial" w:hint="default"/>
          <w:spacing w:val="-1"/>
        </w:rPr>
        <w:t>2010</w:t>
      </w:r>
      <w:r>
        <w:rPr>
          <w:spacing w:val="-1"/>
        </w:rPr>
        <w:t>年公司职工人事费用支出同比增加所</w:t>
      </w:r>
      <w:r>
        <w:rPr>
          <w:spacing w:val="-64"/>
        </w:rPr>
        <w:t> </w:t>
      </w:r>
      <w:r>
        <w:rPr>
          <w:spacing w:val="-64"/>
        </w:rPr>
      </w:r>
      <w:r>
        <w:rPr/>
        <w:t>致；</w:t>
      </w:r>
    </w:p>
    <w:p>
      <w:pPr>
        <w:pStyle w:val="BodyText"/>
        <w:spacing w:line="240" w:lineRule="auto" w:before="61"/>
        <w:ind w:left="890" w:right="0"/>
        <w:jc w:val="left"/>
      </w:pPr>
      <w:r>
        <w:rPr>
          <w:rFonts w:ascii="Arial" w:hAnsi="Arial" w:cs="Arial" w:eastAsia="Arial" w:hint="default"/>
        </w:rPr>
        <w:t>2010</w:t>
      </w:r>
      <w:r>
        <w:rPr/>
        <w:t>年投资活动现金流量净额</w:t>
      </w:r>
      <w:r>
        <w:rPr>
          <w:rFonts w:ascii="Arial" w:hAnsi="Arial" w:cs="Arial" w:eastAsia="Arial" w:hint="default"/>
        </w:rPr>
        <w:t>-8,913</w:t>
      </w:r>
      <w:r>
        <w:rPr/>
        <w:t>万元，比上年同期增幅</w:t>
      </w:r>
      <w:r>
        <w:rPr>
          <w:rFonts w:ascii="Arial" w:hAnsi="Arial" w:cs="Arial" w:eastAsia="Arial" w:hint="default"/>
        </w:rPr>
        <w:t>108.68%</w:t>
      </w:r>
      <w:r>
        <w:rPr/>
        <w:t>，主要原因是：</w:t>
      </w:r>
    </w:p>
    <w:p>
      <w:pPr>
        <w:pStyle w:val="BodyText"/>
        <w:spacing w:line="240" w:lineRule="auto" w:before="164"/>
        <w:ind w:left="779" w:right="0"/>
        <w:jc w:val="left"/>
      </w:pPr>
      <w:r>
        <w:rPr/>
        <w:t>（</w:t>
      </w:r>
      <w:r>
        <w:rPr>
          <w:rFonts w:ascii="Arial" w:hAnsi="Arial" w:cs="Arial" w:eastAsia="Arial" w:hint="default"/>
        </w:rPr>
        <w:t>1</w:t>
      </w:r>
      <w:r>
        <w:rPr/>
        <w:t>）公司报告期内东营及烟台募投项目建设支出增加所致；</w:t>
      </w:r>
    </w:p>
    <w:p>
      <w:pPr>
        <w:pStyle w:val="BodyText"/>
        <w:spacing w:line="369" w:lineRule="auto" w:before="164"/>
        <w:ind w:left="297" w:right="298" w:firstLine="482"/>
        <w:jc w:val="both"/>
      </w:pPr>
      <w:r>
        <w:rPr>
          <w:spacing w:val="-3"/>
        </w:rPr>
        <w:t>（</w:t>
      </w:r>
      <w:r>
        <w:rPr>
          <w:rFonts w:ascii="Arial" w:hAnsi="Arial" w:cs="Arial" w:eastAsia="Arial" w:hint="default"/>
          <w:spacing w:val="-3"/>
        </w:rPr>
        <w:t>2</w:t>
      </w:r>
      <w:r>
        <w:rPr>
          <w:spacing w:val="-3"/>
        </w:rPr>
        <w:t>）</w:t>
      </w:r>
      <w:r>
        <w:rPr>
          <w:rFonts w:ascii="Arial" w:hAnsi="Arial" w:cs="Arial" w:eastAsia="Arial" w:hint="default"/>
          <w:spacing w:val="-3"/>
        </w:rPr>
        <w:t>2010</w:t>
      </w:r>
      <w:r>
        <w:rPr>
          <w:spacing w:val="-3"/>
        </w:rPr>
        <w:t>年筹资活动现金流量净额</w:t>
      </w:r>
      <w:r>
        <w:rPr>
          <w:rFonts w:ascii="Arial" w:hAnsi="Arial" w:cs="Arial" w:eastAsia="Arial" w:hint="default"/>
          <w:spacing w:val="-3"/>
        </w:rPr>
        <w:t>49,699</w:t>
      </w:r>
      <w:r>
        <w:rPr>
          <w:spacing w:val="-3"/>
        </w:rPr>
        <w:t>万元，比上年同期增幅</w:t>
      </w:r>
      <w:r>
        <w:rPr>
          <w:rFonts w:ascii="Arial" w:hAnsi="Arial" w:cs="Arial" w:eastAsia="Arial" w:hint="default"/>
          <w:spacing w:val="-3"/>
        </w:rPr>
        <w:t>2892.44%</w:t>
      </w:r>
      <w:r>
        <w:rPr>
          <w:spacing w:val="-3"/>
        </w:rPr>
        <w:t>，主要原</w:t>
      </w:r>
      <w:r>
        <w:rPr>
          <w:w w:val="100"/>
        </w:rPr>
        <w:t> </w:t>
      </w:r>
      <w:r>
        <w:rPr/>
        <w:t>因是：公司报告期内首发新股</w:t>
      </w:r>
      <w:r>
        <w:rPr>
          <w:rFonts w:ascii="Arial" w:hAnsi="Arial" w:cs="Arial" w:eastAsia="Arial" w:hint="default"/>
        </w:rPr>
        <w:t>,</w:t>
      </w:r>
      <w:r>
        <w:rPr/>
        <w:t>募集资金</w:t>
      </w:r>
      <w:r>
        <w:rPr>
          <w:rFonts w:ascii="Arial" w:hAnsi="Arial" w:cs="Arial" w:eastAsia="Arial" w:hint="default"/>
        </w:rPr>
        <w:t>52,886</w:t>
      </w:r>
      <w:r>
        <w:rPr/>
        <w:t>万元。</w:t>
      </w:r>
    </w:p>
    <w:p>
      <w:pPr>
        <w:pStyle w:val="Heading3"/>
        <w:spacing w:line="240" w:lineRule="auto" w:before="62"/>
        <w:ind w:left="859" w:right="0"/>
        <w:jc w:val="left"/>
      </w:pPr>
      <w:r>
        <w:rPr>
          <w:rFonts w:ascii="Arial" w:hAnsi="Arial" w:cs="Arial" w:eastAsia="Arial" w:hint="default"/>
          <w:b/>
          <w:bCs/>
        </w:rPr>
        <w:t>4</w:t>
      </w:r>
      <w:r>
        <w:rPr/>
        <w:t>、主要无形资产情况</w:t>
      </w:r>
    </w:p>
    <w:p>
      <w:pPr>
        <w:pStyle w:val="BodyText"/>
        <w:spacing w:line="240" w:lineRule="auto" w:before="207"/>
        <w:ind w:left="736" w:right="0"/>
        <w:jc w:val="left"/>
      </w:pPr>
      <w:r>
        <w:rPr>
          <w:rFonts w:ascii="Arial" w:hAnsi="Arial" w:cs="Arial" w:eastAsia="Arial" w:hint="default"/>
        </w:rPr>
        <w:t>1</w:t>
      </w:r>
      <w:r>
        <w:rPr/>
        <w:t>）土地使用权</w:t>
      </w:r>
    </w:p>
    <w:p>
      <w:pPr>
        <w:pStyle w:val="BodyText"/>
        <w:spacing w:line="369" w:lineRule="auto" w:before="164"/>
        <w:ind w:left="297" w:right="298" w:firstLine="439"/>
        <w:jc w:val="both"/>
      </w:pPr>
      <w:r>
        <w:rPr>
          <w:spacing w:val="-2"/>
        </w:rPr>
        <w:t>（</w:t>
      </w:r>
      <w:r>
        <w:rPr>
          <w:rFonts w:ascii="Arial" w:hAnsi="Arial" w:cs="Arial" w:eastAsia="Arial" w:hint="default"/>
          <w:spacing w:val="-2"/>
        </w:rPr>
        <w:t>1</w:t>
      </w:r>
      <w:r>
        <w:rPr>
          <w:spacing w:val="-2"/>
        </w:rPr>
        <w:t>）烟台安诺其纺织材料有限公司</w:t>
      </w:r>
      <w:r>
        <w:rPr>
          <w:rFonts w:ascii="Arial" w:hAnsi="Arial" w:cs="Arial" w:eastAsia="Arial" w:hint="default"/>
          <w:spacing w:val="-2"/>
        </w:rPr>
        <w:t>2006</w:t>
      </w:r>
      <w:r>
        <w:rPr>
          <w:spacing w:val="-2"/>
        </w:rPr>
        <w:t>年</w:t>
      </w:r>
      <w:r>
        <w:rPr>
          <w:rFonts w:ascii="Arial" w:hAnsi="Arial" w:cs="Arial" w:eastAsia="Arial" w:hint="default"/>
          <w:spacing w:val="-2"/>
        </w:rPr>
        <w:t>8</w:t>
      </w:r>
      <w:r>
        <w:rPr>
          <w:spacing w:val="-2"/>
        </w:rPr>
        <w:t>月</w:t>
      </w:r>
      <w:r>
        <w:rPr>
          <w:rFonts w:ascii="Arial" w:hAnsi="Arial" w:cs="Arial" w:eastAsia="Arial" w:hint="default"/>
          <w:spacing w:val="-2"/>
        </w:rPr>
        <w:t>23</w:t>
      </w:r>
      <w:r>
        <w:rPr>
          <w:spacing w:val="-2"/>
        </w:rPr>
        <w:t>日取得蓬莱市新港街道山北头村工业</w:t>
      </w:r>
      <w:r>
        <w:rPr>
          <w:w w:val="100"/>
        </w:rPr>
        <w:t> </w:t>
      </w:r>
      <w:r>
        <w:rPr/>
        <w:t>用地，土地使用证编号为蓬国用</w:t>
      </w:r>
      <w:r>
        <w:rPr>
          <w:rFonts w:ascii="Arial" w:hAnsi="Arial" w:cs="Arial" w:eastAsia="Arial" w:hint="default"/>
        </w:rPr>
        <w:t>2006</w:t>
      </w:r>
      <w:r>
        <w:rPr/>
        <w:t>第</w:t>
      </w:r>
      <w:r>
        <w:rPr>
          <w:rFonts w:ascii="Arial" w:hAnsi="Arial" w:cs="Arial" w:eastAsia="Arial" w:hint="default"/>
        </w:rPr>
        <w:t>249</w:t>
      </w:r>
      <w:r>
        <w:rPr/>
        <w:t>号，使用面积为</w:t>
      </w:r>
      <w:r>
        <w:rPr>
          <w:rFonts w:ascii="Arial" w:hAnsi="Arial" w:cs="Arial" w:eastAsia="Arial" w:hint="default"/>
        </w:rPr>
        <w:t>35,186</w:t>
      </w:r>
      <w:r>
        <w:rPr/>
        <w:t>平方米，公司支付土地</w:t>
      </w:r>
      <w:r>
        <w:rPr>
          <w:spacing w:val="-56"/>
        </w:rPr>
        <w:t> </w:t>
      </w:r>
      <w:r>
        <w:rPr>
          <w:spacing w:val="-56"/>
        </w:rPr>
      </w:r>
      <w:r>
        <w:rPr/>
        <w:t>出让价格</w:t>
      </w:r>
      <w:r>
        <w:rPr>
          <w:rFonts w:ascii="Arial" w:hAnsi="Arial" w:cs="Arial" w:eastAsia="Arial" w:hint="default"/>
        </w:rPr>
        <w:t>469.88</w:t>
      </w:r>
      <w:r>
        <w:rPr/>
        <w:t>万元，截止到报告期末，摊销后净值为</w:t>
      </w:r>
      <w:r>
        <w:rPr>
          <w:rFonts w:ascii="Arial" w:hAnsi="Arial" w:cs="Arial" w:eastAsia="Arial" w:hint="default"/>
        </w:rPr>
        <w:t>429.89</w:t>
      </w:r>
      <w:r>
        <w:rPr/>
        <w:t>万元。</w:t>
      </w:r>
    </w:p>
    <w:p>
      <w:pPr>
        <w:pStyle w:val="BodyText"/>
        <w:spacing w:line="369" w:lineRule="auto" w:before="31"/>
        <w:ind w:left="297" w:right="298" w:firstLine="439"/>
        <w:jc w:val="both"/>
      </w:pPr>
      <w:r>
        <w:rPr/>
        <w:t>（</w:t>
      </w:r>
      <w:r>
        <w:rPr>
          <w:rFonts w:ascii="Arial" w:hAnsi="Arial" w:cs="Arial" w:eastAsia="Arial" w:hint="default"/>
        </w:rPr>
        <w:t>2</w:t>
      </w:r>
      <w:r>
        <w:rPr/>
        <w:t>）东营安诺其纺织材料有限公司</w:t>
      </w:r>
      <w:r>
        <w:rPr>
          <w:rFonts w:ascii="Arial" w:hAnsi="Arial" w:cs="Arial" w:eastAsia="Arial" w:hint="default"/>
        </w:rPr>
        <w:t>2009</w:t>
      </w:r>
      <w:r>
        <w:rPr/>
        <w:t>年</w:t>
      </w:r>
      <w:r>
        <w:rPr>
          <w:rFonts w:ascii="Arial" w:hAnsi="Arial" w:cs="Arial" w:eastAsia="Arial" w:hint="default"/>
        </w:rPr>
        <w:t>8</w:t>
      </w:r>
      <w:r>
        <w:rPr/>
        <w:t>月</w:t>
      </w:r>
      <w:r>
        <w:rPr>
          <w:rFonts w:ascii="Arial" w:hAnsi="Arial" w:cs="Arial" w:eastAsia="Arial" w:hint="default"/>
        </w:rPr>
        <w:t>4</w:t>
      </w:r>
      <w:r>
        <w:rPr/>
        <w:t>日取得东营河口区工业用地，土地使</w:t>
      </w:r>
      <w:r>
        <w:rPr>
          <w:w w:val="100"/>
        </w:rPr>
        <w:t> </w:t>
      </w:r>
      <w:r>
        <w:rPr>
          <w:spacing w:val="4"/>
        </w:rPr>
        <w:t>用证编号为东河国用</w:t>
      </w:r>
      <w:r>
        <w:rPr>
          <w:rFonts w:ascii="Arial" w:hAnsi="Arial" w:cs="Arial" w:eastAsia="Arial" w:hint="default"/>
          <w:spacing w:val="4"/>
        </w:rPr>
        <w:t>2009</w:t>
      </w:r>
      <w:r>
        <w:rPr>
          <w:spacing w:val="4"/>
        </w:rPr>
        <w:t>第</w:t>
      </w:r>
      <w:r>
        <w:rPr>
          <w:rFonts w:ascii="Arial" w:hAnsi="Arial" w:cs="Arial" w:eastAsia="Arial" w:hint="default"/>
          <w:spacing w:val="4"/>
        </w:rPr>
        <w:t>624</w:t>
      </w:r>
      <w:r>
        <w:rPr>
          <w:spacing w:val="4"/>
        </w:rPr>
        <w:t>号，使用面积为</w:t>
      </w:r>
      <w:r>
        <w:rPr>
          <w:rFonts w:ascii="Arial" w:hAnsi="Arial" w:cs="Arial" w:eastAsia="Arial" w:hint="default"/>
          <w:spacing w:val="4"/>
        </w:rPr>
        <w:t>63,280</w:t>
      </w:r>
      <w:r>
        <w:rPr>
          <w:spacing w:val="4"/>
        </w:rPr>
        <w:t>平方米，公司支付土地出让价格</w:t>
      </w:r>
      <w:r>
        <w:rPr>
          <w:spacing w:val="-17"/>
        </w:rPr>
        <w:t> </w:t>
      </w:r>
      <w:r>
        <w:rPr>
          <w:spacing w:val="-17"/>
        </w:rPr>
      </w:r>
      <w:r>
        <w:rPr>
          <w:rFonts w:ascii="Arial" w:hAnsi="Arial" w:cs="Arial" w:eastAsia="Arial" w:hint="default"/>
        </w:rPr>
        <w:t>833.34</w:t>
      </w:r>
      <w:r>
        <w:rPr/>
        <w:t>万元，截止到报告期末，摊销后净值为</w:t>
      </w:r>
      <w:r>
        <w:rPr>
          <w:rFonts w:ascii="Arial" w:hAnsi="Arial" w:cs="Arial" w:eastAsia="Arial" w:hint="default"/>
        </w:rPr>
        <w:t>809.73</w:t>
      </w:r>
      <w:r>
        <w:rPr/>
        <w:t>万元。</w:t>
      </w:r>
    </w:p>
    <w:p>
      <w:pPr>
        <w:pStyle w:val="BodyText"/>
        <w:spacing w:line="240" w:lineRule="auto" w:before="31"/>
        <w:ind w:left="736" w:right="0"/>
        <w:jc w:val="left"/>
      </w:pPr>
      <w:r>
        <w:rPr>
          <w:rFonts w:ascii="Arial" w:hAnsi="Arial" w:cs="Arial" w:eastAsia="Arial" w:hint="default"/>
        </w:rPr>
        <w:t>2</w:t>
      </w:r>
      <w:r>
        <w:rPr/>
        <w:t>）商标</w:t>
      </w:r>
    </w:p>
    <w:p>
      <w:pPr>
        <w:pStyle w:val="BodyText"/>
        <w:spacing w:line="240" w:lineRule="auto" w:before="164"/>
        <w:ind w:left="736" w:right="0"/>
        <w:jc w:val="left"/>
      </w:pPr>
      <w:r>
        <w:rPr/>
        <w:t>截至报告期末，公司共有注册商标</w:t>
      </w:r>
      <w:r>
        <w:rPr>
          <w:spacing w:val="-58"/>
        </w:rPr>
        <w:t> </w:t>
      </w:r>
      <w:r>
        <w:rPr>
          <w:rFonts w:ascii="Arial" w:hAnsi="Arial" w:cs="Arial" w:eastAsia="Arial" w:hint="default"/>
          <w:spacing w:val="-9"/>
        </w:rPr>
        <w:t>11</w:t>
      </w:r>
      <w:r>
        <w:rPr>
          <w:rFonts w:ascii="Arial" w:hAnsi="Arial" w:cs="Arial" w:eastAsia="Arial" w:hint="default"/>
          <w:spacing w:val="-12"/>
        </w:rPr>
        <w:t> </w:t>
      </w:r>
      <w:r>
        <w:rPr/>
        <w:t>项，</w:t>
      </w:r>
      <w:r>
        <w:rPr>
          <w:rFonts w:ascii="Arial" w:hAnsi="Arial" w:cs="Arial" w:eastAsia="Arial" w:hint="default"/>
        </w:rPr>
        <w:t>16</w:t>
      </w:r>
      <w:r>
        <w:rPr>
          <w:rFonts w:ascii="Arial" w:hAnsi="Arial" w:cs="Arial" w:eastAsia="Arial" w:hint="default"/>
          <w:spacing w:val="-10"/>
        </w:rPr>
        <w:t> </w:t>
      </w:r>
      <w:r>
        <w:rPr/>
        <w:t>项商标注册获得受理，具体情况如下：</w:t>
      </w:r>
    </w:p>
    <w:p>
      <w:pPr>
        <w:spacing w:after="0" w:line="240" w:lineRule="auto"/>
        <w:jc w:val="left"/>
        <w:sectPr>
          <w:pgSz w:w="11900" w:h="16840"/>
          <w:pgMar w:header="877" w:footer="981" w:top="1100" w:bottom="1180" w:left="1500" w:right="1160"/>
        </w:sectPr>
      </w:pPr>
    </w:p>
    <w:p>
      <w:pPr>
        <w:spacing w:line="240" w:lineRule="auto" w:before="8"/>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842"/>
        <w:gridCol w:w="1526"/>
        <w:gridCol w:w="1358"/>
        <w:gridCol w:w="1022"/>
        <w:gridCol w:w="2186"/>
        <w:gridCol w:w="1920"/>
      </w:tblGrid>
      <w:tr>
        <w:trPr>
          <w:trHeight w:val="674" w:hRule="exact"/>
        </w:trPr>
        <w:tc>
          <w:tcPr>
            <w:tcW w:w="8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序号</w:t>
            </w:r>
          </w:p>
        </w:tc>
        <w:tc>
          <w:tcPr>
            <w:tcW w:w="15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注册名称</w:t>
            </w:r>
          </w:p>
        </w:tc>
        <w:tc>
          <w:tcPr>
            <w:tcW w:w="13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注册申请号</w:t>
            </w:r>
          </w:p>
        </w:tc>
        <w:tc>
          <w:tcPr>
            <w:tcW w:w="10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产品类别</w:t>
            </w:r>
          </w:p>
        </w:tc>
        <w:tc>
          <w:tcPr>
            <w:tcW w:w="21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有效期限</w:t>
            </w:r>
          </w:p>
        </w:tc>
        <w:tc>
          <w:tcPr>
            <w:tcW w:w="19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注册证明书核发机构</w:t>
            </w:r>
          </w:p>
        </w:tc>
      </w:tr>
      <w:tr>
        <w:trPr>
          <w:trHeight w:val="977" w:hRule="exact"/>
        </w:trPr>
        <w:tc>
          <w:tcPr>
            <w:tcW w:w="8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
              <w:jc w:val="center"/>
              <w:rPr>
                <w:rFonts w:ascii="Arial" w:hAnsi="Arial" w:cs="Arial" w:eastAsia="Arial" w:hint="default"/>
                <w:sz w:val="18"/>
                <w:szCs w:val="18"/>
              </w:rPr>
            </w:pPr>
            <w:r>
              <w:rPr>
                <w:rFonts w:ascii="Arial"/>
                <w:w w:val="99"/>
                <w:sz w:val="18"/>
              </w:rPr>
              <w:t>1</w:t>
            </w:r>
            <w:r>
              <w:rPr>
                <w:rFonts w:ascii="Arial"/>
                <w:sz w:val="18"/>
              </w:rPr>
            </w:r>
          </w:p>
        </w:tc>
        <w:tc>
          <w:tcPr>
            <w:tcW w:w="15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705" w:lineRule="exact"/>
              <w:ind w:left="304" w:right="0"/>
              <w:jc w:val="left"/>
              <w:rPr>
                <w:rFonts w:ascii="宋体" w:hAnsi="宋体" w:cs="宋体" w:eastAsia="宋体" w:hint="default"/>
                <w:sz w:val="20"/>
                <w:szCs w:val="20"/>
              </w:rPr>
            </w:pPr>
            <w:r>
              <w:rPr>
                <w:rFonts w:ascii="宋体" w:hAnsi="宋体" w:cs="宋体" w:eastAsia="宋体" w:hint="default"/>
                <w:position w:val="-13"/>
                <w:sz w:val="20"/>
                <w:szCs w:val="20"/>
              </w:rPr>
              <w:drawing>
                <wp:inline distT="0" distB="0" distL="0" distR="0">
                  <wp:extent cx="562356" cy="44805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7" cstate="print"/>
                          <a:stretch>
                            <a:fillRect/>
                          </a:stretch>
                        </pic:blipFill>
                        <pic:spPr>
                          <a:xfrm>
                            <a:off x="0" y="0"/>
                            <a:ext cx="562356" cy="448055"/>
                          </a:xfrm>
                          <a:prstGeom prst="rect">
                            <a:avLst/>
                          </a:prstGeom>
                        </pic:spPr>
                      </pic:pic>
                    </a:graphicData>
                  </a:graphic>
                </wp:inline>
              </w:drawing>
            </w:r>
            <w:r>
              <w:rPr>
                <w:rFonts w:ascii="宋体" w:hAnsi="宋体" w:cs="宋体" w:eastAsia="宋体" w:hint="default"/>
                <w:position w:val="-13"/>
                <w:sz w:val="20"/>
                <w:szCs w:val="20"/>
              </w:rPr>
            </w:r>
          </w:p>
        </w:tc>
        <w:tc>
          <w:tcPr>
            <w:tcW w:w="13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 w:right="0"/>
              <w:jc w:val="center"/>
              <w:rPr>
                <w:rFonts w:ascii="Arial" w:hAnsi="Arial" w:cs="Arial" w:eastAsia="Arial" w:hint="default"/>
                <w:sz w:val="18"/>
                <w:szCs w:val="18"/>
              </w:rPr>
            </w:pPr>
            <w:r>
              <w:rPr>
                <w:rFonts w:ascii="Arial"/>
                <w:sz w:val="18"/>
              </w:rPr>
              <w:t>1704061</w:t>
            </w:r>
          </w:p>
        </w:tc>
        <w:tc>
          <w:tcPr>
            <w:tcW w:w="10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0"/>
              <w:jc w:val="center"/>
              <w:rPr>
                <w:rFonts w:ascii="Arial" w:hAnsi="Arial" w:cs="Arial" w:eastAsia="Arial" w:hint="default"/>
                <w:sz w:val="18"/>
                <w:szCs w:val="18"/>
              </w:rPr>
            </w:pPr>
            <w:r>
              <w:rPr>
                <w:rFonts w:ascii="Arial"/>
                <w:w w:val="99"/>
                <w:sz w:val="18"/>
              </w:rPr>
              <w:t>1</w:t>
            </w:r>
            <w:r>
              <w:rPr>
                <w:rFonts w:ascii="Arial"/>
                <w:sz w:val="18"/>
              </w:rPr>
            </w:r>
          </w:p>
        </w:tc>
        <w:tc>
          <w:tcPr>
            <w:tcW w:w="21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Arial" w:hAnsi="Arial" w:cs="Arial" w:eastAsia="Arial" w:hint="default"/>
                <w:sz w:val="18"/>
                <w:szCs w:val="18"/>
              </w:rPr>
            </w:pPr>
            <w:r>
              <w:rPr>
                <w:rFonts w:ascii="Arial" w:hAnsi="Arial" w:cs="Arial" w:eastAsia="Arial" w:hint="default"/>
                <w:sz w:val="18"/>
                <w:szCs w:val="18"/>
              </w:rPr>
              <w:t>20020128</w:t>
            </w:r>
            <w:r>
              <w:rPr>
                <w:rFonts w:ascii="宋体" w:hAnsi="宋体" w:cs="宋体" w:eastAsia="宋体" w:hint="default"/>
                <w:sz w:val="18"/>
                <w:szCs w:val="18"/>
              </w:rPr>
              <w:t>－</w:t>
            </w:r>
            <w:r>
              <w:rPr>
                <w:rFonts w:ascii="Arial" w:hAnsi="Arial" w:cs="Arial" w:eastAsia="Arial" w:hint="default"/>
                <w:sz w:val="18"/>
                <w:szCs w:val="18"/>
              </w:rPr>
              <w:t>20120127</w:t>
            </w:r>
          </w:p>
        </w:tc>
        <w:tc>
          <w:tcPr>
            <w:tcW w:w="19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国家商标局</w:t>
            </w:r>
          </w:p>
        </w:tc>
      </w:tr>
      <w:tr>
        <w:trPr>
          <w:trHeight w:val="974" w:hRule="exact"/>
        </w:trPr>
        <w:tc>
          <w:tcPr>
            <w:tcW w:w="8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
              <w:jc w:val="center"/>
              <w:rPr>
                <w:rFonts w:ascii="Arial" w:hAnsi="Arial" w:cs="Arial" w:eastAsia="Arial" w:hint="default"/>
                <w:sz w:val="18"/>
                <w:szCs w:val="18"/>
              </w:rPr>
            </w:pPr>
            <w:r>
              <w:rPr>
                <w:rFonts w:ascii="Arial"/>
                <w:w w:val="99"/>
                <w:sz w:val="18"/>
              </w:rPr>
              <w:t>2</w:t>
            </w:r>
            <w:r>
              <w:rPr>
                <w:rFonts w:ascii="Arial"/>
                <w:sz w:val="18"/>
              </w:rPr>
            </w:r>
          </w:p>
        </w:tc>
        <w:tc>
          <w:tcPr>
            <w:tcW w:w="15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627" w:lineRule="exact"/>
              <w:ind w:left="331" w:right="0"/>
              <w:jc w:val="left"/>
              <w:rPr>
                <w:rFonts w:ascii="宋体" w:hAnsi="宋体" w:cs="宋体" w:eastAsia="宋体" w:hint="default"/>
                <w:sz w:val="20"/>
                <w:szCs w:val="20"/>
              </w:rPr>
            </w:pPr>
            <w:r>
              <w:rPr>
                <w:rFonts w:ascii="宋体" w:hAnsi="宋体" w:cs="宋体" w:eastAsia="宋体" w:hint="default"/>
                <w:position w:val="-12"/>
                <w:sz w:val="20"/>
                <w:szCs w:val="20"/>
              </w:rPr>
              <w:drawing>
                <wp:inline distT="0" distB="0" distL="0" distR="0">
                  <wp:extent cx="527809" cy="398145"/>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8" cstate="print"/>
                          <a:stretch>
                            <a:fillRect/>
                          </a:stretch>
                        </pic:blipFill>
                        <pic:spPr>
                          <a:xfrm>
                            <a:off x="0" y="0"/>
                            <a:ext cx="527809" cy="398145"/>
                          </a:xfrm>
                          <a:prstGeom prst="rect">
                            <a:avLst/>
                          </a:prstGeom>
                        </pic:spPr>
                      </pic:pic>
                    </a:graphicData>
                  </a:graphic>
                </wp:inline>
              </w:drawing>
            </w:r>
            <w:r>
              <w:rPr>
                <w:rFonts w:ascii="宋体" w:hAnsi="宋体" w:cs="宋体" w:eastAsia="宋体" w:hint="default"/>
                <w:position w:val="-12"/>
                <w:sz w:val="20"/>
                <w:szCs w:val="20"/>
              </w:rPr>
            </w:r>
          </w:p>
        </w:tc>
        <w:tc>
          <w:tcPr>
            <w:tcW w:w="13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 w:right="0"/>
              <w:jc w:val="center"/>
              <w:rPr>
                <w:rFonts w:ascii="Arial" w:hAnsi="Arial" w:cs="Arial" w:eastAsia="Arial" w:hint="default"/>
                <w:sz w:val="18"/>
                <w:szCs w:val="18"/>
              </w:rPr>
            </w:pPr>
            <w:r>
              <w:rPr>
                <w:rFonts w:ascii="Arial"/>
                <w:sz w:val="18"/>
              </w:rPr>
              <w:t>1728250</w:t>
            </w:r>
          </w:p>
        </w:tc>
        <w:tc>
          <w:tcPr>
            <w:tcW w:w="10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0"/>
              <w:jc w:val="center"/>
              <w:rPr>
                <w:rFonts w:ascii="Arial" w:hAnsi="Arial" w:cs="Arial" w:eastAsia="Arial" w:hint="default"/>
                <w:sz w:val="18"/>
                <w:szCs w:val="18"/>
              </w:rPr>
            </w:pPr>
            <w:r>
              <w:rPr>
                <w:rFonts w:ascii="Arial"/>
                <w:w w:val="99"/>
                <w:sz w:val="18"/>
              </w:rPr>
              <w:t>2</w:t>
            </w:r>
            <w:r>
              <w:rPr>
                <w:rFonts w:ascii="Arial"/>
                <w:sz w:val="18"/>
              </w:rPr>
            </w:r>
          </w:p>
        </w:tc>
        <w:tc>
          <w:tcPr>
            <w:tcW w:w="21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Arial" w:hAnsi="Arial" w:cs="Arial" w:eastAsia="Arial" w:hint="default"/>
                <w:sz w:val="18"/>
                <w:szCs w:val="18"/>
              </w:rPr>
            </w:pPr>
            <w:r>
              <w:rPr>
                <w:rFonts w:ascii="Arial" w:hAnsi="Arial" w:cs="Arial" w:eastAsia="Arial" w:hint="default"/>
                <w:sz w:val="18"/>
                <w:szCs w:val="18"/>
              </w:rPr>
              <w:t>20020314</w:t>
            </w:r>
            <w:r>
              <w:rPr>
                <w:rFonts w:ascii="宋体" w:hAnsi="宋体" w:cs="宋体" w:eastAsia="宋体" w:hint="default"/>
                <w:sz w:val="18"/>
                <w:szCs w:val="18"/>
              </w:rPr>
              <w:t>－</w:t>
            </w:r>
            <w:r>
              <w:rPr>
                <w:rFonts w:ascii="Arial" w:hAnsi="Arial" w:cs="Arial" w:eastAsia="Arial" w:hint="default"/>
                <w:sz w:val="18"/>
                <w:szCs w:val="18"/>
              </w:rPr>
              <w:t>20120313</w:t>
            </w:r>
          </w:p>
        </w:tc>
        <w:tc>
          <w:tcPr>
            <w:tcW w:w="19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国家商标局</w:t>
            </w:r>
          </w:p>
        </w:tc>
      </w:tr>
      <w:tr>
        <w:trPr>
          <w:trHeight w:val="974" w:hRule="exact"/>
        </w:trPr>
        <w:tc>
          <w:tcPr>
            <w:tcW w:w="8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
              <w:jc w:val="center"/>
              <w:rPr>
                <w:rFonts w:ascii="Arial" w:hAnsi="Arial" w:cs="Arial" w:eastAsia="Arial" w:hint="default"/>
                <w:sz w:val="18"/>
                <w:szCs w:val="18"/>
              </w:rPr>
            </w:pPr>
            <w:r>
              <w:rPr>
                <w:rFonts w:ascii="Arial"/>
                <w:w w:val="99"/>
                <w:sz w:val="18"/>
              </w:rPr>
              <w:t>3</w:t>
            </w:r>
            <w:r>
              <w:rPr>
                <w:rFonts w:ascii="Arial"/>
                <w:sz w:val="18"/>
              </w:rPr>
            </w:r>
          </w:p>
        </w:tc>
        <w:tc>
          <w:tcPr>
            <w:tcW w:w="15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517" w:lineRule="exact"/>
              <w:ind w:left="254" w:right="0"/>
              <w:jc w:val="left"/>
              <w:rPr>
                <w:rFonts w:ascii="宋体" w:hAnsi="宋体" w:cs="宋体" w:eastAsia="宋体" w:hint="default"/>
                <w:sz w:val="20"/>
                <w:szCs w:val="20"/>
              </w:rPr>
            </w:pPr>
            <w:r>
              <w:rPr>
                <w:rFonts w:ascii="宋体" w:hAnsi="宋体" w:cs="宋体" w:eastAsia="宋体" w:hint="default"/>
                <w:position w:val="-9"/>
                <w:sz w:val="20"/>
                <w:szCs w:val="20"/>
              </w:rPr>
              <w:drawing>
                <wp:inline distT="0" distB="0" distL="0" distR="0">
                  <wp:extent cx="626656" cy="328612"/>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9" cstate="print"/>
                          <a:stretch>
                            <a:fillRect/>
                          </a:stretch>
                        </pic:blipFill>
                        <pic:spPr>
                          <a:xfrm>
                            <a:off x="0" y="0"/>
                            <a:ext cx="626656" cy="328612"/>
                          </a:xfrm>
                          <a:prstGeom prst="rect">
                            <a:avLst/>
                          </a:prstGeom>
                        </pic:spPr>
                      </pic:pic>
                    </a:graphicData>
                  </a:graphic>
                </wp:inline>
              </w:drawing>
            </w:r>
            <w:r>
              <w:rPr>
                <w:rFonts w:ascii="宋体" w:hAnsi="宋体" w:cs="宋体" w:eastAsia="宋体" w:hint="default"/>
                <w:position w:val="-9"/>
                <w:sz w:val="20"/>
                <w:szCs w:val="20"/>
              </w:rPr>
            </w:r>
          </w:p>
          <w:p>
            <w:pPr>
              <w:pStyle w:val="TableParagraph"/>
              <w:spacing w:line="240" w:lineRule="auto" w:before="6"/>
              <w:ind w:right="0"/>
              <w:jc w:val="left"/>
              <w:rPr>
                <w:rFonts w:ascii="宋体" w:hAnsi="宋体" w:cs="宋体" w:eastAsia="宋体" w:hint="default"/>
                <w:sz w:val="16"/>
                <w:szCs w:val="16"/>
              </w:rPr>
            </w:pPr>
          </w:p>
        </w:tc>
        <w:tc>
          <w:tcPr>
            <w:tcW w:w="13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 w:right="0"/>
              <w:jc w:val="center"/>
              <w:rPr>
                <w:rFonts w:ascii="Arial" w:hAnsi="Arial" w:cs="Arial" w:eastAsia="Arial" w:hint="default"/>
                <w:sz w:val="18"/>
                <w:szCs w:val="18"/>
              </w:rPr>
            </w:pPr>
            <w:r>
              <w:rPr>
                <w:rFonts w:ascii="Arial"/>
                <w:sz w:val="18"/>
              </w:rPr>
              <w:t>3687240</w:t>
            </w:r>
          </w:p>
        </w:tc>
        <w:tc>
          <w:tcPr>
            <w:tcW w:w="10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0"/>
              <w:jc w:val="center"/>
              <w:rPr>
                <w:rFonts w:ascii="Arial" w:hAnsi="Arial" w:cs="Arial" w:eastAsia="Arial" w:hint="default"/>
                <w:sz w:val="18"/>
                <w:szCs w:val="18"/>
              </w:rPr>
            </w:pPr>
            <w:r>
              <w:rPr>
                <w:rFonts w:ascii="Arial"/>
                <w:w w:val="99"/>
                <w:sz w:val="18"/>
              </w:rPr>
              <w:t>2</w:t>
            </w:r>
            <w:r>
              <w:rPr>
                <w:rFonts w:ascii="Arial"/>
                <w:sz w:val="18"/>
              </w:rPr>
            </w:r>
          </w:p>
        </w:tc>
        <w:tc>
          <w:tcPr>
            <w:tcW w:w="21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Arial" w:hAnsi="Arial" w:cs="Arial" w:eastAsia="Arial" w:hint="default"/>
                <w:sz w:val="18"/>
                <w:szCs w:val="18"/>
              </w:rPr>
            </w:pPr>
            <w:r>
              <w:rPr>
                <w:rFonts w:ascii="Arial" w:hAnsi="Arial" w:cs="Arial" w:eastAsia="Arial" w:hint="default"/>
                <w:sz w:val="18"/>
                <w:szCs w:val="18"/>
              </w:rPr>
              <w:t>20050607</w:t>
            </w:r>
            <w:r>
              <w:rPr>
                <w:rFonts w:ascii="宋体" w:hAnsi="宋体" w:cs="宋体" w:eastAsia="宋体" w:hint="default"/>
                <w:sz w:val="18"/>
                <w:szCs w:val="18"/>
              </w:rPr>
              <w:t>－</w:t>
            </w:r>
            <w:r>
              <w:rPr>
                <w:rFonts w:ascii="Arial" w:hAnsi="Arial" w:cs="Arial" w:eastAsia="Arial" w:hint="default"/>
                <w:sz w:val="18"/>
                <w:szCs w:val="18"/>
              </w:rPr>
              <w:t>20150606</w:t>
            </w:r>
          </w:p>
        </w:tc>
        <w:tc>
          <w:tcPr>
            <w:tcW w:w="19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国家商标局</w:t>
            </w:r>
          </w:p>
        </w:tc>
      </w:tr>
      <w:tr>
        <w:trPr>
          <w:trHeight w:val="974" w:hRule="exact"/>
        </w:trPr>
        <w:tc>
          <w:tcPr>
            <w:tcW w:w="8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
              <w:jc w:val="center"/>
              <w:rPr>
                <w:rFonts w:ascii="Arial" w:hAnsi="Arial" w:cs="Arial" w:eastAsia="Arial" w:hint="default"/>
                <w:sz w:val="18"/>
                <w:szCs w:val="18"/>
              </w:rPr>
            </w:pPr>
            <w:r>
              <w:rPr>
                <w:rFonts w:ascii="Arial"/>
                <w:w w:val="99"/>
                <w:sz w:val="18"/>
              </w:rPr>
              <w:t>4</w:t>
            </w:r>
            <w:r>
              <w:rPr>
                <w:rFonts w:ascii="Arial"/>
                <w:sz w:val="18"/>
              </w:rPr>
            </w:r>
          </w:p>
        </w:tc>
        <w:tc>
          <w:tcPr>
            <w:tcW w:w="15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526" w:lineRule="exact"/>
              <w:ind w:left="316" w:right="0"/>
              <w:jc w:val="left"/>
              <w:rPr>
                <w:rFonts w:ascii="宋体" w:hAnsi="宋体" w:cs="宋体" w:eastAsia="宋体" w:hint="default"/>
                <w:sz w:val="20"/>
                <w:szCs w:val="20"/>
              </w:rPr>
            </w:pPr>
            <w:r>
              <w:rPr>
                <w:rFonts w:ascii="宋体" w:hAnsi="宋体" w:cs="宋体" w:eastAsia="宋体" w:hint="default"/>
                <w:position w:val="-10"/>
                <w:sz w:val="20"/>
                <w:szCs w:val="20"/>
              </w:rPr>
              <w:drawing>
                <wp:inline distT="0" distB="0" distL="0" distR="0">
                  <wp:extent cx="546059" cy="334041"/>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20" cstate="print"/>
                          <a:stretch>
                            <a:fillRect/>
                          </a:stretch>
                        </pic:blipFill>
                        <pic:spPr>
                          <a:xfrm>
                            <a:off x="0" y="0"/>
                            <a:ext cx="546059" cy="334041"/>
                          </a:xfrm>
                          <a:prstGeom prst="rect">
                            <a:avLst/>
                          </a:prstGeom>
                        </pic:spPr>
                      </pic:pic>
                    </a:graphicData>
                  </a:graphic>
                </wp:inline>
              </w:drawing>
            </w:r>
            <w:r>
              <w:rPr>
                <w:rFonts w:ascii="宋体" w:hAnsi="宋体" w:cs="宋体" w:eastAsia="宋体" w:hint="default"/>
                <w:position w:val="-10"/>
                <w:sz w:val="20"/>
                <w:szCs w:val="20"/>
              </w:rPr>
            </w:r>
          </w:p>
          <w:p>
            <w:pPr>
              <w:pStyle w:val="TableParagraph"/>
              <w:spacing w:line="240" w:lineRule="auto" w:before="1"/>
              <w:ind w:right="0"/>
              <w:jc w:val="left"/>
              <w:rPr>
                <w:rFonts w:ascii="宋体" w:hAnsi="宋体" w:cs="宋体" w:eastAsia="宋体" w:hint="default"/>
                <w:sz w:val="16"/>
                <w:szCs w:val="16"/>
              </w:rPr>
            </w:pPr>
          </w:p>
        </w:tc>
        <w:tc>
          <w:tcPr>
            <w:tcW w:w="13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 w:right="0"/>
              <w:jc w:val="center"/>
              <w:rPr>
                <w:rFonts w:ascii="Arial" w:hAnsi="Arial" w:cs="Arial" w:eastAsia="Arial" w:hint="default"/>
                <w:sz w:val="18"/>
                <w:szCs w:val="18"/>
              </w:rPr>
            </w:pPr>
            <w:r>
              <w:rPr>
                <w:rFonts w:ascii="Arial"/>
                <w:sz w:val="18"/>
              </w:rPr>
              <w:t>1728248</w:t>
            </w:r>
          </w:p>
        </w:tc>
        <w:tc>
          <w:tcPr>
            <w:tcW w:w="10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0"/>
              <w:jc w:val="center"/>
              <w:rPr>
                <w:rFonts w:ascii="Arial" w:hAnsi="Arial" w:cs="Arial" w:eastAsia="Arial" w:hint="default"/>
                <w:sz w:val="18"/>
                <w:szCs w:val="18"/>
              </w:rPr>
            </w:pPr>
            <w:r>
              <w:rPr>
                <w:rFonts w:ascii="Arial"/>
                <w:w w:val="99"/>
                <w:sz w:val="18"/>
              </w:rPr>
              <w:t>2</w:t>
            </w:r>
            <w:r>
              <w:rPr>
                <w:rFonts w:ascii="Arial"/>
                <w:sz w:val="18"/>
              </w:rPr>
            </w:r>
          </w:p>
        </w:tc>
        <w:tc>
          <w:tcPr>
            <w:tcW w:w="21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Arial" w:hAnsi="Arial" w:cs="Arial" w:eastAsia="Arial" w:hint="default"/>
                <w:sz w:val="18"/>
                <w:szCs w:val="18"/>
              </w:rPr>
            </w:pPr>
            <w:r>
              <w:rPr>
                <w:rFonts w:ascii="Arial" w:hAnsi="Arial" w:cs="Arial" w:eastAsia="Arial" w:hint="default"/>
                <w:sz w:val="18"/>
                <w:szCs w:val="18"/>
              </w:rPr>
              <w:t>20020314</w:t>
            </w:r>
            <w:r>
              <w:rPr>
                <w:rFonts w:ascii="宋体" w:hAnsi="宋体" w:cs="宋体" w:eastAsia="宋体" w:hint="default"/>
                <w:sz w:val="18"/>
                <w:szCs w:val="18"/>
              </w:rPr>
              <w:t>－</w:t>
            </w:r>
            <w:r>
              <w:rPr>
                <w:rFonts w:ascii="Arial" w:hAnsi="Arial" w:cs="Arial" w:eastAsia="Arial" w:hint="default"/>
                <w:sz w:val="18"/>
                <w:szCs w:val="18"/>
              </w:rPr>
              <w:t>20120313</w:t>
            </w:r>
          </w:p>
        </w:tc>
        <w:tc>
          <w:tcPr>
            <w:tcW w:w="19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国家商标局</w:t>
            </w:r>
          </w:p>
        </w:tc>
      </w:tr>
      <w:tr>
        <w:trPr>
          <w:trHeight w:val="977" w:hRule="exact"/>
        </w:trPr>
        <w:tc>
          <w:tcPr>
            <w:tcW w:w="8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
              <w:jc w:val="center"/>
              <w:rPr>
                <w:rFonts w:ascii="Arial" w:hAnsi="Arial" w:cs="Arial" w:eastAsia="Arial" w:hint="default"/>
                <w:sz w:val="18"/>
                <w:szCs w:val="18"/>
              </w:rPr>
            </w:pPr>
            <w:r>
              <w:rPr>
                <w:rFonts w:ascii="Arial"/>
                <w:w w:val="99"/>
                <w:sz w:val="18"/>
              </w:rPr>
              <w:t>5</w:t>
            </w:r>
            <w:r>
              <w:rPr>
                <w:rFonts w:ascii="Arial"/>
                <w:sz w:val="18"/>
              </w:rPr>
            </w:r>
          </w:p>
        </w:tc>
        <w:tc>
          <w:tcPr>
            <w:tcW w:w="15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576" w:lineRule="exact"/>
              <w:ind w:left="319" w:right="0"/>
              <w:jc w:val="left"/>
              <w:rPr>
                <w:rFonts w:ascii="宋体" w:hAnsi="宋体" w:cs="宋体" w:eastAsia="宋体" w:hint="default"/>
                <w:sz w:val="20"/>
                <w:szCs w:val="20"/>
              </w:rPr>
            </w:pPr>
            <w:r>
              <w:rPr>
                <w:rFonts w:ascii="宋体" w:hAnsi="宋体" w:cs="宋体" w:eastAsia="宋体" w:hint="default"/>
                <w:position w:val="-11"/>
                <w:sz w:val="20"/>
                <w:szCs w:val="20"/>
              </w:rPr>
              <w:drawing>
                <wp:inline distT="0" distB="0" distL="0" distR="0">
                  <wp:extent cx="542544" cy="365760"/>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21" cstate="print"/>
                          <a:stretch>
                            <a:fillRect/>
                          </a:stretch>
                        </pic:blipFill>
                        <pic:spPr>
                          <a:xfrm>
                            <a:off x="0" y="0"/>
                            <a:ext cx="542544" cy="365760"/>
                          </a:xfrm>
                          <a:prstGeom prst="rect">
                            <a:avLst/>
                          </a:prstGeom>
                        </pic:spPr>
                      </pic:pic>
                    </a:graphicData>
                  </a:graphic>
                </wp:inline>
              </w:drawing>
            </w:r>
            <w:r>
              <w:rPr>
                <w:rFonts w:ascii="宋体" w:hAnsi="宋体" w:cs="宋体" w:eastAsia="宋体" w:hint="default"/>
                <w:position w:val="-11"/>
                <w:sz w:val="20"/>
                <w:szCs w:val="20"/>
              </w:rPr>
            </w:r>
          </w:p>
          <w:p>
            <w:pPr>
              <w:pStyle w:val="TableParagraph"/>
              <w:spacing w:line="240" w:lineRule="auto" w:before="4"/>
              <w:ind w:right="0"/>
              <w:jc w:val="left"/>
              <w:rPr>
                <w:rFonts w:ascii="宋体" w:hAnsi="宋体" w:cs="宋体" w:eastAsia="宋体" w:hint="default"/>
                <w:sz w:val="14"/>
                <w:szCs w:val="14"/>
              </w:rPr>
            </w:pPr>
          </w:p>
        </w:tc>
        <w:tc>
          <w:tcPr>
            <w:tcW w:w="13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 w:right="0"/>
              <w:jc w:val="center"/>
              <w:rPr>
                <w:rFonts w:ascii="Arial" w:hAnsi="Arial" w:cs="Arial" w:eastAsia="Arial" w:hint="default"/>
                <w:sz w:val="18"/>
                <w:szCs w:val="18"/>
              </w:rPr>
            </w:pPr>
            <w:r>
              <w:rPr>
                <w:rFonts w:ascii="Arial"/>
                <w:sz w:val="18"/>
              </w:rPr>
              <w:t>3687239</w:t>
            </w:r>
          </w:p>
        </w:tc>
        <w:tc>
          <w:tcPr>
            <w:tcW w:w="10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0"/>
              <w:jc w:val="center"/>
              <w:rPr>
                <w:rFonts w:ascii="Arial" w:hAnsi="Arial" w:cs="Arial" w:eastAsia="Arial" w:hint="default"/>
                <w:sz w:val="18"/>
                <w:szCs w:val="18"/>
              </w:rPr>
            </w:pPr>
            <w:r>
              <w:rPr>
                <w:rFonts w:ascii="Arial"/>
                <w:w w:val="99"/>
                <w:sz w:val="18"/>
              </w:rPr>
              <w:t>2</w:t>
            </w:r>
            <w:r>
              <w:rPr>
                <w:rFonts w:ascii="Arial"/>
                <w:sz w:val="18"/>
              </w:rPr>
            </w:r>
          </w:p>
        </w:tc>
        <w:tc>
          <w:tcPr>
            <w:tcW w:w="21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Arial" w:hAnsi="Arial" w:cs="Arial" w:eastAsia="Arial" w:hint="default"/>
                <w:sz w:val="18"/>
                <w:szCs w:val="18"/>
              </w:rPr>
            </w:pPr>
            <w:r>
              <w:rPr>
                <w:rFonts w:ascii="Arial" w:hAnsi="Arial" w:cs="Arial" w:eastAsia="Arial" w:hint="default"/>
                <w:sz w:val="18"/>
                <w:szCs w:val="18"/>
              </w:rPr>
              <w:t>20050607</w:t>
            </w:r>
            <w:r>
              <w:rPr>
                <w:rFonts w:ascii="宋体" w:hAnsi="宋体" w:cs="宋体" w:eastAsia="宋体" w:hint="default"/>
                <w:sz w:val="18"/>
                <w:szCs w:val="18"/>
              </w:rPr>
              <w:t>－</w:t>
            </w:r>
            <w:r>
              <w:rPr>
                <w:rFonts w:ascii="Arial" w:hAnsi="Arial" w:cs="Arial" w:eastAsia="Arial" w:hint="default"/>
                <w:sz w:val="18"/>
                <w:szCs w:val="18"/>
              </w:rPr>
              <w:t>20150606</w:t>
            </w:r>
          </w:p>
        </w:tc>
        <w:tc>
          <w:tcPr>
            <w:tcW w:w="19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国家商标局</w:t>
            </w:r>
          </w:p>
        </w:tc>
      </w:tr>
      <w:tr>
        <w:trPr>
          <w:trHeight w:val="974" w:hRule="exact"/>
        </w:trPr>
        <w:tc>
          <w:tcPr>
            <w:tcW w:w="8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
              <w:jc w:val="center"/>
              <w:rPr>
                <w:rFonts w:ascii="Arial" w:hAnsi="Arial" w:cs="Arial" w:eastAsia="Arial" w:hint="default"/>
                <w:sz w:val="18"/>
                <w:szCs w:val="18"/>
              </w:rPr>
            </w:pPr>
            <w:r>
              <w:rPr>
                <w:rFonts w:ascii="Arial"/>
                <w:w w:val="99"/>
                <w:sz w:val="18"/>
              </w:rPr>
              <w:t>6</w:t>
            </w:r>
            <w:r>
              <w:rPr>
                <w:rFonts w:ascii="Arial"/>
                <w:sz w:val="18"/>
              </w:rPr>
            </w:r>
          </w:p>
        </w:tc>
        <w:tc>
          <w:tcPr>
            <w:tcW w:w="15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409" w:lineRule="exact"/>
              <w:ind w:left="292"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577766" cy="259841"/>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22" cstate="print"/>
                          <a:stretch>
                            <a:fillRect/>
                          </a:stretch>
                        </pic:blipFill>
                        <pic:spPr>
                          <a:xfrm>
                            <a:off x="0" y="0"/>
                            <a:ext cx="577766" cy="259841"/>
                          </a:xfrm>
                          <a:prstGeom prst="rect">
                            <a:avLst/>
                          </a:prstGeom>
                        </pic:spPr>
                      </pic:pic>
                    </a:graphicData>
                  </a:graphic>
                </wp:inline>
              </w:drawing>
            </w:r>
            <w:r>
              <w:rPr>
                <w:rFonts w:ascii="宋体" w:hAnsi="宋体" w:cs="宋体" w:eastAsia="宋体" w:hint="default"/>
                <w:position w:val="-7"/>
                <w:sz w:val="20"/>
                <w:szCs w:val="20"/>
              </w:rPr>
            </w:r>
          </w:p>
          <w:p>
            <w:pPr>
              <w:pStyle w:val="TableParagraph"/>
              <w:spacing w:line="240" w:lineRule="auto" w:before="8"/>
              <w:ind w:right="0"/>
              <w:jc w:val="left"/>
              <w:rPr>
                <w:rFonts w:ascii="宋体" w:hAnsi="宋体" w:cs="宋体" w:eastAsia="宋体" w:hint="default"/>
                <w:sz w:val="20"/>
                <w:szCs w:val="20"/>
              </w:rPr>
            </w:pPr>
          </w:p>
        </w:tc>
        <w:tc>
          <w:tcPr>
            <w:tcW w:w="13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 w:right="0"/>
              <w:jc w:val="center"/>
              <w:rPr>
                <w:rFonts w:ascii="Arial" w:hAnsi="Arial" w:cs="Arial" w:eastAsia="Arial" w:hint="default"/>
                <w:sz w:val="18"/>
                <w:szCs w:val="18"/>
              </w:rPr>
            </w:pPr>
            <w:r>
              <w:rPr>
                <w:rFonts w:ascii="Arial"/>
                <w:sz w:val="18"/>
              </w:rPr>
              <w:t>3687250</w:t>
            </w:r>
          </w:p>
        </w:tc>
        <w:tc>
          <w:tcPr>
            <w:tcW w:w="10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0"/>
              <w:jc w:val="center"/>
              <w:rPr>
                <w:rFonts w:ascii="Arial" w:hAnsi="Arial" w:cs="Arial" w:eastAsia="Arial" w:hint="default"/>
                <w:sz w:val="18"/>
                <w:szCs w:val="18"/>
              </w:rPr>
            </w:pPr>
            <w:r>
              <w:rPr>
                <w:rFonts w:ascii="Arial"/>
                <w:w w:val="99"/>
                <w:sz w:val="18"/>
              </w:rPr>
              <w:t>2</w:t>
            </w:r>
            <w:r>
              <w:rPr>
                <w:rFonts w:ascii="Arial"/>
                <w:sz w:val="18"/>
              </w:rPr>
            </w:r>
          </w:p>
        </w:tc>
        <w:tc>
          <w:tcPr>
            <w:tcW w:w="21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Arial" w:hAnsi="Arial" w:cs="Arial" w:eastAsia="Arial" w:hint="default"/>
                <w:sz w:val="18"/>
                <w:szCs w:val="18"/>
              </w:rPr>
            </w:pPr>
            <w:r>
              <w:rPr>
                <w:rFonts w:ascii="Arial" w:hAnsi="Arial" w:cs="Arial" w:eastAsia="Arial" w:hint="default"/>
                <w:sz w:val="18"/>
                <w:szCs w:val="18"/>
              </w:rPr>
              <w:t>20050607</w:t>
            </w:r>
            <w:r>
              <w:rPr>
                <w:rFonts w:ascii="宋体" w:hAnsi="宋体" w:cs="宋体" w:eastAsia="宋体" w:hint="default"/>
                <w:sz w:val="18"/>
                <w:szCs w:val="18"/>
              </w:rPr>
              <w:t>－</w:t>
            </w:r>
            <w:r>
              <w:rPr>
                <w:rFonts w:ascii="Arial" w:hAnsi="Arial" w:cs="Arial" w:eastAsia="Arial" w:hint="default"/>
                <w:sz w:val="18"/>
                <w:szCs w:val="18"/>
              </w:rPr>
              <w:t>20150606</w:t>
            </w:r>
          </w:p>
        </w:tc>
        <w:tc>
          <w:tcPr>
            <w:tcW w:w="19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国家商标局</w:t>
            </w:r>
          </w:p>
        </w:tc>
      </w:tr>
      <w:tr>
        <w:trPr>
          <w:trHeight w:val="974" w:hRule="exact"/>
        </w:trPr>
        <w:tc>
          <w:tcPr>
            <w:tcW w:w="8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
              <w:jc w:val="center"/>
              <w:rPr>
                <w:rFonts w:ascii="Arial" w:hAnsi="Arial" w:cs="Arial" w:eastAsia="Arial" w:hint="default"/>
                <w:sz w:val="18"/>
                <w:szCs w:val="18"/>
              </w:rPr>
            </w:pPr>
            <w:r>
              <w:rPr>
                <w:rFonts w:ascii="Arial"/>
                <w:w w:val="99"/>
                <w:sz w:val="18"/>
              </w:rPr>
              <w:t>7</w:t>
            </w:r>
            <w:r>
              <w:rPr>
                <w:rFonts w:ascii="Arial"/>
                <w:sz w:val="18"/>
              </w:rPr>
            </w:r>
          </w:p>
        </w:tc>
        <w:tc>
          <w:tcPr>
            <w:tcW w:w="15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518" w:lineRule="exact"/>
              <w:ind w:left="247" w:right="0"/>
              <w:jc w:val="left"/>
              <w:rPr>
                <w:rFonts w:ascii="宋体" w:hAnsi="宋体" w:cs="宋体" w:eastAsia="宋体" w:hint="default"/>
                <w:sz w:val="20"/>
                <w:szCs w:val="20"/>
              </w:rPr>
            </w:pPr>
            <w:r>
              <w:rPr>
                <w:rFonts w:ascii="宋体" w:hAnsi="宋体" w:cs="宋体" w:eastAsia="宋体" w:hint="default"/>
                <w:position w:val="-9"/>
                <w:sz w:val="20"/>
                <w:szCs w:val="20"/>
              </w:rPr>
              <w:drawing>
                <wp:inline distT="0" distB="0" distL="0" distR="0">
                  <wp:extent cx="635507" cy="329184"/>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23" cstate="print"/>
                          <a:stretch>
                            <a:fillRect/>
                          </a:stretch>
                        </pic:blipFill>
                        <pic:spPr>
                          <a:xfrm>
                            <a:off x="0" y="0"/>
                            <a:ext cx="635507" cy="329184"/>
                          </a:xfrm>
                          <a:prstGeom prst="rect">
                            <a:avLst/>
                          </a:prstGeom>
                        </pic:spPr>
                      </pic:pic>
                    </a:graphicData>
                  </a:graphic>
                </wp:inline>
              </w:drawing>
            </w:r>
            <w:r>
              <w:rPr>
                <w:rFonts w:ascii="宋体" w:hAnsi="宋体" w:cs="宋体" w:eastAsia="宋体" w:hint="default"/>
                <w:position w:val="-9"/>
                <w:sz w:val="20"/>
                <w:szCs w:val="20"/>
              </w:rPr>
            </w:r>
          </w:p>
          <w:p>
            <w:pPr>
              <w:pStyle w:val="TableParagraph"/>
              <w:spacing w:line="240" w:lineRule="auto" w:before="5"/>
              <w:ind w:right="0"/>
              <w:jc w:val="left"/>
              <w:rPr>
                <w:rFonts w:ascii="宋体" w:hAnsi="宋体" w:cs="宋体" w:eastAsia="宋体" w:hint="default"/>
                <w:sz w:val="16"/>
                <w:szCs w:val="16"/>
              </w:rPr>
            </w:pPr>
          </w:p>
        </w:tc>
        <w:tc>
          <w:tcPr>
            <w:tcW w:w="13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 w:right="0"/>
              <w:jc w:val="center"/>
              <w:rPr>
                <w:rFonts w:ascii="Arial" w:hAnsi="Arial" w:cs="Arial" w:eastAsia="Arial" w:hint="default"/>
                <w:sz w:val="18"/>
                <w:szCs w:val="18"/>
              </w:rPr>
            </w:pPr>
            <w:r>
              <w:rPr>
                <w:rFonts w:ascii="Arial"/>
                <w:sz w:val="18"/>
              </w:rPr>
              <w:t>3687249</w:t>
            </w:r>
          </w:p>
        </w:tc>
        <w:tc>
          <w:tcPr>
            <w:tcW w:w="10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0"/>
              <w:jc w:val="center"/>
              <w:rPr>
                <w:rFonts w:ascii="Arial" w:hAnsi="Arial" w:cs="Arial" w:eastAsia="Arial" w:hint="default"/>
                <w:sz w:val="18"/>
                <w:szCs w:val="18"/>
              </w:rPr>
            </w:pPr>
            <w:r>
              <w:rPr>
                <w:rFonts w:ascii="Arial"/>
                <w:w w:val="99"/>
                <w:sz w:val="18"/>
              </w:rPr>
              <w:t>2</w:t>
            </w:r>
            <w:r>
              <w:rPr>
                <w:rFonts w:ascii="Arial"/>
                <w:sz w:val="18"/>
              </w:rPr>
            </w:r>
          </w:p>
        </w:tc>
        <w:tc>
          <w:tcPr>
            <w:tcW w:w="21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Arial" w:hAnsi="Arial" w:cs="Arial" w:eastAsia="Arial" w:hint="default"/>
                <w:sz w:val="18"/>
                <w:szCs w:val="18"/>
              </w:rPr>
            </w:pPr>
            <w:r>
              <w:rPr>
                <w:rFonts w:ascii="Arial" w:hAnsi="Arial" w:cs="Arial" w:eastAsia="Arial" w:hint="default"/>
                <w:sz w:val="18"/>
                <w:szCs w:val="18"/>
              </w:rPr>
              <w:t>20050607</w:t>
            </w:r>
            <w:r>
              <w:rPr>
                <w:rFonts w:ascii="宋体" w:hAnsi="宋体" w:cs="宋体" w:eastAsia="宋体" w:hint="default"/>
                <w:sz w:val="18"/>
                <w:szCs w:val="18"/>
              </w:rPr>
              <w:t>－</w:t>
            </w:r>
            <w:r>
              <w:rPr>
                <w:rFonts w:ascii="Arial" w:hAnsi="Arial" w:cs="Arial" w:eastAsia="Arial" w:hint="default"/>
                <w:sz w:val="18"/>
                <w:szCs w:val="18"/>
              </w:rPr>
              <w:t>20150606</w:t>
            </w:r>
          </w:p>
        </w:tc>
        <w:tc>
          <w:tcPr>
            <w:tcW w:w="19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国家商标局</w:t>
            </w:r>
          </w:p>
        </w:tc>
      </w:tr>
      <w:tr>
        <w:trPr>
          <w:trHeight w:val="974" w:hRule="exact"/>
        </w:trPr>
        <w:tc>
          <w:tcPr>
            <w:tcW w:w="8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
              <w:jc w:val="center"/>
              <w:rPr>
                <w:rFonts w:ascii="Arial" w:hAnsi="Arial" w:cs="Arial" w:eastAsia="Arial" w:hint="default"/>
                <w:sz w:val="18"/>
                <w:szCs w:val="18"/>
              </w:rPr>
            </w:pPr>
            <w:r>
              <w:rPr>
                <w:rFonts w:ascii="Arial"/>
                <w:w w:val="99"/>
                <w:sz w:val="18"/>
              </w:rPr>
              <w:t>8</w:t>
            </w:r>
            <w:r>
              <w:rPr>
                <w:rFonts w:ascii="Arial"/>
                <w:sz w:val="18"/>
              </w:rPr>
            </w:r>
          </w:p>
        </w:tc>
        <w:tc>
          <w:tcPr>
            <w:tcW w:w="15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589" w:lineRule="exact"/>
              <w:ind w:left="273" w:right="0"/>
              <w:jc w:val="left"/>
              <w:rPr>
                <w:rFonts w:ascii="宋体" w:hAnsi="宋体" w:cs="宋体" w:eastAsia="宋体" w:hint="default"/>
                <w:sz w:val="20"/>
                <w:szCs w:val="20"/>
              </w:rPr>
            </w:pPr>
            <w:r>
              <w:rPr>
                <w:rFonts w:ascii="宋体" w:hAnsi="宋体" w:cs="宋体" w:eastAsia="宋体" w:hint="default"/>
                <w:position w:val="-11"/>
                <w:sz w:val="20"/>
                <w:szCs w:val="20"/>
              </w:rPr>
              <w:drawing>
                <wp:inline distT="0" distB="0" distL="0" distR="0">
                  <wp:extent cx="599998" cy="374618"/>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24" cstate="print"/>
                          <a:stretch>
                            <a:fillRect/>
                          </a:stretch>
                        </pic:blipFill>
                        <pic:spPr>
                          <a:xfrm>
                            <a:off x="0" y="0"/>
                            <a:ext cx="599998" cy="374618"/>
                          </a:xfrm>
                          <a:prstGeom prst="rect">
                            <a:avLst/>
                          </a:prstGeom>
                        </pic:spPr>
                      </pic:pic>
                    </a:graphicData>
                  </a:graphic>
                </wp:inline>
              </w:drawing>
            </w:r>
            <w:r>
              <w:rPr>
                <w:rFonts w:ascii="宋体" w:hAnsi="宋体" w:cs="宋体" w:eastAsia="宋体" w:hint="default"/>
                <w:position w:val="-11"/>
                <w:sz w:val="20"/>
                <w:szCs w:val="20"/>
              </w:rPr>
            </w:r>
          </w:p>
        </w:tc>
        <w:tc>
          <w:tcPr>
            <w:tcW w:w="13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 w:right="0"/>
              <w:jc w:val="center"/>
              <w:rPr>
                <w:rFonts w:ascii="Arial" w:hAnsi="Arial" w:cs="Arial" w:eastAsia="Arial" w:hint="default"/>
                <w:sz w:val="18"/>
                <w:szCs w:val="18"/>
              </w:rPr>
            </w:pPr>
            <w:r>
              <w:rPr>
                <w:rFonts w:ascii="Arial"/>
                <w:sz w:val="18"/>
              </w:rPr>
              <w:t>1728249</w:t>
            </w:r>
          </w:p>
        </w:tc>
        <w:tc>
          <w:tcPr>
            <w:tcW w:w="10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0"/>
              <w:jc w:val="center"/>
              <w:rPr>
                <w:rFonts w:ascii="Arial" w:hAnsi="Arial" w:cs="Arial" w:eastAsia="Arial" w:hint="default"/>
                <w:sz w:val="18"/>
                <w:szCs w:val="18"/>
              </w:rPr>
            </w:pPr>
            <w:r>
              <w:rPr>
                <w:rFonts w:ascii="Arial"/>
                <w:w w:val="99"/>
                <w:sz w:val="18"/>
              </w:rPr>
              <w:t>2</w:t>
            </w:r>
            <w:r>
              <w:rPr>
                <w:rFonts w:ascii="Arial"/>
                <w:sz w:val="18"/>
              </w:rPr>
            </w:r>
          </w:p>
        </w:tc>
        <w:tc>
          <w:tcPr>
            <w:tcW w:w="21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Arial" w:hAnsi="Arial" w:cs="Arial" w:eastAsia="Arial" w:hint="default"/>
                <w:sz w:val="18"/>
                <w:szCs w:val="18"/>
              </w:rPr>
            </w:pPr>
            <w:r>
              <w:rPr>
                <w:rFonts w:ascii="Arial" w:hAnsi="Arial" w:cs="Arial" w:eastAsia="Arial" w:hint="default"/>
                <w:sz w:val="18"/>
                <w:szCs w:val="18"/>
              </w:rPr>
              <w:t>20020314</w:t>
            </w:r>
            <w:r>
              <w:rPr>
                <w:rFonts w:ascii="宋体" w:hAnsi="宋体" w:cs="宋体" w:eastAsia="宋体" w:hint="default"/>
                <w:sz w:val="18"/>
                <w:szCs w:val="18"/>
              </w:rPr>
              <w:t>－</w:t>
            </w:r>
            <w:r>
              <w:rPr>
                <w:rFonts w:ascii="Arial" w:hAnsi="Arial" w:cs="Arial" w:eastAsia="Arial" w:hint="default"/>
                <w:sz w:val="18"/>
                <w:szCs w:val="18"/>
              </w:rPr>
              <w:t>20120313</w:t>
            </w:r>
          </w:p>
        </w:tc>
        <w:tc>
          <w:tcPr>
            <w:tcW w:w="19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国家商标局</w:t>
            </w:r>
          </w:p>
        </w:tc>
      </w:tr>
      <w:tr>
        <w:trPr>
          <w:trHeight w:val="977" w:hRule="exact"/>
        </w:trPr>
        <w:tc>
          <w:tcPr>
            <w:tcW w:w="8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
              <w:jc w:val="center"/>
              <w:rPr>
                <w:rFonts w:ascii="Arial" w:hAnsi="Arial" w:cs="Arial" w:eastAsia="Arial" w:hint="default"/>
                <w:sz w:val="18"/>
                <w:szCs w:val="18"/>
              </w:rPr>
            </w:pPr>
            <w:r>
              <w:rPr>
                <w:rFonts w:ascii="Arial"/>
                <w:w w:val="99"/>
                <w:sz w:val="18"/>
              </w:rPr>
              <w:t>9</w:t>
            </w:r>
            <w:r>
              <w:rPr>
                <w:rFonts w:ascii="Arial"/>
                <w:sz w:val="18"/>
              </w:rPr>
            </w:r>
          </w:p>
        </w:tc>
        <w:tc>
          <w:tcPr>
            <w:tcW w:w="15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594" w:lineRule="exact"/>
              <w:ind w:left="309" w:right="0"/>
              <w:jc w:val="left"/>
              <w:rPr>
                <w:rFonts w:ascii="宋体" w:hAnsi="宋体" w:cs="宋体" w:eastAsia="宋体" w:hint="default"/>
                <w:sz w:val="20"/>
                <w:szCs w:val="20"/>
              </w:rPr>
            </w:pPr>
            <w:r>
              <w:rPr>
                <w:rFonts w:ascii="宋体" w:hAnsi="宋体" w:cs="宋体" w:eastAsia="宋体" w:hint="default"/>
                <w:position w:val="-11"/>
                <w:sz w:val="20"/>
                <w:szCs w:val="20"/>
              </w:rPr>
              <w:drawing>
                <wp:inline distT="0" distB="0" distL="0" distR="0">
                  <wp:extent cx="555138" cy="377189"/>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25" cstate="print"/>
                          <a:stretch>
                            <a:fillRect/>
                          </a:stretch>
                        </pic:blipFill>
                        <pic:spPr>
                          <a:xfrm>
                            <a:off x="0" y="0"/>
                            <a:ext cx="555138" cy="377189"/>
                          </a:xfrm>
                          <a:prstGeom prst="rect">
                            <a:avLst/>
                          </a:prstGeom>
                        </pic:spPr>
                      </pic:pic>
                    </a:graphicData>
                  </a:graphic>
                </wp:inline>
              </w:drawing>
            </w:r>
            <w:r>
              <w:rPr>
                <w:rFonts w:ascii="宋体" w:hAnsi="宋体" w:cs="宋体" w:eastAsia="宋体" w:hint="default"/>
                <w:position w:val="-11"/>
                <w:sz w:val="20"/>
                <w:szCs w:val="20"/>
              </w:rPr>
            </w:r>
          </w:p>
        </w:tc>
        <w:tc>
          <w:tcPr>
            <w:tcW w:w="13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 w:right="0"/>
              <w:jc w:val="center"/>
              <w:rPr>
                <w:rFonts w:ascii="Arial" w:hAnsi="Arial" w:cs="Arial" w:eastAsia="Arial" w:hint="default"/>
                <w:sz w:val="18"/>
                <w:szCs w:val="18"/>
              </w:rPr>
            </w:pPr>
            <w:r>
              <w:rPr>
                <w:rFonts w:ascii="Arial"/>
                <w:sz w:val="18"/>
              </w:rPr>
              <w:t>4346597</w:t>
            </w:r>
          </w:p>
        </w:tc>
        <w:tc>
          <w:tcPr>
            <w:tcW w:w="10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0"/>
              <w:jc w:val="center"/>
              <w:rPr>
                <w:rFonts w:ascii="Arial" w:hAnsi="Arial" w:cs="Arial" w:eastAsia="Arial" w:hint="default"/>
                <w:sz w:val="18"/>
                <w:szCs w:val="18"/>
              </w:rPr>
            </w:pPr>
            <w:r>
              <w:rPr>
                <w:rFonts w:ascii="Arial"/>
                <w:w w:val="99"/>
                <w:sz w:val="18"/>
              </w:rPr>
              <w:t>1</w:t>
            </w:r>
            <w:r>
              <w:rPr>
                <w:rFonts w:ascii="Arial"/>
                <w:sz w:val="18"/>
              </w:rPr>
            </w:r>
          </w:p>
        </w:tc>
        <w:tc>
          <w:tcPr>
            <w:tcW w:w="21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0"/>
              <w:jc w:val="center"/>
              <w:rPr>
                <w:rFonts w:ascii="Arial" w:hAnsi="Arial" w:cs="Arial" w:eastAsia="Arial" w:hint="default"/>
                <w:sz w:val="18"/>
                <w:szCs w:val="18"/>
              </w:rPr>
            </w:pPr>
            <w:r>
              <w:rPr>
                <w:rFonts w:ascii="Arial"/>
                <w:sz w:val="18"/>
              </w:rPr>
              <w:t>20080107-20180106</w:t>
            </w:r>
          </w:p>
        </w:tc>
        <w:tc>
          <w:tcPr>
            <w:tcW w:w="19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国家商标局</w:t>
            </w:r>
          </w:p>
        </w:tc>
      </w:tr>
      <w:tr>
        <w:trPr>
          <w:trHeight w:val="974" w:hRule="exact"/>
        </w:trPr>
        <w:tc>
          <w:tcPr>
            <w:tcW w:w="8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
              <w:jc w:val="center"/>
              <w:rPr>
                <w:rFonts w:ascii="Arial" w:hAnsi="Arial" w:cs="Arial" w:eastAsia="Arial" w:hint="default"/>
                <w:sz w:val="18"/>
                <w:szCs w:val="18"/>
              </w:rPr>
            </w:pPr>
            <w:r>
              <w:rPr>
                <w:rFonts w:ascii="Arial"/>
                <w:sz w:val="18"/>
              </w:rPr>
              <w:t>10</w:t>
            </w:r>
          </w:p>
        </w:tc>
        <w:tc>
          <w:tcPr>
            <w:tcW w:w="15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611" w:lineRule="exact"/>
              <w:ind w:left="273" w:right="0"/>
              <w:jc w:val="left"/>
              <w:rPr>
                <w:rFonts w:ascii="宋体" w:hAnsi="宋体" w:cs="宋体" w:eastAsia="宋体" w:hint="default"/>
                <w:sz w:val="20"/>
                <w:szCs w:val="20"/>
              </w:rPr>
            </w:pPr>
            <w:r>
              <w:rPr>
                <w:rFonts w:ascii="宋体" w:hAnsi="宋体" w:cs="宋体" w:eastAsia="宋体" w:hint="default"/>
                <w:position w:val="-11"/>
                <w:sz w:val="20"/>
                <w:szCs w:val="20"/>
              </w:rPr>
              <w:drawing>
                <wp:inline distT="0" distB="0" distL="0" distR="0">
                  <wp:extent cx="601537" cy="388334"/>
                  <wp:effectExtent l="0" t="0" r="0" b="0"/>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26" cstate="print"/>
                          <a:stretch>
                            <a:fillRect/>
                          </a:stretch>
                        </pic:blipFill>
                        <pic:spPr>
                          <a:xfrm>
                            <a:off x="0" y="0"/>
                            <a:ext cx="601537" cy="388334"/>
                          </a:xfrm>
                          <a:prstGeom prst="rect">
                            <a:avLst/>
                          </a:prstGeom>
                        </pic:spPr>
                      </pic:pic>
                    </a:graphicData>
                  </a:graphic>
                </wp:inline>
              </w:drawing>
            </w:r>
            <w:r>
              <w:rPr>
                <w:rFonts w:ascii="宋体" w:hAnsi="宋体" w:cs="宋体" w:eastAsia="宋体" w:hint="default"/>
                <w:position w:val="-11"/>
                <w:sz w:val="20"/>
                <w:szCs w:val="20"/>
              </w:rPr>
            </w:r>
          </w:p>
        </w:tc>
        <w:tc>
          <w:tcPr>
            <w:tcW w:w="13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 w:right="0"/>
              <w:jc w:val="center"/>
              <w:rPr>
                <w:rFonts w:ascii="Arial" w:hAnsi="Arial" w:cs="Arial" w:eastAsia="Arial" w:hint="default"/>
                <w:sz w:val="18"/>
                <w:szCs w:val="18"/>
              </w:rPr>
            </w:pPr>
            <w:r>
              <w:rPr>
                <w:rFonts w:ascii="Arial"/>
                <w:sz w:val="18"/>
              </w:rPr>
              <w:t>5606432</w:t>
            </w:r>
          </w:p>
        </w:tc>
        <w:tc>
          <w:tcPr>
            <w:tcW w:w="10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0"/>
              <w:jc w:val="center"/>
              <w:rPr>
                <w:rFonts w:ascii="Arial" w:hAnsi="Arial" w:cs="Arial" w:eastAsia="Arial" w:hint="default"/>
                <w:sz w:val="18"/>
                <w:szCs w:val="18"/>
              </w:rPr>
            </w:pPr>
            <w:r>
              <w:rPr>
                <w:rFonts w:ascii="Arial"/>
                <w:w w:val="99"/>
                <w:sz w:val="18"/>
              </w:rPr>
              <w:t>2</w:t>
            </w:r>
            <w:r>
              <w:rPr>
                <w:rFonts w:ascii="Arial"/>
                <w:sz w:val="18"/>
              </w:rPr>
            </w:r>
          </w:p>
        </w:tc>
        <w:tc>
          <w:tcPr>
            <w:tcW w:w="21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0"/>
              <w:jc w:val="center"/>
              <w:rPr>
                <w:rFonts w:ascii="Arial" w:hAnsi="Arial" w:cs="Arial" w:eastAsia="Arial" w:hint="default"/>
                <w:sz w:val="18"/>
                <w:szCs w:val="18"/>
              </w:rPr>
            </w:pPr>
            <w:r>
              <w:rPr>
                <w:rFonts w:ascii="Arial"/>
                <w:sz w:val="18"/>
              </w:rPr>
              <w:t>20091028-20191027</w:t>
            </w:r>
          </w:p>
        </w:tc>
        <w:tc>
          <w:tcPr>
            <w:tcW w:w="19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国家商标局</w:t>
            </w:r>
          </w:p>
        </w:tc>
      </w:tr>
      <w:tr>
        <w:trPr>
          <w:trHeight w:val="974" w:hRule="exact"/>
        </w:trPr>
        <w:tc>
          <w:tcPr>
            <w:tcW w:w="8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
              <w:jc w:val="center"/>
              <w:rPr>
                <w:rFonts w:ascii="Arial" w:hAnsi="Arial" w:cs="Arial" w:eastAsia="Arial" w:hint="default"/>
                <w:sz w:val="18"/>
                <w:szCs w:val="18"/>
              </w:rPr>
            </w:pPr>
            <w:r>
              <w:rPr>
                <w:rFonts w:ascii="Arial"/>
                <w:sz w:val="18"/>
              </w:rPr>
              <w:t>11</w:t>
            </w:r>
          </w:p>
        </w:tc>
        <w:tc>
          <w:tcPr>
            <w:tcW w:w="15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611" w:lineRule="exact"/>
              <w:ind w:left="297" w:right="0"/>
              <w:jc w:val="left"/>
              <w:rPr>
                <w:rFonts w:ascii="宋体" w:hAnsi="宋体" w:cs="宋体" w:eastAsia="宋体" w:hint="default"/>
                <w:sz w:val="20"/>
                <w:szCs w:val="20"/>
              </w:rPr>
            </w:pPr>
            <w:r>
              <w:rPr>
                <w:rFonts w:ascii="宋体" w:hAnsi="宋体" w:cs="宋体" w:eastAsia="宋体" w:hint="default"/>
                <w:position w:val="-11"/>
                <w:sz w:val="20"/>
                <w:szCs w:val="20"/>
              </w:rPr>
              <w:drawing>
                <wp:inline distT="0" distB="0" distL="0" distR="0">
                  <wp:extent cx="570799" cy="388143"/>
                  <wp:effectExtent l="0" t="0" r="0" b="0"/>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27" cstate="print"/>
                          <a:stretch>
                            <a:fillRect/>
                          </a:stretch>
                        </pic:blipFill>
                        <pic:spPr>
                          <a:xfrm>
                            <a:off x="0" y="0"/>
                            <a:ext cx="570799" cy="388143"/>
                          </a:xfrm>
                          <a:prstGeom prst="rect">
                            <a:avLst/>
                          </a:prstGeom>
                        </pic:spPr>
                      </pic:pic>
                    </a:graphicData>
                  </a:graphic>
                </wp:inline>
              </w:drawing>
            </w:r>
            <w:r>
              <w:rPr>
                <w:rFonts w:ascii="宋体" w:hAnsi="宋体" w:cs="宋体" w:eastAsia="宋体" w:hint="default"/>
                <w:position w:val="-11"/>
                <w:sz w:val="20"/>
                <w:szCs w:val="20"/>
              </w:rPr>
            </w:r>
          </w:p>
        </w:tc>
        <w:tc>
          <w:tcPr>
            <w:tcW w:w="13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 w:right="0"/>
              <w:jc w:val="center"/>
              <w:rPr>
                <w:rFonts w:ascii="Arial" w:hAnsi="Arial" w:cs="Arial" w:eastAsia="Arial" w:hint="default"/>
                <w:sz w:val="18"/>
                <w:szCs w:val="18"/>
              </w:rPr>
            </w:pPr>
            <w:r>
              <w:rPr>
                <w:rFonts w:ascii="Arial"/>
                <w:sz w:val="18"/>
              </w:rPr>
              <w:t>5606433</w:t>
            </w:r>
          </w:p>
        </w:tc>
        <w:tc>
          <w:tcPr>
            <w:tcW w:w="10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0"/>
              <w:jc w:val="center"/>
              <w:rPr>
                <w:rFonts w:ascii="Arial" w:hAnsi="Arial" w:cs="Arial" w:eastAsia="Arial" w:hint="default"/>
                <w:sz w:val="18"/>
                <w:szCs w:val="18"/>
              </w:rPr>
            </w:pPr>
            <w:r>
              <w:rPr>
                <w:rFonts w:ascii="Arial"/>
                <w:w w:val="99"/>
                <w:sz w:val="18"/>
              </w:rPr>
              <w:t>2</w:t>
            </w:r>
            <w:r>
              <w:rPr>
                <w:rFonts w:ascii="Arial"/>
                <w:sz w:val="18"/>
              </w:rPr>
            </w:r>
          </w:p>
        </w:tc>
        <w:tc>
          <w:tcPr>
            <w:tcW w:w="21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0"/>
              <w:jc w:val="center"/>
              <w:rPr>
                <w:rFonts w:ascii="Arial" w:hAnsi="Arial" w:cs="Arial" w:eastAsia="Arial" w:hint="default"/>
                <w:sz w:val="18"/>
                <w:szCs w:val="18"/>
              </w:rPr>
            </w:pPr>
            <w:r>
              <w:rPr>
                <w:rFonts w:ascii="Arial"/>
                <w:sz w:val="18"/>
              </w:rPr>
              <w:t>20091028-20191027</w:t>
            </w:r>
          </w:p>
        </w:tc>
        <w:tc>
          <w:tcPr>
            <w:tcW w:w="19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国家商标局</w:t>
            </w:r>
          </w:p>
        </w:tc>
      </w:tr>
    </w:tbl>
    <w:p>
      <w:pPr>
        <w:pStyle w:val="BodyText"/>
        <w:spacing w:line="240" w:lineRule="auto" w:before="57"/>
        <w:ind w:left="676" w:right="125"/>
        <w:jc w:val="left"/>
      </w:pPr>
      <w:r>
        <w:rPr/>
        <w:t>本公司尚有 </w:t>
      </w:r>
      <w:r>
        <w:rPr>
          <w:rFonts w:ascii="Arial" w:hAnsi="Arial" w:cs="Arial" w:eastAsia="Arial" w:hint="default"/>
        </w:rPr>
        <w:t>16</w:t>
      </w:r>
      <w:r>
        <w:rPr>
          <w:rFonts w:ascii="Arial" w:hAnsi="Arial" w:cs="Arial" w:eastAsia="Arial" w:hint="default"/>
          <w:spacing w:val="46"/>
        </w:rPr>
        <w:t> </w:t>
      </w:r>
      <w:r>
        <w:rPr/>
        <w:t>项商标注册申请已受理：</w:t>
      </w:r>
    </w:p>
    <w:p>
      <w:pPr>
        <w:spacing w:line="240" w:lineRule="auto" w:before="2"/>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862"/>
        <w:gridCol w:w="1994"/>
        <w:gridCol w:w="1536"/>
        <w:gridCol w:w="1301"/>
        <w:gridCol w:w="3163"/>
      </w:tblGrid>
      <w:tr>
        <w:trPr>
          <w:trHeight w:val="677" w:hRule="exact"/>
        </w:trPr>
        <w:tc>
          <w:tcPr>
            <w:tcW w:w="8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序号</w:t>
            </w:r>
          </w:p>
        </w:tc>
        <w:tc>
          <w:tcPr>
            <w:tcW w:w="19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621" w:right="0"/>
              <w:jc w:val="left"/>
              <w:rPr>
                <w:rFonts w:ascii="宋体" w:hAnsi="宋体" w:cs="宋体" w:eastAsia="宋体" w:hint="default"/>
                <w:sz w:val="18"/>
                <w:szCs w:val="18"/>
              </w:rPr>
            </w:pPr>
            <w:r>
              <w:rPr>
                <w:rFonts w:ascii="宋体" w:hAnsi="宋体" w:cs="宋体" w:eastAsia="宋体" w:hint="default"/>
                <w:sz w:val="18"/>
                <w:szCs w:val="18"/>
              </w:rPr>
              <w:t>注册名称</w:t>
            </w:r>
          </w:p>
        </w:tc>
        <w:tc>
          <w:tcPr>
            <w:tcW w:w="15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注册申请号</w:t>
            </w:r>
          </w:p>
        </w:tc>
        <w:tc>
          <w:tcPr>
            <w:tcW w:w="1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注册类别</w:t>
            </w:r>
          </w:p>
        </w:tc>
        <w:tc>
          <w:tcPr>
            <w:tcW w:w="316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申请注册日</w:t>
            </w:r>
            <w:r>
              <w:rPr>
                <w:rFonts w:ascii="Arial" w:hAnsi="Arial" w:cs="Arial" w:eastAsia="Arial" w:hint="default"/>
                <w:b/>
                <w:bCs/>
                <w:sz w:val="18"/>
                <w:szCs w:val="18"/>
              </w:rPr>
              <w:t>/</w:t>
            </w:r>
            <w:r>
              <w:rPr>
                <w:rFonts w:ascii="宋体" w:hAnsi="宋体" w:cs="宋体" w:eastAsia="宋体" w:hint="default"/>
                <w:sz w:val="18"/>
                <w:szCs w:val="18"/>
              </w:rPr>
              <w:t>公告日</w:t>
            </w:r>
          </w:p>
        </w:tc>
      </w:tr>
      <w:tr>
        <w:trPr>
          <w:trHeight w:val="972" w:hRule="exact"/>
        </w:trPr>
        <w:tc>
          <w:tcPr>
            <w:tcW w:w="8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
              <w:jc w:val="center"/>
              <w:rPr>
                <w:rFonts w:ascii="Arial" w:hAnsi="Arial" w:cs="Arial" w:eastAsia="Arial" w:hint="default"/>
                <w:sz w:val="18"/>
                <w:szCs w:val="18"/>
              </w:rPr>
            </w:pPr>
            <w:r>
              <w:rPr>
                <w:rFonts w:ascii="Arial"/>
                <w:w w:val="99"/>
                <w:sz w:val="18"/>
              </w:rPr>
              <w:t>1</w:t>
            </w:r>
            <w:r>
              <w:rPr>
                <w:rFonts w:ascii="Arial"/>
                <w:sz w:val="18"/>
              </w:rPr>
            </w:r>
          </w:p>
        </w:tc>
        <w:tc>
          <w:tcPr>
            <w:tcW w:w="19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6"/>
                <w:szCs w:val="6"/>
              </w:rPr>
            </w:pPr>
          </w:p>
          <w:p>
            <w:pPr>
              <w:pStyle w:val="TableParagraph"/>
              <w:spacing w:line="785" w:lineRule="exact"/>
              <w:ind w:left="508" w:right="0"/>
              <w:jc w:val="left"/>
              <w:rPr>
                <w:rFonts w:ascii="宋体" w:hAnsi="宋体" w:cs="宋体" w:eastAsia="宋体" w:hint="default"/>
                <w:sz w:val="20"/>
                <w:szCs w:val="20"/>
              </w:rPr>
            </w:pPr>
            <w:r>
              <w:rPr>
                <w:rFonts w:ascii="宋体" w:hAnsi="宋体" w:cs="宋体" w:eastAsia="宋体" w:hint="default"/>
                <w:position w:val="-15"/>
                <w:sz w:val="20"/>
                <w:szCs w:val="20"/>
              </w:rPr>
              <w:drawing>
                <wp:inline distT="0" distB="0" distL="0" distR="0">
                  <wp:extent cx="602440" cy="498729"/>
                  <wp:effectExtent l="0" t="0" r="0" b="0"/>
                  <wp:docPr id="25" name="image13.jpeg" descr=""/>
                  <wp:cNvGraphicFramePr>
                    <a:graphicFrameLocks noChangeAspect="1"/>
                  </wp:cNvGraphicFramePr>
                  <a:graphic>
                    <a:graphicData uri="http://schemas.openxmlformats.org/drawingml/2006/picture">
                      <pic:pic>
                        <pic:nvPicPr>
                          <pic:cNvPr id="26" name="image13.jpeg"/>
                          <pic:cNvPicPr/>
                        </pic:nvPicPr>
                        <pic:blipFill>
                          <a:blip r:embed="rId28" cstate="print"/>
                          <a:stretch>
                            <a:fillRect/>
                          </a:stretch>
                        </pic:blipFill>
                        <pic:spPr>
                          <a:xfrm>
                            <a:off x="0" y="0"/>
                            <a:ext cx="602440" cy="498729"/>
                          </a:xfrm>
                          <a:prstGeom prst="rect">
                            <a:avLst/>
                          </a:prstGeom>
                        </pic:spPr>
                      </pic:pic>
                    </a:graphicData>
                  </a:graphic>
                </wp:inline>
              </w:drawing>
            </w:r>
            <w:r>
              <w:rPr>
                <w:rFonts w:ascii="宋体" w:hAnsi="宋体" w:cs="宋体" w:eastAsia="宋体" w:hint="default"/>
                <w:position w:val="-15"/>
                <w:sz w:val="20"/>
                <w:szCs w:val="20"/>
              </w:rPr>
            </w:r>
          </w:p>
        </w:tc>
        <w:tc>
          <w:tcPr>
            <w:tcW w:w="15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
              <w:jc w:val="center"/>
              <w:rPr>
                <w:rFonts w:ascii="Arial" w:hAnsi="Arial" w:cs="Arial" w:eastAsia="Arial" w:hint="default"/>
                <w:sz w:val="18"/>
                <w:szCs w:val="18"/>
              </w:rPr>
            </w:pPr>
            <w:r>
              <w:rPr>
                <w:rFonts w:ascii="Arial"/>
                <w:sz w:val="18"/>
              </w:rPr>
              <w:t>8011849</w:t>
            </w:r>
          </w:p>
        </w:tc>
        <w:tc>
          <w:tcPr>
            <w:tcW w:w="1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0"/>
              <w:jc w:val="center"/>
              <w:rPr>
                <w:rFonts w:ascii="Arial" w:hAnsi="Arial" w:cs="Arial" w:eastAsia="Arial" w:hint="default"/>
                <w:sz w:val="18"/>
                <w:szCs w:val="18"/>
              </w:rPr>
            </w:pPr>
            <w:r>
              <w:rPr>
                <w:rFonts w:ascii="Arial"/>
                <w:w w:val="99"/>
                <w:sz w:val="18"/>
              </w:rPr>
              <w:t>1</w:t>
            </w:r>
            <w:r>
              <w:rPr>
                <w:rFonts w:ascii="Arial"/>
                <w:sz w:val="18"/>
              </w:rPr>
            </w:r>
          </w:p>
        </w:tc>
        <w:tc>
          <w:tcPr>
            <w:tcW w:w="316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0"/>
              <w:jc w:val="center"/>
              <w:rPr>
                <w:rFonts w:ascii="Arial" w:hAnsi="Arial" w:cs="Arial" w:eastAsia="Arial" w:hint="default"/>
                <w:sz w:val="18"/>
                <w:szCs w:val="18"/>
              </w:rPr>
            </w:pPr>
            <w:r>
              <w:rPr>
                <w:rFonts w:ascii="Arial"/>
                <w:sz w:val="18"/>
              </w:rPr>
              <w:t>2010.1.21/2010.1106</w:t>
            </w:r>
          </w:p>
        </w:tc>
      </w:tr>
    </w:tbl>
    <w:p>
      <w:pPr>
        <w:spacing w:after="0" w:line="240" w:lineRule="auto"/>
        <w:jc w:val="center"/>
        <w:rPr>
          <w:rFonts w:ascii="Arial" w:hAnsi="Arial" w:cs="Arial" w:eastAsia="Arial" w:hint="default"/>
          <w:sz w:val="18"/>
          <w:szCs w:val="18"/>
        </w:rPr>
        <w:sectPr>
          <w:pgSz w:w="11900" w:h="16840"/>
          <w:pgMar w:header="877" w:footer="981" w:top="1100" w:bottom="1180" w:left="1560" w:right="1220"/>
        </w:sectPr>
      </w:pPr>
    </w:p>
    <w:p>
      <w:pPr>
        <w:spacing w:line="240" w:lineRule="auto" w:before="11"/>
        <w:rPr>
          <w:rFonts w:ascii="Times New Roman" w:hAnsi="Times New Roman" w:cs="Times New Roman" w:eastAsia="Times New Roman" w:hint="default"/>
          <w:sz w:val="27"/>
          <w:szCs w:val="27"/>
        </w:rPr>
      </w:pPr>
    </w:p>
    <w:tbl>
      <w:tblPr>
        <w:tblW w:w="0" w:type="auto"/>
        <w:jc w:val="left"/>
        <w:tblInd w:w="115" w:type="dxa"/>
        <w:tblLayout w:type="fixed"/>
        <w:tblCellMar>
          <w:top w:w="0" w:type="dxa"/>
          <w:left w:w="0" w:type="dxa"/>
          <w:bottom w:w="0" w:type="dxa"/>
          <w:right w:w="0" w:type="dxa"/>
        </w:tblCellMar>
        <w:tblLook w:val="01E0"/>
      </w:tblPr>
      <w:tblGrid>
        <w:gridCol w:w="862"/>
        <w:gridCol w:w="1994"/>
        <w:gridCol w:w="1536"/>
        <w:gridCol w:w="1301"/>
        <w:gridCol w:w="3163"/>
      </w:tblGrid>
      <w:tr>
        <w:trPr>
          <w:trHeight w:val="974" w:hRule="exact"/>
        </w:trPr>
        <w:tc>
          <w:tcPr>
            <w:tcW w:w="8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364" w:right="0"/>
              <w:jc w:val="left"/>
              <w:rPr>
                <w:rFonts w:ascii="Arial" w:hAnsi="Arial" w:cs="Arial" w:eastAsia="Arial" w:hint="default"/>
                <w:sz w:val="18"/>
                <w:szCs w:val="18"/>
              </w:rPr>
            </w:pPr>
            <w:r>
              <w:rPr>
                <w:rFonts w:ascii="Arial"/>
                <w:w w:val="99"/>
                <w:sz w:val="18"/>
              </w:rPr>
              <w:t>2</w:t>
            </w:r>
            <w:r>
              <w:rPr>
                <w:rFonts w:ascii="Arial"/>
                <w:sz w:val="18"/>
              </w:rPr>
            </w:r>
          </w:p>
        </w:tc>
        <w:tc>
          <w:tcPr>
            <w:tcW w:w="19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
              <w:ind w:right="0"/>
              <w:jc w:val="left"/>
              <w:rPr>
                <w:rFonts w:ascii="Times New Roman" w:hAnsi="Times New Roman" w:cs="Times New Roman" w:eastAsia="Times New Roman" w:hint="default"/>
                <w:sz w:val="5"/>
                <w:szCs w:val="5"/>
              </w:rPr>
            </w:pPr>
          </w:p>
          <w:p>
            <w:pPr>
              <w:pStyle w:val="TableParagraph"/>
              <w:spacing w:line="826" w:lineRule="exact"/>
              <w:ind w:left="49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6"/>
                <w:sz w:val="20"/>
                <w:szCs w:val="20"/>
              </w:rPr>
              <w:drawing>
                <wp:inline distT="0" distB="0" distL="0" distR="0">
                  <wp:extent cx="625521" cy="524827"/>
                  <wp:effectExtent l="0" t="0" r="0" b="0"/>
                  <wp:docPr id="27" name="image14.jpeg" descr=""/>
                  <wp:cNvGraphicFramePr>
                    <a:graphicFrameLocks noChangeAspect="1"/>
                  </wp:cNvGraphicFramePr>
                  <a:graphic>
                    <a:graphicData uri="http://schemas.openxmlformats.org/drawingml/2006/picture">
                      <pic:pic>
                        <pic:nvPicPr>
                          <pic:cNvPr id="28" name="image14.jpeg"/>
                          <pic:cNvPicPr/>
                        </pic:nvPicPr>
                        <pic:blipFill>
                          <a:blip r:embed="rId29" cstate="print"/>
                          <a:stretch>
                            <a:fillRect/>
                          </a:stretch>
                        </pic:blipFill>
                        <pic:spPr>
                          <a:xfrm>
                            <a:off x="0" y="0"/>
                            <a:ext cx="625521" cy="524827"/>
                          </a:xfrm>
                          <a:prstGeom prst="rect">
                            <a:avLst/>
                          </a:prstGeom>
                        </pic:spPr>
                      </pic:pic>
                    </a:graphicData>
                  </a:graphic>
                </wp:inline>
              </w:drawing>
            </w:r>
            <w:r>
              <w:rPr>
                <w:rFonts w:ascii="Times New Roman" w:hAnsi="Times New Roman" w:cs="Times New Roman" w:eastAsia="Times New Roman" w:hint="default"/>
                <w:position w:val="-16"/>
                <w:sz w:val="20"/>
                <w:szCs w:val="20"/>
              </w:rPr>
            </w:r>
          </w:p>
        </w:tc>
        <w:tc>
          <w:tcPr>
            <w:tcW w:w="15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Arial" w:hAnsi="Arial" w:cs="Arial" w:eastAsia="Arial" w:hint="default"/>
                <w:sz w:val="18"/>
                <w:szCs w:val="18"/>
              </w:rPr>
            </w:pPr>
            <w:r>
              <w:rPr>
                <w:rFonts w:ascii="Arial"/>
                <w:sz w:val="18"/>
              </w:rPr>
              <w:t>8011850</w:t>
            </w:r>
          </w:p>
        </w:tc>
        <w:tc>
          <w:tcPr>
            <w:tcW w:w="1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584"/>
              <w:jc w:val="right"/>
              <w:rPr>
                <w:rFonts w:ascii="Arial" w:hAnsi="Arial" w:cs="Arial" w:eastAsia="Arial" w:hint="default"/>
                <w:sz w:val="18"/>
                <w:szCs w:val="18"/>
              </w:rPr>
            </w:pPr>
            <w:r>
              <w:rPr>
                <w:rFonts w:ascii="Arial"/>
                <w:w w:val="99"/>
                <w:sz w:val="18"/>
              </w:rPr>
              <w:t>2</w:t>
            </w:r>
            <w:r>
              <w:rPr>
                <w:rFonts w:ascii="Arial"/>
                <w:sz w:val="18"/>
              </w:rPr>
            </w:r>
          </w:p>
        </w:tc>
        <w:tc>
          <w:tcPr>
            <w:tcW w:w="316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Arial" w:hAnsi="Arial" w:cs="Arial" w:eastAsia="Arial" w:hint="default"/>
                <w:sz w:val="18"/>
                <w:szCs w:val="18"/>
              </w:rPr>
            </w:pPr>
            <w:r>
              <w:rPr>
                <w:rFonts w:ascii="Arial"/>
                <w:sz w:val="18"/>
              </w:rPr>
              <w:t>2010.1.21/2010.1106</w:t>
            </w:r>
          </w:p>
        </w:tc>
      </w:tr>
      <w:tr>
        <w:trPr>
          <w:trHeight w:val="977" w:hRule="exact"/>
        </w:trPr>
        <w:tc>
          <w:tcPr>
            <w:tcW w:w="8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364" w:right="0"/>
              <w:jc w:val="left"/>
              <w:rPr>
                <w:rFonts w:ascii="Arial" w:hAnsi="Arial" w:cs="Arial" w:eastAsia="Arial" w:hint="default"/>
                <w:sz w:val="18"/>
                <w:szCs w:val="18"/>
              </w:rPr>
            </w:pPr>
            <w:r>
              <w:rPr>
                <w:rFonts w:ascii="Arial"/>
                <w:w w:val="99"/>
                <w:sz w:val="18"/>
              </w:rPr>
              <w:t>3</w:t>
            </w:r>
            <w:r>
              <w:rPr>
                <w:rFonts w:ascii="Arial"/>
                <w:sz w:val="18"/>
              </w:rPr>
            </w:r>
          </w:p>
        </w:tc>
        <w:tc>
          <w:tcPr>
            <w:tcW w:w="19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7"/>
                <w:szCs w:val="7"/>
              </w:rPr>
            </w:pPr>
          </w:p>
          <w:p>
            <w:pPr>
              <w:pStyle w:val="TableParagraph"/>
              <w:spacing w:line="769" w:lineRule="exact"/>
              <w:ind w:left="54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
                <w:sz w:val="20"/>
                <w:szCs w:val="20"/>
              </w:rPr>
              <w:drawing>
                <wp:inline distT="0" distB="0" distL="0" distR="0">
                  <wp:extent cx="555935" cy="488918"/>
                  <wp:effectExtent l="0" t="0" r="0" b="0"/>
                  <wp:docPr id="29" name="image15.jpeg" descr=""/>
                  <wp:cNvGraphicFramePr>
                    <a:graphicFrameLocks noChangeAspect="1"/>
                  </wp:cNvGraphicFramePr>
                  <a:graphic>
                    <a:graphicData uri="http://schemas.openxmlformats.org/drawingml/2006/picture">
                      <pic:pic>
                        <pic:nvPicPr>
                          <pic:cNvPr id="30" name="image15.jpeg"/>
                          <pic:cNvPicPr/>
                        </pic:nvPicPr>
                        <pic:blipFill>
                          <a:blip r:embed="rId30" cstate="print"/>
                          <a:stretch>
                            <a:fillRect/>
                          </a:stretch>
                        </pic:blipFill>
                        <pic:spPr>
                          <a:xfrm>
                            <a:off x="0" y="0"/>
                            <a:ext cx="555935" cy="488918"/>
                          </a:xfrm>
                          <a:prstGeom prst="rect">
                            <a:avLst/>
                          </a:prstGeom>
                        </pic:spPr>
                      </pic:pic>
                    </a:graphicData>
                  </a:graphic>
                </wp:inline>
              </w:drawing>
            </w:r>
            <w:r>
              <w:rPr>
                <w:rFonts w:ascii="Times New Roman" w:hAnsi="Times New Roman" w:cs="Times New Roman" w:eastAsia="Times New Roman" w:hint="default"/>
                <w:position w:val="-14"/>
                <w:sz w:val="20"/>
                <w:szCs w:val="20"/>
              </w:rPr>
            </w:r>
          </w:p>
        </w:tc>
        <w:tc>
          <w:tcPr>
            <w:tcW w:w="15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Arial" w:hAnsi="Arial" w:cs="Arial" w:eastAsia="Arial" w:hint="default"/>
                <w:sz w:val="18"/>
                <w:szCs w:val="18"/>
              </w:rPr>
            </w:pPr>
            <w:r>
              <w:rPr>
                <w:rFonts w:ascii="Arial"/>
                <w:sz w:val="18"/>
              </w:rPr>
              <w:t>8011851</w:t>
            </w:r>
          </w:p>
        </w:tc>
        <w:tc>
          <w:tcPr>
            <w:tcW w:w="1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584"/>
              <w:jc w:val="right"/>
              <w:rPr>
                <w:rFonts w:ascii="Arial" w:hAnsi="Arial" w:cs="Arial" w:eastAsia="Arial" w:hint="default"/>
                <w:sz w:val="18"/>
                <w:szCs w:val="18"/>
              </w:rPr>
            </w:pPr>
            <w:r>
              <w:rPr>
                <w:rFonts w:ascii="Arial"/>
                <w:w w:val="99"/>
                <w:sz w:val="18"/>
              </w:rPr>
              <w:t>3</w:t>
            </w:r>
            <w:r>
              <w:rPr>
                <w:rFonts w:ascii="Arial"/>
                <w:sz w:val="18"/>
              </w:rPr>
            </w:r>
          </w:p>
        </w:tc>
        <w:tc>
          <w:tcPr>
            <w:tcW w:w="316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Arial" w:hAnsi="Arial" w:cs="Arial" w:eastAsia="Arial" w:hint="default"/>
                <w:sz w:val="18"/>
                <w:szCs w:val="18"/>
              </w:rPr>
            </w:pPr>
            <w:r>
              <w:rPr>
                <w:rFonts w:ascii="Arial"/>
                <w:sz w:val="18"/>
              </w:rPr>
              <w:t>2010.1.21/2010.1106</w:t>
            </w:r>
          </w:p>
        </w:tc>
      </w:tr>
      <w:tr>
        <w:trPr>
          <w:trHeight w:val="974" w:hRule="exact"/>
        </w:trPr>
        <w:tc>
          <w:tcPr>
            <w:tcW w:w="8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364" w:right="0"/>
              <w:jc w:val="left"/>
              <w:rPr>
                <w:rFonts w:ascii="Arial" w:hAnsi="Arial" w:cs="Arial" w:eastAsia="Arial" w:hint="default"/>
                <w:sz w:val="18"/>
                <w:szCs w:val="18"/>
              </w:rPr>
            </w:pPr>
            <w:r>
              <w:rPr>
                <w:rFonts w:ascii="Arial"/>
                <w:w w:val="99"/>
                <w:sz w:val="18"/>
              </w:rPr>
              <w:t>4</w:t>
            </w:r>
            <w:r>
              <w:rPr>
                <w:rFonts w:ascii="Arial"/>
                <w:sz w:val="18"/>
              </w:rPr>
            </w:r>
          </w:p>
        </w:tc>
        <w:tc>
          <w:tcPr>
            <w:tcW w:w="19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Times New Roman" w:hAnsi="Times New Roman" w:cs="Times New Roman" w:eastAsia="Times New Roman" w:hint="default"/>
                <w:sz w:val="10"/>
                <w:szCs w:val="10"/>
              </w:rPr>
            </w:pPr>
          </w:p>
          <w:p>
            <w:pPr>
              <w:pStyle w:val="TableParagraph"/>
              <w:spacing w:line="694" w:lineRule="exact"/>
              <w:ind w:left="48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drawing>
                <wp:inline distT="0" distB="0" distL="0" distR="0">
                  <wp:extent cx="632027" cy="441198"/>
                  <wp:effectExtent l="0" t="0" r="0" b="0"/>
                  <wp:docPr id="31" name="image16.jpeg" descr=""/>
                  <wp:cNvGraphicFramePr>
                    <a:graphicFrameLocks noChangeAspect="1"/>
                  </wp:cNvGraphicFramePr>
                  <a:graphic>
                    <a:graphicData uri="http://schemas.openxmlformats.org/drawingml/2006/picture">
                      <pic:pic>
                        <pic:nvPicPr>
                          <pic:cNvPr id="32" name="image16.jpeg"/>
                          <pic:cNvPicPr/>
                        </pic:nvPicPr>
                        <pic:blipFill>
                          <a:blip r:embed="rId31" cstate="print"/>
                          <a:stretch>
                            <a:fillRect/>
                          </a:stretch>
                        </pic:blipFill>
                        <pic:spPr>
                          <a:xfrm>
                            <a:off x="0" y="0"/>
                            <a:ext cx="632027" cy="441198"/>
                          </a:xfrm>
                          <a:prstGeom prst="rect">
                            <a:avLst/>
                          </a:prstGeom>
                        </pic:spPr>
                      </pic:pic>
                    </a:graphicData>
                  </a:graphic>
                </wp:inline>
              </w:drawing>
            </w:r>
            <w:r>
              <w:rPr>
                <w:rFonts w:ascii="Times New Roman" w:hAnsi="Times New Roman" w:cs="Times New Roman" w:eastAsia="Times New Roman" w:hint="default"/>
                <w:position w:val="-13"/>
                <w:sz w:val="20"/>
                <w:szCs w:val="20"/>
              </w:rPr>
            </w:r>
          </w:p>
        </w:tc>
        <w:tc>
          <w:tcPr>
            <w:tcW w:w="15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Arial" w:hAnsi="Arial" w:cs="Arial" w:eastAsia="Arial" w:hint="default"/>
                <w:sz w:val="18"/>
                <w:szCs w:val="18"/>
              </w:rPr>
            </w:pPr>
            <w:r>
              <w:rPr>
                <w:rFonts w:ascii="Arial"/>
                <w:sz w:val="18"/>
              </w:rPr>
              <w:t>8011668</w:t>
            </w:r>
          </w:p>
        </w:tc>
        <w:tc>
          <w:tcPr>
            <w:tcW w:w="1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584"/>
              <w:jc w:val="right"/>
              <w:rPr>
                <w:rFonts w:ascii="Arial" w:hAnsi="Arial" w:cs="Arial" w:eastAsia="Arial" w:hint="default"/>
                <w:sz w:val="18"/>
                <w:szCs w:val="18"/>
              </w:rPr>
            </w:pPr>
            <w:r>
              <w:rPr>
                <w:rFonts w:ascii="Arial"/>
                <w:w w:val="99"/>
                <w:sz w:val="18"/>
              </w:rPr>
              <w:t>1</w:t>
            </w:r>
            <w:r>
              <w:rPr>
                <w:rFonts w:ascii="Arial"/>
                <w:sz w:val="18"/>
              </w:rPr>
            </w:r>
          </w:p>
        </w:tc>
        <w:tc>
          <w:tcPr>
            <w:tcW w:w="316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Arial" w:hAnsi="Arial" w:cs="Arial" w:eastAsia="Arial" w:hint="default"/>
                <w:sz w:val="18"/>
                <w:szCs w:val="18"/>
              </w:rPr>
            </w:pPr>
            <w:r>
              <w:rPr>
                <w:rFonts w:ascii="Arial"/>
                <w:sz w:val="18"/>
              </w:rPr>
              <w:t>2010.1.21/2010.1106</w:t>
            </w:r>
          </w:p>
        </w:tc>
      </w:tr>
      <w:tr>
        <w:trPr>
          <w:trHeight w:val="974" w:hRule="exact"/>
        </w:trPr>
        <w:tc>
          <w:tcPr>
            <w:tcW w:w="8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364" w:right="0"/>
              <w:jc w:val="left"/>
              <w:rPr>
                <w:rFonts w:ascii="Arial" w:hAnsi="Arial" w:cs="Arial" w:eastAsia="Arial" w:hint="default"/>
                <w:sz w:val="18"/>
                <w:szCs w:val="18"/>
              </w:rPr>
            </w:pPr>
            <w:r>
              <w:rPr>
                <w:rFonts w:ascii="Arial"/>
                <w:w w:val="99"/>
                <w:sz w:val="18"/>
              </w:rPr>
              <w:t>5</w:t>
            </w:r>
            <w:r>
              <w:rPr>
                <w:rFonts w:ascii="Arial"/>
                <w:sz w:val="18"/>
              </w:rPr>
            </w:r>
          </w:p>
        </w:tc>
        <w:tc>
          <w:tcPr>
            <w:tcW w:w="19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619" w:lineRule="exact"/>
              <w:ind w:left="48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drawing>
                <wp:inline distT="0" distB="0" distL="0" distR="0">
                  <wp:extent cx="629411" cy="393192"/>
                  <wp:effectExtent l="0" t="0" r="0" b="0"/>
                  <wp:docPr id="33" name="image17.jpeg" descr=""/>
                  <wp:cNvGraphicFramePr>
                    <a:graphicFrameLocks noChangeAspect="1"/>
                  </wp:cNvGraphicFramePr>
                  <a:graphic>
                    <a:graphicData uri="http://schemas.openxmlformats.org/drawingml/2006/picture">
                      <pic:pic>
                        <pic:nvPicPr>
                          <pic:cNvPr id="34" name="image17.jpeg"/>
                          <pic:cNvPicPr/>
                        </pic:nvPicPr>
                        <pic:blipFill>
                          <a:blip r:embed="rId32" cstate="print"/>
                          <a:stretch>
                            <a:fillRect/>
                          </a:stretch>
                        </pic:blipFill>
                        <pic:spPr>
                          <a:xfrm>
                            <a:off x="0" y="0"/>
                            <a:ext cx="629411" cy="393192"/>
                          </a:xfrm>
                          <a:prstGeom prst="rect">
                            <a:avLst/>
                          </a:prstGeom>
                        </pic:spPr>
                      </pic:pic>
                    </a:graphicData>
                  </a:graphic>
                </wp:inline>
              </w:drawing>
            </w:r>
            <w:r>
              <w:rPr>
                <w:rFonts w:ascii="Times New Roman" w:hAnsi="Times New Roman" w:cs="Times New Roman" w:eastAsia="Times New Roman" w:hint="default"/>
                <w:position w:val="-11"/>
                <w:sz w:val="20"/>
                <w:szCs w:val="20"/>
              </w:rPr>
            </w:r>
          </w:p>
        </w:tc>
        <w:tc>
          <w:tcPr>
            <w:tcW w:w="15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Arial" w:hAnsi="Arial" w:cs="Arial" w:eastAsia="Arial" w:hint="default"/>
                <w:sz w:val="18"/>
                <w:szCs w:val="18"/>
              </w:rPr>
            </w:pPr>
            <w:r>
              <w:rPr>
                <w:rFonts w:ascii="Arial"/>
                <w:sz w:val="18"/>
              </w:rPr>
              <w:t>8322215</w:t>
            </w:r>
          </w:p>
        </w:tc>
        <w:tc>
          <w:tcPr>
            <w:tcW w:w="1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584"/>
              <w:jc w:val="right"/>
              <w:rPr>
                <w:rFonts w:ascii="Arial" w:hAnsi="Arial" w:cs="Arial" w:eastAsia="Arial" w:hint="default"/>
                <w:sz w:val="18"/>
                <w:szCs w:val="18"/>
              </w:rPr>
            </w:pPr>
            <w:r>
              <w:rPr>
                <w:rFonts w:ascii="Arial"/>
                <w:w w:val="99"/>
                <w:sz w:val="18"/>
              </w:rPr>
              <w:t>3</w:t>
            </w:r>
            <w:r>
              <w:rPr>
                <w:rFonts w:ascii="Arial"/>
                <w:sz w:val="18"/>
              </w:rPr>
            </w:r>
          </w:p>
        </w:tc>
        <w:tc>
          <w:tcPr>
            <w:tcW w:w="316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Arial" w:hAnsi="Arial" w:cs="Arial" w:eastAsia="Arial" w:hint="default"/>
                <w:sz w:val="18"/>
                <w:szCs w:val="18"/>
              </w:rPr>
            </w:pPr>
            <w:r>
              <w:rPr>
                <w:rFonts w:ascii="Arial"/>
                <w:sz w:val="18"/>
              </w:rPr>
              <w:t>2010.5.24</w:t>
            </w:r>
          </w:p>
        </w:tc>
      </w:tr>
      <w:tr>
        <w:trPr>
          <w:trHeight w:val="974" w:hRule="exact"/>
        </w:trPr>
        <w:tc>
          <w:tcPr>
            <w:tcW w:w="8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364" w:right="0"/>
              <w:jc w:val="left"/>
              <w:rPr>
                <w:rFonts w:ascii="Arial" w:hAnsi="Arial" w:cs="Arial" w:eastAsia="Arial" w:hint="default"/>
                <w:sz w:val="18"/>
                <w:szCs w:val="18"/>
              </w:rPr>
            </w:pPr>
            <w:r>
              <w:rPr>
                <w:rFonts w:ascii="Arial"/>
                <w:w w:val="99"/>
                <w:sz w:val="18"/>
              </w:rPr>
              <w:t>6</w:t>
            </w:r>
            <w:r>
              <w:rPr>
                <w:rFonts w:ascii="Arial"/>
                <w:sz w:val="18"/>
              </w:rPr>
            </w:r>
          </w:p>
        </w:tc>
        <w:tc>
          <w:tcPr>
            <w:tcW w:w="19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
              <w:ind w:right="0"/>
              <w:jc w:val="left"/>
              <w:rPr>
                <w:rFonts w:ascii="Times New Roman" w:hAnsi="Times New Roman" w:cs="Times New Roman" w:eastAsia="Times New Roman" w:hint="default"/>
                <w:sz w:val="10"/>
                <w:szCs w:val="10"/>
              </w:rPr>
            </w:pPr>
          </w:p>
          <w:p>
            <w:pPr>
              <w:pStyle w:val="TableParagraph"/>
              <w:spacing w:line="709" w:lineRule="exact"/>
              <w:ind w:left="60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drawing>
                <wp:inline distT="0" distB="0" distL="0" distR="0">
                  <wp:extent cx="481280" cy="450723"/>
                  <wp:effectExtent l="0" t="0" r="0" b="0"/>
                  <wp:docPr id="35" name="image18.jpeg" descr=""/>
                  <wp:cNvGraphicFramePr>
                    <a:graphicFrameLocks noChangeAspect="1"/>
                  </wp:cNvGraphicFramePr>
                  <a:graphic>
                    <a:graphicData uri="http://schemas.openxmlformats.org/drawingml/2006/picture">
                      <pic:pic>
                        <pic:nvPicPr>
                          <pic:cNvPr id="36" name="image18.jpeg"/>
                          <pic:cNvPicPr/>
                        </pic:nvPicPr>
                        <pic:blipFill>
                          <a:blip r:embed="rId33" cstate="print"/>
                          <a:stretch>
                            <a:fillRect/>
                          </a:stretch>
                        </pic:blipFill>
                        <pic:spPr>
                          <a:xfrm>
                            <a:off x="0" y="0"/>
                            <a:ext cx="481280" cy="450723"/>
                          </a:xfrm>
                          <a:prstGeom prst="rect">
                            <a:avLst/>
                          </a:prstGeom>
                        </pic:spPr>
                      </pic:pic>
                    </a:graphicData>
                  </a:graphic>
                </wp:inline>
              </w:drawing>
            </w:r>
            <w:r>
              <w:rPr>
                <w:rFonts w:ascii="Times New Roman" w:hAnsi="Times New Roman" w:cs="Times New Roman" w:eastAsia="Times New Roman" w:hint="default"/>
                <w:position w:val="-13"/>
                <w:sz w:val="20"/>
                <w:szCs w:val="20"/>
              </w:rPr>
            </w:r>
          </w:p>
        </w:tc>
        <w:tc>
          <w:tcPr>
            <w:tcW w:w="15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Arial" w:hAnsi="Arial" w:cs="Arial" w:eastAsia="Arial" w:hint="default"/>
                <w:sz w:val="18"/>
                <w:szCs w:val="18"/>
              </w:rPr>
            </w:pPr>
            <w:r>
              <w:rPr>
                <w:rFonts w:ascii="Arial"/>
                <w:sz w:val="18"/>
              </w:rPr>
              <w:t>8617440</w:t>
            </w:r>
          </w:p>
        </w:tc>
        <w:tc>
          <w:tcPr>
            <w:tcW w:w="1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584"/>
              <w:jc w:val="right"/>
              <w:rPr>
                <w:rFonts w:ascii="Arial" w:hAnsi="Arial" w:cs="Arial" w:eastAsia="Arial" w:hint="default"/>
                <w:sz w:val="18"/>
                <w:szCs w:val="18"/>
              </w:rPr>
            </w:pPr>
            <w:r>
              <w:rPr>
                <w:rFonts w:ascii="Arial"/>
                <w:w w:val="99"/>
                <w:sz w:val="18"/>
              </w:rPr>
              <w:t>1</w:t>
            </w:r>
            <w:r>
              <w:rPr>
                <w:rFonts w:ascii="Arial"/>
                <w:sz w:val="18"/>
              </w:rPr>
            </w:r>
          </w:p>
        </w:tc>
        <w:tc>
          <w:tcPr>
            <w:tcW w:w="316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Arial" w:hAnsi="Arial" w:cs="Arial" w:eastAsia="Arial" w:hint="default"/>
                <w:sz w:val="18"/>
                <w:szCs w:val="18"/>
              </w:rPr>
            </w:pPr>
            <w:r>
              <w:rPr>
                <w:rFonts w:ascii="Arial"/>
                <w:sz w:val="18"/>
              </w:rPr>
              <w:t>2010.8.27</w:t>
            </w:r>
          </w:p>
        </w:tc>
      </w:tr>
      <w:tr>
        <w:trPr>
          <w:trHeight w:val="977" w:hRule="exact"/>
        </w:trPr>
        <w:tc>
          <w:tcPr>
            <w:tcW w:w="8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364" w:right="0"/>
              <w:jc w:val="left"/>
              <w:rPr>
                <w:rFonts w:ascii="Arial" w:hAnsi="Arial" w:cs="Arial" w:eastAsia="Arial" w:hint="default"/>
                <w:sz w:val="18"/>
                <w:szCs w:val="18"/>
              </w:rPr>
            </w:pPr>
            <w:r>
              <w:rPr>
                <w:rFonts w:ascii="Arial"/>
                <w:w w:val="99"/>
                <w:sz w:val="18"/>
              </w:rPr>
              <w:t>7</w:t>
            </w:r>
            <w:r>
              <w:rPr>
                <w:rFonts w:ascii="Arial"/>
                <w:sz w:val="18"/>
              </w:rPr>
            </w:r>
          </w:p>
        </w:tc>
        <w:tc>
          <w:tcPr>
            <w:tcW w:w="19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9"/>
                <w:szCs w:val="9"/>
              </w:rPr>
            </w:pPr>
          </w:p>
          <w:p>
            <w:pPr>
              <w:pStyle w:val="TableParagraph"/>
              <w:spacing w:line="718" w:lineRule="exact"/>
              <w:ind w:left="59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drawing>
                <wp:inline distT="0" distB="0" distL="0" distR="0">
                  <wp:extent cx="491138" cy="456056"/>
                  <wp:effectExtent l="0" t="0" r="0" b="0"/>
                  <wp:docPr id="37" name="image19.jpeg" descr=""/>
                  <wp:cNvGraphicFramePr>
                    <a:graphicFrameLocks noChangeAspect="1"/>
                  </wp:cNvGraphicFramePr>
                  <a:graphic>
                    <a:graphicData uri="http://schemas.openxmlformats.org/drawingml/2006/picture">
                      <pic:pic>
                        <pic:nvPicPr>
                          <pic:cNvPr id="38" name="image19.jpeg"/>
                          <pic:cNvPicPr/>
                        </pic:nvPicPr>
                        <pic:blipFill>
                          <a:blip r:embed="rId34" cstate="print"/>
                          <a:stretch>
                            <a:fillRect/>
                          </a:stretch>
                        </pic:blipFill>
                        <pic:spPr>
                          <a:xfrm>
                            <a:off x="0" y="0"/>
                            <a:ext cx="491138" cy="456056"/>
                          </a:xfrm>
                          <a:prstGeom prst="rect">
                            <a:avLst/>
                          </a:prstGeom>
                        </pic:spPr>
                      </pic:pic>
                    </a:graphicData>
                  </a:graphic>
                </wp:inline>
              </w:drawing>
            </w:r>
            <w:r>
              <w:rPr>
                <w:rFonts w:ascii="Times New Roman" w:hAnsi="Times New Roman" w:cs="Times New Roman" w:eastAsia="Times New Roman" w:hint="default"/>
                <w:position w:val="-13"/>
                <w:sz w:val="20"/>
                <w:szCs w:val="20"/>
              </w:rPr>
            </w:r>
          </w:p>
        </w:tc>
        <w:tc>
          <w:tcPr>
            <w:tcW w:w="15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Arial" w:hAnsi="Arial" w:cs="Arial" w:eastAsia="Arial" w:hint="default"/>
                <w:sz w:val="18"/>
                <w:szCs w:val="18"/>
              </w:rPr>
            </w:pPr>
            <w:r>
              <w:rPr>
                <w:rFonts w:ascii="Arial"/>
                <w:sz w:val="18"/>
              </w:rPr>
              <w:t>8617460</w:t>
            </w:r>
          </w:p>
        </w:tc>
        <w:tc>
          <w:tcPr>
            <w:tcW w:w="1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584"/>
              <w:jc w:val="right"/>
              <w:rPr>
                <w:rFonts w:ascii="Arial" w:hAnsi="Arial" w:cs="Arial" w:eastAsia="Arial" w:hint="default"/>
                <w:sz w:val="18"/>
                <w:szCs w:val="18"/>
              </w:rPr>
            </w:pPr>
            <w:r>
              <w:rPr>
                <w:rFonts w:ascii="Arial"/>
                <w:w w:val="99"/>
                <w:sz w:val="18"/>
              </w:rPr>
              <w:t>2</w:t>
            </w:r>
            <w:r>
              <w:rPr>
                <w:rFonts w:ascii="Arial"/>
                <w:sz w:val="18"/>
              </w:rPr>
            </w:r>
          </w:p>
        </w:tc>
        <w:tc>
          <w:tcPr>
            <w:tcW w:w="316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Arial" w:hAnsi="Arial" w:cs="Arial" w:eastAsia="Arial" w:hint="default"/>
                <w:sz w:val="18"/>
                <w:szCs w:val="18"/>
              </w:rPr>
            </w:pPr>
            <w:r>
              <w:rPr>
                <w:rFonts w:ascii="Arial"/>
                <w:sz w:val="18"/>
              </w:rPr>
              <w:t>2010.8.27</w:t>
            </w:r>
          </w:p>
        </w:tc>
      </w:tr>
      <w:tr>
        <w:trPr>
          <w:trHeight w:val="974" w:hRule="exact"/>
        </w:trPr>
        <w:tc>
          <w:tcPr>
            <w:tcW w:w="8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364" w:right="0"/>
              <w:jc w:val="left"/>
              <w:rPr>
                <w:rFonts w:ascii="Arial" w:hAnsi="Arial" w:cs="Arial" w:eastAsia="Arial" w:hint="default"/>
                <w:sz w:val="18"/>
                <w:szCs w:val="18"/>
              </w:rPr>
            </w:pPr>
            <w:r>
              <w:rPr>
                <w:rFonts w:ascii="Arial"/>
                <w:w w:val="99"/>
                <w:sz w:val="18"/>
              </w:rPr>
              <w:t>8</w:t>
            </w:r>
            <w:r>
              <w:rPr>
                <w:rFonts w:ascii="Arial"/>
                <w:sz w:val="18"/>
              </w:rPr>
            </w:r>
          </w:p>
        </w:tc>
        <w:tc>
          <w:tcPr>
            <w:tcW w:w="19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Times New Roman" w:hAnsi="Times New Roman" w:cs="Times New Roman" w:eastAsia="Times New Roman" w:hint="default"/>
                <w:sz w:val="9"/>
                <w:szCs w:val="9"/>
              </w:rPr>
            </w:pPr>
          </w:p>
          <w:p>
            <w:pPr>
              <w:pStyle w:val="TableParagraph"/>
              <w:spacing w:line="718" w:lineRule="exact"/>
              <w:ind w:left="59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drawing>
                <wp:inline distT="0" distB="0" distL="0" distR="0">
                  <wp:extent cx="491138" cy="456057"/>
                  <wp:effectExtent l="0" t="0" r="0" b="0"/>
                  <wp:docPr id="39" name="image19.jpeg" descr=""/>
                  <wp:cNvGraphicFramePr>
                    <a:graphicFrameLocks noChangeAspect="1"/>
                  </wp:cNvGraphicFramePr>
                  <a:graphic>
                    <a:graphicData uri="http://schemas.openxmlformats.org/drawingml/2006/picture">
                      <pic:pic>
                        <pic:nvPicPr>
                          <pic:cNvPr id="40" name="image19.jpeg"/>
                          <pic:cNvPicPr/>
                        </pic:nvPicPr>
                        <pic:blipFill>
                          <a:blip r:embed="rId34" cstate="print"/>
                          <a:stretch>
                            <a:fillRect/>
                          </a:stretch>
                        </pic:blipFill>
                        <pic:spPr>
                          <a:xfrm>
                            <a:off x="0" y="0"/>
                            <a:ext cx="491138" cy="456057"/>
                          </a:xfrm>
                          <a:prstGeom prst="rect">
                            <a:avLst/>
                          </a:prstGeom>
                        </pic:spPr>
                      </pic:pic>
                    </a:graphicData>
                  </a:graphic>
                </wp:inline>
              </w:drawing>
            </w:r>
            <w:r>
              <w:rPr>
                <w:rFonts w:ascii="Times New Roman" w:hAnsi="Times New Roman" w:cs="Times New Roman" w:eastAsia="Times New Roman" w:hint="default"/>
                <w:position w:val="-13"/>
                <w:sz w:val="20"/>
                <w:szCs w:val="20"/>
              </w:rPr>
            </w:r>
          </w:p>
        </w:tc>
        <w:tc>
          <w:tcPr>
            <w:tcW w:w="15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Arial" w:hAnsi="Arial" w:cs="Arial" w:eastAsia="Arial" w:hint="default"/>
                <w:sz w:val="18"/>
                <w:szCs w:val="18"/>
              </w:rPr>
            </w:pPr>
            <w:r>
              <w:rPr>
                <w:rFonts w:ascii="Arial"/>
                <w:sz w:val="18"/>
              </w:rPr>
              <w:t>8622307</w:t>
            </w:r>
          </w:p>
        </w:tc>
        <w:tc>
          <w:tcPr>
            <w:tcW w:w="1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584"/>
              <w:jc w:val="right"/>
              <w:rPr>
                <w:rFonts w:ascii="Arial" w:hAnsi="Arial" w:cs="Arial" w:eastAsia="Arial" w:hint="default"/>
                <w:sz w:val="18"/>
                <w:szCs w:val="18"/>
              </w:rPr>
            </w:pPr>
            <w:r>
              <w:rPr>
                <w:rFonts w:ascii="Arial"/>
                <w:w w:val="99"/>
                <w:sz w:val="18"/>
              </w:rPr>
              <w:t>3</w:t>
            </w:r>
            <w:r>
              <w:rPr>
                <w:rFonts w:ascii="Arial"/>
                <w:sz w:val="18"/>
              </w:rPr>
            </w:r>
          </w:p>
        </w:tc>
        <w:tc>
          <w:tcPr>
            <w:tcW w:w="316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Arial" w:hAnsi="Arial" w:cs="Arial" w:eastAsia="Arial" w:hint="default"/>
                <w:sz w:val="18"/>
                <w:szCs w:val="18"/>
              </w:rPr>
            </w:pPr>
            <w:r>
              <w:rPr>
                <w:rFonts w:ascii="Arial"/>
                <w:sz w:val="18"/>
              </w:rPr>
              <w:t>2010.8.30</w:t>
            </w:r>
          </w:p>
        </w:tc>
      </w:tr>
      <w:tr>
        <w:trPr>
          <w:trHeight w:val="974" w:hRule="exact"/>
        </w:trPr>
        <w:tc>
          <w:tcPr>
            <w:tcW w:w="8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364" w:right="0"/>
              <w:jc w:val="left"/>
              <w:rPr>
                <w:rFonts w:ascii="Arial" w:hAnsi="Arial" w:cs="Arial" w:eastAsia="Arial" w:hint="default"/>
                <w:sz w:val="18"/>
                <w:szCs w:val="18"/>
              </w:rPr>
            </w:pPr>
            <w:r>
              <w:rPr>
                <w:rFonts w:ascii="Arial"/>
                <w:w w:val="99"/>
                <w:sz w:val="18"/>
              </w:rPr>
              <w:t>9</w:t>
            </w:r>
            <w:r>
              <w:rPr>
                <w:rFonts w:ascii="Arial"/>
                <w:sz w:val="18"/>
              </w:rPr>
            </w:r>
          </w:p>
        </w:tc>
        <w:tc>
          <w:tcPr>
            <w:tcW w:w="19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55" w:lineRule="exact"/>
              <w:ind w:left="48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626838" cy="162401"/>
                  <wp:effectExtent l="0" t="0" r="0" b="0"/>
                  <wp:docPr id="41" name="image20.jpeg" descr=""/>
                  <wp:cNvGraphicFramePr>
                    <a:graphicFrameLocks noChangeAspect="1"/>
                  </wp:cNvGraphicFramePr>
                  <a:graphic>
                    <a:graphicData uri="http://schemas.openxmlformats.org/drawingml/2006/picture">
                      <pic:pic>
                        <pic:nvPicPr>
                          <pic:cNvPr id="42" name="image20.jpeg"/>
                          <pic:cNvPicPr/>
                        </pic:nvPicPr>
                        <pic:blipFill>
                          <a:blip r:embed="rId35" cstate="print"/>
                          <a:stretch>
                            <a:fillRect/>
                          </a:stretch>
                        </pic:blipFill>
                        <pic:spPr>
                          <a:xfrm>
                            <a:off x="0" y="0"/>
                            <a:ext cx="626838" cy="162401"/>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15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Arial" w:hAnsi="Arial" w:cs="Arial" w:eastAsia="Arial" w:hint="default"/>
                <w:sz w:val="18"/>
                <w:szCs w:val="18"/>
              </w:rPr>
            </w:pPr>
            <w:r>
              <w:rPr>
                <w:rFonts w:ascii="Arial"/>
                <w:sz w:val="18"/>
              </w:rPr>
              <w:t>8622332</w:t>
            </w:r>
          </w:p>
        </w:tc>
        <w:tc>
          <w:tcPr>
            <w:tcW w:w="1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584"/>
              <w:jc w:val="right"/>
              <w:rPr>
                <w:rFonts w:ascii="Arial" w:hAnsi="Arial" w:cs="Arial" w:eastAsia="Arial" w:hint="default"/>
                <w:sz w:val="18"/>
                <w:szCs w:val="18"/>
              </w:rPr>
            </w:pPr>
            <w:r>
              <w:rPr>
                <w:rFonts w:ascii="Arial"/>
                <w:w w:val="99"/>
                <w:sz w:val="18"/>
              </w:rPr>
              <w:t>1</w:t>
            </w:r>
            <w:r>
              <w:rPr>
                <w:rFonts w:ascii="Arial"/>
                <w:sz w:val="18"/>
              </w:rPr>
            </w:r>
          </w:p>
        </w:tc>
        <w:tc>
          <w:tcPr>
            <w:tcW w:w="316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Arial" w:hAnsi="Arial" w:cs="Arial" w:eastAsia="Arial" w:hint="default"/>
                <w:sz w:val="18"/>
                <w:szCs w:val="18"/>
              </w:rPr>
            </w:pPr>
            <w:r>
              <w:rPr>
                <w:rFonts w:ascii="Arial"/>
                <w:sz w:val="18"/>
              </w:rPr>
              <w:t>2010.8.30</w:t>
            </w:r>
          </w:p>
        </w:tc>
      </w:tr>
      <w:tr>
        <w:trPr>
          <w:trHeight w:val="974" w:hRule="exact"/>
        </w:trPr>
        <w:tc>
          <w:tcPr>
            <w:tcW w:w="8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314" w:right="0"/>
              <w:jc w:val="left"/>
              <w:rPr>
                <w:rFonts w:ascii="Arial" w:hAnsi="Arial" w:cs="Arial" w:eastAsia="Arial" w:hint="default"/>
                <w:sz w:val="18"/>
                <w:szCs w:val="18"/>
              </w:rPr>
            </w:pPr>
            <w:r>
              <w:rPr>
                <w:rFonts w:ascii="Arial"/>
                <w:sz w:val="18"/>
              </w:rPr>
              <w:t>10</w:t>
            </w:r>
          </w:p>
        </w:tc>
        <w:tc>
          <w:tcPr>
            <w:tcW w:w="19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55" w:lineRule="exact"/>
              <w:ind w:left="48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626838" cy="162401"/>
                  <wp:effectExtent l="0" t="0" r="0" b="0"/>
                  <wp:docPr id="43" name="image20.jpeg" descr=""/>
                  <wp:cNvGraphicFramePr>
                    <a:graphicFrameLocks noChangeAspect="1"/>
                  </wp:cNvGraphicFramePr>
                  <a:graphic>
                    <a:graphicData uri="http://schemas.openxmlformats.org/drawingml/2006/picture">
                      <pic:pic>
                        <pic:nvPicPr>
                          <pic:cNvPr id="44" name="image20.jpeg"/>
                          <pic:cNvPicPr/>
                        </pic:nvPicPr>
                        <pic:blipFill>
                          <a:blip r:embed="rId35" cstate="print"/>
                          <a:stretch>
                            <a:fillRect/>
                          </a:stretch>
                        </pic:blipFill>
                        <pic:spPr>
                          <a:xfrm>
                            <a:off x="0" y="0"/>
                            <a:ext cx="626838" cy="162401"/>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15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Arial" w:hAnsi="Arial" w:cs="Arial" w:eastAsia="Arial" w:hint="default"/>
                <w:sz w:val="18"/>
                <w:szCs w:val="18"/>
              </w:rPr>
            </w:pPr>
            <w:r>
              <w:rPr>
                <w:rFonts w:ascii="Arial"/>
                <w:sz w:val="18"/>
              </w:rPr>
              <w:t>8622352</w:t>
            </w:r>
          </w:p>
        </w:tc>
        <w:tc>
          <w:tcPr>
            <w:tcW w:w="1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584"/>
              <w:jc w:val="right"/>
              <w:rPr>
                <w:rFonts w:ascii="Arial" w:hAnsi="Arial" w:cs="Arial" w:eastAsia="Arial" w:hint="default"/>
                <w:sz w:val="18"/>
                <w:szCs w:val="18"/>
              </w:rPr>
            </w:pPr>
            <w:r>
              <w:rPr>
                <w:rFonts w:ascii="Arial"/>
                <w:w w:val="99"/>
                <w:sz w:val="18"/>
              </w:rPr>
              <w:t>2</w:t>
            </w:r>
            <w:r>
              <w:rPr>
                <w:rFonts w:ascii="Arial"/>
                <w:sz w:val="18"/>
              </w:rPr>
            </w:r>
          </w:p>
        </w:tc>
        <w:tc>
          <w:tcPr>
            <w:tcW w:w="316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Arial" w:hAnsi="Arial" w:cs="Arial" w:eastAsia="Arial" w:hint="default"/>
                <w:sz w:val="18"/>
                <w:szCs w:val="18"/>
              </w:rPr>
            </w:pPr>
            <w:r>
              <w:rPr>
                <w:rFonts w:ascii="Arial"/>
                <w:sz w:val="18"/>
              </w:rPr>
              <w:t>2010.8.30</w:t>
            </w:r>
          </w:p>
        </w:tc>
      </w:tr>
      <w:tr>
        <w:trPr>
          <w:trHeight w:val="977" w:hRule="exact"/>
        </w:trPr>
        <w:tc>
          <w:tcPr>
            <w:tcW w:w="8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314" w:right="0"/>
              <w:jc w:val="left"/>
              <w:rPr>
                <w:rFonts w:ascii="Arial" w:hAnsi="Arial" w:cs="Arial" w:eastAsia="Arial" w:hint="default"/>
                <w:sz w:val="18"/>
                <w:szCs w:val="18"/>
              </w:rPr>
            </w:pPr>
            <w:r>
              <w:rPr>
                <w:rFonts w:ascii="Arial"/>
                <w:sz w:val="18"/>
              </w:rPr>
              <w:t>11</w:t>
            </w:r>
          </w:p>
        </w:tc>
        <w:tc>
          <w:tcPr>
            <w:tcW w:w="19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55" w:lineRule="exact"/>
              <w:ind w:left="48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626838" cy="162401"/>
                  <wp:effectExtent l="0" t="0" r="0" b="0"/>
                  <wp:docPr id="45" name="image20.jpeg" descr=""/>
                  <wp:cNvGraphicFramePr>
                    <a:graphicFrameLocks noChangeAspect="1"/>
                  </wp:cNvGraphicFramePr>
                  <a:graphic>
                    <a:graphicData uri="http://schemas.openxmlformats.org/drawingml/2006/picture">
                      <pic:pic>
                        <pic:nvPicPr>
                          <pic:cNvPr id="46" name="image20.jpeg"/>
                          <pic:cNvPicPr/>
                        </pic:nvPicPr>
                        <pic:blipFill>
                          <a:blip r:embed="rId35" cstate="print"/>
                          <a:stretch>
                            <a:fillRect/>
                          </a:stretch>
                        </pic:blipFill>
                        <pic:spPr>
                          <a:xfrm>
                            <a:off x="0" y="0"/>
                            <a:ext cx="626838" cy="162401"/>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15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Arial" w:hAnsi="Arial" w:cs="Arial" w:eastAsia="Arial" w:hint="default"/>
                <w:sz w:val="18"/>
                <w:szCs w:val="18"/>
              </w:rPr>
            </w:pPr>
            <w:r>
              <w:rPr>
                <w:rFonts w:ascii="Arial"/>
                <w:sz w:val="18"/>
              </w:rPr>
              <w:t>8622454</w:t>
            </w:r>
          </w:p>
        </w:tc>
        <w:tc>
          <w:tcPr>
            <w:tcW w:w="1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584"/>
              <w:jc w:val="right"/>
              <w:rPr>
                <w:rFonts w:ascii="Arial" w:hAnsi="Arial" w:cs="Arial" w:eastAsia="Arial" w:hint="default"/>
                <w:sz w:val="18"/>
                <w:szCs w:val="18"/>
              </w:rPr>
            </w:pPr>
            <w:r>
              <w:rPr>
                <w:rFonts w:ascii="Arial"/>
                <w:w w:val="99"/>
                <w:sz w:val="18"/>
              </w:rPr>
              <w:t>3</w:t>
            </w:r>
            <w:r>
              <w:rPr>
                <w:rFonts w:ascii="Arial"/>
                <w:sz w:val="18"/>
              </w:rPr>
            </w:r>
          </w:p>
        </w:tc>
        <w:tc>
          <w:tcPr>
            <w:tcW w:w="316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Arial" w:hAnsi="Arial" w:cs="Arial" w:eastAsia="Arial" w:hint="default"/>
                <w:sz w:val="18"/>
                <w:szCs w:val="18"/>
              </w:rPr>
            </w:pPr>
            <w:r>
              <w:rPr>
                <w:rFonts w:ascii="Arial"/>
                <w:sz w:val="18"/>
              </w:rPr>
              <w:t>2010.8.30</w:t>
            </w:r>
          </w:p>
        </w:tc>
      </w:tr>
      <w:tr>
        <w:trPr>
          <w:trHeight w:val="974" w:hRule="exact"/>
        </w:trPr>
        <w:tc>
          <w:tcPr>
            <w:tcW w:w="8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314" w:right="0"/>
              <w:jc w:val="left"/>
              <w:rPr>
                <w:rFonts w:ascii="Arial" w:hAnsi="Arial" w:cs="Arial" w:eastAsia="Arial" w:hint="default"/>
                <w:sz w:val="18"/>
                <w:szCs w:val="18"/>
              </w:rPr>
            </w:pPr>
            <w:r>
              <w:rPr>
                <w:rFonts w:ascii="Arial"/>
                <w:sz w:val="18"/>
              </w:rPr>
              <w:t>12</w:t>
            </w:r>
          </w:p>
        </w:tc>
        <w:tc>
          <w:tcPr>
            <w:tcW w:w="19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364" w:lineRule="exact"/>
              <w:ind w:left="480"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638030" cy="231457"/>
                  <wp:effectExtent l="0" t="0" r="0" b="0"/>
                  <wp:docPr id="47" name="image21.jpeg" descr=""/>
                  <wp:cNvGraphicFramePr>
                    <a:graphicFrameLocks noChangeAspect="1"/>
                  </wp:cNvGraphicFramePr>
                  <a:graphic>
                    <a:graphicData uri="http://schemas.openxmlformats.org/drawingml/2006/picture">
                      <pic:pic>
                        <pic:nvPicPr>
                          <pic:cNvPr id="48" name="image21.jpeg"/>
                          <pic:cNvPicPr/>
                        </pic:nvPicPr>
                        <pic:blipFill>
                          <a:blip r:embed="rId36" cstate="print"/>
                          <a:stretch>
                            <a:fillRect/>
                          </a:stretch>
                        </pic:blipFill>
                        <pic:spPr>
                          <a:xfrm>
                            <a:off x="0" y="0"/>
                            <a:ext cx="638030" cy="231457"/>
                          </a:xfrm>
                          <a:prstGeom prst="rect">
                            <a:avLst/>
                          </a:prstGeom>
                        </pic:spPr>
                      </pic:pic>
                    </a:graphicData>
                  </a:graphic>
                </wp:inline>
              </w:drawing>
            </w:r>
            <w:r>
              <w:rPr>
                <w:rFonts w:ascii="Times New Roman" w:hAnsi="Times New Roman" w:cs="Times New Roman" w:eastAsia="Times New Roman" w:hint="default"/>
                <w:position w:val="-6"/>
                <w:sz w:val="20"/>
                <w:szCs w:val="20"/>
              </w:rPr>
            </w:r>
          </w:p>
          <w:p>
            <w:pPr>
              <w:pStyle w:val="TableParagraph"/>
              <w:spacing w:line="240" w:lineRule="auto" w:before="6"/>
              <w:ind w:right="0"/>
              <w:jc w:val="left"/>
              <w:rPr>
                <w:rFonts w:ascii="Times New Roman" w:hAnsi="Times New Roman" w:cs="Times New Roman" w:eastAsia="Times New Roman" w:hint="default"/>
                <w:sz w:val="25"/>
                <w:szCs w:val="25"/>
              </w:rPr>
            </w:pPr>
          </w:p>
        </w:tc>
        <w:tc>
          <w:tcPr>
            <w:tcW w:w="15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Arial" w:hAnsi="Arial" w:cs="Arial" w:eastAsia="Arial" w:hint="default"/>
                <w:sz w:val="18"/>
                <w:szCs w:val="18"/>
              </w:rPr>
            </w:pPr>
            <w:r>
              <w:rPr>
                <w:rFonts w:ascii="Arial"/>
                <w:sz w:val="18"/>
              </w:rPr>
              <w:t>8626469</w:t>
            </w:r>
          </w:p>
        </w:tc>
        <w:tc>
          <w:tcPr>
            <w:tcW w:w="1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584"/>
              <w:jc w:val="right"/>
              <w:rPr>
                <w:rFonts w:ascii="Arial" w:hAnsi="Arial" w:cs="Arial" w:eastAsia="Arial" w:hint="default"/>
                <w:sz w:val="18"/>
                <w:szCs w:val="18"/>
              </w:rPr>
            </w:pPr>
            <w:r>
              <w:rPr>
                <w:rFonts w:ascii="Arial"/>
                <w:w w:val="99"/>
                <w:sz w:val="18"/>
              </w:rPr>
              <w:t>1</w:t>
            </w:r>
            <w:r>
              <w:rPr>
                <w:rFonts w:ascii="Arial"/>
                <w:sz w:val="18"/>
              </w:rPr>
            </w:r>
          </w:p>
        </w:tc>
        <w:tc>
          <w:tcPr>
            <w:tcW w:w="316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Arial" w:hAnsi="Arial" w:cs="Arial" w:eastAsia="Arial" w:hint="default"/>
                <w:sz w:val="18"/>
                <w:szCs w:val="18"/>
              </w:rPr>
            </w:pPr>
            <w:r>
              <w:rPr>
                <w:rFonts w:ascii="Arial"/>
                <w:sz w:val="18"/>
              </w:rPr>
              <w:t>2010.8.31</w:t>
            </w:r>
          </w:p>
        </w:tc>
      </w:tr>
      <w:tr>
        <w:trPr>
          <w:trHeight w:val="974" w:hRule="exact"/>
        </w:trPr>
        <w:tc>
          <w:tcPr>
            <w:tcW w:w="8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314" w:right="0"/>
              <w:jc w:val="left"/>
              <w:rPr>
                <w:rFonts w:ascii="Arial" w:hAnsi="Arial" w:cs="Arial" w:eastAsia="Arial" w:hint="default"/>
                <w:sz w:val="18"/>
                <w:szCs w:val="18"/>
              </w:rPr>
            </w:pPr>
            <w:r>
              <w:rPr>
                <w:rFonts w:ascii="Arial"/>
                <w:sz w:val="18"/>
              </w:rPr>
              <w:t>13</w:t>
            </w:r>
          </w:p>
        </w:tc>
        <w:tc>
          <w:tcPr>
            <w:tcW w:w="19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64" w:lineRule="exact"/>
              <w:ind w:left="480"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638030" cy="231457"/>
                  <wp:effectExtent l="0" t="0" r="0" b="0"/>
                  <wp:docPr id="49" name="image21.jpeg" descr=""/>
                  <wp:cNvGraphicFramePr>
                    <a:graphicFrameLocks noChangeAspect="1"/>
                  </wp:cNvGraphicFramePr>
                  <a:graphic>
                    <a:graphicData uri="http://schemas.openxmlformats.org/drawingml/2006/picture">
                      <pic:pic>
                        <pic:nvPicPr>
                          <pic:cNvPr id="50" name="image21.jpeg"/>
                          <pic:cNvPicPr/>
                        </pic:nvPicPr>
                        <pic:blipFill>
                          <a:blip r:embed="rId36" cstate="print"/>
                          <a:stretch>
                            <a:fillRect/>
                          </a:stretch>
                        </pic:blipFill>
                        <pic:spPr>
                          <a:xfrm>
                            <a:off x="0" y="0"/>
                            <a:ext cx="638030" cy="231457"/>
                          </a:xfrm>
                          <a:prstGeom prst="rect">
                            <a:avLst/>
                          </a:prstGeom>
                        </pic:spPr>
                      </pic:pic>
                    </a:graphicData>
                  </a:graphic>
                </wp:inline>
              </w:drawing>
            </w:r>
            <w:r>
              <w:rPr>
                <w:rFonts w:ascii="Times New Roman" w:hAnsi="Times New Roman" w:cs="Times New Roman" w:eastAsia="Times New Roman" w:hint="default"/>
                <w:position w:val="-6"/>
                <w:sz w:val="20"/>
                <w:szCs w:val="20"/>
              </w:rPr>
            </w:r>
          </w:p>
          <w:p>
            <w:pPr>
              <w:pStyle w:val="TableParagraph"/>
              <w:spacing w:line="240" w:lineRule="auto" w:before="4"/>
              <w:ind w:right="0"/>
              <w:jc w:val="left"/>
              <w:rPr>
                <w:rFonts w:ascii="Times New Roman" w:hAnsi="Times New Roman" w:cs="Times New Roman" w:eastAsia="Times New Roman" w:hint="default"/>
                <w:sz w:val="25"/>
                <w:szCs w:val="25"/>
              </w:rPr>
            </w:pPr>
          </w:p>
        </w:tc>
        <w:tc>
          <w:tcPr>
            <w:tcW w:w="15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Arial" w:hAnsi="Arial" w:cs="Arial" w:eastAsia="Arial" w:hint="default"/>
                <w:sz w:val="18"/>
                <w:szCs w:val="18"/>
              </w:rPr>
            </w:pPr>
            <w:r>
              <w:rPr>
                <w:rFonts w:ascii="Arial"/>
                <w:sz w:val="18"/>
              </w:rPr>
              <w:t>8626489</w:t>
            </w:r>
          </w:p>
        </w:tc>
        <w:tc>
          <w:tcPr>
            <w:tcW w:w="1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584"/>
              <w:jc w:val="right"/>
              <w:rPr>
                <w:rFonts w:ascii="Arial" w:hAnsi="Arial" w:cs="Arial" w:eastAsia="Arial" w:hint="default"/>
                <w:sz w:val="18"/>
                <w:szCs w:val="18"/>
              </w:rPr>
            </w:pPr>
            <w:r>
              <w:rPr>
                <w:rFonts w:ascii="Arial"/>
                <w:w w:val="99"/>
                <w:sz w:val="18"/>
              </w:rPr>
              <w:t>2</w:t>
            </w:r>
            <w:r>
              <w:rPr>
                <w:rFonts w:ascii="Arial"/>
                <w:sz w:val="18"/>
              </w:rPr>
            </w:r>
          </w:p>
        </w:tc>
        <w:tc>
          <w:tcPr>
            <w:tcW w:w="316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Arial" w:hAnsi="Arial" w:cs="Arial" w:eastAsia="Arial" w:hint="default"/>
                <w:sz w:val="18"/>
                <w:szCs w:val="18"/>
              </w:rPr>
            </w:pPr>
            <w:r>
              <w:rPr>
                <w:rFonts w:ascii="Arial"/>
                <w:sz w:val="18"/>
              </w:rPr>
              <w:t>2010.8.31</w:t>
            </w:r>
          </w:p>
        </w:tc>
      </w:tr>
      <w:tr>
        <w:trPr>
          <w:trHeight w:val="974" w:hRule="exact"/>
        </w:trPr>
        <w:tc>
          <w:tcPr>
            <w:tcW w:w="8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314" w:right="0"/>
              <w:jc w:val="left"/>
              <w:rPr>
                <w:rFonts w:ascii="Arial" w:hAnsi="Arial" w:cs="Arial" w:eastAsia="Arial" w:hint="default"/>
                <w:sz w:val="18"/>
                <w:szCs w:val="18"/>
              </w:rPr>
            </w:pPr>
            <w:r>
              <w:rPr>
                <w:rFonts w:ascii="Arial"/>
                <w:sz w:val="18"/>
              </w:rPr>
              <w:t>14</w:t>
            </w:r>
          </w:p>
        </w:tc>
        <w:tc>
          <w:tcPr>
            <w:tcW w:w="19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64" w:lineRule="exact"/>
              <w:ind w:left="480"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638030" cy="231457"/>
                  <wp:effectExtent l="0" t="0" r="0" b="0"/>
                  <wp:docPr id="51" name="image21.jpeg" descr=""/>
                  <wp:cNvGraphicFramePr>
                    <a:graphicFrameLocks noChangeAspect="1"/>
                  </wp:cNvGraphicFramePr>
                  <a:graphic>
                    <a:graphicData uri="http://schemas.openxmlformats.org/drawingml/2006/picture">
                      <pic:pic>
                        <pic:nvPicPr>
                          <pic:cNvPr id="52" name="image21.jpeg"/>
                          <pic:cNvPicPr/>
                        </pic:nvPicPr>
                        <pic:blipFill>
                          <a:blip r:embed="rId36" cstate="print"/>
                          <a:stretch>
                            <a:fillRect/>
                          </a:stretch>
                        </pic:blipFill>
                        <pic:spPr>
                          <a:xfrm>
                            <a:off x="0" y="0"/>
                            <a:ext cx="638030" cy="231457"/>
                          </a:xfrm>
                          <a:prstGeom prst="rect">
                            <a:avLst/>
                          </a:prstGeom>
                        </pic:spPr>
                      </pic:pic>
                    </a:graphicData>
                  </a:graphic>
                </wp:inline>
              </w:drawing>
            </w:r>
            <w:r>
              <w:rPr>
                <w:rFonts w:ascii="Times New Roman" w:hAnsi="Times New Roman" w:cs="Times New Roman" w:eastAsia="Times New Roman" w:hint="default"/>
                <w:position w:val="-6"/>
                <w:sz w:val="20"/>
                <w:szCs w:val="20"/>
              </w:rPr>
            </w:r>
          </w:p>
          <w:p>
            <w:pPr>
              <w:pStyle w:val="TableParagraph"/>
              <w:spacing w:line="240" w:lineRule="auto" w:before="4"/>
              <w:ind w:right="0"/>
              <w:jc w:val="left"/>
              <w:rPr>
                <w:rFonts w:ascii="Times New Roman" w:hAnsi="Times New Roman" w:cs="Times New Roman" w:eastAsia="Times New Roman" w:hint="default"/>
                <w:sz w:val="25"/>
                <w:szCs w:val="25"/>
              </w:rPr>
            </w:pPr>
          </w:p>
        </w:tc>
        <w:tc>
          <w:tcPr>
            <w:tcW w:w="15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Arial" w:hAnsi="Arial" w:cs="Arial" w:eastAsia="Arial" w:hint="default"/>
                <w:sz w:val="18"/>
                <w:szCs w:val="18"/>
              </w:rPr>
            </w:pPr>
            <w:r>
              <w:rPr>
                <w:rFonts w:ascii="Arial"/>
                <w:sz w:val="18"/>
              </w:rPr>
              <w:t>8626524</w:t>
            </w:r>
          </w:p>
        </w:tc>
        <w:tc>
          <w:tcPr>
            <w:tcW w:w="1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584"/>
              <w:jc w:val="right"/>
              <w:rPr>
                <w:rFonts w:ascii="Arial" w:hAnsi="Arial" w:cs="Arial" w:eastAsia="Arial" w:hint="default"/>
                <w:sz w:val="18"/>
                <w:szCs w:val="18"/>
              </w:rPr>
            </w:pPr>
            <w:r>
              <w:rPr>
                <w:rFonts w:ascii="Arial"/>
                <w:w w:val="99"/>
                <w:sz w:val="18"/>
              </w:rPr>
              <w:t>3</w:t>
            </w:r>
            <w:r>
              <w:rPr>
                <w:rFonts w:ascii="Arial"/>
                <w:sz w:val="18"/>
              </w:rPr>
            </w:r>
          </w:p>
        </w:tc>
        <w:tc>
          <w:tcPr>
            <w:tcW w:w="316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Arial" w:hAnsi="Arial" w:cs="Arial" w:eastAsia="Arial" w:hint="default"/>
                <w:sz w:val="18"/>
                <w:szCs w:val="18"/>
              </w:rPr>
            </w:pPr>
            <w:r>
              <w:rPr>
                <w:rFonts w:ascii="Arial"/>
                <w:sz w:val="18"/>
              </w:rPr>
              <w:t>2010.8.31</w:t>
            </w:r>
          </w:p>
        </w:tc>
      </w:tr>
      <w:tr>
        <w:trPr>
          <w:trHeight w:val="974" w:hRule="exact"/>
        </w:trPr>
        <w:tc>
          <w:tcPr>
            <w:tcW w:w="8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314" w:right="0"/>
              <w:jc w:val="left"/>
              <w:rPr>
                <w:rFonts w:ascii="Arial" w:hAnsi="Arial" w:cs="Arial" w:eastAsia="Arial" w:hint="default"/>
                <w:sz w:val="18"/>
                <w:szCs w:val="18"/>
              </w:rPr>
            </w:pPr>
            <w:r>
              <w:rPr>
                <w:rFonts w:ascii="Arial"/>
                <w:sz w:val="18"/>
              </w:rPr>
              <w:t>15</w:t>
            </w:r>
          </w:p>
        </w:tc>
        <w:tc>
          <w:tcPr>
            <w:tcW w:w="19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0"/>
                <w:szCs w:val="10"/>
              </w:rPr>
            </w:pPr>
          </w:p>
          <w:p>
            <w:pPr>
              <w:pStyle w:val="TableParagraph"/>
              <w:spacing w:line="252" w:lineRule="exact"/>
              <w:ind w:left="49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625955" cy="160305"/>
                  <wp:effectExtent l="0" t="0" r="0" b="0"/>
                  <wp:docPr id="53" name="image22.jpeg" descr=""/>
                  <wp:cNvGraphicFramePr>
                    <a:graphicFrameLocks noChangeAspect="1"/>
                  </wp:cNvGraphicFramePr>
                  <a:graphic>
                    <a:graphicData uri="http://schemas.openxmlformats.org/drawingml/2006/picture">
                      <pic:pic>
                        <pic:nvPicPr>
                          <pic:cNvPr id="54" name="image22.jpeg"/>
                          <pic:cNvPicPr/>
                        </pic:nvPicPr>
                        <pic:blipFill>
                          <a:blip r:embed="rId37" cstate="print"/>
                          <a:stretch>
                            <a:fillRect/>
                          </a:stretch>
                        </pic:blipFill>
                        <pic:spPr>
                          <a:xfrm>
                            <a:off x="0" y="0"/>
                            <a:ext cx="625955" cy="160305"/>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15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Arial" w:hAnsi="Arial" w:cs="Arial" w:eastAsia="Arial" w:hint="default"/>
                <w:sz w:val="18"/>
                <w:szCs w:val="18"/>
              </w:rPr>
            </w:pPr>
            <w:r>
              <w:rPr>
                <w:rFonts w:ascii="Arial"/>
                <w:sz w:val="18"/>
              </w:rPr>
              <w:t>8626545</w:t>
            </w:r>
          </w:p>
        </w:tc>
        <w:tc>
          <w:tcPr>
            <w:tcW w:w="1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584"/>
              <w:jc w:val="right"/>
              <w:rPr>
                <w:rFonts w:ascii="Arial" w:hAnsi="Arial" w:cs="Arial" w:eastAsia="Arial" w:hint="default"/>
                <w:sz w:val="18"/>
                <w:szCs w:val="18"/>
              </w:rPr>
            </w:pPr>
            <w:r>
              <w:rPr>
                <w:rFonts w:ascii="Arial"/>
                <w:w w:val="99"/>
                <w:sz w:val="18"/>
              </w:rPr>
              <w:t>2</w:t>
            </w:r>
            <w:r>
              <w:rPr>
                <w:rFonts w:ascii="Arial"/>
                <w:sz w:val="18"/>
              </w:rPr>
            </w:r>
          </w:p>
        </w:tc>
        <w:tc>
          <w:tcPr>
            <w:tcW w:w="316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Arial" w:hAnsi="Arial" w:cs="Arial" w:eastAsia="Arial" w:hint="default"/>
                <w:sz w:val="18"/>
                <w:szCs w:val="18"/>
              </w:rPr>
            </w:pPr>
            <w:r>
              <w:rPr>
                <w:rFonts w:ascii="Arial"/>
                <w:sz w:val="18"/>
              </w:rPr>
              <w:t>2010.8.31</w:t>
            </w:r>
          </w:p>
        </w:tc>
      </w:tr>
    </w:tbl>
    <w:p>
      <w:pPr>
        <w:spacing w:after="0" w:line="240" w:lineRule="auto"/>
        <w:jc w:val="center"/>
        <w:rPr>
          <w:rFonts w:ascii="Arial" w:hAnsi="Arial" w:cs="Arial" w:eastAsia="Arial" w:hint="default"/>
          <w:sz w:val="18"/>
          <w:szCs w:val="18"/>
        </w:rPr>
        <w:sectPr>
          <w:pgSz w:w="11900" w:h="16840"/>
          <w:pgMar w:header="877" w:footer="981" w:top="1100" w:bottom="1180" w:left="1560" w:right="1220"/>
        </w:sectPr>
      </w:pPr>
    </w:p>
    <w:p>
      <w:pPr>
        <w:spacing w:line="240" w:lineRule="auto" w:before="11"/>
        <w:rPr>
          <w:rFonts w:ascii="Times New Roman" w:hAnsi="Times New Roman" w:cs="Times New Roman" w:eastAsia="Times New Roman" w:hint="default"/>
          <w:sz w:val="27"/>
          <w:szCs w:val="27"/>
        </w:rPr>
      </w:pPr>
    </w:p>
    <w:tbl>
      <w:tblPr>
        <w:tblW w:w="0" w:type="auto"/>
        <w:jc w:val="left"/>
        <w:tblInd w:w="195" w:type="dxa"/>
        <w:tblLayout w:type="fixed"/>
        <w:tblCellMar>
          <w:top w:w="0" w:type="dxa"/>
          <w:left w:w="0" w:type="dxa"/>
          <w:bottom w:w="0" w:type="dxa"/>
          <w:right w:w="0" w:type="dxa"/>
        </w:tblCellMar>
        <w:tblLook w:val="01E0"/>
      </w:tblPr>
      <w:tblGrid>
        <w:gridCol w:w="862"/>
        <w:gridCol w:w="1994"/>
        <w:gridCol w:w="1536"/>
        <w:gridCol w:w="1301"/>
        <w:gridCol w:w="3163"/>
      </w:tblGrid>
      <w:tr>
        <w:trPr>
          <w:trHeight w:val="974" w:hRule="exact"/>
        </w:trPr>
        <w:tc>
          <w:tcPr>
            <w:tcW w:w="8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Arial" w:hAnsi="Arial" w:cs="Arial" w:eastAsia="Arial" w:hint="default"/>
                <w:sz w:val="18"/>
                <w:szCs w:val="18"/>
              </w:rPr>
            </w:pPr>
            <w:r>
              <w:rPr>
                <w:rFonts w:ascii="Arial"/>
                <w:sz w:val="18"/>
              </w:rPr>
              <w:t>16</w:t>
            </w:r>
          </w:p>
        </w:tc>
        <w:tc>
          <w:tcPr>
            <w:tcW w:w="19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346" w:lineRule="exact"/>
              <w:ind w:left="480"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640218" cy="220027"/>
                  <wp:effectExtent l="0" t="0" r="0" b="0"/>
                  <wp:docPr id="55" name="image23.jpeg" descr=""/>
                  <wp:cNvGraphicFramePr>
                    <a:graphicFrameLocks noChangeAspect="1"/>
                  </wp:cNvGraphicFramePr>
                  <a:graphic>
                    <a:graphicData uri="http://schemas.openxmlformats.org/drawingml/2006/picture">
                      <pic:pic>
                        <pic:nvPicPr>
                          <pic:cNvPr id="56" name="image23.jpeg"/>
                          <pic:cNvPicPr/>
                        </pic:nvPicPr>
                        <pic:blipFill>
                          <a:blip r:embed="rId38" cstate="print"/>
                          <a:stretch>
                            <a:fillRect/>
                          </a:stretch>
                        </pic:blipFill>
                        <pic:spPr>
                          <a:xfrm>
                            <a:off x="0" y="0"/>
                            <a:ext cx="640218" cy="220027"/>
                          </a:xfrm>
                          <a:prstGeom prst="rect">
                            <a:avLst/>
                          </a:prstGeom>
                        </pic:spPr>
                      </pic:pic>
                    </a:graphicData>
                  </a:graphic>
                </wp:inline>
              </w:drawing>
            </w:r>
            <w:r>
              <w:rPr>
                <w:rFonts w:ascii="Times New Roman" w:hAnsi="Times New Roman" w:cs="Times New Roman" w:eastAsia="Times New Roman" w:hint="default"/>
                <w:position w:val="-6"/>
                <w:sz w:val="20"/>
                <w:szCs w:val="20"/>
              </w:rPr>
            </w:r>
          </w:p>
          <w:p>
            <w:pPr>
              <w:pStyle w:val="TableParagraph"/>
              <w:spacing w:line="240" w:lineRule="auto" w:before="1"/>
              <w:ind w:right="0"/>
              <w:jc w:val="left"/>
              <w:rPr>
                <w:rFonts w:ascii="Times New Roman" w:hAnsi="Times New Roman" w:cs="Times New Roman" w:eastAsia="Times New Roman" w:hint="default"/>
                <w:sz w:val="26"/>
                <w:szCs w:val="26"/>
              </w:rPr>
            </w:pPr>
          </w:p>
        </w:tc>
        <w:tc>
          <w:tcPr>
            <w:tcW w:w="15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00" w:right="0"/>
              <w:jc w:val="left"/>
              <w:rPr>
                <w:rFonts w:ascii="Arial" w:hAnsi="Arial" w:cs="Arial" w:eastAsia="Arial" w:hint="default"/>
                <w:sz w:val="18"/>
                <w:szCs w:val="18"/>
              </w:rPr>
            </w:pPr>
            <w:r>
              <w:rPr>
                <w:rFonts w:ascii="Arial"/>
                <w:sz w:val="18"/>
              </w:rPr>
              <w:t>8626581</w:t>
            </w:r>
          </w:p>
        </w:tc>
        <w:tc>
          <w:tcPr>
            <w:tcW w:w="1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Arial" w:hAnsi="Arial" w:cs="Arial" w:eastAsia="Arial" w:hint="default"/>
                <w:sz w:val="18"/>
                <w:szCs w:val="18"/>
              </w:rPr>
            </w:pPr>
            <w:r>
              <w:rPr>
                <w:rFonts w:ascii="Arial"/>
                <w:w w:val="99"/>
                <w:sz w:val="18"/>
              </w:rPr>
              <w:t>2</w:t>
            </w:r>
            <w:r>
              <w:rPr>
                <w:rFonts w:ascii="Arial"/>
                <w:sz w:val="18"/>
              </w:rPr>
            </w:r>
          </w:p>
        </w:tc>
        <w:tc>
          <w:tcPr>
            <w:tcW w:w="316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Arial" w:hAnsi="Arial" w:cs="Arial" w:eastAsia="Arial" w:hint="default"/>
                <w:sz w:val="18"/>
                <w:szCs w:val="18"/>
              </w:rPr>
            </w:pPr>
            <w:r>
              <w:rPr>
                <w:rFonts w:ascii="Arial"/>
                <w:sz w:val="18"/>
              </w:rPr>
              <w:t>2010.8.31</w:t>
            </w:r>
          </w:p>
        </w:tc>
      </w:tr>
    </w:tbl>
    <w:p>
      <w:pPr>
        <w:pStyle w:val="BodyText"/>
        <w:spacing w:line="240" w:lineRule="auto" w:before="57"/>
        <w:ind w:left="756" w:right="0"/>
        <w:jc w:val="left"/>
      </w:pPr>
      <w:r>
        <w:rPr>
          <w:rFonts w:ascii="Arial" w:hAnsi="Arial" w:cs="Arial" w:eastAsia="Arial" w:hint="default"/>
        </w:rPr>
        <w:t>3</w:t>
      </w:r>
      <w:r>
        <w:rPr/>
        <w:t>）专利</w:t>
      </w:r>
    </w:p>
    <w:p>
      <w:pPr>
        <w:spacing w:line="240" w:lineRule="auto" w:before="1"/>
        <w:rPr>
          <w:rFonts w:ascii="宋体" w:hAnsi="宋体" w:cs="宋体" w:eastAsia="宋体" w:hint="default"/>
          <w:sz w:val="10"/>
          <w:szCs w:val="10"/>
        </w:rPr>
      </w:pPr>
    </w:p>
    <w:p>
      <w:pPr>
        <w:pStyle w:val="BodyText"/>
        <w:spacing w:line="240" w:lineRule="auto"/>
        <w:ind w:left="756" w:right="0"/>
        <w:jc w:val="left"/>
      </w:pPr>
      <w:r>
        <w:rPr/>
        <w:t>截至报告期末，公司共有</w:t>
      </w:r>
      <w:r>
        <w:rPr>
          <w:spacing w:val="-57"/>
        </w:rPr>
        <w:t> </w:t>
      </w:r>
      <w:r>
        <w:rPr>
          <w:rFonts w:ascii="Arial" w:hAnsi="Arial" w:cs="Arial" w:eastAsia="Arial" w:hint="default"/>
        </w:rPr>
        <w:t>2</w:t>
      </w:r>
      <w:r>
        <w:rPr>
          <w:rFonts w:ascii="Arial" w:hAnsi="Arial" w:cs="Arial" w:eastAsia="Arial" w:hint="default"/>
          <w:spacing w:val="-9"/>
        </w:rPr>
        <w:t> </w:t>
      </w:r>
      <w:r>
        <w:rPr/>
        <w:t>项专利被授权，</w:t>
      </w:r>
      <w:r>
        <w:rPr>
          <w:rFonts w:ascii="Arial" w:hAnsi="Arial" w:cs="Arial" w:eastAsia="Arial" w:hint="default"/>
        </w:rPr>
        <w:t>14</w:t>
      </w:r>
      <w:r>
        <w:rPr>
          <w:rFonts w:ascii="Arial" w:hAnsi="Arial" w:cs="Arial" w:eastAsia="Arial" w:hint="default"/>
          <w:spacing w:val="-11"/>
        </w:rPr>
        <w:t> </w:t>
      </w:r>
      <w:r>
        <w:rPr/>
        <w:t>项专利获得受理，具体情况如下：</w:t>
      </w:r>
    </w:p>
    <w:p>
      <w:pPr>
        <w:pStyle w:val="BodyText"/>
        <w:spacing w:line="240" w:lineRule="auto" w:before="164"/>
        <w:ind w:left="756" w:right="0"/>
        <w:jc w:val="left"/>
      </w:pPr>
      <w:r>
        <w:rPr/>
        <w:t>（</w:t>
      </w:r>
      <w:r>
        <w:rPr>
          <w:rFonts w:ascii="Arial" w:hAnsi="Arial" w:cs="Arial" w:eastAsia="Arial" w:hint="default"/>
        </w:rPr>
        <w:t>1</w:t>
      </w:r>
      <w:r>
        <w:rPr/>
        <w:t>）已获得的专利使用权</w:t>
      </w:r>
    </w:p>
    <w:p>
      <w:pPr>
        <w:spacing w:line="240" w:lineRule="auto" w:before="5"/>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1769"/>
        <w:gridCol w:w="1939"/>
        <w:gridCol w:w="1771"/>
        <w:gridCol w:w="1776"/>
        <w:gridCol w:w="1769"/>
      </w:tblGrid>
      <w:tr>
        <w:trPr>
          <w:trHeight w:val="497" w:hRule="exact"/>
        </w:trPr>
        <w:tc>
          <w:tcPr>
            <w:tcW w:w="17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93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595" w:right="0"/>
              <w:jc w:val="left"/>
              <w:rPr>
                <w:rFonts w:ascii="宋体" w:hAnsi="宋体" w:cs="宋体" w:eastAsia="宋体" w:hint="default"/>
                <w:sz w:val="18"/>
                <w:szCs w:val="18"/>
              </w:rPr>
            </w:pPr>
            <w:r>
              <w:rPr>
                <w:rFonts w:ascii="宋体" w:hAnsi="宋体" w:cs="宋体" w:eastAsia="宋体" w:hint="default"/>
                <w:sz w:val="18"/>
                <w:szCs w:val="18"/>
              </w:rPr>
              <w:t>专利名称</w:t>
            </w:r>
          </w:p>
        </w:tc>
        <w:tc>
          <w:tcPr>
            <w:tcW w:w="17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专利类别</w:t>
            </w:r>
          </w:p>
        </w:tc>
        <w:tc>
          <w:tcPr>
            <w:tcW w:w="17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专利号</w:t>
            </w:r>
          </w:p>
        </w:tc>
        <w:tc>
          <w:tcPr>
            <w:tcW w:w="17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419" w:right="0"/>
              <w:jc w:val="left"/>
              <w:rPr>
                <w:rFonts w:ascii="宋体" w:hAnsi="宋体" w:cs="宋体" w:eastAsia="宋体" w:hint="default"/>
                <w:sz w:val="18"/>
                <w:szCs w:val="18"/>
              </w:rPr>
            </w:pPr>
            <w:r>
              <w:rPr>
                <w:rFonts w:ascii="宋体" w:hAnsi="宋体" w:cs="宋体" w:eastAsia="宋体" w:hint="default"/>
                <w:sz w:val="18"/>
                <w:szCs w:val="18"/>
              </w:rPr>
              <w:t>授权公告日</w:t>
            </w:r>
          </w:p>
        </w:tc>
      </w:tr>
      <w:tr>
        <w:trPr>
          <w:trHeight w:val="967" w:hRule="exact"/>
        </w:trPr>
        <w:tc>
          <w:tcPr>
            <w:tcW w:w="17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Arial" w:hAnsi="Arial" w:cs="Arial" w:eastAsia="Arial" w:hint="default"/>
                <w:sz w:val="18"/>
                <w:szCs w:val="18"/>
              </w:rPr>
            </w:pPr>
            <w:r>
              <w:rPr>
                <w:rFonts w:ascii="Arial"/>
                <w:w w:val="99"/>
                <w:sz w:val="18"/>
              </w:rPr>
              <w:t>1</w:t>
            </w:r>
            <w:r>
              <w:rPr>
                <w:rFonts w:ascii="Arial"/>
                <w:sz w:val="18"/>
              </w:rPr>
            </w:r>
          </w:p>
        </w:tc>
        <w:tc>
          <w:tcPr>
            <w:tcW w:w="193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彩色物理发泡微胶囊</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和制备方法</w:t>
            </w:r>
          </w:p>
        </w:tc>
        <w:tc>
          <w:tcPr>
            <w:tcW w:w="17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7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 w:right="0"/>
              <w:jc w:val="center"/>
              <w:rPr>
                <w:rFonts w:ascii="Arial" w:hAnsi="Arial" w:cs="Arial" w:eastAsia="Arial" w:hint="default"/>
                <w:sz w:val="18"/>
                <w:szCs w:val="18"/>
              </w:rPr>
            </w:pPr>
            <w:r>
              <w:rPr>
                <w:rFonts w:ascii="Arial"/>
                <w:sz w:val="18"/>
              </w:rPr>
              <w:t>ZL200410052920.4</w:t>
            </w:r>
          </w:p>
        </w:tc>
        <w:tc>
          <w:tcPr>
            <w:tcW w:w="17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58" w:right="0"/>
              <w:jc w:val="left"/>
              <w:rPr>
                <w:rFonts w:ascii="Arial" w:hAnsi="Arial" w:cs="Arial" w:eastAsia="Arial" w:hint="default"/>
                <w:sz w:val="18"/>
                <w:szCs w:val="18"/>
              </w:rPr>
            </w:pPr>
            <w:r>
              <w:rPr>
                <w:rFonts w:ascii="Arial"/>
                <w:sz w:val="18"/>
              </w:rPr>
              <w:t>2006-4-26</w:t>
            </w:r>
          </w:p>
        </w:tc>
      </w:tr>
      <w:tr>
        <w:trPr>
          <w:trHeight w:val="653" w:hRule="exact"/>
        </w:trPr>
        <w:tc>
          <w:tcPr>
            <w:tcW w:w="17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w w:val="99"/>
                <w:sz w:val="18"/>
              </w:rPr>
              <w:t>2</w:t>
            </w:r>
            <w:r>
              <w:rPr>
                <w:rFonts w:ascii="Arial"/>
                <w:sz w:val="18"/>
              </w:rPr>
            </w:r>
          </w:p>
        </w:tc>
        <w:tc>
          <w:tcPr>
            <w:tcW w:w="1939"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323" w:right="144" w:hanging="180"/>
              <w:jc w:val="left"/>
              <w:rPr>
                <w:rFonts w:ascii="宋体" w:hAnsi="宋体" w:cs="宋体" w:eastAsia="宋体" w:hint="default"/>
                <w:sz w:val="18"/>
                <w:szCs w:val="18"/>
              </w:rPr>
            </w:pPr>
            <w:r>
              <w:rPr>
                <w:rFonts w:ascii="宋体" w:hAnsi="宋体" w:cs="宋体" w:eastAsia="宋体" w:hint="default"/>
                <w:sz w:val="18"/>
                <w:szCs w:val="18"/>
              </w:rPr>
              <w:t>耐溶剂型物理发泡微</w:t>
            </w:r>
            <w:r>
              <w:rPr>
                <w:rFonts w:ascii="宋体" w:hAnsi="宋体" w:cs="宋体" w:eastAsia="宋体" w:hint="default"/>
                <w:w w:val="99"/>
                <w:sz w:val="18"/>
                <w:szCs w:val="18"/>
              </w:rPr>
              <w:t> </w:t>
            </w:r>
            <w:r>
              <w:rPr>
                <w:rFonts w:ascii="宋体" w:hAnsi="宋体" w:cs="宋体" w:eastAsia="宋体" w:hint="default"/>
                <w:sz w:val="18"/>
                <w:szCs w:val="18"/>
              </w:rPr>
              <w:t>胶囊的制备方法</w:t>
            </w:r>
          </w:p>
        </w:tc>
        <w:tc>
          <w:tcPr>
            <w:tcW w:w="17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7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 w:right="0"/>
              <w:jc w:val="center"/>
              <w:rPr>
                <w:rFonts w:ascii="Arial" w:hAnsi="Arial" w:cs="Arial" w:eastAsia="Arial" w:hint="default"/>
                <w:sz w:val="18"/>
                <w:szCs w:val="18"/>
              </w:rPr>
            </w:pPr>
            <w:r>
              <w:rPr>
                <w:rFonts w:ascii="Arial"/>
                <w:sz w:val="18"/>
              </w:rPr>
              <w:t>ZL200410052921.9</w:t>
            </w:r>
          </w:p>
        </w:tc>
        <w:tc>
          <w:tcPr>
            <w:tcW w:w="17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8" w:right="0"/>
              <w:jc w:val="left"/>
              <w:rPr>
                <w:rFonts w:ascii="Arial" w:hAnsi="Arial" w:cs="Arial" w:eastAsia="Arial" w:hint="default"/>
                <w:sz w:val="18"/>
                <w:szCs w:val="18"/>
              </w:rPr>
            </w:pPr>
            <w:r>
              <w:rPr>
                <w:rFonts w:ascii="Arial"/>
                <w:sz w:val="18"/>
              </w:rPr>
              <w:t>2006-5-31</w:t>
            </w:r>
          </w:p>
        </w:tc>
      </w:tr>
    </w:tbl>
    <w:p>
      <w:pPr>
        <w:pStyle w:val="BodyText"/>
        <w:spacing w:line="240" w:lineRule="auto" w:before="57"/>
        <w:ind w:left="756" w:right="0"/>
        <w:jc w:val="left"/>
      </w:pPr>
      <w:r>
        <w:rPr/>
        <w:t>（</w:t>
      </w:r>
      <w:r>
        <w:rPr>
          <w:rFonts w:ascii="Arial" w:hAnsi="Arial" w:cs="Arial" w:eastAsia="Arial" w:hint="default"/>
        </w:rPr>
        <w:t>2</w:t>
      </w:r>
      <w:r>
        <w:rPr/>
        <w:t>）公司尚有</w:t>
      </w:r>
      <w:r>
        <w:rPr>
          <w:spacing w:val="-57"/>
        </w:rPr>
        <w:t> </w:t>
      </w:r>
      <w:r>
        <w:rPr>
          <w:rFonts w:ascii="Arial" w:hAnsi="Arial" w:cs="Arial" w:eastAsia="Arial" w:hint="default"/>
        </w:rPr>
        <w:t>14</w:t>
      </w:r>
      <w:r>
        <w:rPr>
          <w:rFonts w:ascii="Arial" w:hAnsi="Arial" w:cs="Arial" w:eastAsia="Arial" w:hint="default"/>
          <w:spacing w:val="-9"/>
        </w:rPr>
        <w:t> </w:t>
      </w:r>
      <w:r>
        <w:rPr/>
        <w:t>发明专利注册申请已受理：</w:t>
      </w:r>
    </w:p>
    <w:p>
      <w:pPr>
        <w:spacing w:line="240" w:lineRule="auto" w:before="5"/>
        <w:rPr>
          <w:rFonts w:ascii="宋体" w:hAnsi="宋体" w:cs="宋体" w:eastAsia="宋体" w:hint="default"/>
          <w:sz w:val="8"/>
          <w:szCs w:val="8"/>
        </w:rPr>
      </w:pPr>
    </w:p>
    <w:tbl>
      <w:tblPr>
        <w:tblW w:w="0" w:type="auto"/>
        <w:jc w:val="left"/>
        <w:tblInd w:w="154" w:type="dxa"/>
        <w:tblLayout w:type="fixed"/>
        <w:tblCellMar>
          <w:top w:w="0" w:type="dxa"/>
          <w:left w:w="0" w:type="dxa"/>
          <w:bottom w:w="0" w:type="dxa"/>
          <w:right w:w="0" w:type="dxa"/>
        </w:tblCellMar>
        <w:tblLook w:val="01E0"/>
      </w:tblPr>
      <w:tblGrid>
        <w:gridCol w:w="574"/>
        <w:gridCol w:w="2578"/>
        <w:gridCol w:w="1570"/>
        <w:gridCol w:w="1044"/>
        <w:gridCol w:w="1152"/>
        <w:gridCol w:w="2021"/>
      </w:tblGrid>
      <w:tr>
        <w:trPr>
          <w:trHeight w:val="653" w:hRule="exact"/>
        </w:trPr>
        <w:tc>
          <w:tcPr>
            <w:tcW w:w="574"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179" w:right="182"/>
              <w:jc w:val="left"/>
              <w:rPr>
                <w:rFonts w:ascii="宋体" w:hAnsi="宋体" w:cs="宋体" w:eastAsia="宋体" w:hint="default"/>
                <w:sz w:val="18"/>
                <w:szCs w:val="18"/>
              </w:rPr>
            </w:pPr>
            <w:r>
              <w:rPr>
                <w:rFonts w:ascii="宋体" w:hAnsi="宋体" w:cs="宋体" w:eastAsia="宋体" w:hint="default"/>
                <w:sz w:val="18"/>
                <w:szCs w:val="18"/>
              </w:rPr>
              <w:t>序</w:t>
            </w:r>
            <w:r>
              <w:rPr>
                <w:rFonts w:ascii="宋体" w:hAnsi="宋体" w:cs="宋体" w:eastAsia="宋体" w:hint="default"/>
                <w:w w:val="99"/>
                <w:sz w:val="18"/>
                <w:szCs w:val="18"/>
              </w:rPr>
              <w:t> </w:t>
            </w:r>
            <w:r>
              <w:rPr>
                <w:rFonts w:ascii="宋体" w:hAnsi="宋体" w:cs="宋体" w:eastAsia="宋体" w:hint="default"/>
                <w:sz w:val="18"/>
                <w:szCs w:val="18"/>
              </w:rPr>
              <w:t>号</w:t>
            </w:r>
          </w:p>
        </w:tc>
        <w:tc>
          <w:tcPr>
            <w:tcW w:w="25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专利名称</w:t>
            </w:r>
          </w:p>
        </w:tc>
        <w:tc>
          <w:tcPr>
            <w:tcW w:w="15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专利</w:t>
            </w:r>
            <w:r>
              <w:rPr>
                <w:rFonts w:ascii="Arial" w:hAnsi="Arial" w:cs="Arial" w:eastAsia="Arial" w:hint="default"/>
                <w:sz w:val="18"/>
                <w:szCs w:val="18"/>
              </w:rPr>
              <w:t>/</w:t>
            </w:r>
            <w:r>
              <w:rPr>
                <w:rFonts w:ascii="宋体" w:hAnsi="宋体" w:cs="宋体" w:eastAsia="宋体" w:hint="default"/>
                <w:sz w:val="18"/>
                <w:szCs w:val="18"/>
              </w:rPr>
              <w:t>申请号</w:t>
            </w:r>
          </w:p>
        </w:tc>
        <w:tc>
          <w:tcPr>
            <w:tcW w:w="104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专利类别</w:t>
            </w:r>
          </w:p>
        </w:tc>
        <w:tc>
          <w:tcPr>
            <w:tcW w:w="11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申请日</w:t>
            </w:r>
          </w:p>
        </w:tc>
        <w:tc>
          <w:tcPr>
            <w:tcW w:w="20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状态</w:t>
            </w:r>
          </w:p>
        </w:tc>
      </w:tr>
      <w:tr>
        <w:trPr>
          <w:trHeight w:val="967" w:hRule="exact"/>
        </w:trPr>
        <w:tc>
          <w:tcPr>
            <w:tcW w:w="5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21"/>
              <w:jc w:val="right"/>
              <w:rPr>
                <w:rFonts w:ascii="Arial" w:hAnsi="Arial" w:cs="Arial" w:eastAsia="Arial" w:hint="default"/>
                <w:sz w:val="18"/>
                <w:szCs w:val="18"/>
              </w:rPr>
            </w:pPr>
            <w:r>
              <w:rPr>
                <w:rFonts w:ascii="Arial"/>
                <w:w w:val="99"/>
                <w:sz w:val="18"/>
              </w:rPr>
              <w:t>1</w:t>
            </w:r>
            <w:r>
              <w:rPr>
                <w:rFonts w:ascii="Arial"/>
                <w:sz w:val="18"/>
              </w:rPr>
            </w:r>
          </w:p>
        </w:tc>
        <w:tc>
          <w:tcPr>
            <w:tcW w:w="25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93" w:right="86"/>
              <w:jc w:val="left"/>
              <w:rPr>
                <w:rFonts w:ascii="宋体" w:hAnsi="宋体" w:cs="宋体" w:eastAsia="宋体" w:hint="default"/>
                <w:sz w:val="18"/>
                <w:szCs w:val="18"/>
              </w:rPr>
            </w:pPr>
            <w:r>
              <w:rPr>
                <w:rFonts w:ascii="宋体" w:hAnsi="宋体" w:cs="宋体" w:eastAsia="宋体" w:hint="default"/>
                <w:sz w:val="18"/>
                <w:szCs w:val="18"/>
              </w:rPr>
              <w:t>纤维素纤维用耐液氨丝光和潮</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交链处理的活性海军蓝染料</w:t>
            </w:r>
          </w:p>
        </w:tc>
        <w:tc>
          <w:tcPr>
            <w:tcW w:w="15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Arial" w:hAnsi="Arial" w:cs="Arial" w:eastAsia="Arial" w:hint="default"/>
                <w:sz w:val="18"/>
                <w:szCs w:val="18"/>
              </w:rPr>
            </w:pPr>
            <w:r>
              <w:rPr>
                <w:rFonts w:ascii="Arial"/>
                <w:sz w:val="18"/>
              </w:rPr>
              <w:t>200710172790.1</w:t>
            </w:r>
          </w:p>
        </w:tc>
        <w:tc>
          <w:tcPr>
            <w:tcW w:w="104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1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Arial" w:hAnsi="Arial" w:cs="Arial" w:eastAsia="Arial" w:hint="default"/>
                <w:sz w:val="18"/>
                <w:szCs w:val="18"/>
              </w:rPr>
            </w:pPr>
            <w:r>
              <w:rPr>
                <w:rFonts w:ascii="Arial"/>
                <w:sz w:val="18"/>
              </w:rPr>
              <w:t>2007-12-21</w:t>
            </w:r>
          </w:p>
        </w:tc>
        <w:tc>
          <w:tcPr>
            <w:tcW w:w="2021" w:type="dxa"/>
            <w:tcBorders>
              <w:top w:val="single" w:sz="12" w:space="0" w:color="000000"/>
              <w:left w:val="single" w:sz="12" w:space="0" w:color="000000"/>
              <w:bottom w:val="single" w:sz="12" w:space="0" w:color="000000"/>
              <w:right w:val="single" w:sz="12" w:space="0" w:color="000000"/>
            </w:tcBorders>
          </w:tcPr>
          <w:p>
            <w:pPr>
              <w:pStyle w:val="TableParagraph"/>
              <w:spacing w:line="338" w:lineRule="auto" w:before="10"/>
              <w:ind w:left="95" w:right="94"/>
              <w:jc w:val="center"/>
              <w:rPr>
                <w:rFonts w:ascii="Arial" w:hAnsi="Arial" w:cs="Arial" w:eastAsia="Arial" w:hint="default"/>
                <w:sz w:val="18"/>
                <w:szCs w:val="18"/>
              </w:rPr>
            </w:pPr>
            <w:r>
              <w:rPr>
                <w:rFonts w:ascii="宋体" w:hAnsi="宋体" w:cs="宋体" w:eastAsia="宋体" w:hint="default"/>
                <w:sz w:val="18"/>
                <w:szCs w:val="18"/>
              </w:rPr>
              <w:t>经公布后，目前已进入</w:t>
            </w:r>
            <w:r>
              <w:rPr>
                <w:rFonts w:ascii="宋体" w:hAnsi="宋体" w:cs="宋体" w:eastAsia="宋体" w:hint="default"/>
                <w:w w:val="99"/>
                <w:sz w:val="18"/>
                <w:szCs w:val="18"/>
              </w:rPr>
              <w:t> </w:t>
            </w:r>
            <w:r>
              <w:rPr>
                <w:rFonts w:ascii="宋体" w:hAnsi="宋体" w:cs="宋体" w:eastAsia="宋体" w:hint="default"/>
                <w:sz w:val="18"/>
                <w:szCs w:val="18"/>
              </w:rPr>
              <w:t>授权阶段，授权通知日</w:t>
            </w:r>
            <w:r>
              <w:rPr>
                <w:rFonts w:ascii="宋体" w:hAnsi="宋体" w:cs="宋体" w:eastAsia="宋体" w:hint="default"/>
                <w:w w:val="99"/>
                <w:sz w:val="18"/>
                <w:szCs w:val="18"/>
              </w:rPr>
              <w:t> </w:t>
            </w:r>
            <w:r>
              <w:rPr>
                <w:rFonts w:ascii="Arial" w:hAnsi="Arial" w:cs="Arial" w:eastAsia="Arial" w:hint="default"/>
                <w:sz w:val="18"/>
                <w:szCs w:val="18"/>
              </w:rPr>
              <w:t>2011-1-13</w:t>
            </w:r>
          </w:p>
        </w:tc>
      </w:tr>
      <w:tr>
        <w:trPr>
          <w:trHeight w:val="965" w:hRule="exact"/>
        </w:trPr>
        <w:tc>
          <w:tcPr>
            <w:tcW w:w="5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21"/>
              <w:jc w:val="right"/>
              <w:rPr>
                <w:rFonts w:ascii="Arial" w:hAnsi="Arial" w:cs="Arial" w:eastAsia="Arial" w:hint="default"/>
                <w:sz w:val="18"/>
                <w:szCs w:val="18"/>
              </w:rPr>
            </w:pPr>
            <w:r>
              <w:rPr>
                <w:rFonts w:ascii="Arial"/>
                <w:w w:val="99"/>
                <w:sz w:val="18"/>
              </w:rPr>
              <w:t>2</w:t>
            </w:r>
            <w:r>
              <w:rPr>
                <w:rFonts w:ascii="Arial"/>
                <w:sz w:val="18"/>
              </w:rPr>
            </w:r>
          </w:p>
        </w:tc>
        <w:tc>
          <w:tcPr>
            <w:tcW w:w="25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93" w:right="86"/>
              <w:jc w:val="left"/>
              <w:rPr>
                <w:rFonts w:ascii="宋体" w:hAnsi="宋体" w:cs="宋体" w:eastAsia="宋体" w:hint="default"/>
                <w:sz w:val="18"/>
                <w:szCs w:val="18"/>
              </w:rPr>
            </w:pPr>
            <w:r>
              <w:rPr>
                <w:rFonts w:ascii="宋体" w:hAnsi="宋体" w:cs="宋体" w:eastAsia="宋体" w:hint="default"/>
                <w:sz w:val="18"/>
                <w:szCs w:val="18"/>
              </w:rPr>
              <w:t>纤维素纤维用耐后丝光的活性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黑染料</w:t>
            </w:r>
          </w:p>
        </w:tc>
        <w:tc>
          <w:tcPr>
            <w:tcW w:w="15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Arial" w:hAnsi="Arial" w:cs="Arial" w:eastAsia="Arial" w:hint="default"/>
                <w:sz w:val="18"/>
                <w:szCs w:val="18"/>
              </w:rPr>
            </w:pPr>
            <w:r>
              <w:rPr>
                <w:rFonts w:ascii="Arial"/>
                <w:sz w:val="18"/>
              </w:rPr>
              <w:t>200710172791.6</w:t>
            </w:r>
          </w:p>
        </w:tc>
        <w:tc>
          <w:tcPr>
            <w:tcW w:w="104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1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Arial" w:hAnsi="Arial" w:cs="Arial" w:eastAsia="Arial" w:hint="default"/>
                <w:sz w:val="18"/>
                <w:szCs w:val="18"/>
              </w:rPr>
            </w:pPr>
            <w:r>
              <w:rPr>
                <w:rFonts w:ascii="Arial"/>
                <w:sz w:val="18"/>
              </w:rPr>
              <w:t>2007-12-21</w:t>
            </w:r>
          </w:p>
        </w:tc>
        <w:tc>
          <w:tcPr>
            <w:tcW w:w="2021" w:type="dxa"/>
            <w:tcBorders>
              <w:top w:val="single" w:sz="12" w:space="0" w:color="000000"/>
              <w:left w:val="single" w:sz="12" w:space="0" w:color="000000"/>
              <w:bottom w:val="single" w:sz="12" w:space="0" w:color="000000"/>
              <w:right w:val="single" w:sz="12" w:space="0" w:color="000000"/>
            </w:tcBorders>
          </w:tcPr>
          <w:p>
            <w:pPr>
              <w:pStyle w:val="TableParagraph"/>
              <w:spacing w:line="338" w:lineRule="auto" w:before="10"/>
              <w:ind w:left="95" w:right="94"/>
              <w:jc w:val="center"/>
              <w:rPr>
                <w:rFonts w:ascii="Arial" w:hAnsi="Arial" w:cs="Arial" w:eastAsia="Arial" w:hint="default"/>
                <w:sz w:val="18"/>
                <w:szCs w:val="18"/>
              </w:rPr>
            </w:pPr>
            <w:r>
              <w:rPr>
                <w:rFonts w:ascii="宋体" w:hAnsi="宋体" w:cs="宋体" w:eastAsia="宋体" w:hint="default"/>
                <w:sz w:val="18"/>
                <w:szCs w:val="18"/>
              </w:rPr>
              <w:t>经公布后，目前已进入</w:t>
            </w:r>
            <w:r>
              <w:rPr>
                <w:rFonts w:ascii="宋体" w:hAnsi="宋体" w:cs="宋体" w:eastAsia="宋体" w:hint="default"/>
                <w:w w:val="99"/>
                <w:sz w:val="18"/>
                <w:szCs w:val="18"/>
              </w:rPr>
              <w:t> </w:t>
            </w:r>
            <w:r>
              <w:rPr>
                <w:rFonts w:ascii="宋体" w:hAnsi="宋体" w:cs="宋体" w:eastAsia="宋体" w:hint="default"/>
                <w:sz w:val="18"/>
                <w:szCs w:val="18"/>
              </w:rPr>
              <w:t>授权阶段，授权通知日</w:t>
            </w:r>
            <w:r>
              <w:rPr>
                <w:rFonts w:ascii="宋体" w:hAnsi="宋体" w:cs="宋体" w:eastAsia="宋体" w:hint="default"/>
                <w:w w:val="99"/>
                <w:sz w:val="18"/>
                <w:szCs w:val="18"/>
              </w:rPr>
              <w:t> </w:t>
            </w:r>
            <w:r>
              <w:rPr>
                <w:rFonts w:ascii="Arial" w:hAnsi="Arial" w:cs="Arial" w:eastAsia="Arial" w:hint="default"/>
                <w:sz w:val="18"/>
                <w:szCs w:val="18"/>
              </w:rPr>
              <w:t>2011-2-24</w:t>
            </w:r>
          </w:p>
        </w:tc>
      </w:tr>
      <w:tr>
        <w:trPr>
          <w:trHeight w:val="655" w:hRule="exact"/>
        </w:trPr>
        <w:tc>
          <w:tcPr>
            <w:tcW w:w="5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1"/>
              <w:jc w:val="right"/>
              <w:rPr>
                <w:rFonts w:ascii="Arial" w:hAnsi="Arial" w:cs="Arial" w:eastAsia="Arial" w:hint="default"/>
                <w:sz w:val="18"/>
                <w:szCs w:val="18"/>
              </w:rPr>
            </w:pPr>
            <w:r>
              <w:rPr>
                <w:rFonts w:ascii="Arial"/>
                <w:w w:val="99"/>
                <w:sz w:val="18"/>
              </w:rPr>
              <w:t>3</w:t>
            </w:r>
            <w:r>
              <w:rPr>
                <w:rFonts w:ascii="Arial"/>
                <w:sz w:val="18"/>
              </w:rPr>
            </w:r>
          </w:p>
        </w:tc>
        <w:tc>
          <w:tcPr>
            <w:tcW w:w="2578"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93" w:right="86"/>
              <w:jc w:val="left"/>
              <w:rPr>
                <w:rFonts w:ascii="宋体" w:hAnsi="宋体" w:cs="宋体" w:eastAsia="宋体" w:hint="default"/>
                <w:sz w:val="18"/>
                <w:szCs w:val="18"/>
              </w:rPr>
            </w:pPr>
            <w:r>
              <w:rPr>
                <w:rFonts w:ascii="宋体" w:hAnsi="宋体" w:cs="宋体" w:eastAsia="宋体" w:hint="default"/>
                <w:sz w:val="18"/>
                <w:szCs w:val="18"/>
              </w:rPr>
              <w:t>涤氨面料用高水洗牢度分散黑</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染料</w:t>
            </w:r>
          </w:p>
        </w:tc>
        <w:tc>
          <w:tcPr>
            <w:tcW w:w="15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200710045321.3</w:t>
            </w:r>
          </w:p>
        </w:tc>
        <w:tc>
          <w:tcPr>
            <w:tcW w:w="104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1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sz w:val="18"/>
              </w:rPr>
              <w:t>2007-8-28</w:t>
            </w:r>
          </w:p>
        </w:tc>
        <w:tc>
          <w:tcPr>
            <w:tcW w:w="2021"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364" w:right="94" w:hanging="269"/>
              <w:jc w:val="left"/>
              <w:rPr>
                <w:rFonts w:ascii="宋体" w:hAnsi="宋体" w:cs="宋体" w:eastAsia="宋体" w:hint="default"/>
                <w:sz w:val="18"/>
                <w:szCs w:val="18"/>
              </w:rPr>
            </w:pPr>
            <w:r>
              <w:rPr>
                <w:rFonts w:ascii="宋体" w:hAnsi="宋体" w:cs="宋体" w:eastAsia="宋体" w:hint="default"/>
                <w:sz w:val="18"/>
                <w:szCs w:val="18"/>
              </w:rPr>
              <w:t>经公布后，目前已进入</w:t>
            </w:r>
            <w:r>
              <w:rPr>
                <w:rFonts w:ascii="宋体" w:hAnsi="宋体" w:cs="宋体" w:eastAsia="宋体" w:hint="default"/>
                <w:w w:val="99"/>
                <w:sz w:val="18"/>
                <w:szCs w:val="18"/>
              </w:rPr>
              <w:t> </w:t>
            </w:r>
            <w:r>
              <w:rPr>
                <w:rFonts w:ascii="宋体" w:hAnsi="宋体" w:cs="宋体" w:eastAsia="宋体" w:hint="default"/>
                <w:sz w:val="18"/>
                <w:szCs w:val="18"/>
              </w:rPr>
              <w:t>实质审查阶段。</w:t>
            </w:r>
          </w:p>
        </w:tc>
      </w:tr>
      <w:tr>
        <w:trPr>
          <w:trHeight w:val="653" w:hRule="exact"/>
        </w:trPr>
        <w:tc>
          <w:tcPr>
            <w:tcW w:w="5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1"/>
              <w:jc w:val="right"/>
              <w:rPr>
                <w:rFonts w:ascii="Arial" w:hAnsi="Arial" w:cs="Arial" w:eastAsia="Arial" w:hint="default"/>
                <w:sz w:val="18"/>
                <w:szCs w:val="18"/>
              </w:rPr>
            </w:pPr>
            <w:r>
              <w:rPr>
                <w:rFonts w:ascii="Arial"/>
                <w:w w:val="99"/>
                <w:sz w:val="18"/>
              </w:rPr>
              <w:t>4</w:t>
            </w:r>
            <w:r>
              <w:rPr>
                <w:rFonts w:ascii="Arial"/>
                <w:sz w:val="18"/>
              </w:rPr>
            </w:r>
          </w:p>
        </w:tc>
        <w:tc>
          <w:tcPr>
            <w:tcW w:w="2578"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93" w:right="86"/>
              <w:jc w:val="left"/>
              <w:rPr>
                <w:rFonts w:ascii="宋体" w:hAnsi="宋体" w:cs="宋体" w:eastAsia="宋体" w:hint="default"/>
                <w:sz w:val="18"/>
                <w:szCs w:val="18"/>
              </w:rPr>
            </w:pPr>
            <w:r>
              <w:rPr>
                <w:rFonts w:ascii="宋体" w:hAnsi="宋体" w:cs="宋体" w:eastAsia="宋体" w:hint="default"/>
                <w:sz w:val="18"/>
                <w:szCs w:val="18"/>
              </w:rPr>
              <w:t>超细纤维用高水洗牢度分散黑</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染料</w:t>
            </w:r>
          </w:p>
        </w:tc>
        <w:tc>
          <w:tcPr>
            <w:tcW w:w="15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200710045322.8</w:t>
            </w:r>
          </w:p>
        </w:tc>
        <w:tc>
          <w:tcPr>
            <w:tcW w:w="104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1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sz w:val="18"/>
              </w:rPr>
              <w:t>2007-8-28</w:t>
            </w:r>
          </w:p>
        </w:tc>
        <w:tc>
          <w:tcPr>
            <w:tcW w:w="2021"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364" w:right="94" w:hanging="269"/>
              <w:jc w:val="left"/>
              <w:rPr>
                <w:rFonts w:ascii="宋体" w:hAnsi="宋体" w:cs="宋体" w:eastAsia="宋体" w:hint="default"/>
                <w:sz w:val="18"/>
                <w:szCs w:val="18"/>
              </w:rPr>
            </w:pPr>
            <w:r>
              <w:rPr>
                <w:rFonts w:ascii="宋体" w:hAnsi="宋体" w:cs="宋体" w:eastAsia="宋体" w:hint="default"/>
                <w:sz w:val="18"/>
                <w:szCs w:val="18"/>
              </w:rPr>
              <w:t>经公布后，目前已进入</w:t>
            </w:r>
            <w:r>
              <w:rPr>
                <w:rFonts w:ascii="宋体" w:hAnsi="宋体" w:cs="宋体" w:eastAsia="宋体" w:hint="default"/>
                <w:w w:val="99"/>
                <w:sz w:val="18"/>
                <w:szCs w:val="18"/>
              </w:rPr>
              <w:t> </w:t>
            </w:r>
            <w:r>
              <w:rPr>
                <w:rFonts w:ascii="宋体" w:hAnsi="宋体" w:cs="宋体" w:eastAsia="宋体" w:hint="default"/>
                <w:sz w:val="18"/>
                <w:szCs w:val="18"/>
              </w:rPr>
              <w:t>实质审查阶段。</w:t>
            </w:r>
          </w:p>
        </w:tc>
      </w:tr>
      <w:tr>
        <w:trPr>
          <w:trHeight w:val="655" w:hRule="exact"/>
        </w:trPr>
        <w:tc>
          <w:tcPr>
            <w:tcW w:w="5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1"/>
              <w:jc w:val="right"/>
              <w:rPr>
                <w:rFonts w:ascii="Arial" w:hAnsi="Arial" w:cs="Arial" w:eastAsia="Arial" w:hint="default"/>
                <w:sz w:val="18"/>
                <w:szCs w:val="18"/>
              </w:rPr>
            </w:pPr>
            <w:r>
              <w:rPr>
                <w:rFonts w:ascii="Arial"/>
                <w:w w:val="99"/>
                <w:sz w:val="18"/>
              </w:rPr>
              <w:t>5</w:t>
            </w:r>
            <w:r>
              <w:rPr>
                <w:rFonts w:ascii="Arial"/>
                <w:sz w:val="18"/>
              </w:rPr>
            </w:r>
          </w:p>
        </w:tc>
        <w:tc>
          <w:tcPr>
            <w:tcW w:w="2578"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93" w:right="86"/>
              <w:jc w:val="left"/>
              <w:rPr>
                <w:rFonts w:ascii="宋体" w:hAnsi="宋体" w:cs="宋体" w:eastAsia="宋体" w:hint="default"/>
                <w:sz w:val="18"/>
                <w:szCs w:val="18"/>
              </w:rPr>
            </w:pPr>
            <w:r>
              <w:rPr>
                <w:rFonts w:ascii="宋体" w:hAnsi="宋体" w:cs="宋体" w:eastAsia="宋体" w:hint="default"/>
                <w:sz w:val="18"/>
                <w:szCs w:val="18"/>
              </w:rPr>
              <w:t>纤维素纤维用耐后丝光的活性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藏青染料</w:t>
            </w:r>
          </w:p>
        </w:tc>
        <w:tc>
          <w:tcPr>
            <w:tcW w:w="15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200710172780.8</w:t>
            </w:r>
          </w:p>
        </w:tc>
        <w:tc>
          <w:tcPr>
            <w:tcW w:w="104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1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sz w:val="18"/>
              </w:rPr>
              <w:t>2007-12-21</w:t>
            </w:r>
          </w:p>
        </w:tc>
        <w:tc>
          <w:tcPr>
            <w:tcW w:w="2021"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364" w:right="94" w:hanging="269"/>
              <w:jc w:val="left"/>
              <w:rPr>
                <w:rFonts w:ascii="宋体" w:hAnsi="宋体" w:cs="宋体" w:eastAsia="宋体" w:hint="default"/>
                <w:sz w:val="18"/>
                <w:szCs w:val="18"/>
              </w:rPr>
            </w:pPr>
            <w:r>
              <w:rPr>
                <w:rFonts w:ascii="宋体" w:hAnsi="宋体" w:cs="宋体" w:eastAsia="宋体" w:hint="default"/>
                <w:sz w:val="18"/>
                <w:szCs w:val="18"/>
              </w:rPr>
              <w:t>经公布后，目前已进入</w:t>
            </w:r>
            <w:r>
              <w:rPr>
                <w:rFonts w:ascii="宋体" w:hAnsi="宋体" w:cs="宋体" w:eastAsia="宋体" w:hint="default"/>
                <w:w w:val="99"/>
                <w:sz w:val="18"/>
                <w:szCs w:val="18"/>
              </w:rPr>
              <w:t> </w:t>
            </w:r>
            <w:r>
              <w:rPr>
                <w:rFonts w:ascii="宋体" w:hAnsi="宋体" w:cs="宋体" w:eastAsia="宋体" w:hint="default"/>
                <w:sz w:val="18"/>
                <w:szCs w:val="18"/>
              </w:rPr>
              <w:t>实质审查阶段。</w:t>
            </w:r>
          </w:p>
        </w:tc>
      </w:tr>
      <w:tr>
        <w:trPr>
          <w:trHeight w:val="653" w:hRule="exact"/>
        </w:trPr>
        <w:tc>
          <w:tcPr>
            <w:tcW w:w="5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1"/>
              <w:jc w:val="right"/>
              <w:rPr>
                <w:rFonts w:ascii="Arial" w:hAnsi="Arial" w:cs="Arial" w:eastAsia="Arial" w:hint="default"/>
                <w:sz w:val="18"/>
                <w:szCs w:val="18"/>
              </w:rPr>
            </w:pPr>
            <w:r>
              <w:rPr>
                <w:rFonts w:ascii="Arial"/>
                <w:w w:val="99"/>
                <w:sz w:val="18"/>
              </w:rPr>
              <w:t>6</w:t>
            </w:r>
            <w:r>
              <w:rPr>
                <w:rFonts w:ascii="Arial"/>
                <w:sz w:val="18"/>
              </w:rPr>
            </w:r>
          </w:p>
        </w:tc>
        <w:tc>
          <w:tcPr>
            <w:tcW w:w="2578"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93" w:right="86"/>
              <w:jc w:val="left"/>
              <w:rPr>
                <w:rFonts w:ascii="宋体" w:hAnsi="宋体" w:cs="宋体" w:eastAsia="宋体" w:hint="default"/>
                <w:sz w:val="18"/>
                <w:szCs w:val="18"/>
              </w:rPr>
            </w:pPr>
            <w:r>
              <w:rPr>
                <w:rFonts w:ascii="宋体" w:hAnsi="宋体" w:cs="宋体" w:eastAsia="宋体" w:hint="default"/>
                <w:sz w:val="18"/>
                <w:szCs w:val="18"/>
              </w:rPr>
              <w:t>纤维素纤维用耐液氨丝光和潮</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交链处理的活性黑染料</w:t>
            </w:r>
          </w:p>
        </w:tc>
        <w:tc>
          <w:tcPr>
            <w:tcW w:w="15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200710172789.9</w:t>
            </w:r>
          </w:p>
        </w:tc>
        <w:tc>
          <w:tcPr>
            <w:tcW w:w="104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1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sz w:val="18"/>
              </w:rPr>
              <w:t>2007-12-21</w:t>
            </w:r>
          </w:p>
        </w:tc>
        <w:tc>
          <w:tcPr>
            <w:tcW w:w="2021"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364" w:right="94" w:hanging="269"/>
              <w:jc w:val="left"/>
              <w:rPr>
                <w:rFonts w:ascii="宋体" w:hAnsi="宋体" w:cs="宋体" w:eastAsia="宋体" w:hint="default"/>
                <w:sz w:val="18"/>
                <w:szCs w:val="18"/>
              </w:rPr>
            </w:pPr>
            <w:r>
              <w:rPr>
                <w:rFonts w:ascii="宋体" w:hAnsi="宋体" w:cs="宋体" w:eastAsia="宋体" w:hint="default"/>
                <w:sz w:val="18"/>
                <w:szCs w:val="18"/>
              </w:rPr>
              <w:t>经公布后，目前已进入</w:t>
            </w:r>
            <w:r>
              <w:rPr>
                <w:rFonts w:ascii="宋体" w:hAnsi="宋体" w:cs="宋体" w:eastAsia="宋体" w:hint="default"/>
                <w:w w:val="99"/>
                <w:sz w:val="18"/>
                <w:szCs w:val="18"/>
              </w:rPr>
              <w:t> </w:t>
            </w:r>
            <w:r>
              <w:rPr>
                <w:rFonts w:ascii="宋体" w:hAnsi="宋体" w:cs="宋体" w:eastAsia="宋体" w:hint="default"/>
                <w:sz w:val="18"/>
                <w:szCs w:val="18"/>
              </w:rPr>
              <w:t>实质审查阶段。</w:t>
            </w:r>
          </w:p>
        </w:tc>
      </w:tr>
      <w:tr>
        <w:trPr>
          <w:trHeight w:val="655" w:hRule="exact"/>
        </w:trPr>
        <w:tc>
          <w:tcPr>
            <w:tcW w:w="5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1"/>
              <w:jc w:val="right"/>
              <w:rPr>
                <w:rFonts w:ascii="Arial" w:hAnsi="Arial" w:cs="Arial" w:eastAsia="Arial" w:hint="default"/>
                <w:sz w:val="18"/>
                <w:szCs w:val="18"/>
              </w:rPr>
            </w:pPr>
            <w:r>
              <w:rPr>
                <w:rFonts w:ascii="Arial"/>
                <w:w w:val="99"/>
                <w:sz w:val="18"/>
              </w:rPr>
              <w:t>7</w:t>
            </w:r>
            <w:r>
              <w:rPr>
                <w:rFonts w:ascii="Arial"/>
                <w:sz w:val="18"/>
              </w:rPr>
            </w:r>
          </w:p>
        </w:tc>
        <w:tc>
          <w:tcPr>
            <w:tcW w:w="2578"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93" w:right="86"/>
              <w:jc w:val="left"/>
              <w:rPr>
                <w:rFonts w:ascii="宋体" w:hAnsi="宋体" w:cs="宋体" w:eastAsia="宋体" w:hint="default"/>
                <w:sz w:val="18"/>
                <w:szCs w:val="18"/>
              </w:rPr>
            </w:pPr>
            <w:r>
              <w:rPr>
                <w:rFonts w:ascii="宋体" w:hAnsi="宋体" w:cs="宋体" w:eastAsia="宋体" w:hint="default"/>
                <w:sz w:val="18"/>
                <w:szCs w:val="18"/>
              </w:rPr>
              <w:t>聚酯海岛型超细纤维深棕色高</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提深性和色牢度的分散染料</w:t>
            </w:r>
          </w:p>
        </w:tc>
        <w:tc>
          <w:tcPr>
            <w:tcW w:w="15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200810037168.4</w:t>
            </w:r>
          </w:p>
        </w:tc>
        <w:tc>
          <w:tcPr>
            <w:tcW w:w="104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1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sz w:val="18"/>
              </w:rPr>
              <w:t>2008-5-9</w:t>
            </w:r>
          </w:p>
        </w:tc>
        <w:tc>
          <w:tcPr>
            <w:tcW w:w="2021"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364" w:right="94" w:hanging="269"/>
              <w:jc w:val="left"/>
              <w:rPr>
                <w:rFonts w:ascii="宋体" w:hAnsi="宋体" w:cs="宋体" w:eastAsia="宋体" w:hint="default"/>
                <w:sz w:val="18"/>
                <w:szCs w:val="18"/>
              </w:rPr>
            </w:pPr>
            <w:r>
              <w:rPr>
                <w:rFonts w:ascii="宋体" w:hAnsi="宋体" w:cs="宋体" w:eastAsia="宋体" w:hint="default"/>
                <w:sz w:val="18"/>
                <w:szCs w:val="18"/>
              </w:rPr>
              <w:t>经公布后，目前已进入</w:t>
            </w:r>
            <w:r>
              <w:rPr>
                <w:rFonts w:ascii="宋体" w:hAnsi="宋体" w:cs="宋体" w:eastAsia="宋体" w:hint="default"/>
                <w:w w:val="99"/>
                <w:sz w:val="18"/>
                <w:szCs w:val="18"/>
              </w:rPr>
              <w:t> </w:t>
            </w:r>
            <w:r>
              <w:rPr>
                <w:rFonts w:ascii="宋体" w:hAnsi="宋体" w:cs="宋体" w:eastAsia="宋体" w:hint="default"/>
                <w:sz w:val="18"/>
                <w:szCs w:val="18"/>
              </w:rPr>
              <w:t>实质审查阶段。</w:t>
            </w:r>
          </w:p>
        </w:tc>
      </w:tr>
      <w:tr>
        <w:trPr>
          <w:trHeight w:val="653" w:hRule="exact"/>
        </w:trPr>
        <w:tc>
          <w:tcPr>
            <w:tcW w:w="5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1"/>
              <w:jc w:val="right"/>
              <w:rPr>
                <w:rFonts w:ascii="Arial" w:hAnsi="Arial" w:cs="Arial" w:eastAsia="Arial" w:hint="default"/>
                <w:sz w:val="18"/>
                <w:szCs w:val="18"/>
              </w:rPr>
            </w:pPr>
            <w:r>
              <w:rPr>
                <w:rFonts w:ascii="Arial"/>
                <w:w w:val="99"/>
                <w:sz w:val="18"/>
              </w:rPr>
              <w:t>8</w:t>
            </w:r>
            <w:r>
              <w:rPr>
                <w:rFonts w:ascii="Arial"/>
                <w:sz w:val="18"/>
              </w:rPr>
            </w:r>
          </w:p>
        </w:tc>
        <w:tc>
          <w:tcPr>
            <w:tcW w:w="2578"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93" w:right="86"/>
              <w:jc w:val="left"/>
              <w:rPr>
                <w:rFonts w:ascii="宋体" w:hAnsi="宋体" w:cs="宋体" w:eastAsia="宋体" w:hint="default"/>
                <w:sz w:val="18"/>
                <w:szCs w:val="18"/>
              </w:rPr>
            </w:pPr>
            <w:r>
              <w:rPr>
                <w:rFonts w:ascii="宋体" w:hAnsi="宋体" w:cs="宋体" w:eastAsia="宋体" w:hint="default"/>
                <w:sz w:val="18"/>
                <w:szCs w:val="18"/>
              </w:rPr>
              <w:t>聚酯海岛型超细纤维特黑色高</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提深性和色牢度的分散染料</w:t>
            </w:r>
          </w:p>
        </w:tc>
        <w:tc>
          <w:tcPr>
            <w:tcW w:w="15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200810037169.9</w:t>
            </w:r>
          </w:p>
        </w:tc>
        <w:tc>
          <w:tcPr>
            <w:tcW w:w="104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1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sz w:val="18"/>
              </w:rPr>
              <w:t>2008-5-9</w:t>
            </w:r>
          </w:p>
        </w:tc>
        <w:tc>
          <w:tcPr>
            <w:tcW w:w="2021"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364" w:right="94" w:hanging="269"/>
              <w:jc w:val="left"/>
              <w:rPr>
                <w:rFonts w:ascii="宋体" w:hAnsi="宋体" w:cs="宋体" w:eastAsia="宋体" w:hint="default"/>
                <w:sz w:val="18"/>
                <w:szCs w:val="18"/>
              </w:rPr>
            </w:pPr>
            <w:r>
              <w:rPr>
                <w:rFonts w:ascii="宋体" w:hAnsi="宋体" w:cs="宋体" w:eastAsia="宋体" w:hint="default"/>
                <w:sz w:val="18"/>
                <w:szCs w:val="18"/>
              </w:rPr>
              <w:t>经公布后，目前已进入</w:t>
            </w:r>
            <w:r>
              <w:rPr>
                <w:rFonts w:ascii="宋体" w:hAnsi="宋体" w:cs="宋体" w:eastAsia="宋体" w:hint="default"/>
                <w:w w:val="99"/>
                <w:sz w:val="18"/>
                <w:szCs w:val="18"/>
              </w:rPr>
              <w:t> </w:t>
            </w:r>
            <w:r>
              <w:rPr>
                <w:rFonts w:ascii="宋体" w:hAnsi="宋体" w:cs="宋体" w:eastAsia="宋体" w:hint="default"/>
                <w:sz w:val="18"/>
                <w:szCs w:val="18"/>
              </w:rPr>
              <w:t>实质审查阶段。</w:t>
            </w:r>
          </w:p>
        </w:tc>
      </w:tr>
      <w:tr>
        <w:trPr>
          <w:trHeight w:val="655" w:hRule="exact"/>
        </w:trPr>
        <w:tc>
          <w:tcPr>
            <w:tcW w:w="5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1"/>
              <w:jc w:val="right"/>
              <w:rPr>
                <w:rFonts w:ascii="Arial" w:hAnsi="Arial" w:cs="Arial" w:eastAsia="Arial" w:hint="default"/>
                <w:sz w:val="18"/>
                <w:szCs w:val="18"/>
              </w:rPr>
            </w:pPr>
            <w:r>
              <w:rPr>
                <w:rFonts w:ascii="Arial"/>
                <w:w w:val="99"/>
                <w:sz w:val="18"/>
              </w:rPr>
              <w:t>9</w:t>
            </w:r>
            <w:r>
              <w:rPr>
                <w:rFonts w:ascii="Arial"/>
                <w:sz w:val="18"/>
              </w:rPr>
            </w:r>
          </w:p>
        </w:tc>
        <w:tc>
          <w:tcPr>
            <w:tcW w:w="25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用于记忆性纤维的分散黑染料</w:t>
            </w:r>
          </w:p>
        </w:tc>
        <w:tc>
          <w:tcPr>
            <w:tcW w:w="15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200810201122.1</w:t>
            </w:r>
          </w:p>
        </w:tc>
        <w:tc>
          <w:tcPr>
            <w:tcW w:w="104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1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sz w:val="18"/>
              </w:rPr>
              <w:t>2008-10-14</w:t>
            </w:r>
          </w:p>
        </w:tc>
        <w:tc>
          <w:tcPr>
            <w:tcW w:w="2021"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364" w:right="94" w:hanging="269"/>
              <w:jc w:val="left"/>
              <w:rPr>
                <w:rFonts w:ascii="宋体" w:hAnsi="宋体" w:cs="宋体" w:eastAsia="宋体" w:hint="default"/>
                <w:sz w:val="18"/>
                <w:szCs w:val="18"/>
              </w:rPr>
            </w:pPr>
            <w:r>
              <w:rPr>
                <w:rFonts w:ascii="宋体" w:hAnsi="宋体" w:cs="宋体" w:eastAsia="宋体" w:hint="default"/>
                <w:sz w:val="18"/>
                <w:szCs w:val="18"/>
              </w:rPr>
              <w:t>经公布后，目前已进入</w:t>
            </w:r>
            <w:r>
              <w:rPr>
                <w:rFonts w:ascii="宋体" w:hAnsi="宋体" w:cs="宋体" w:eastAsia="宋体" w:hint="default"/>
                <w:w w:val="99"/>
                <w:sz w:val="18"/>
                <w:szCs w:val="18"/>
              </w:rPr>
              <w:t> </w:t>
            </w:r>
            <w:r>
              <w:rPr>
                <w:rFonts w:ascii="宋体" w:hAnsi="宋体" w:cs="宋体" w:eastAsia="宋体" w:hint="default"/>
                <w:sz w:val="18"/>
                <w:szCs w:val="18"/>
              </w:rPr>
              <w:t>实质审查阶段。</w:t>
            </w:r>
          </w:p>
        </w:tc>
      </w:tr>
      <w:tr>
        <w:trPr>
          <w:trHeight w:val="965" w:hRule="exact"/>
        </w:trPr>
        <w:tc>
          <w:tcPr>
            <w:tcW w:w="5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71"/>
              <w:jc w:val="right"/>
              <w:rPr>
                <w:rFonts w:ascii="Arial" w:hAnsi="Arial" w:cs="Arial" w:eastAsia="Arial" w:hint="default"/>
                <w:sz w:val="18"/>
                <w:szCs w:val="18"/>
              </w:rPr>
            </w:pPr>
            <w:r>
              <w:rPr>
                <w:rFonts w:ascii="Arial"/>
                <w:w w:val="95"/>
                <w:sz w:val="18"/>
              </w:rPr>
              <w:t>10</w:t>
            </w:r>
            <w:r>
              <w:rPr>
                <w:rFonts w:ascii="Arial"/>
                <w:sz w:val="18"/>
              </w:rPr>
            </w:r>
          </w:p>
        </w:tc>
        <w:tc>
          <w:tcPr>
            <w:tcW w:w="2578"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93" w:right="86"/>
              <w:jc w:val="both"/>
              <w:rPr>
                <w:rFonts w:ascii="宋体" w:hAnsi="宋体" w:cs="宋体" w:eastAsia="宋体" w:hint="default"/>
                <w:sz w:val="18"/>
                <w:szCs w:val="18"/>
              </w:rPr>
            </w:pPr>
            <w:r>
              <w:rPr>
                <w:rFonts w:ascii="宋体" w:hAnsi="宋体" w:cs="宋体" w:eastAsia="宋体" w:hint="default"/>
                <w:sz w:val="18"/>
                <w:szCs w:val="18"/>
              </w:rPr>
              <w:t>一种单偶氮分散蓝染料和一种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双组份分散蓝染料及其制备方</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法</w:t>
            </w:r>
          </w:p>
        </w:tc>
        <w:tc>
          <w:tcPr>
            <w:tcW w:w="15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Arial" w:hAnsi="Arial" w:cs="Arial" w:eastAsia="Arial" w:hint="default"/>
                <w:sz w:val="18"/>
                <w:szCs w:val="18"/>
              </w:rPr>
            </w:pPr>
            <w:r>
              <w:rPr>
                <w:rFonts w:ascii="Arial"/>
                <w:sz w:val="18"/>
              </w:rPr>
              <w:t>200910048417.4</w:t>
            </w:r>
          </w:p>
        </w:tc>
        <w:tc>
          <w:tcPr>
            <w:tcW w:w="104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1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Arial" w:hAnsi="Arial" w:cs="Arial" w:eastAsia="Arial" w:hint="default"/>
                <w:sz w:val="18"/>
                <w:szCs w:val="18"/>
              </w:rPr>
            </w:pPr>
            <w:r>
              <w:rPr>
                <w:rFonts w:ascii="Arial"/>
                <w:sz w:val="18"/>
              </w:rPr>
              <w:t>2009-3-27</w:t>
            </w:r>
          </w:p>
        </w:tc>
        <w:tc>
          <w:tcPr>
            <w:tcW w:w="20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364" w:right="94" w:hanging="269"/>
              <w:jc w:val="left"/>
              <w:rPr>
                <w:rFonts w:ascii="宋体" w:hAnsi="宋体" w:cs="宋体" w:eastAsia="宋体" w:hint="default"/>
                <w:sz w:val="18"/>
                <w:szCs w:val="18"/>
              </w:rPr>
            </w:pPr>
            <w:r>
              <w:rPr>
                <w:rFonts w:ascii="宋体" w:hAnsi="宋体" w:cs="宋体" w:eastAsia="宋体" w:hint="default"/>
                <w:sz w:val="18"/>
                <w:szCs w:val="18"/>
              </w:rPr>
              <w:t>经公布后，目前已进入</w:t>
            </w:r>
            <w:r>
              <w:rPr>
                <w:rFonts w:ascii="宋体" w:hAnsi="宋体" w:cs="宋体" w:eastAsia="宋体" w:hint="default"/>
                <w:w w:val="99"/>
                <w:sz w:val="18"/>
                <w:szCs w:val="18"/>
              </w:rPr>
              <w:t> </w:t>
            </w:r>
            <w:r>
              <w:rPr>
                <w:rFonts w:ascii="宋体" w:hAnsi="宋体" w:cs="宋体" w:eastAsia="宋体" w:hint="default"/>
                <w:sz w:val="18"/>
                <w:szCs w:val="18"/>
              </w:rPr>
              <w:t>实质审查阶段。</w:t>
            </w:r>
          </w:p>
        </w:tc>
      </w:tr>
      <w:tr>
        <w:trPr>
          <w:trHeight w:val="653" w:hRule="exact"/>
        </w:trPr>
        <w:tc>
          <w:tcPr>
            <w:tcW w:w="5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1"/>
              <w:jc w:val="right"/>
              <w:rPr>
                <w:rFonts w:ascii="Arial" w:hAnsi="Arial" w:cs="Arial" w:eastAsia="Arial" w:hint="default"/>
                <w:sz w:val="18"/>
                <w:szCs w:val="18"/>
              </w:rPr>
            </w:pPr>
            <w:r>
              <w:rPr>
                <w:rFonts w:ascii="Arial"/>
                <w:w w:val="95"/>
                <w:sz w:val="18"/>
              </w:rPr>
              <w:t>11</w:t>
            </w:r>
            <w:r>
              <w:rPr>
                <w:rFonts w:ascii="Arial"/>
                <w:sz w:val="18"/>
              </w:rPr>
            </w:r>
          </w:p>
        </w:tc>
        <w:tc>
          <w:tcPr>
            <w:tcW w:w="2578"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93" w:right="86"/>
              <w:jc w:val="left"/>
              <w:rPr>
                <w:rFonts w:ascii="宋体" w:hAnsi="宋体" w:cs="宋体" w:eastAsia="宋体" w:hint="default"/>
                <w:sz w:val="18"/>
                <w:szCs w:val="18"/>
              </w:rPr>
            </w:pPr>
            <w:r>
              <w:rPr>
                <w:rFonts w:ascii="宋体" w:hAnsi="宋体" w:cs="宋体" w:eastAsia="宋体" w:hint="default"/>
                <w:sz w:val="18"/>
                <w:szCs w:val="18"/>
              </w:rPr>
              <w:t>一种活性染料化合物及其制备</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方法及一种活性染料产品</w:t>
            </w:r>
          </w:p>
        </w:tc>
        <w:tc>
          <w:tcPr>
            <w:tcW w:w="15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200910201576.3</w:t>
            </w:r>
          </w:p>
        </w:tc>
        <w:tc>
          <w:tcPr>
            <w:tcW w:w="104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1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sz w:val="18"/>
              </w:rPr>
              <w:t>2009-12-22</w:t>
            </w:r>
          </w:p>
        </w:tc>
        <w:tc>
          <w:tcPr>
            <w:tcW w:w="2021"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184" w:right="94" w:hanging="89"/>
              <w:jc w:val="left"/>
              <w:rPr>
                <w:rFonts w:ascii="宋体" w:hAnsi="宋体" w:cs="宋体" w:eastAsia="宋体" w:hint="default"/>
                <w:sz w:val="18"/>
                <w:szCs w:val="18"/>
              </w:rPr>
            </w:pPr>
            <w:r>
              <w:rPr>
                <w:rFonts w:ascii="宋体" w:hAnsi="宋体" w:cs="宋体" w:eastAsia="宋体" w:hint="default"/>
                <w:sz w:val="18"/>
                <w:szCs w:val="18"/>
              </w:rPr>
              <w:t>已通过初步审查，即将</w:t>
            </w:r>
            <w:r>
              <w:rPr>
                <w:rFonts w:ascii="宋体" w:hAnsi="宋体" w:cs="宋体" w:eastAsia="宋体" w:hint="default"/>
                <w:w w:val="99"/>
                <w:sz w:val="18"/>
                <w:szCs w:val="18"/>
              </w:rPr>
              <w:t> </w:t>
            </w:r>
            <w:r>
              <w:rPr>
                <w:rFonts w:ascii="宋体" w:hAnsi="宋体" w:cs="宋体" w:eastAsia="宋体" w:hint="default"/>
                <w:sz w:val="18"/>
                <w:szCs w:val="18"/>
              </w:rPr>
              <w:t>按照审查程序予以公</w:t>
            </w:r>
          </w:p>
        </w:tc>
      </w:tr>
    </w:tbl>
    <w:p>
      <w:pPr>
        <w:spacing w:after="0" w:line="316" w:lineRule="auto"/>
        <w:jc w:val="left"/>
        <w:rPr>
          <w:rFonts w:ascii="宋体" w:hAnsi="宋体" w:cs="宋体" w:eastAsia="宋体" w:hint="default"/>
          <w:sz w:val="18"/>
          <w:szCs w:val="18"/>
        </w:rPr>
        <w:sectPr>
          <w:pgSz w:w="11900" w:h="16840"/>
          <w:pgMar w:header="877" w:footer="981" w:top="1100" w:bottom="1180" w:left="1480" w:right="1140"/>
        </w:sectPr>
      </w:pPr>
    </w:p>
    <w:p>
      <w:pPr>
        <w:spacing w:line="240" w:lineRule="auto" w:before="8"/>
        <w:rPr>
          <w:rFonts w:ascii="宋体" w:hAnsi="宋体" w:cs="宋体" w:eastAsia="宋体"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574"/>
        <w:gridCol w:w="2578"/>
        <w:gridCol w:w="1570"/>
        <w:gridCol w:w="1044"/>
        <w:gridCol w:w="1152"/>
        <w:gridCol w:w="2021"/>
      </w:tblGrid>
      <w:tr>
        <w:trPr>
          <w:trHeight w:val="600" w:hRule="exact"/>
        </w:trPr>
        <w:tc>
          <w:tcPr>
            <w:tcW w:w="574" w:type="dxa"/>
            <w:tcBorders>
              <w:top w:val="single" w:sz="12" w:space="0" w:color="000000"/>
              <w:left w:val="single" w:sz="12" w:space="0" w:color="000000"/>
              <w:bottom w:val="single" w:sz="12" w:space="0" w:color="000000"/>
              <w:right w:val="single" w:sz="12" w:space="0" w:color="000000"/>
            </w:tcBorders>
          </w:tcPr>
          <w:p>
            <w:pPr/>
          </w:p>
        </w:tc>
        <w:tc>
          <w:tcPr>
            <w:tcW w:w="2578" w:type="dxa"/>
            <w:tcBorders>
              <w:top w:val="single" w:sz="12" w:space="0" w:color="000000"/>
              <w:left w:val="single" w:sz="12" w:space="0" w:color="000000"/>
              <w:bottom w:val="single" w:sz="12" w:space="0" w:color="000000"/>
              <w:right w:val="single" w:sz="12" w:space="0" w:color="000000"/>
            </w:tcBorders>
          </w:tcPr>
          <w:p>
            <w:pPr/>
          </w:p>
        </w:tc>
        <w:tc>
          <w:tcPr>
            <w:tcW w:w="1570" w:type="dxa"/>
            <w:tcBorders>
              <w:top w:val="single" w:sz="12" w:space="0" w:color="000000"/>
              <w:left w:val="single" w:sz="12" w:space="0" w:color="000000"/>
              <w:bottom w:val="single" w:sz="12" w:space="0" w:color="000000"/>
              <w:right w:val="single" w:sz="12" w:space="0" w:color="000000"/>
            </w:tcBorders>
          </w:tcPr>
          <w:p>
            <w:pPr/>
          </w:p>
        </w:tc>
        <w:tc>
          <w:tcPr>
            <w:tcW w:w="1044" w:type="dxa"/>
            <w:tcBorders>
              <w:top w:val="single" w:sz="12" w:space="0" w:color="000000"/>
              <w:left w:val="single" w:sz="12" w:space="0" w:color="000000"/>
              <w:bottom w:val="single" w:sz="12" w:space="0" w:color="000000"/>
              <w:right w:val="single" w:sz="12" w:space="0" w:color="000000"/>
            </w:tcBorders>
          </w:tcPr>
          <w:p>
            <w:pPr/>
          </w:p>
        </w:tc>
        <w:tc>
          <w:tcPr>
            <w:tcW w:w="1152" w:type="dxa"/>
            <w:tcBorders>
              <w:top w:val="single" w:sz="12" w:space="0" w:color="000000"/>
              <w:left w:val="single" w:sz="12" w:space="0" w:color="000000"/>
              <w:bottom w:val="single" w:sz="12" w:space="0" w:color="000000"/>
              <w:right w:val="single" w:sz="12" w:space="0" w:color="000000"/>
            </w:tcBorders>
          </w:tcPr>
          <w:p>
            <w:pPr/>
          </w:p>
        </w:tc>
        <w:tc>
          <w:tcPr>
            <w:tcW w:w="20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Arial" w:hAnsi="Arial" w:cs="Arial" w:eastAsia="Arial" w:hint="default"/>
                <w:sz w:val="18"/>
                <w:szCs w:val="18"/>
              </w:rPr>
            </w:pPr>
            <w:r>
              <w:rPr>
                <w:rFonts w:ascii="宋体" w:hAnsi="宋体" w:cs="宋体" w:eastAsia="宋体" w:hint="default"/>
                <w:sz w:val="18"/>
                <w:szCs w:val="18"/>
              </w:rPr>
              <w:t>布。</w:t>
            </w:r>
            <w:r>
              <w:rPr>
                <w:rFonts w:ascii="Arial" w:hAnsi="Arial" w:cs="Arial" w:eastAsia="Arial" w:hint="default"/>
                <w:sz w:val="18"/>
                <w:szCs w:val="18"/>
              </w:rPr>
              <w:t>(</w:t>
            </w:r>
            <w:r>
              <w:rPr>
                <w:rFonts w:ascii="宋体" w:hAnsi="宋体" w:cs="宋体" w:eastAsia="宋体" w:hint="default"/>
                <w:sz w:val="18"/>
                <w:szCs w:val="18"/>
              </w:rPr>
              <w:t>已提交实审请求</w:t>
            </w:r>
            <w:r>
              <w:rPr>
                <w:rFonts w:ascii="Arial" w:hAnsi="Arial" w:cs="Arial" w:eastAsia="Arial" w:hint="default"/>
                <w:sz w:val="18"/>
                <w:szCs w:val="18"/>
              </w:rPr>
              <w:t>)</w:t>
            </w:r>
          </w:p>
        </w:tc>
      </w:tr>
      <w:tr>
        <w:trPr>
          <w:trHeight w:val="965" w:hRule="exact"/>
        </w:trPr>
        <w:tc>
          <w:tcPr>
            <w:tcW w:w="5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70" w:right="0"/>
              <w:jc w:val="left"/>
              <w:rPr>
                <w:rFonts w:ascii="Arial" w:hAnsi="Arial" w:cs="Arial" w:eastAsia="Arial" w:hint="default"/>
                <w:sz w:val="18"/>
                <w:szCs w:val="18"/>
              </w:rPr>
            </w:pPr>
            <w:r>
              <w:rPr>
                <w:rFonts w:ascii="Arial"/>
                <w:sz w:val="18"/>
              </w:rPr>
              <w:t>12</w:t>
            </w:r>
          </w:p>
        </w:tc>
        <w:tc>
          <w:tcPr>
            <w:tcW w:w="25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93" w:right="86"/>
              <w:jc w:val="left"/>
              <w:rPr>
                <w:rFonts w:ascii="宋体" w:hAnsi="宋体" w:cs="宋体" w:eastAsia="宋体" w:hint="default"/>
                <w:sz w:val="18"/>
                <w:szCs w:val="18"/>
              </w:rPr>
            </w:pPr>
            <w:r>
              <w:rPr>
                <w:rFonts w:ascii="宋体" w:hAnsi="宋体" w:cs="宋体" w:eastAsia="宋体" w:hint="default"/>
                <w:sz w:val="18"/>
                <w:szCs w:val="18"/>
              </w:rPr>
              <w:t>一种活性黄染料化合物、其制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备方法及含其的活性黄染料</w:t>
            </w:r>
          </w:p>
        </w:tc>
        <w:tc>
          <w:tcPr>
            <w:tcW w:w="15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3" w:right="0"/>
              <w:jc w:val="left"/>
              <w:rPr>
                <w:rFonts w:ascii="Arial" w:hAnsi="Arial" w:cs="Arial" w:eastAsia="Arial" w:hint="default"/>
                <w:sz w:val="18"/>
                <w:szCs w:val="18"/>
              </w:rPr>
            </w:pPr>
            <w:r>
              <w:rPr>
                <w:rFonts w:ascii="Arial"/>
                <w:sz w:val="18"/>
              </w:rPr>
              <w:t>200910200783.7</w:t>
            </w:r>
          </w:p>
        </w:tc>
        <w:tc>
          <w:tcPr>
            <w:tcW w:w="104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1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Arial" w:hAnsi="Arial" w:cs="Arial" w:eastAsia="Arial" w:hint="default"/>
                <w:sz w:val="18"/>
                <w:szCs w:val="18"/>
              </w:rPr>
            </w:pPr>
            <w:r>
              <w:rPr>
                <w:rFonts w:ascii="Arial"/>
                <w:sz w:val="18"/>
              </w:rPr>
              <w:t>2009-12-25</w:t>
            </w:r>
          </w:p>
        </w:tc>
        <w:tc>
          <w:tcPr>
            <w:tcW w:w="2021"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95" w:right="94"/>
              <w:jc w:val="center"/>
              <w:rPr>
                <w:rFonts w:ascii="Arial" w:hAnsi="Arial" w:cs="Arial" w:eastAsia="Arial" w:hint="default"/>
                <w:sz w:val="18"/>
                <w:szCs w:val="18"/>
              </w:rPr>
            </w:pPr>
            <w:r>
              <w:rPr>
                <w:rFonts w:ascii="宋体" w:hAnsi="宋体" w:cs="宋体" w:eastAsia="宋体" w:hint="default"/>
                <w:sz w:val="18"/>
                <w:szCs w:val="18"/>
              </w:rPr>
              <w:t>已通过初步审查，即将</w:t>
            </w:r>
            <w:r>
              <w:rPr>
                <w:rFonts w:ascii="宋体" w:hAnsi="宋体" w:cs="宋体" w:eastAsia="宋体" w:hint="default"/>
                <w:w w:val="99"/>
                <w:sz w:val="18"/>
                <w:szCs w:val="18"/>
              </w:rPr>
              <w:t> </w:t>
            </w:r>
            <w:r>
              <w:rPr>
                <w:rFonts w:ascii="宋体" w:hAnsi="宋体" w:cs="宋体" w:eastAsia="宋体" w:hint="default"/>
                <w:sz w:val="18"/>
                <w:szCs w:val="18"/>
              </w:rPr>
              <w:t>按照审查程序予以公</w:t>
            </w:r>
            <w:r>
              <w:rPr>
                <w:rFonts w:ascii="宋体" w:hAnsi="宋体" w:cs="宋体" w:eastAsia="宋体" w:hint="default"/>
                <w:w w:val="99"/>
                <w:sz w:val="18"/>
                <w:szCs w:val="18"/>
              </w:rPr>
              <w:t> </w:t>
            </w:r>
            <w:r>
              <w:rPr>
                <w:rFonts w:ascii="宋体" w:hAnsi="宋体" w:cs="宋体" w:eastAsia="宋体" w:hint="default"/>
                <w:sz w:val="18"/>
                <w:szCs w:val="18"/>
              </w:rPr>
              <w:t>布。</w:t>
            </w:r>
            <w:r>
              <w:rPr>
                <w:rFonts w:ascii="Arial" w:hAnsi="Arial" w:cs="Arial" w:eastAsia="Arial" w:hint="default"/>
                <w:sz w:val="18"/>
                <w:szCs w:val="18"/>
              </w:rPr>
              <w:t>(</w:t>
            </w:r>
            <w:r>
              <w:rPr>
                <w:rFonts w:ascii="宋体" w:hAnsi="宋体" w:cs="宋体" w:eastAsia="宋体" w:hint="default"/>
                <w:sz w:val="18"/>
                <w:szCs w:val="18"/>
              </w:rPr>
              <w:t>已提交实审请求</w:t>
            </w:r>
            <w:r>
              <w:rPr>
                <w:rFonts w:ascii="Arial" w:hAnsi="Arial" w:cs="Arial" w:eastAsia="Arial" w:hint="default"/>
                <w:sz w:val="18"/>
                <w:szCs w:val="18"/>
              </w:rPr>
              <w:t>)</w:t>
            </w:r>
          </w:p>
        </w:tc>
      </w:tr>
      <w:tr>
        <w:trPr>
          <w:trHeight w:val="967" w:hRule="exact"/>
        </w:trPr>
        <w:tc>
          <w:tcPr>
            <w:tcW w:w="5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70" w:right="0"/>
              <w:jc w:val="left"/>
              <w:rPr>
                <w:rFonts w:ascii="Arial" w:hAnsi="Arial" w:cs="Arial" w:eastAsia="Arial" w:hint="default"/>
                <w:sz w:val="18"/>
                <w:szCs w:val="18"/>
              </w:rPr>
            </w:pPr>
            <w:r>
              <w:rPr>
                <w:rFonts w:ascii="Arial"/>
                <w:sz w:val="18"/>
              </w:rPr>
              <w:t>13</w:t>
            </w:r>
          </w:p>
        </w:tc>
        <w:tc>
          <w:tcPr>
            <w:tcW w:w="25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93" w:right="86"/>
              <w:jc w:val="left"/>
              <w:rPr>
                <w:rFonts w:ascii="宋体" w:hAnsi="宋体" w:cs="宋体" w:eastAsia="宋体" w:hint="default"/>
                <w:sz w:val="18"/>
                <w:szCs w:val="18"/>
              </w:rPr>
            </w:pPr>
            <w:r>
              <w:rPr>
                <w:rFonts w:ascii="宋体" w:hAnsi="宋体" w:cs="宋体" w:eastAsia="宋体" w:hint="default"/>
                <w:sz w:val="18"/>
                <w:szCs w:val="18"/>
              </w:rPr>
              <w:t>一种红色活性染料化合物、其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制备方法及含其的染料</w:t>
            </w:r>
          </w:p>
        </w:tc>
        <w:tc>
          <w:tcPr>
            <w:tcW w:w="15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3" w:right="0"/>
              <w:jc w:val="left"/>
              <w:rPr>
                <w:rFonts w:ascii="Arial" w:hAnsi="Arial" w:cs="Arial" w:eastAsia="Arial" w:hint="default"/>
                <w:sz w:val="18"/>
                <w:szCs w:val="18"/>
              </w:rPr>
            </w:pPr>
            <w:r>
              <w:rPr>
                <w:rFonts w:ascii="Arial"/>
                <w:sz w:val="18"/>
              </w:rPr>
              <w:t>201010108235.4</w:t>
            </w:r>
          </w:p>
        </w:tc>
        <w:tc>
          <w:tcPr>
            <w:tcW w:w="104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1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Arial" w:hAnsi="Arial" w:cs="Arial" w:eastAsia="Arial" w:hint="default"/>
                <w:sz w:val="18"/>
                <w:szCs w:val="18"/>
              </w:rPr>
            </w:pPr>
            <w:r>
              <w:rPr>
                <w:rFonts w:ascii="Arial"/>
                <w:sz w:val="18"/>
              </w:rPr>
              <w:t>2010-2-9</w:t>
            </w:r>
          </w:p>
        </w:tc>
        <w:tc>
          <w:tcPr>
            <w:tcW w:w="2021"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95" w:right="94"/>
              <w:jc w:val="center"/>
              <w:rPr>
                <w:rFonts w:ascii="Arial" w:hAnsi="Arial" w:cs="Arial" w:eastAsia="Arial" w:hint="default"/>
                <w:sz w:val="18"/>
                <w:szCs w:val="18"/>
              </w:rPr>
            </w:pPr>
            <w:r>
              <w:rPr>
                <w:rFonts w:ascii="宋体" w:hAnsi="宋体" w:cs="宋体" w:eastAsia="宋体" w:hint="default"/>
                <w:sz w:val="18"/>
                <w:szCs w:val="18"/>
              </w:rPr>
              <w:t>已通过初步审查，即将</w:t>
            </w:r>
            <w:r>
              <w:rPr>
                <w:rFonts w:ascii="宋体" w:hAnsi="宋体" w:cs="宋体" w:eastAsia="宋体" w:hint="default"/>
                <w:w w:val="99"/>
                <w:sz w:val="18"/>
                <w:szCs w:val="18"/>
              </w:rPr>
              <w:t> </w:t>
            </w:r>
            <w:r>
              <w:rPr>
                <w:rFonts w:ascii="宋体" w:hAnsi="宋体" w:cs="宋体" w:eastAsia="宋体" w:hint="default"/>
                <w:sz w:val="18"/>
                <w:szCs w:val="18"/>
              </w:rPr>
              <w:t>按照审查程序予以公</w:t>
            </w:r>
            <w:r>
              <w:rPr>
                <w:rFonts w:ascii="宋体" w:hAnsi="宋体" w:cs="宋体" w:eastAsia="宋体" w:hint="default"/>
                <w:w w:val="99"/>
                <w:sz w:val="18"/>
                <w:szCs w:val="18"/>
              </w:rPr>
              <w:t> </w:t>
            </w:r>
            <w:r>
              <w:rPr>
                <w:rFonts w:ascii="宋体" w:hAnsi="宋体" w:cs="宋体" w:eastAsia="宋体" w:hint="default"/>
                <w:sz w:val="18"/>
                <w:szCs w:val="18"/>
              </w:rPr>
              <w:t>布。</w:t>
            </w:r>
            <w:r>
              <w:rPr>
                <w:rFonts w:ascii="Arial" w:hAnsi="Arial" w:cs="Arial" w:eastAsia="Arial" w:hint="default"/>
                <w:sz w:val="18"/>
                <w:szCs w:val="18"/>
              </w:rPr>
              <w:t>(</w:t>
            </w:r>
            <w:r>
              <w:rPr>
                <w:rFonts w:ascii="宋体" w:hAnsi="宋体" w:cs="宋体" w:eastAsia="宋体" w:hint="default"/>
                <w:sz w:val="18"/>
                <w:szCs w:val="18"/>
              </w:rPr>
              <w:t>已提交实审请求</w:t>
            </w:r>
            <w:r>
              <w:rPr>
                <w:rFonts w:ascii="Arial" w:hAnsi="Arial" w:cs="Arial" w:eastAsia="Arial" w:hint="default"/>
                <w:sz w:val="18"/>
                <w:szCs w:val="18"/>
              </w:rPr>
              <w:t>)</w:t>
            </w:r>
          </w:p>
        </w:tc>
      </w:tr>
      <w:tr>
        <w:trPr>
          <w:trHeight w:val="598" w:hRule="exact"/>
        </w:trPr>
        <w:tc>
          <w:tcPr>
            <w:tcW w:w="5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70" w:right="0"/>
              <w:jc w:val="left"/>
              <w:rPr>
                <w:rFonts w:ascii="Arial" w:hAnsi="Arial" w:cs="Arial" w:eastAsia="Arial" w:hint="default"/>
                <w:sz w:val="18"/>
                <w:szCs w:val="18"/>
              </w:rPr>
            </w:pPr>
            <w:r>
              <w:rPr>
                <w:rFonts w:ascii="Arial"/>
                <w:sz w:val="18"/>
              </w:rPr>
              <w:t>14</w:t>
            </w:r>
          </w:p>
        </w:tc>
        <w:tc>
          <w:tcPr>
            <w:tcW w:w="25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7"/>
              <w:ind w:left="93" w:right="0"/>
              <w:jc w:val="left"/>
              <w:rPr>
                <w:rFonts w:ascii="宋体" w:hAnsi="宋体" w:cs="宋体" w:eastAsia="宋体" w:hint="default"/>
                <w:sz w:val="18"/>
                <w:szCs w:val="18"/>
              </w:rPr>
            </w:pPr>
            <w:r>
              <w:rPr>
                <w:rFonts w:ascii="宋体" w:hAnsi="宋体" w:cs="宋体" w:eastAsia="宋体" w:hint="default"/>
                <w:sz w:val="18"/>
                <w:szCs w:val="18"/>
              </w:rPr>
              <w:t>可聚合黄色偶氮染料</w:t>
            </w:r>
          </w:p>
        </w:tc>
        <w:tc>
          <w:tcPr>
            <w:tcW w:w="15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93" w:right="0"/>
              <w:jc w:val="left"/>
              <w:rPr>
                <w:rFonts w:ascii="Arial" w:hAnsi="Arial" w:cs="Arial" w:eastAsia="Arial" w:hint="default"/>
                <w:sz w:val="18"/>
                <w:szCs w:val="18"/>
              </w:rPr>
            </w:pPr>
            <w:r>
              <w:rPr>
                <w:rFonts w:ascii="Arial"/>
                <w:sz w:val="18"/>
              </w:rPr>
              <w:t>201110039936.1</w:t>
            </w:r>
          </w:p>
        </w:tc>
        <w:tc>
          <w:tcPr>
            <w:tcW w:w="104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7"/>
              <w:ind w:left="326"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1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
              <w:jc w:val="center"/>
              <w:rPr>
                <w:rFonts w:ascii="Arial" w:hAnsi="Arial" w:cs="Arial" w:eastAsia="Arial" w:hint="default"/>
                <w:sz w:val="18"/>
                <w:szCs w:val="18"/>
              </w:rPr>
            </w:pPr>
            <w:r>
              <w:rPr>
                <w:rFonts w:ascii="Arial"/>
                <w:sz w:val="18"/>
              </w:rPr>
              <w:t>2010-2-1</w:t>
            </w:r>
          </w:p>
        </w:tc>
        <w:tc>
          <w:tcPr>
            <w:tcW w:w="20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专利申请已受理</w:t>
            </w:r>
          </w:p>
        </w:tc>
      </w:tr>
    </w:tbl>
    <w:p>
      <w:pPr>
        <w:spacing w:line="240" w:lineRule="auto" w:before="8"/>
        <w:rPr>
          <w:rFonts w:ascii="宋体" w:hAnsi="宋体" w:cs="宋体" w:eastAsia="宋体" w:hint="default"/>
          <w:sz w:val="5"/>
          <w:szCs w:val="5"/>
        </w:rPr>
      </w:pPr>
    </w:p>
    <w:p>
      <w:pPr>
        <w:pStyle w:val="Heading3"/>
        <w:spacing w:line="240" w:lineRule="auto" w:before="14"/>
        <w:ind w:left="839" w:right="0"/>
        <w:jc w:val="left"/>
      </w:pPr>
      <w:r>
        <w:rPr>
          <w:rFonts w:ascii="Arial" w:hAnsi="Arial" w:cs="Arial" w:eastAsia="Arial" w:hint="default"/>
          <w:b/>
          <w:bCs/>
        </w:rPr>
        <w:t>5</w:t>
      </w:r>
      <w:r>
        <w:rPr/>
        <w:t>、公司核心竞争力</w:t>
      </w:r>
    </w:p>
    <w:p>
      <w:pPr>
        <w:pStyle w:val="BodyText"/>
        <w:spacing w:line="379" w:lineRule="auto" w:before="207"/>
        <w:ind w:left="277" w:right="275" w:firstLine="420"/>
        <w:jc w:val="both"/>
      </w:pPr>
      <w:r>
        <w:rPr>
          <w:rFonts w:ascii="Arial" w:hAnsi="Arial" w:cs="Arial" w:eastAsia="Arial" w:hint="default"/>
        </w:rPr>
        <w:t>2010</w:t>
      </w:r>
      <w:r>
        <w:rPr/>
        <w:t>年度公司的核心竞争力没有发生重大变化，公司定位于面向新型纺织面料和特色</w:t>
      </w:r>
      <w:r>
        <w:rPr>
          <w:w w:val="100"/>
        </w:rPr>
        <w:t> </w:t>
      </w:r>
      <w:r>
        <w:rPr/>
        <w:t>化染色需求的全套染整解决方案供应商，在细分染料市场上具有明显的竞争优势。公司主</w:t>
      </w:r>
      <w:r>
        <w:rPr>
          <w:spacing w:val="-57"/>
        </w:rPr>
        <w:t> </w:t>
      </w:r>
      <w:r>
        <w:rPr>
          <w:spacing w:val="-57"/>
        </w:rPr>
      </w:r>
      <w:r>
        <w:rPr/>
        <w:t>要的核心竞争力体现在如下几个方面：</w:t>
      </w:r>
    </w:p>
    <w:p>
      <w:pPr>
        <w:pStyle w:val="BodyText"/>
        <w:spacing w:line="412" w:lineRule="auto" w:before="163"/>
        <w:ind w:left="769" w:right="0"/>
        <w:jc w:val="left"/>
      </w:pPr>
      <w:r>
        <w:rPr/>
        <w:t>（</w:t>
      </w:r>
      <w:r>
        <w:rPr>
          <w:rFonts w:ascii="Arial" w:hAnsi="Arial" w:cs="Arial" w:eastAsia="Arial" w:hint="default"/>
        </w:rPr>
        <w:t>1</w:t>
      </w:r>
      <w:r>
        <w:rPr/>
        <w:t>）应用服务优势</w:t>
      </w:r>
      <w:r>
        <w:rPr>
          <w:w w:val="100"/>
        </w:rPr>
        <w:t> </w:t>
      </w:r>
      <w:r>
        <w:rPr>
          <w:spacing w:val="-1"/>
        </w:rPr>
        <w:t>作为公司全套染整解决方案供应商业务模式的核心环节，公司自成立期初就极为重视</w:t>
      </w:r>
    </w:p>
    <w:p>
      <w:pPr>
        <w:pStyle w:val="BodyText"/>
        <w:spacing w:line="398" w:lineRule="auto" w:before="33"/>
        <w:ind w:left="277" w:right="275"/>
        <w:jc w:val="both"/>
      </w:pPr>
      <w:r>
        <w:rPr/>
        <w:t>为印染客户提供周到快捷的售前售后服务，并将其视为公司生存和发展的基石。经过十年</w:t>
      </w:r>
      <w:r>
        <w:rPr>
          <w:spacing w:val="-57"/>
        </w:rPr>
        <w:t> </w:t>
      </w:r>
      <w:r>
        <w:rPr>
          <w:spacing w:val="-57"/>
        </w:rPr>
      </w:r>
      <w:r>
        <w:rPr/>
        <w:t>的不断积累和发展，公司在为印染客户提供及时完善的技术支持和服务方面已走在了行业</w:t>
      </w:r>
      <w:r>
        <w:rPr>
          <w:spacing w:val="-57"/>
        </w:rPr>
        <w:t> </w:t>
      </w:r>
      <w:r>
        <w:rPr>
          <w:spacing w:val="-57"/>
        </w:rPr>
      </w:r>
      <w:r>
        <w:rPr/>
        <w:t>企业的前列。</w:t>
      </w:r>
    </w:p>
    <w:p>
      <w:pPr>
        <w:pStyle w:val="BodyText"/>
        <w:spacing w:line="400" w:lineRule="auto" w:before="87"/>
        <w:ind w:left="277" w:right="275" w:firstLine="492"/>
        <w:jc w:val="both"/>
      </w:pPr>
      <w:r>
        <w:rPr>
          <w:spacing w:val="-1"/>
        </w:rPr>
        <w:t>我国纺织行业正经历快速的产业结构升级和发展，居民对纺织品服装的消费水平也不</w:t>
      </w:r>
      <w:r>
        <w:rPr>
          <w:w w:val="100"/>
        </w:rPr>
        <w:t> </w:t>
      </w:r>
      <w:r>
        <w:rPr/>
        <w:t>断提高，各种新型纺织面料和特色化染色需求层出不穷。面对下游行业面料和服装企业不</w:t>
      </w:r>
      <w:r>
        <w:rPr>
          <w:spacing w:val="-57"/>
        </w:rPr>
        <w:t> </w:t>
      </w:r>
      <w:r>
        <w:rPr>
          <w:spacing w:val="-57"/>
        </w:rPr>
      </w:r>
      <w:r>
        <w:rPr/>
        <w:t>断变化和提高的染色需求，我国的印染企业急需染料企业给予及时的技术支持和服务。而</w:t>
      </w:r>
      <w:r>
        <w:rPr>
          <w:spacing w:val="-57"/>
        </w:rPr>
        <w:t> </w:t>
      </w:r>
      <w:r>
        <w:rPr>
          <w:spacing w:val="-57"/>
        </w:rPr>
      </w:r>
      <w:r>
        <w:rPr/>
        <w:t>目前国内的大部分染料企业以规模生产为竞争法宝，产品定位于常规染料市场，只提供染</w:t>
      </w:r>
      <w:r>
        <w:rPr>
          <w:spacing w:val="-57"/>
        </w:rPr>
        <w:t> </w:t>
      </w:r>
      <w:r>
        <w:rPr>
          <w:spacing w:val="-57"/>
        </w:rPr>
      </w:r>
      <w:r>
        <w:rPr/>
        <w:t>料染色指标质量投诉方面的技术服务，远远不能满足印染企业的现实需求。另一方面，由</w:t>
      </w:r>
      <w:r>
        <w:rPr>
          <w:spacing w:val="-57"/>
        </w:rPr>
        <w:t> </w:t>
      </w:r>
      <w:r>
        <w:rPr>
          <w:spacing w:val="-57"/>
        </w:rPr>
      </w:r>
      <w:r>
        <w:rPr/>
        <w:t>于染料和印染分属化工和纺织两个不同的行业，对染料的应用技术研究需要跨领域的复合</w:t>
      </w:r>
      <w:r>
        <w:rPr>
          <w:spacing w:val="-57"/>
        </w:rPr>
        <w:t> </w:t>
      </w:r>
      <w:r>
        <w:rPr>
          <w:spacing w:val="-57"/>
        </w:rPr>
      </w:r>
      <w:r>
        <w:rPr/>
        <w:t>型技术人才和大量的实验研究分析，这是一个长期积累的过程，国内大部分染料生产企业</w:t>
      </w:r>
      <w:r>
        <w:rPr>
          <w:spacing w:val="-57"/>
        </w:rPr>
        <w:t> </w:t>
      </w:r>
      <w:r>
        <w:rPr>
          <w:spacing w:val="-57"/>
        </w:rPr>
      </w:r>
      <w:r>
        <w:rPr/>
        <w:t>很难在短期内真正为客户提供有效的技术支持和服务。跨国染料公司虽然十分重视染料的</w:t>
      </w:r>
      <w:r>
        <w:rPr>
          <w:spacing w:val="-57"/>
        </w:rPr>
        <w:t> </w:t>
      </w:r>
      <w:r>
        <w:rPr>
          <w:spacing w:val="-57"/>
        </w:rPr>
      </w:r>
      <w:r>
        <w:rPr/>
        <w:t>应用技术服务，而且其具有很强的研发实力，但是他们多层级的管理体制限制了其为客户</w:t>
      </w:r>
      <w:r>
        <w:rPr>
          <w:spacing w:val="-57"/>
        </w:rPr>
        <w:t> </w:t>
      </w:r>
      <w:r>
        <w:rPr>
          <w:spacing w:val="-57"/>
        </w:rPr>
      </w:r>
      <w:r>
        <w:rPr/>
        <w:t>提供灵活快捷的技术服务的能力。公司正是以此为切入点来塑造自身的业务模式和经营理</w:t>
      </w:r>
      <w:r>
        <w:rPr>
          <w:spacing w:val="-57"/>
        </w:rPr>
        <w:t> </w:t>
      </w:r>
      <w:r>
        <w:rPr>
          <w:spacing w:val="-57"/>
        </w:rPr>
      </w:r>
      <w:r>
        <w:rPr/>
        <w:t>念，一切为了满足客户需求，为客户提供最好的技术服务。</w:t>
      </w:r>
    </w:p>
    <w:p>
      <w:pPr>
        <w:pStyle w:val="BodyText"/>
        <w:spacing w:line="240" w:lineRule="auto" w:before="88"/>
        <w:ind w:left="769" w:right="0"/>
        <w:jc w:val="left"/>
      </w:pPr>
      <w:r>
        <w:rPr/>
        <w:t>公司通过多年与跨国染料公司在应用技术服务领域展开的竞争逐步走向成熟，培养起</w:t>
      </w:r>
    </w:p>
    <w:p>
      <w:pPr>
        <w:spacing w:after="0" w:line="240" w:lineRule="auto"/>
        <w:jc w:val="left"/>
        <w:sectPr>
          <w:pgSz w:w="11900" w:h="16840"/>
          <w:pgMar w:header="877" w:footer="981" w:top="1100" w:bottom="1180" w:left="1520" w:right="1180"/>
        </w:sectPr>
      </w:pPr>
    </w:p>
    <w:p>
      <w:pPr>
        <w:spacing w:line="240" w:lineRule="auto" w:before="0"/>
        <w:rPr>
          <w:rFonts w:ascii="宋体" w:hAnsi="宋体" w:cs="宋体" w:eastAsia="宋体" w:hint="default"/>
          <w:sz w:val="20"/>
          <w:szCs w:val="20"/>
        </w:rPr>
      </w:pPr>
    </w:p>
    <w:p>
      <w:pPr>
        <w:pStyle w:val="BodyText"/>
        <w:spacing w:line="398" w:lineRule="auto" w:before="187"/>
        <w:ind w:right="215"/>
        <w:jc w:val="both"/>
      </w:pPr>
      <w:r>
        <w:rPr/>
        <w:t>一支精通染料和印染两个领域的复合型技术服务队伍，积累了丰富的染料应用技术经验，</w:t>
      </w:r>
      <w:r>
        <w:rPr>
          <w:spacing w:val="-57"/>
        </w:rPr>
        <w:t> </w:t>
      </w:r>
      <w:r>
        <w:rPr>
          <w:spacing w:val="-57"/>
        </w:rPr>
      </w:r>
      <w:r>
        <w:rPr/>
        <w:t>建立并持续完善一整套染料应用技术的数据库，建立了一套能快速反应的技术服务管理机</w:t>
      </w:r>
      <w:r>
        <w:rPr>
          <w:spacing w:val="-57"/>
        </w:rPr>
        <w:t> </w:t>
      </w:r>
      <w:r>
        <w:rPr>
          <w:spacing w:val="-57"/>
        </w:rPr>
      </w:r>
      <w:r>
        <w:rPr/>
        <w:t>制，为公司建立和保持在染料技术服务领域的核心竞争优势奠定了坚实基础。</w:t>
      </w:r>
    </w:p>
    <w:p>
      <w:pPr>
        <w:pStyle w:val="BodyText"/>
        <w:spacing w:line="412" w:lineRule="auto" w:before="87"/>
        <w:ind w:left="629" w:right="33"/>
        <w:jc w:val="left"/>
      </w:pPr>
      <w:r>
        <w:rPr/>
        <w:t>（</w:t>
      </w:r>
      <w:r>
        <w:rPr>
          <w:rFonts w:ascii="Arial" w:hAnsi="Arial" w:cs="Arial" w:eastAsia="Arial" w:hint="default"/>
        </w:rPr>
        <w:t>2</w:t>
      </w:r>
      <w:r>
        <w:rPr/>
        <w:t>）产品定位优势</w:t>
      </w:r>
      <w:r>
        <w:rPr>
          <w:w w:val="100"/>
        </w:rPr>
        <w:t> </w:t>
      </w:r>
      <w:r>
        <w:rPr>
          <w:spacing w:val="-1"/>
        </w:rPr>
        <w:t>公司产品定位清晰，针对新型纺织面料和个性化染色需求的中高端染料市场，与国内</w:t>
      </w:r>
    </w:p>
    <w:p>
      <w:pPr>
        <w:pStyle w:val="BodyText"/>
        <w:spacing w:line="436" w:lineRule="auto" w:before="31"/>
        <w:ind w:left="629" w:right="33" w:hanging="492"/>
        <w:jc w:val="left"/>
      </w:pPr>
      <w:r>
        <w:rPr/>
        <w:t>大型染料制造企业在常规染料领域形成差异竞争。</w:t>
      </w:r>
      <w:r>
        <w:rPr>
          <w:w w:val="100"/>
        </w:rPr>
        <w:t> </w:t>
      </w:r>
      <w:r>
        <w:rPr>
          <w:spacing w:val="-1"/>
        </w:rPr>
        <w:t>在国内染料的一些细分市场，公司产品都是国内企业中领先进入者，虽然面临跨国染</w:t>
      </w:r>
    </w:p>
    <w:p>
      <w:pPr>
        <w:pStyle w:val="BodyText"/>
        <w:spacing w:line="388" w:lineRule="auto" w:before="11"/>
        <w:ind w:right="33"/>
        <w:jc w:val="left"/>
      </w:pPr>
      <w:r>
        <w:rPr/>
        <w:t>料公司同类产品的竞争，但公司凭借其优秀的产品品质和完善快捷技术服务能迅速打开市</w:t>
      </w:r>
      <w:r>
        <w:rPr>
          <w:spacing w:val="-57"/>
        </w:rPr>
        <w:t> </w:t>
      </w:r>
      <w:r>
        <w:rPr>
          <w:spacing w:val="-57"/>
        </w:rPr>
      </w:r>
      <w:r>
        <w:rPr/>
        <w:t>场。公司的涤纶超细纤维专用分散染料</w:t>
      </w:r>
      <w:r>
        <w:rPr>
          <w:rFonts w:ascii="Arial" w:hAnsi="Arial" w:cs="Arial" w:eastAsia="Arial" w:hint="default"/>
        </w:rPr>
        <w:t>2003</w:t>
      </w:r>
      <w:r>
        <w:rPr/>
        <w:t>年领先国内同行进入市场，与德司达等跨国公</w:t>
      </w:r>
      <w:r>
        <w:rPr>
          <w:w w:val="100"/>
        </w:rPr>
        <w:t> </w:t>
      </w:r>
      <w:r>
        <w:rPr>
          <w:spacing w:val="-3"/>
        </w:rPr>
        <w:t>司的同类产品抗衡，随着公司后续改进产品的不断推出和为客户提供更加及时周到的服务，</w:t>
      </w:r>
      <w:r>
        <w:rPr>
          <w:spacing w:val="-51"/>
        </w:rPr>
        <w:t> </w:t>
      </w:r>
      <w:r>
        <w:rPr>
          <w:spacing w:val="-51"/>
        </w:rPr>
      </w:r>
      <w:r>
        <w:rPr/>
        <w:t>目前已取代德司达成为该细分市场的领跑者；在针对具有高水洗牢度要求的高端运动面料</w:t>
      </w:r>
      <w:r>
        <w:rPr>
          <w:spacing w:val="-57"/>
        </w:rPr>
        <w:t> </w:t>
      </w:r>
      <w:r>
        <w:rPr>
          <w:spacing w:val="-57"/>
        </w:rPr>
      </w:r>
      <w:r>
        <w:rPr/>
        <w:t>的染料细分市场，公司于</w:t>
      </w:r>
      <w:r>
        <w:rPr>
          <w:rFonts w:ascii="Arial" w:hAnsi="Arial" w:cs="Arial" w:eastAsia="Arial" w:hint="default"/>
        </w:rPr>
        <w:t>2006</w:t>
      </w:r>
      <w:r>
        <w:rPr/>
        <w:t>年推出了专用染料产品，抓住了国内外各品牌运动服装厂商</w:t>
      </w:r>
      <w:r>
        <w:rPr>
          <w:w w:val="100"/>
        </w:rPr>
        <w:t> </w:t>
      </w:r>
      <w:r>
        <w:rPr/>
        <w:t>大发展的时机，产品销量大幅增长，迅速成为该细分市场的重要竞争者；</w:t>
      </w:r>
      <w:r>
        <w:rPr>
          <w:rFonts w:ascii="Arial" w:hAnsi="Arial" w:cs="Arial" w:eastAsia="Arial" w:hint="default"/>
        </w:rPr>
        <w:t>2007</w:t>
      </w:r>
      <w:r>
        <w:rPr/>
        <w:t>年，公司在</w:t>
      </w:r>
      <w:r>
        <w:rPr>
          <w:spacing w:val="-105"/>
        </w:rPr>
        <w:t> </w:t>
      </w:r>
      <w:r>
        <w:rPr/>
        <w:t>行业内率先推出了针对记忆性纤维面料的</w:t>
      </w:r>
      <w:r>
        <w:rPr>
          <w:rFonts w:ascii="Arial" w:hAnsi="Arial" w:cs="Arial" w:eastAsia="Arial" w:hint="default"/>
        </w:rPr>
        <w:t>PTT</w:t>
      </w:r>
      <w:r>
        <w:rPr/>
        <w:t>专用分散染料，该种面料拥有广阔的市场前</w:t>
      </w:r>
      <w:r>
        <w:rPr>
          <w:spacing w:val="-38"/>
        </w:rPr>
        <w:t> </w:t>
      </w:r>
      <w:r>
        <w:rPr>
          <w:spacing w:val="-38"/>
        </w:rPr>
      </w:r>
      <w:r>
        <w:rPr/>
        <w:t>景，公司专用产品的率先推出为公司赢得了有利的竞争地位；针对全社会环保意识的不断</w:t>
      </w:r>
      <w:r>
        <w:rPr>
          <w:spacing w:val="-57"/>
        </w:rPr>
        <w:t> </w:t>
      </w:r>
      <w:r>
        <w:rPr>
          <w:spacing w:val="-57"/>
        </w:rPr>
      </w:r>
      <w:r>
        <w:rPr/>
        <w:t>增强，公司很早意识到节能减排型的染料产品将在今后市场中占有绝对的竞争优势，经过</w:t>
      </w:r>
      <w:r>
        <w:rPr>
          <w:spacing w:val="-57"/>
        </w:rPr>
        <w:t> </w:t>
      </w:r>
      <w:r>
        <w:rPr>
          <w:spacing w:val="-57"/>
        </w:rPr>
      </w:r>
      <w:r>
        <w:rPr>
          <w:spacing w:val="-3"/>
        </w:rPr>
        <w:t>几年的研发公司在国内外同行中率先推出了</w:t>
      </w:r>
      <w:r>
        <w:rPr>
          <w:rFonts w:ascii="Arial" w:hAnsi="Arial" w:cs="Arial" w:eastAsia="Arial" w:hint="default"/>
          <w:spacing w:val="-3"/>
        </w:rPr>
        <w:t>L</w:t>
      </w:r>
      <w:r>
        <w:rPr>
          <w:spacing w:val="-3"/>
        </w:rPr>
        <w:t>性低温活性染料产品，可以较常规活性染料降</w:t>
      </w:r>
      <w:r>
        <w:rPr>
          <w:spacing w:val="-64"/>
        </w:rPr>
        <w:t> </w:t>
      </w:r>
      <w:r>
        <w:rPr>
          <w:spacing w:val="-64"/>
        </w:rPr>
      </w:r>
      <w:r>
        <w:rPr/>
        <w:t>低</w:t>
      </w:r>
      <w:r>
        <w:rPr>
          <w:rFonts w:ascii="Arial" w:hAnsi="Arial" w:cs="Arial" w:eastAsia="Arial" w:hint="default"/>
        </w:rPr>
        <w:t>30%</w:t>
      </w:r>
      <w:r>
        <w:rPr/>
        <w:t>的蒸汽消耗和减少</w:t>
      </w:r>
      <w:r>
        <w:rPr>
          <w:rFonts w:ascii="Arial" w:hAnsi="Arial" w:cs="Arial" w:eastAsia="Arial" w:hint="default"/>
        </w:rPr>
        <w:t>30%</w:t>
      </w:r>
      <w:r>
        <w:rPr/>
        <w:t>的污水排放，节能减排效益显著，推出后销量快速增长，市</w:t>
      </w:r>
      <w:r>
        <w:rPr>
          <w:spacing w:val="-64"/>
        </w:rPr>
        <w:t> </w:t>
      </w:r>
      <w:r>
        <w:rPr>
          <w:spacing w:val="-64"/>
        </w:rPr>
      </w:r>
      <w:r>
        <w:rPr/>
        <w:t>场前景十分广阔。</w:t>
      </w:r>
    </w:p>
    <w:p>
      <w:pPr>
        <w:pStyle w:val="BodyText"/>
        <w:spacing w:line="398" w:lineRule="auto" w:before="99"/>
        <w:ind w:right="215" w:firstLine="492"/>
        <w:jc w:val="both"/>
      </w:pPr>
      <w:r>
        <w:rPr>
          <w:spacing w:val="-1"/>
        </w:rPr>
        <w:t>目前，公司正在针对汽车用高日晒牢度要求的纺织面料、醋酸纤维面料、多纤维混纺</w:t>
      </w:r>
      <w:r>
        <w:rPr>
          <w:w w:val="100"/>
        </w:rPr>
        <w:t> </w:t>
      </w:r>
      <w:r>
        <w:rPr/>
        <w:t>面料、尼龙海岛超纤革面料开发专用的节能减排型染料，这些面料市场前景广阔，公司及</w:t>
      </w:r>
      <w:r>
        <w:rPr>
          <w:spacing w:val="-57"/>
        </w:rPr>
        <w:t> </w:t>
      </w:r>
      <w:r>
        <w:rPr>
          <w:spacing w:val="-57"/>
        </w:rPr>
      </w:r>
      <w:r>
        <w:rPr/>
        <w:t>时推出专用染料产品将不断巩固和加强在高端染料领域的竞争优势。</w:t>
      </w:r>
    </w:p>
    <w:p>
      <w:pPr>
        <w:pStyle w:val="BodyText"/>
        <w:spacing w:line="412" w:lineRule="auto" w:before="85"/>
        <w:ind w:left="629" w:right="33"/>
        <w:jc w:val="left"/>
      </w:pPr>
      <w:r>
        <w:rPr/>
        <w:t>（</w:t>
      </w:r>
      <w:r>
        <w:rPr>
          <w:rFonts w:ascii="Arial" w:hAnsi="Arial" w:cs="Arial" w:eastAsia="Arial" w:hint="default"/>
        </w:rPr>
        <w:t>3</w:t>
      </w:r>
      <w:r>
        <w:rPr/>
        <w:t>）技术优势</w:t>
      </w:r>
      <w:r>
        <w:rPr>
          <w:w w:val="100"/>
        </w:rPr>
        <w:t> </w:t>
      </w:r>
      <w:r>
        <w:rPr>
          <w:spacing w:val="-1"/>
        </w:rPr>
        <w:t>公司自创业初期就十分重视新型染料及其应用技术的研究和开发，坚持以市场需求为</w:t>
      </w:r>
    </w:p>
    <w:p>
      <w:pPr>
        <w:pStyle w:val="BodyText"/>
        <w:spacing w:line="400" w:lineRule="auto" w:before="33"/>
        <w:ind w:right="215"/>
        <w:jc w:val="both"/>
      </w:pPr>
      <w:r>
        <w:rPr/>
        <w:t>导向，以满足客户需求和解决客户难题为己任，以自主创新和技术进步提升产品竞争力和</w:t>
      </w:r>
      <w:r>
        <w:rPr>
          <w:spacing w:val="-57"/>
        </w:rPr>
        <w:t> </w:t>
      </w:r>
      <w:r>
        <w:rPr>
          <w:spacing w:val="-57"/>
        </w:rPr>
      </w:r>
      <w:r>
        <w:rPr/>
        <w:t>技术服务能力，通过与大专院校和国内外业内知名企业建立技术合作关系，不断优化产品</w:t>
      </w:r>
      <w:r>
        <w:rPr>
          <w:spacing w:val="-57"/>
        </w:rPr>
        <w:t> </w:t>
      </w:r>
      <w:r>
        <w:rPr>
          <w:spacing w:val="-57"/>
        </w:rPr>
      </w:r>
      <w:r>
        <w:rPr/>
        <w:t>结构和性能，开发出应用于新型纺织面料以及特色化需求纺织面料的染料产品及配套的染</w:t>
      </w:r>
      <w:r>
        <w:rPr>
          <w:spacing w:val="-57"/>
        </w:rPr>
        <w:t> </w:t>
      </w:r>
      <w:r>
        <w:rPr>
          <w:spacing w:val="-57"/>
        </w:rPr>
      </w:r>
      <w:r>
        <w:rPr>
          <w:spacing w:val="-2"/>
          <w:w w:val="100"/>
        </w:rPr>
        <w:t>整工艺。公司</w:t>
      </w:r>
      <w:r>
        <w:rPr>
          <w:rFonts w:ascii="Arial" w:hAnsi="Arial" w:cs="Arial" w:eastAsia="Arial" w:hint="default"/>
          <w:spacing w:val="-2"/>
          <w:w w:val="100"/>
        </w:rPr>
        <w:t>2007</w:t>
      </w:r>
      <w:r>
        <w:rPr>
          <w:spacing w:val="-2"/>
          <w:w w:val="100"/>
        </w:rPr>
        <w:t>年获“上海市高新技术企业认定证书”，</w:t>
      </w:r>
      <w:r>
        <w:rPr>
          <w:rFonts w:ascii="Arial" w:hAnsi="Arial" w:cs="Arial" w:eastAsia="Arial" w:hint="default"/>
          <w:spacing w:val="-2"/>
          <w:w w:val="100"/>
        </w:rPr>
        <w:t>2008</w:t>
      </w:r>
      <w:r>
        <w:rPr>
          <w:spacing w:val="-2"/>
          <w:w w:val="100"/>
        </w:rPr>
        <w:t>年被认定为“高新技术企</w:t>
      </w:r>
    </w:p>
    <w:p>
      <w:pPr>
        <w:spacing w:after="0" w:line="400" w:lineRule="auto"/>
        <w:jc w:val="both"/>
        <w:sectPr>
          <w:pgSz w:w="11900" w:h="16840"/>
          <w:pgMar w:header="877" w:footer="981" w:top="1100" w:bottom="1180" w:left="1660" w:right="1240"/>
        </w:sectPr>
      </w:pPr>
    </w:p>
    <w:p>
      <w:pPr>
        <w:spacing w:line="240" w:lineRule="auto" w:before="0"/>
        <w:rPr>
          <w:rFonts w:ascii="宋体" w:hAnsi="宋体" w:cs="宋体" w:eastAsia="宋体" w:hint="default"/>
          <w:sz w:val="20"/>
          <w:szCs w:val="20"/>
        </w:rPr>
      </w:pPr>
    </w:p>
    <w:p>
      <w:pPr>
        <w:pStyle w:val="BodyText"/>
        <w:spacing w:line="376" w:lineRule="auto" w:before="187"/>
        <w:ind w:right="120"/>
        <w:jc w:val="both"/>
      </w:pPr>
      <w:r>
        <w:rPr>
          <w:w w:val="100"/>
        </w:rPr>
        <w:t>业</w:t>
      </w:r>
      <w:r>
        <w:rPr>
          <w:spacing w:val="-111"/>
          <w:w w:val="100"/>
        </w:rPr>
        <w:t>”</w:t>
      </w:r>
      <w:r>
        <w:rPr>
          <w:spacing w:val="-53"/>
          <w:w w:val="100"/>
        </w:rPr>
        <w:t>，</w:t>
      </w:r>
      <w:r>
        <w:rPr>
          <w:rFonts w:ascii="Arial" w:hAnsi="Arial" w:cs="Arial" w:eastAsia="Arial" w:hint="default"/>
          <w:spacing w:val="-1"/>
          <w:w w:val="100"/>
        </w:rPr>
        <w:t>200</w:t>
      </w:r>
      <w:r>
        <w:rPr>
          <w:rFonts w:ascii="Arial" w:hAnsi="Arial" w:cs="Arial" w:eastAsia="Arial" w:hint="default"/>
          <w:spacing w:val="-3"/>
          <w:w w:val="100"/>
        </w:rPr>
        <w:t>8</w:t>
      </w:r>
      <w:r>
        <w:rPr>
          <w:w w:val="100"/>
        </w:rPr>
        <w:t>年</w:t>
      </w:r>
      <w:r>
        <w:rPr>
          <w:rFonts w:ascii="Arial" w:hAnsi="Arial" w:cs="Arial" w:eastAsia="Arial" w:hint="default"/>
          <w:spacing w:val="-18"/>
          <w:w w:val="100"/>
        </w:rPr>
        <w:t>1</w:t>
      </w:r>
      <w:r>
        <w:rPr>
          <w:rFonts w:ascii="Arial" w:hAnsi="Arial" w:cs="Arial" w:eastAsia="Arial" w:hint="default"/>
          <w:spacing w:val="-1"/>
          <w:w w:val="100"/>
        </w:rPr>
        <w:t>1</w:t>
      </w:r>
      <w:r>
        <w:rPr>
          <w:w w:val="100"/>
        </w:rPr>
        <w:t>月被</w:t>
      </w:r>
      <w:r>
        <w:rPr>
          <w:spacing w:val="-3"/>
          <w:w w:val="100"/>
        </w:rPr>
        <w:t>上海</w:t>
      </w:r>
      <w:r>
        <w:rPr>
          <w:w w:val="100"/>
        </w:rPr>
        <w:t>市科学</w:t>
      </w:r>
      <w:r>
        <w:rPr>
          <w:spacing w:val="-3"/>
          <w:w w:val="100"/>
        </w:rPr>
        <w:t>技</w:t>
      </w:r>
      <w:r>
        <w:rPr>
          <w:w w:val="100"/>
        </w:rPr>
        <w:t>术委</w:t>
      </w:r>
      <w:r>
        <w:rPr>
          <w:spacing w:val="-3"/>
          <w:w w:val="100"/>
        </w:rPr>
        <w:t>员</w:t>
      </w:r>
      <w:r>
        <w:rPr>
          <w:w w:val="100"/>
        </w:rPr>
        <w:t>会和</w:t>
      </w:r>
      <w:r>
        <w:rPr>
          <w:spacing w:val="-3"/>
          <w:w w:val="100"/>
        </w:rPr>
        <w:t>上海</w:t>
      </w:r>
      <w:r>
        <w:rPr>
          <w:w w:val="100"/>
        </w:rPr>
        <w:t>市经济</w:t>
      </w:r>
      <w:r>
        <w:rPr>
          <w:spacing w:val="-3"/>
          <w:w w:val="100"/>
        </w:rPr>
        <w:t>和</w:t>
      </w:r>
      <w:r>
        <w:rPr>
          <w:w w:val="100"/>
        </w:rPr>
        <w:t>信息</w:t>
      </w:r>
      <w:r>
        <w:rPr>
          <w:spacing w:val="-3"/>
          <w:w w:val="100"/>
        </w:rPr>
        <w:t>化</w:t>
      </w:r>
      <w:r>
        <w:rPr>
          <w:w w:val="100"/>
        </w:rPr>
        <w:t>委员</w:t>
      </w:r>
      <w:r>
        <w:rPr>
          <w:spacing w:val="-3"/>
          <w:w w:val="100"/>
        </w:rPr>
        <w:t>会评</w:t>
      </w:r>
      <w:r>
        <w:rPr>
          <w:w w:val="100"/>
        </w:rPr>
        <w:t>定</w:t>
      </w:r>
      <w:r>
        <w:rPr>
          <w:spacing w:val="-53"/>
          <w:w w:val="100"/>
        </w:rPr>
        <w:t>为</w:t>
      </w:r>
      <w:r>
        <w:rPr>
          <w:spacing w:val="-3"/>
          <w:w w:val="100"/>
        </w:rPr>
        <w:t>“</w:t>
      </w:r>
      <w:r>
        <w:rPr>
          <w:w w:val="100"/>
        </w:rPr>
        <w:t>上海</w:t>
      </w:r>
      <w:r>
        <w:rPr>
          <w:spacing w:val="-3"/>
          <w:w w:val="100"/>
        </w:rPr>
        <w:t>市</w:t>
      </w:r>
      <w:r>
        <w:rPr>
          <w:w w:val="100"/>
        </w:rPr>
        <w:t>科</w:t>
      </w:r>
      <w:r>
        <w:rPr>
          <w:w w:val="100"/>
        </w:rPr>
        <w:t> 技小巨</w:t>
      </w:r>
      <w:r>
        <w:rPr>
          <w:spacing w:val="-3"/>
          <w:w w:val="100"/>
        </w:rPr>
        <w:t>人</w:t>
      </w:r>
      <w:r>
        <w:rPr>
          <w:w w:val="100"/>
        </w:rPr>
        <w:t>培育</w:t>
      </w:r>
      <w:r>
        <w:rPr>
          <w:spacing w:val="-3"/>
          <w:w w:val="100"/>
        </w:rPr>
        <w:t>企</w:t>
      </w:r>
      <w:r>
        <w:rPr>
          <w:w w:val="100"/>
        </w:rPr>
        <w:t>业</w:t>
      </w:r>
      <w:r>
        <w:rPr>
          <w:spacing w:val="-111"/>
          <w:w w:val="100"/>
        </w:rPr>
        <w:t>”</w:t>
      </w:r>
      <w:r>
        <w:rPr>
          <w:w w:val="100"/>
        </w:rPr>
        <w:t>。</w:t>
      </w:r>
    </w:p>
    <w:p>
      <w:pPr>
        <w:pStyle w:val="BodyText"/>
        <w:spacing w:line="398" w:lineRule="auto" w:before="110"/>
        <w:ind w:right="120" w:firstLine="492"/>
        <w:jc w:val="both"/>
      </w:pPr>
      <w:r>
        <w:rPr>
          <w:spacing w:val="-1"/>
        </w:rPr>
        <w:t>公司的业务定位于全套染整解决方案供应商，其技术优势主要通过产品和应用两个方</w:t>
      </w:r>
      <w:r>
        <w:rPr>
          <w:w w:val="100"/>
        </w:rPr>
        <w:t> </w:t>
      </w:r>
      <w:r>
        <w:rPr/>
        <w:t>面来体现：</w:t>
      </w:r>
    </w:p>
    <w:p>
      <w:pPr>
        <w:pStyle w:val="BodyText"/>
        <w:spacing w:line="400" w:lineRule="auto" w:before="87"/>
        <w:ind w:right="115" w:firstLine="492"/>
        <w:jc w:val="both"/>
      </w:pPr>
      <w:r>
        <w:rPr>
          <w:rFonts w:ascii="宋体" w:hAnsi="宋体" w:cs="宋体" w:eastAsia="宋体" w:hint="default"/>
          <w:spacing w:val="-1"/>
        </w:rPr>
        <w:t>①</w:t>
      </w:r>
      <w:r>
        <w:rPr>
          <w:spacing w:val="-1"/>
        </w:rPr>
        <w:t>在产品方面，公司定位于新型的纺织面料和特色化染色需求的面料的中高端染料市</w:t>
      </w:r>
      <w:r>
        <w:rPr>
          <w:w w:val="100"/>
        </w:rPr>
        <w:t> </w:t>
      </w:r>
      <w:r>
        <w:rPr/>
        <w:t>场，针对性的开发染料产品来达到其较高的染色性能要求和满足其个性化需求，在染色的</w:t>
      </w:r>
      <w:r>
        <w:rPr>
          <w:spacing w:val="-57"/>
        </w:rPr>
        <w:t> </w:t>
      </w:r>
      <w:r>
        <w:rPr>
          <w:spacing w:val="-57"/>
        </w:rPr>
      </w:r>
      <w:r>
        <w:rPr/>
        <w:t>稳定性和各项色牢度指标上达到或超过国内、国际同类产品先进水平。目前，公司已开发</w:t>
      </w:r>
      <w:r>
        <w:rPr>
          <w:spacing w:val="-57"/>
        </w:rPr>
        <w:t> </w:t>
      </w:r>
      <w:r>
        <w:rPr>
          <w:spacing w:val="-57"/>
        </w:rPr>
      </w:r>
      <w:r>
        <w:rPr>
          <w:spacing w:val="-5"/>
        </w:rPr>
        <w:t>出多种特色化染料产品系列，并申请了十四项专利，公司“涤氨面料高水洗分散黑”与“记</w:t>
      </w:r>
      <w:r>
        <w:rPr>
          <w:spacing w:val="-84"/>
        </w:rPr>
        <w:t> </w:t>
      </w:r>
      <w:r>
        <w:rPr>
          <w:spacing w:val="-84"/>
        </w:rPr>
      </w:r>
      <w:r>
        <w:rPr/>
        <w:t>忆纤维面料专用分散黑”两个产品被上海市科委分别认定为高新技术成果转化项目；</w:t>
      </w:r>
    </w:p>
    <w:p>
      <w:pPr>
        <w:pStyle w:val="BodyText"/>
        <w:spacing w:line="400" w:lineRule="auto" w:before="88"/>
        <w:ind w:right="115" w:firstLine="492"/>
        <w:jc w:val="both"/>
      </w:pPr>
      <w:r>
        <w:rPr>
          <w:rFonts w:ascii="宋体" w:hAnsi="宋体" w:cs="宋体" w:eastAsia="宋体" w:hint="default"/>
          <w:spacing w:val="-1"/>
        </w:rPr>
        <w:t>②</w:t>
      </w:r>
      <w:r>
        <w:rPr>
          <w:spacing w:val="-1"/>
        </w:rPr>
        <w:t>在染料应用技术方面，由于纺织面料的印染是一个复杂的过程，好的印染效果除了</w:t>
      </w:r>
      <w:r>
        <w:rPr>
          <w:w w:val="100"/>
        </w:rPr>
        <w:t> </w:t>
      </w:r>
      <w:r>
        <w:rPr/>
        <w:t>需要好的染料产品，配套的染整工艺必不可少。公司通过多年的实验和实践，针对其主要</w:t>
      </w:r>
      <w:r>
        <w:rPr>
          <w:spacing w:val="-57"/>
        </w:rPr>
        <w:t> </w:t>
      </w:r>
      <w:r>
        <w:rPr>
          <w:spacing w:val="-57"/>
        </w:rPr>
      </w:r>
      <w:r>
        <w:rPr/>
        <w:t>的产品系列，通过不断的实验研究寻求其最适合的染整工艺，更通过为印染客户提供技术</w:t>
      </w:r>
      <w:r>
        <w:rPr>
          <w:spacing w:val="-57"/>
        </w:rPr>
        <w:t> </w:t>
      </w:r>
      <w:r>
        <w:rPr>
          <w:spacing w:val="-57"/>
        </w:rPr>
      </w:r>
      <w:r>
        <w:rPr/>
        <w:t>支持和服务的过程不断提高应用技术水平。公司的主要染料应用技术均处于成熟阶段，能</w:t>
      </w:r>
      <w:r>
        <w:rPr>
          <w:spacing w:val="-57"/>
        </w:rPr>
        <w:t> </w:t>
      </w:r>
      <w:r>
        <w:rPr>
          <w:spacing w:val="-57"/>
        </w:rPr>
      </w:r>
      <w:r>
        <w:rPr/>
        <w:t>够根据客户的需求，结合公司各类产品的不同特性，迅速找到合适的产品并研发出配套的</w:t>
      </w:r>
      <w:r>
        <w:rPr>
          <w:spacing w:val="-57"/>
        </w:rPr>
        <w:t> </w:t>
      </w:r>
      <w:r>
        <w:rPr>
          <w:spacing w:val="-57"/>
        </w:rPr>
      </w:r>
      <w:r>
        <w:rPr/>
        <w:t>印染工艺，为客户提供从产品到印染技术服务的全套解决方案。</w:t>
      </w:r>
    </w:p>
    <w:p>
      <w:pPr>
        <w:pStyle w:val="BodyText"/>
        <w:spacing w:line="412" w:lineRule="auto" w:before="85"/>
        <w:ind w:left="629" w:right="0"/>
        <w:jc w:val="left"/>
      </w:pPr>
      <w:r>
        <w:rPr/>
        <w:t>（</w:t>
      </w:r>
      <w:r>
        <w:rPr>
          <w:rFonts w:ascii="Arial" w:hAnsi="Arial" w:cs="Arial" w:eastAsia="Arial" w:hint="default"/>
        </w:rPr>
        <w:t>4</w:t>
      </w:r>
      <w:r>
        <w:rPr/>
        <w:t>）环保优势</w:t>
      </w:r>
      <w:r>
        <w:rPr>
          <w:w w:val="100"/>
        </w:rPr>
        <w:t> </w:t>
      </w:r>
      <w:r>
        <w:rPr>
          <w:spacing w:val="-1"/>
        </w:rPr>
        <w:t>节能环保是染料行业今后的发展方向，公司在与跨国染料企业的不断竞争与交流中较</w:t>
      </w:r>
    </w:p>
    <w:p>
      <w:pPr>
        <w:pStyle w:val="BodyText"/>
        <w:spacing w:line="388" w:lineRule="auto" w:before="33"/>
        <w:ind w:right="115"/>
        <w:jc w:val="both"/>
      </w:pPr>
      <w:r>
        <w:rPr/>
        <w:t>早的意识到能够提供更加节能环保的产品将在今后的市场竞争中处于更加有利的地位。目</w:t>
      </w:r>
      <w:r>
        <w:rPr>
          <w:spacing w:val="-57"/>
        </w:rPr>
        <w:t> </w:t>
      </w:r>
      <w:r>
        <w:rPr>
          <w:spacing w:val="-57"/>
        </w:rPr>
      </w:r>
      <w:r>
        <w:rPr/>
        <w:t>前国内大部分的染料企业都比较注重对染料生产过程中的节能减排工艺和技术的研究，公</w:t>
      </w:r>
      <w:r>
        <w:rPr>
          <w:spacing w:val="-57"/>
        </w:rPr>
        <w:t> </w:t>
      </w:r>
      <w:r>
        <w:rPr>
          <w:spacing w:val="-57"/>
        </w:rPr>
      </w:r>
      <w:r>
        <w:rPr/>
        <w:t>司则更加注重产品在应用过程中的节能减排性能。由于印染过程中的水电消耗量和废水排</w:t>
      </w:r>
      <w:r>
        <w:rPr>
          <w:spacing w:val="-57"/>
        </w:rPr>
        <w:t> </w:t>
      </w:r>
      <w:r>
        <w:rPr>
          <w:spacing w:val="-57"/>
        </w:rPr>
      </w:r>
      <w:r>
        <w:rPr/>
        <w:t>放量大大高于染料生产过程的水电消耗量和废水排放量，公司通过给下游客户提供产品及</w:t>
      </w:r>
      <w:r>
        <w:rPr>
          <w:spacing w:val="-57"/>
        </w:rPr>
        <w:t> </w:t>
      </w:r>
      <w:r>
        <w:rPr>
          <w:spacing w:val="-57"/>
        </w:rPr>
      </w:r>
      <w:r>
        <w:rPr/>
        <w:t>服务能够提高染料印染过程中的首次上染成功率、染料附着性能、降低染色温度，从而能</w:t>
      </w:r>
      <w:r>
        <w:rPr>
          <w:spacing w:val="-57"/>
        </w:rPr>
        <w:t> </w:t>
      </w:r>
      <w:r>
        <w:rPr>
          <w:spacing w:val="-57"/>
        </w:rPr>
      </w:r>
      <w:r>
        <w:rPr/>
        <w:t>够减少印染客户的废水排放，降低其水、电、气等能源消耗。公司的</w:t>
      </w:r>
      <w:r>
        <w:rPr>
          <w:rFonts w:ascii="Arial" w:hAnsi="Arial" w:cs="Arial" w:eastAsia="Arial" w:hint="default"/>
        </w:rPr>
        <w:t>PUD</w:t>
      </w:r>
      <w:r>
        <w:rPr/>
        <w:t>型高水洗牢度分</w:t>
      </w:r>
      <w:r>
        <w:rPr>
          <w:spacing w:val="-80"/>
        </w:rPr>
        <w:t> </w:t>
      </w:r>
      <w:r>
        <w:rPr>
          <w:spacing w:val="-80"/>
        </w:rPr>
      </w:r>
      <w:r>
        <w:rPr/>
        <w:t>散染料产品可以较一般的染料减少一次还原清洗过程，从而减少</w:t>
      </w:r>
      <w:r>
        <w:rPr>
          <w:rFonts w:ascii="Arial" w:hAnsi="Arial" w:cs="Arial" w:eastAsia="Arial" w:hint="default"/>
        </w:rPr>
        <w:t>20%</w:t>
      </w:r>
      <w:r>
        <w:rPr/>
        <w:t>左右的用水量和废水</w:t>
      </w:r>
      <w:r>
        <w:rPr>
          <w:spacing w:val="-60"/>
        </w:rPr>
        <w:t> </w:t>
      </w:r>
      <w:r>
        <w:rPr>
          <w:spacing w:val="-60"/>
        </w:rPr>
      </w:r>
      <w:r>
        <w:rPr>
          <w:spacing w:val="-3"/>
        </w:rPr>
        <w:t>排放，减排效果突出；公司自主开发的</w:t>
      </w:r>
      <w:r>
        <w:rPr>
          <w:rFonts w:ascii="Arial" w:hAnsi="Arial" w:cs="Arial" w:eastAsia="Arial" w:hint="default"/>
          <w:spacing w:val="-3"/>
        </w:rPr>
        <w:t>L</w:t>
      </w:r>
      <w:r>
        <w:rPr>
          <w:spacing w:val="-3"/>
        </w:rPr>
        <w:t>型活性染料可以实现</w:t>
      </w:r>
      <w:r>
        <w:rPr>
          <w:rFonts w:ascii="Arial" w:hAnsi="Arial" w:cs="Arial" w:eastAsia="Arial" w:hint="default"/>
          <w:spacing w:val="-3"/>
        </w:rPr>
        <w:t>40</w:t>
      </w:r>
      <w:r>
        <w:rPr>
          <w:rFonts w:ascii="宋体" w:hAnsi="宋体" w:cs="宋体" w:eastAsia="宋体" w:hint="default"/>
          <w:spacing w:val="-3"/>
        </w:rPr>
        <w:t>℃</w:t>
      </w:r>
      <w:r>
        <w:rPr>
          <w:spacing w:val="-3"/>
        </w:rPr>
        <w:t>低温上染和固色，较常规</w:t>
      </w:r>
      <w:r>
        <w:rPr>
          <w:spacing w:val="-84"/>
        </w:rPr>
        <w:t> </w:t>
      </w:r>
      <w:r>
        <w:rPr>
          <w:spacing w:val="-84"/>
        </w:rPr>
      </w:r>
      <w:r>
        <w:rPr>
          <w:spacing w:val="-1"/>
        </w:rPr>
        <w:t>的中温（</w:t>
      </w:r>
      <w:r>
        <w:rPr>
          <w:rFonts w:ascii="Arial" w:hAnsi="Arial" w:cs="Arial" w:eastAsia="Arial" w:hint="default"/>
          <w:spacing w:val="-1"/>
        </w:rPr>
        <w:t>60</w:t>
      </w:r>
      <w:r>
        <w:rPr>
          <w:rFonts w:ascii="宋体" w:hAnsi="宋体" w:cs="宋体" w:eastAsia="宋体" w:hint="default"/>
          <w:spacing w:val="-1"/>
        </w:rPr>
        <w:t>℃</w:t>
      </w:r>
      <w:r>
        <w:rPr>
          <w:spacing w:val="-1"/>
        </w:rPr>
        <w:t>）染色工艺减少大量的能耗，染色后只需</w:t>
      </w:r>
      <w:r>
        <w:rPr>
          <w:rFonts w:ascii="Arial" w:hAnsi="Arial" w:cs="Arial" w:eastAsia="Arial" w:hint="default"/>
          <w:spacing w:val="-1"/>
        </w:rPr>
        <w:t>85</w:t>
      </w:r>
      <w:r>
        <w:rPr>
          <w:rFonts w:ascii="宋体" w:hAnsi="宋体" w:cs="宋体" w:eastAsia="宋体" w:hint="default"/>
          <w:spacing w:val="-1"/>
        </w:rPr>
        <w:t>℃</w:t>
      </w:r>
      <w:r>
        <w:rPr>
          <w:spacing w:val="-1"/>
        </w:rPr>
        <w:t>皂洗就可以达到普通活性染料</w:t>
      </w:r>
      <w:r>
        <w:rPr>
          <w:spacing w:val="-65"/>
        </w:rPr>
        <w:t> </w:t>
      </w:r>
      <w:r>
        <w:rPr>
          <w:spacing w:val="-65"/>
        </w:rPr>
      </w:r>
      <w:r>
        <w:rPr>
          <w:rFonts w:ascii="Arial" w:hAnsi="Arial" w:cs="Arial" w:eastAsia="Arial" w:hint="default"/>
        </w:rPr>
        <w:t>95</w:t>
      </w:r>
      <w:r>
        <w:rPr>
          <w:rFonts w:ascii="宋体" w:hAnsi="宋体" w:cs="宋体" w:eastAsia="宋体" w:hint="default"/>
        </w:rPr>
        <w:t>℃</w:t>
      </w:r>
      <w:r>
        <w:rPr/>
        <w:t>皂洗的牢度，这样为印染客户节约了大量的能源。该产品同时采用新的染色工艺，降</w:t>
      </w:r>
      <w:r>
        <w:rPr>
          <w:spacing w:val="-81"/>
        </w:rPr>
        <w:t> </w:t>
      </w:r>
      <w:r>
        <w:rPr>
          <w:spacing w:val="-81"/>
        </w:rPr>
      </w:r>
      <w:r>
        <w:rPr/>
        <w:t>低了碱的用量，降低了污水的处理难度，该产品开发项目已获得青浦区循环经济专项资金</w:t>
      </w:r>
    </w:p>
    <w:p>
      <w:pPr>
        <w:spacing w:after="0" w:line="388" w:lineRule="auto"/>
        <w:jc w:val="both"/>
        <w:sectPr>
          <w:footerReference w:type="default" r:id="rId39"/>
          <w:pgSz w:w="11900" w:h="16840"/>
          <w:pgMar w:footer="981" w:header="877" w:top="1100" w:bottom="1180" w:left="1660" w:right="1340"/>
          <w:pgNumType w:start="20"/>
        </w:sectPr>
      </w:pPr>
    </w:p>
    <w:p>
      <w:pPr>
        <w:spacing w:line="240" w:lineRule="auto" w:before="0"/>
        <w:rPr>
          <w:rFonts w:ascii="宋体" w:hAnsi="宋体" w:cs="宋体" w:eastAsia="宋体" w:hint="default"/>
          <w:sz w:val="20"/>
          <w:szCs w:val="20"/>
        </w:rPr>
      </w:pPr>
    </w:p>
    <w:p>
      <w:pPr>
        <w:pStyle w:val="BodyText"/>
        <w:spacing w:line="240" w:lineRule="auto" w:before="184"/>
        <w:ind w:left="237" w:right="125"/>
        <w:jc w:val="left"/>
      </w:pPr>
      <w:r>
        <w:rPr/>
        <w:t>的资助。</w:t>
      </w:r>
    </w:p>
    <w:p>
      <w:pPr>
        <w:spacing w:line="240" w:lineRule="auto" w:before="10"/>
        <w:rPr>
          <w:rFonts w:ascii="宋体" w:hAnsi="宋体" w:cs="宋体" w:eastAsia="宋体" w:hint="default"/>
          <w:sz w:val="17"/>
          <w:szCs w:val="17"/>
        </w:rPr>
      </w:pPr>
    </w:p>
    <w:p>
      <w:pPr>
        <w:pStyle w:val="BodyText"/>
        <w:spacing w:line="355" w:lineRule="auto" w:before="0"/>
        <w:ind w:left="676" w:right="125" w:firstLine="52"/>
        <w:jc w:val="left"/>
      </w:pPr>
      <w:r>
        <w:rPr/>
        <w:t>（</w:t>
      </w:r>
      <w:r>
        <w:rPr>
          <w:rFonts w:ascii="Arial" w:hAnsi="Arial" w:cs="Arial" w:eastAsia="Arial" w:hint="default"/>
        </w:rPr>
        <w:t>5</w:t>
      </w:r>
      <w:r>
        <w:rPr/>
        <w:t>）品牌优势</w:t>
      </w:r>
      <w:r>
        <w:rPr>
          <w:w w:val="100"/>
        </w:rPr>
        <w:t> </w:t>
      </w:r>
      <w:r>
        <w:rPr/>
        <w:t>公司作为新型纺织面料全套染整解决方案供应商，通过自主研发，先后推出多种新型</w:t>
      </w:r>
    </w:p>
    <w:p>
      <w:pPr>
        <w:pStyle w:val="BodyText"/>
        <w:spacing w:line="381" w:lineRule="auto" w:before="74"/>
        <w:ind w:left="237" w:right="125"/>
        <w:jc w:val="left"/>
      </w:pPr>
      <w:r>
        <w:rPr/>
        <w:t>纺织面料专用染料和提供相关应用技术，公司品牌在国内树立起良好的声誉，在行业内具</w:t>
      </w:r>
      <w:r>
        <w:rPr>
          <w:spacing w:val="-57"/>
        </w:rPr>
        <w:t> </w:t>
      </w:r>
      <w:r>
        <w:rPr>
          <w:spacing w:val="-57"/>
        </w:rPr>
      </w:r>
      <w:r>
        <w:rPr>
          <w:spacing w:val="-3"/>
        </w:rPr>
        <w:t>有广泛的市场影响力。</w:t>
      </w:r>
      <w:r>
        <w:rPr>
          <w:rFonts w:ascii="Arial" w:hAnsi="Arial" w:cs="Arial" w:eastAsia="Arial" w:hint="default"/>
          <w:spacing w:val="-3"/>
        </w:rPr>
        <w:t>2009</w:t>
      </w:r>
      <w:r>
        <w:rPr>
          <w:rFonts w:ascii="Arial" w:hAnsi="Arial" w:cs="Arial" w:eastAsia="Arial" w:hint="default"/>
          <w:spacing w:val="-12"/>
        </w:rPr>
        <w:t> </w:t>
      </w:r>
      <w:r>
        <w:rPr/>
        <w:t>年，公司多个产品系列被上海市名牌产品推荐委员会评定为上</w:t>
      </w:r>
      <w:r>
        <w:rPr>
          <w:w w:val="100"/>
        </w:rPr>
        <w:t> </w:t>
      </w:r>
      <w:r>
        <w:rPr/>
        <w:t>海市名牌产品。公司秉承“品质创造价值”的理念，一直致力于品牌建设，不断通过产品</w:t>
      </w:r>
      <w:r>
        <w:rPr>
          <w:spacing w:val="-57"/>
        </w:rPr>
        <w:t> </w:t>
      </w:r>
      <w:r>
        <w:rPr>
          <w:spacing w:val="-57"/>
        </w:rPr>
      </w:r>
      <w:r>
        <w:rPr/>
        <w:t>质量、服务和诚信来打造自己的品牌。公司在新型纺织面料和个性化需求染色领域具有强</w:t>
      </w:r>
      <w:r>
        <w:rPr>
          <w:spacing w:val="-57"/>
        </w:rPr>
        <w:t> </w:t>
      </w:r>
      <w:r>
        <w:rPr>
          <w:spacing w:val="-57"/>
        </w:rPr>
      </w:r>
      <w:r>
        <w:rPr>
          <w:spacing w:val="-3"/>
        </w:rPr>
        <w:t>大的竞争优势，公司产品的终端用户包括李宁、安踏、雅戈尔、波司登、</w:t>
      </w:r>
      <w:r>
        <w:rPr>
          <w:rFonts w:ascii="Arial" w:hAnsi="Arial" w:cs="Arial" w:eastAsia="Arial" w:hint="default"/>
          <w:spacing w:val="-3"/>
        </w:rPr>
        <w:t>NIKE</w:t>
      </w:r>
      <w:r>
        <w:rPr>
          <w:spacing w:val="-3"/>
        </w:rPr>
        <w:t>、</w:t>
      </w:r>
      <w:r>
        <w:rPr>
          <w:rFonts w:ascii="Arial" w:hAnsi="Arial" w:cs="Arial" w:eastAsia="Arial" w:hint="default"/>
          <w:spacing w:val="-3"/>
        </w:rPr>
        <w:t>ADIDAS</w:t>
      </w:r>
      <w:r>
        <w:rPr>
          <w:spacing w:val="-3"/>
        </w:rPr>
        <w:t>、</w:t>
      </w:r>
      <w:r>
        <w:rPr>
          <w:spacing w:val="-57"/>
        </w:rPr>
        <w:t> </w:t>
      </w:r>
      <w:r>
        <w:rPr>
          <w:rFonts w:ascii="Arial" w:hAnsi="Arial" w:cs="Arial" w:eastAsia="Arial" w:hint="default"/>
          <w:spacing w:val="-5"/>
        </w:rPr>
        <w:t>IKEA</w:t>
      </w:r>
      <w:r>
        <w:rPr>
          <w:spacing w:val="-5"/>
        </w:rPr>
        <w:t>、</w:t>
      </w:r>
      <w:r>
        <w:rPr>
          <w:rFonts w:ascii="Arial" w:hAnsi="Arial" w:cs="Arial" w:eastAsia="Arial" w:hint="default"/>
          <w:spacing w:val="-5"/>
        </w:rPr>
        <w:t>H&amp;M </w:t>
      </w:r>
      <w:r>
        <w:rPr>
          <w:spacing w:val="-3"/>
        </w:rPr>
        <w:t>等众多国内、国外服装和家纺知名品牌。公司在近十年的经营发展过程中获得</w:t>
      </w:r>
      <w:r>
        <w:rPr>
          <w:spacing w:val="-81"/>
        </w:rPr>
        <w:t> </w:t>
      </w:r>
      <w:r>
        <w:rPr>
          <w:spacing w:val="-81"/>
        </w:rPr>
      </w:r>
      <w:r>
        <w:rPr>
          <w:spacing w:val="-11"/>
          <w:w w:val="100"/>
        </w:rPr>
        <w:t>了“国家纺织染化料产品开发基地企业”、“中国纺织工业协会产品开发贡献奖”、“上海市</w:t>
      </w:r>
      <w:r>
        <w:rPr>
          <w:spacing w:val="-76"/>
          <w:w w:val="100"/>
        </w:rPr>
        <w:t> </w:t>
      </w:r>
      <w:r>
        <w:rPr>
          <w:spacing w:val="-76"/>
          <w:w w:val="100"/>
        </w:rPr>
      </w:r>
      <w:r>
        <w:rPr/>
        <w:t>著名商标”等众多荣誉，提高了公司的品牌知名度，为公司赢得了巨大的市场声誉，加强</w:t>
      </w:r>
      <w:r>
        <w:rPr>
          <w:spacing w:val="-57"/>
        </w:rPr>
        <w:t> </w:t>
      </w:r>
      <w:r>
        <w:rPr>
          <w:spacing w:val="-57"/>
        </w:rPr>
      </w:r>
      <w:r>
        <w:rPr/>
        <w:t>了公司的竞争优势。</w:t>
      </w:r>
    </w:p>
    <w:p>
      <w:pPr>
        <w:pStyle w:val="Heading3"/>
        <w:spacing w:line="240" w:lineRule="auto" w:before="81"/>
        <w:ind w:left="799" w:right="125"/>
        <w:jc w:val="left"/>
      </w:pPr>
      <w:r>
        <w:rPr>
          <w:rFonts w:ascii="Arial" w:hAnsi="Arial" w:cs="Arial" w:eastAsia="Arial" w:hint="default"/>
          <w:b/>
          <w:bCs/>
        </w:rPr>
        <w:t>6</w:t>
      </w:r>
      <w:r>
        <w:rPr/>
        <w:t>、公司研发情况</w:t>
      </w:r>
    </w:p>
    <w:p>
      <w:pPr>
        <w:pStyle w:val="BodyText"/>
        <w:spacing w:line="369" w:lineRule="auto" w:before="207"/>
        <w:ind w:left="676" w:right="125"/>
        <w:jc w:val="left"/>
      </w:pPr>
      <w:r>
        <w:rPr>
          <w:rFonts w:ascii="Arial" w:hAnsi="Arial" w:cs="Arial" w:eastAsia="Arial" w:hint="default"/>
        </w:rPr>
        <w:t>1</w:t>
      </w:r>
      <w:r>
        <w:rPr/>
        <w:t>）核心技术团队情况</w:t>
      </w:r>
      <w:r>
        <w:rPr>
          <w:w w:val="100"/>
        </w:rPr>
        <w:t> </w:t>
      </w:r>
      <w:r>
        <w:rPr/>
        <w:t>公司拥有较强的技术研发团队。技术团队的人员数量和技术成果在国内同行业中处于</w:t>
      </w:r>
    </w:p>
    <w:p>
      <w:pPr>
        <w:pStyle w:val="BodyText"/>
        <w:spacing w:line="379" w:lineRule="auto" w:before="61"/>
        <w:ind w:left="237" w:right="235"/>
        <w:jc w:val="both"/>
      </w:pPr>
      <w:r>
        <w:rPr/>
        <w:t>领先地位。臧少玉、缪融、赵敏、汤晓飞等</w:t>
      </w:r>
      <w:r>
        <w:rPr>
          <w:rFonts w:ascii="Arial" w:hAnsi="Arial" w:cs="Arial" w:eastAsia="Arial" w:hint="default"/>
        </w:rPr>
        <w:t>10</w:t>
      </w:r>
      <w:r>
        <w:rPr/>
        <w:t>名核心人员属于染整行业及新材料领域的专</w:t>
      </w:r>
      <w:r>
        <w:rPr>
          <w:spacing w:val="-81"/>
        </w:rPr>
        <w:t> </w:t>
      </w:r>
      <w:r>
        <w:rPr>
          <w:spacing w:val="-81"/>
        </w:rPr>
      </w:r>
      <w:r>
        <w:rPr/>
        <w:t>家，属于公司的核心技术人员。同时公司拥有延元起，吕卫，李诗杰等多位中韩知名的染</w:t>
      </w:r>
      <w:r>
        <w:rPr>
          <w:spacing w:val="-57"/>
        </w:rPr>
        <w:t> </w:t>
      </w:r>
      <w:r>
        <w:rPr>
          <w:spacing w:val="-57"/>
        </w:rPr>
      </w:r>
      <w:r>
        <w:rPr/>
        <w:t>料研发生产制造专家。由李诗杰院长领导的安诺其染料研究院根据公司研发战略计划积极</w:t>
      </w:r>
      <w:r>
        <w:rPr>
          <w:spacing w:val="-57"/>
        </w:rPr>
        <w:t> </w:t>
      </w:r>
      <w:r>
        <w:rPr>
          <w:spacing w:val="-57"/>
        </w:rPr>
      </w:r>
      <w:r>
        <w:rPr/>
        <w:t>有效的开展研发工作。公司拥有技术开发人员</w:t>
      </w:r>
      <w:r>
        <w:rPr>
          <w:rFonts w:ascii="Arial" w:hAnsi="Arial" w:cs="Arial" w:eastAsia="Arial" w:hint="default"/>
        </w:rPr>
        <w:t>59</w:t>
      </w:r>
      <w:r>
        <w:rPr/>
        <w:t>名，形成了较强的技术团队，占公司人员</w:t>
      </w:r>
      <w:r>
        <w:rPr>
          <w:spacing w:val="-81"/>
        </w:rPr>
        <w:t> </w:t>
      </w:r>
      <w:r>
        <w:rPr>
          <w:spacing w:val="-81"/>
        </w:rPr>
      </w:r>
      <w:r>
        <w:rPr/>
        <w:t>总数的</w:t>
      </w:r>
      <w:r>
        <w:rPr>
          <w:rFonts w:ascii="Arial" w:hAnsi="Arial" w:cs="Arial" w:eastAsia="Arial" w:hint="default"/>
        </w:rPr>
        <w:t>19.47%</w:t>
      </w:r>
      <w:r>
        <w:rPr/>
        <w:t>。</w:t>
      </w:r>
    </w:p>
    <w:p>
      <w:pPr>
        <w:pStyle w:val="BodyText"/>
        <w:spacing w:line="240" w:lineRule="auto" w:before="22"/>
        <w:ind w:left="676" w:right="125"/>
        <w:jc w:val="left"/>
      </w:pPr>
      <w:r>
        <w:rPr/>
        <w:t>报告期无核心技术人员离职。</w:t>
      </w:r>
    </w:p>
    <w:p>
      <w:pPr>
        <w:pStyle w:val="BodyText"/>
        <w:spacing w:line="240" w:lineRule="auto" w:before="180"/>
        <w:ind w:left="676" w:right="125"/>
        <w:jc w:val="left"/>
      </w:pPr>
      <w:r>
        <w:rPr>
          <w:rFonts w:ascii="Arial" w:hAnsi="Arial" w:cs="Arial" w:eastAsia="Arial" w:hint="default"/>
        </w:rPr>
        <w:t>2</w:t>
      </w:r>
      <w:r>
        <w:rPr/>
        <w:t>）公司研发费用投入</w:t>
      </w:r>
    </w:p>
    <w:p>
      <w:pPr>
        <w:spacing w:line="240" w:lineRule="auto" w:before="5"/>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4570"/>
        <w:gridCol w:w="2143"/>
        <w:gridCol w:w="2143"/>
      </w:tblGrid>
      <w:tr>
        <w:trPr>
          <w:trHeight w:val="530" w:hRule="exact"/>
        </w:trPr>
        <w:tc>
          <w:tcPr>
            <w:tcW w:w="45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年度</w:t>
            </w:r>
          </w:p>
        </w:tc>
        <w:tc>
          <w:tcPr>
            <w:tcW w:w="21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5"/>
                <w:sz w:val="18"/>
                <w:szCs w:val="18"/>
              </w:rPr>
              <w:t> </w:t>
            </w:r>
            <w:r>
              <w:rPr>
                <w:rFonts w:ascii="宋体" w:hAnsi="宋体" w:cs="宋体" w:eastAsia="宋体" w:hint="default"/>
                <w:sz w:val="18"/>
                <w:szCs w:val="18"/>
              </w:rPr>
              <w:t>年度</w:t>
            </w:r>
          </w:p>
        </w:tc>
      </w:tr>
      <w:tr>
        <w:trPr>
          <w:trHeight w:val="528" w:hRule="exact"/>
        </w:trPr>
        <w:tc>
          <w:tcPr>
            <w:tcW w:w="45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1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12,386,963.77</w:t>
            </w:r>
          </w:p>
        </w:tc>
        <w:tc>
          <w:tcPr>
            <w:tcW w:w="21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8,097,556.73</w:t>
            </w:r>
          </w:p>
        </w:tc>
      </w:tr>
      <w:tr>
        <w:trPr>
          <w:trHeight w:val="530" w:hRule="exact"/>
        </w:trPr>
        <w:tc>
          <w:tcPr>
            <w:tcW w:w="45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1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Arial" w:hAnsi="Arial" w:cs="Arial" w:eastAsia="Arial" w:hint="default"/>
                <w:sz w:val="18"/>
                <w:szCs w:val="18"/>
              </w:rPr>
            </w:pPr>
            <w:r>
              <w:rPr>
                <w:rFonts w:ascii="Arial"/>
                <w:sz w:val="18"/>
              </w:rPr>
              <w:t>187,685,492.14</w:t>
            </w:r>
          </w:p>
        </w:tc>
        <w:tc>
          <w:tcPr>
            <w:tcW w:w="21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Arial" w:hAnsi="Arial" w:cs="Arial" w:eastAsia="Arial" w:hint="default"/>
                <w:sz w:val="18"/>
                <w:szCs w:val="18"/>
              </w:rPr>
            </w:pPr>
            <w:r>
              <w:rPr>
                <w:rFonts w:ascii="Arial"/>
                <w:sz w:val="18"/>
              </w:rPr>
              <w:t>196,030,683.00</w:t>
            </w:r>
          </w:p>
        </w:tc>
      </w:tr>
      <w:tr>
        <w:trPr>
          <w:trHeight w:val="526" w:hRule="exact"/>
        </w:trPr>
        <w:tc>
          <w:tcPr>
            <w:tcW w:w="45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21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75" w:right="0"/>
              <w:jc w:val="left"/>
              <w:rPr>
                <w:rFonts w:ascii="Arial" w:hAnsi="Arial" w:cs="Arial" w:eastAsia="Arial" w:hint="default"/>
                <w:sz w:val="18"/>
                <w:szCs w:val="18"/>
              </w:rPr>
            </w:pPr>
            <w:r>
              <w:rPr>
                <w:rFonts w:ascii="Arial"/>
                <w:sz w:val="18"/>
              </w:rPr>
              <w:t>6.60 %</w:t>
            </w:r>
          </w:p>
        </w:tc>
        <w:tc>
          <w:tcPr>
            <w:tcW w:w="21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75" w:right="0"/>
              <w:jc w:val="left"/>
              <w:rPr>
                <w:rFonts w:ascii="Arial" w:hAnsi="Arial" w:cs="Arial" w:eastAsia="Arial" w:hint="default"/>
                <w:sz w:val="18"/>
                <w:szCs w:val="18"/>
              </w:rPr>
            </w:pPr>
            <w:r>
              <w:rPr>
                <w:rFonts w:ascii="Arial"/>
                <w:sz w:val="18"/>
              </w:rPr>
              <w:t>4.13 %</w:t>
            </w:r>
          </w:p>
        </w:tc>
      </w:tr>
    </w:tbl>
    <w:p>
      <w:pPr>
        <w:pStyle w:val="BodyText"/>
        <w:spacing w:line="369" w:lineRule="auto" w:before="57"/>
        <w:ind w:left="237" w:right="125" w:firstLine="439"/>
        <w:jc w:val="left"/>
      </w:pPr>
      <w:r>
        <w:rPr>
          <w:spacing w:val="-3"/>
        </w:rPr>
        <w:t>报告期内，公司继续加大对新产品开发的投入，研发费用较去年同期增长</w:t>
      </w:r>
      <w:r>
        <w:rPr>
          <w:spacing w:val="-23"/>
        </w:rPr>
        <w:t> </w:t>
      </w:r>
      <w:r>
        <w:rPr>
          <w:rFonts w:ascii="Arial" w:hAnsi="Arial" w:cs="Arial" w:eastAsia="Arial" w:hint="default"/>
          <w:spacing w:val="-5"/>
        </w:rPr>
        <w:t>52.97%</w:t>
      </w:r>
      <w:r>
        <w:rPr>
          <w:spacing w:val="-5"/>
        </w:rPr>
        <w:t>，研</w:t>
      </w:r>
      <w:r>
        <w:rPr>
          <w:w w:val="100"/>
        </w:rPr>
        <w:t> </w:t>
      </w:r>
      <w:r>
        <w:rPr/>
        <w:t>发费用占销售收入的比例较上年度略增</w:t>
      </w:r>
      <w:r>
        <w:rPr>
          <w:spacing w:val="-61"/>
        </w:rPr>
        <w:t> </w:t>
      </w:r>
      <w:r>
        <w:rPr>
          <w:rFonts w:ascii="Arial" w:hAnsi="Arial" w:cs="Arial" w:eastAsia="Arial" w:hint="default"/>
        </w:rPr>
        <w:t>1.47%</w:t>
      </w:r>
      <w:r>
        <w:rPr/>
        <w:t>。</w:t>
      </w:r>
    </w:p>
    <w:p>
      <w:pPr>
        <w:spacing w:after="0" w:line="369" w:lineRule="auto"/>
        <w:jc w:val="left"/>
        <w:sectPr>
          <w:pgSz w:w="11900" w:h="16840"/>
          <w:pgMar w:header="877" w:footer="981" w:top="1100" w:bottom="1180" w:left="1560" w:right="1220"/>
        </w:sectPr>
      </w:pPr>
    </w:p>
    <w:p>
      <w:pPr>
        <w:spacing w:line="240" w:lineRule="auto" w:before="0"/>
        <w:rPr>
          <w:rFonts w:ascii="宋体" w:hAnsi="宋体" w:cs="宋体" w:eastAsia="宋体" w:hint="default"/>
          <w:sz w:val="20"/>
          <w:szCs w:val="20"/>
        </w:rPr>
      </w:pPr>
    </w:p>
    <w:p>
      <w:pPr>
        <w:pStyle w:val="Heading3"/>
        <w:spacing w:line="240" w:lineRule="auto" w:before="145"/>
        <w:ind w:left="619" w:right="33"/>
        <w:jc w:val="left"/>
      </w:pPr>
      <w:r>
        <w:rPr>
          <w:rFonts w:ascii="Arial" w:hAnsi="Arial" w:cs="Arial" w:eastAsia="Arial" w:hint="default"/>
          <w:b/>
          <w:bCs/>
        </w:rPr>
        <w:t>7</w:t>
      </w:r>
      <w:r>
        <w:rPr/>
        <w:t>、主要控股子公司的经营情况及业绩</w:t>
      </w:r>
    </w:p>
    <w:p>
      <w:pPr>
        <w:pStyle w:val="BodyText"/>
        <w:spacing w:line="369" w:lineRule="auto" w:before="207"/>
        <w:ind w:left="576" w:right="33"/>
        <w:jc w:val="left"/>
      </w:pPr>
      <w:r>
        <w:rPr/>
        <w:t>（</w:t>
      </w:r>
      <w:r>
        <w:rPr>
          <w:rFonts w:ascii="Arial" w:hAnsi="Arial" w:cs="Arial" w:eastAsia="Arial" w:hint="default"/>
        </w:rPr>
        <w:t>1</w:t>
      </w:r>
      <w:r>
        <w:rPr/>
        <w:t>）烟台安诺其纺织材料有限公司</w:t>
      </w:r>
      <w:r>
        <w:rPr>
          <w:w w:val="100"/>
        </w:rPr>
        <w:t> </w:t>
      </w:r>
      <w:r>
        <w:rPr/>
        <w:t>烟台安诺其纺织材料有限公司（烟台安诺其）为本公司之全资子公司，公司经营项目</w:t>
      </w:r>
    </w:p>
    <w:p>
      <w:pPr>
        <w:pStyle w:val="BodyText"/>
        <w:spacing w:line="391" w:lineRule="auto" w:before="61"/>
        <w:ind w:right="217" w:hanging="1"/>
        <w:jc w:val="left"/>
      </w:pPr>
      <w:r>
        <w:rPr>
          <w:spacing w:val="-5"/>
          <w:w w:val="100"/>
        </w:rPr>
        <w:t>为：从事纺织品用高级染料、助剂及相关产品的生产和技术服务（不含危险化学品），并销</w:t>
      </w:r>
      <w:r>
        <w:rPr>
          <w:spacing w:val="-108"/>
          <w:w w:val="100"/>
        </w:rPr>
        <w:t> </w:t>
      </w:r>
      <w:r>
        <w:rPr>
          <w:spacing w:val="-108"/>
          <w:w w:val="100"/>
        </w:rPr>
      </w:r>
      <w:r>
        <w:rPr/>
        <w:t>售公司上述所列自产产品。</w:t>
      </w:r>
    </w:p>
    <w:p>
      <w:pPr>
        <w:pStyle w:val="BodyText"/>
        <w:spacing w:line="369" w:lineRule="auto" w:before="41"/>
        <w:ind w:right="33" w:firstLine="439"/>
        <w:jc w:val="left"/>
      </w:pPr>
      <w:r>
        <w:rPr/>
        <w:t>公司成立于</w:t>
      </w:r>
      <w:r>
        <w:rPr>
          <w:spacing w:val="-56"/>
        </w:rPr>
        <w:t> </w:t>
      </w:r>
      <w:r>
        <w:rPr>
          <w:rFonts w:ascii="Arial" w:hAnsi="Arial" w:cs="Arial" w:eastAsia="Arial" w:hint="default"/>
        </w:rPr>
        <w:t>2006</w:t>
      </w:r>
      <w:r>
        <w:rPr>
          <w:rFonts w:ascii="Arial" w:hAnsi="Arial" w:cs="Arial" w:eastAsia="Arial" w:hint="default"/>
          <w:spacing w:val="47"/>
        </w:rPr>
        <w:t> </w:t>
      </w:r>
      <w:r>
        <w:rPr/>
        <w:t>年</w:t>
      </w:r>
      <w:r>
        <w:rPr>
          <w:spacing w:val="-56"/>
        </w:rPr>
        <w:t> </w:t>
      </w:r>
      <w:r>
        <w:rPr>
          <w:rFonts w:ascii="Arial" w:hAnsi="Arial" w:cs="Arial" w:eastAsia="Arial" w:hint="default"/>
        </w:rPr>
        <w:t>8</w:t>
      </w:r>
      <w:r>
        <w:rPr>
          <w:rFonts w:ascii="Arial" w:hAnsi="Arial" w:cs="Arial" w:eastAsia="Arial" w:hint="default"/>
          <w:spacing w:val="43"/>
        </w:rPr>
        <w:t> </w:t>
      </w:r>
      <w:r>
        <w:rPr/>
        <w:t>月</w:t>
      </w:r>
      <w:r>
        <w:rPr>
          <w:spacing w:val="-56"/>
        </w:rPr>
        <w:t> </w:t>
      </w:r>
      <w:r>
        <w:rPr>
          <w:rFonts w:ascii="Arial" w:hAnsi="Arial" w:cs="Arial" w:eastAsia="Arial" w:hint="default"/>
        </w:rPr>
        <w:t>2</w:t>
      </w:r>
      <w:r>
        <w:rPr>
          <w:rFonts w:ascii="Arial" w:hAnsi="Arial" w:cs="Arial" w:eastAsia="Arial" w:hint="default"/>
          <w:spacing w:val="47"/>
        </w:rPr>
        <w:t> </w:t>
      </w:r>
      <w:r>
        <w:rPr/>
        <w:t>日，注册资本为</w:t>
      </w:r>
      <w:r>
        <w:rPr>
          <w:spacing w:val="-1"/>
        </w:rPr>
        <w:t> </w:t>
      </w:r>
      <w:r>
        <w:rPr>
          <w:rFonts w:ascii="Arial" w:hAnsi="Arial" w:cs="Arial" w:eastAsia="Arial" w:hint="default"/>
        </w:rPr>
        <w:t>12,030.50</w:t>
      </w:r>
      <w:r>
        <w:rPr>
          <w:rFonts w:ascii="Arial" w:hAnsi="Arial" w:cs="Arial" w:eastAsia="Arial" w:hint="default"/>
          <w:spacing w:val="-10"/>
        </w:rPr>
        <w:t> </w:t>
      </w:r>
      <w:r>
        <w:rPr/>
        <w:t>万元，实收资本</w:t>
      </w:r>
      <w:r>
        <w:rPr>
          <w:spacing w:val="-59"/>
        </w:rPr>
        <w:t> </w:t>
      </w:r>
      <w:r>
        <w:rPr>
          <w:rFonts w:ascii="Arial" w:hAnsi="Arial" w:cs="Arial" w:eastAsia="Arial" w:hint="default"/>
        </w:rPr>
        <w:t>5,560</w:t>
      </w:r>
      <w:r>
        <w:rPr>
          <w:rFonts w:ascii="Arial" w:hAnsi="Arial" w:cs="Arial" w:eastAsia="Arial" w:hint="default"/>
          <w:spacing w:val="-8"/>
        </w:rPr>
        <w:t> </w:t>
      </w:r>
      <w:r>
        <w:rPr/>
        <w:t>万元，</w:t>
      </w:r>
      <w:r>
        <w:rPr>
          <w:w w:val="100"/>
        </w:rPr>
        <w:t> </w:t>
      </w:r>
      <w:r>
        <w:rPr/>
        <w:t>住所及主要生产经营地为山东省蓬莱经济开发区</w:t>
      </w:r>
      <w:r>
        <w:rPr>
          <w:spacing w:val="-6"/>
        </w:rPr>
        <w:t> </w:t>
      </w:r>
      <w:r>
        <w:rPr/>
        <w:t>。</w:t>
      </w:r>
    </w:p>
    <w:p>
      <w:pPr>
        <w:pStyle w:val="BodyText"/>
        <w:spacing w:line="240" w:lineRule="auto" w:before="61"/>
        <w:ind w:left="576" w:right="33"/>
        <w:jc w:val="left"/>
      </w:pPr>
      <w:r>
        <w:rPr/>
        <w:t>经上海众华沪银会计师事务所有限公司审计，烟台安诺其截止</w:t>
      </w:r>
      <w:r>
        <w:rPr>
          <w:spacing w:val="-45"/>
        </w:rPr>
        <w:t> </w:t>
      </w:r>
      <w:r>
        <w:rPr>
          <w:rFonts w:ascii="Arial" w:hAnsi="Arial" w:cs="Arial" w:eastAsia="Arial" w:hint="default"/>
        </w:rPr>
        <w:t>2010</w:t>
      </w:r>
      <w:r>
        <w:rPr>
          <w:rFonts w:ascii="Arial" w:hAnsi="Arial" w:cs="Arial" w:eastAsia="Arial" w:hint="default"/>
          <w:spacing w:val="3"/>
        </w:rPr>
        <w:t> </w:t>
      </w:r>
      <w:r>
        <w:rPr/>
        <w:t>年</w:t>
      </w:r>
      <w:r>
        <w:rPr>
          <w:spacing w:val="-45"/>
        </w:rPr>
        <w:t> </w:t>
      </w:r>
      <w:r>
        <w:rPr>
          <w:rFonts w:ascii="Arial" w:hAnsi="Arial" w:cs="Arial" w:eastAsia="Arial" w:hint="default"/>
        </w:rPr>
        <w:t>12</w:t>
      </w:r>
      <w:r>
        <w:rPr>
          <w:rFonts w:ascii="Arial" w:hAnsi="Arial" w:cs="Arial" w:eastAsia="Arial" w:hint="default"/>
          <w:spacing w:val="1"/>
        </w:rPr>
        <w:t> </w:t>
      </w:r>
      <w:r>
        <w:rPr/>
        <w:t>月</w:t>
      </w:r>
      <w:r>
        <w:rPr>
          <w:spacing w:val="-45"/>
        </w:rPr>
        <w:t> </w:t>
      </w:r>
      <w:r>
        <w:rPr>
          <w:rFonts w:ascii="Arial" w:hAnsi="Arial" w:cs="Arial" w:eastAsia="Arial" w:hint="default"/>
        </w:rPr>
        <w:t>31</w:t>
      </w:r>
      <w:r>
        <w:rPr>
          <w:rFonts w:ascii="Arial" w:hAnsi="Arial" w:cs="Arial" w:eastAsia="Arial" w:hint="default"/>
          <w:spacing w:val="3"/>
        </w:rPr>
        <w:t> </w:t>
      </w:r>
      <w:r>
        <w:rPr/>
        <w:t>日，</w:t>
      </w:r>
    </w:p>
    <w:p>
      <w:pPr>
        <w:pStyle w:val="BodyText"/>
        <w:spacing w:line="240" w:lineRule="auto" w:before="164"/>
        <w:ind w:right="33"/>
        <w:jc w:val="left"/>
      </w:pPr>
      <w:r>
        <w:rPr/>
        <w:t>资产总额 </w:t>
      </w:r>
      <w:r>
        <w:rPr>
          <w:rFonts w:ascii="Arial" w:hAnsi="Arial" w:cs="Arial" w:eastAsia="Arial" w:hint="default"/>
        </w:rPr>
        <w:t>7,048 </w:t>
      </w:r>
      <w:r>
        <w:rPr/>
        <w:t>万元，净资产 </w:t>
      </w:r>
      <w:r>
        <w:rPr>
          <w:rFonts w:ascii="Arial" w:hAnsi="Arial" w:cs="Arial" w:eastAsia="Arial" w:hint="default"/>
        </w:rPr>
        <w:t>6,052 </w:t>
      </w:r>
      <w:r>
        <w:rPr/>
        <w:t>万元，营业收入 </w:t>
      </w:r>
      <w:r>
        <w:rPr>
          <w:rFonts w:ascii="Arial" w:hAnsi="Arial" w:cs="Arial" w:eastAsia="Arial" w:hint="default"/>
        </w:rPr>
        <w:t>5,366 </w:t>
      </w:r>
      <w:r>
        <w:rPr/>
        <w:t>万元，营业利润 </w:t>
      </w:r>
      <w:r>
        <w:rPr>
          <w:rFonts w:ascii="Arial" w:hAnsi="Arial" w:cs="Arial" w:eastAsia="Arial" w:hint="default"/>
        </w:rPr>
        <w:t>440</w:t>
      </w:r>
      <w:r>
        <w:rPr>
          <w:rFonts w:ascii="Arial" w:hAnsi="Arial" w:cs="Arial" w:eastAsia="Arial" w:hint="default"/>
          <w:spacing w:val="-19"/>
        </w:rPr>
        <w:t> </w:t>
      </w:r>
      <w:r>
        <w:rPr/>
        <w:t>万元，</w:t>
      </w:r>
    </w:p>
    <w:p>
      <w:pPr>
        <w:pStyle w:val="BodyText"/>
        <w:spacing w:line="240" w:lineRule="auto" w:before="164"/>
        <w:ind w:right="33"/>
        <w:jc w:val="left"/>
      </w:pPr>
      <w:r>
        <w:rPr/>
        <w:t>净利润 </w:t>
      </w:r>
      <w:r>
        <w:rPr>
          <w:rFonts w:ascii="Arial" w:hAnsi="Arial" w:cs="Arial" w:eastAsia="Arial" w:hint="default"/>
        </w:rPr>
        <w:t>320</w:t>
      </w:r>
      <w:r>
        <w:rPr>
          <w:rFonts w:ascii="Arial" w:hAnsi="Arial" w:cs="Arial" w:eastAsia="Arial" w:hint="default"/>
          <w:spacing w:val="-6"/>
        </w:rPr>
        <w:t> </w:t>
      </w:r>
      <w:r>
        <w:rPr/>
        <w:t>万元。</w:t>
      </w:r>
    </w:p>
    <w:p>
      <w:pPr>
        <w:pStyle w:val="BodyText"/>
        <w:spacing w:line="369" w:lineRule="auto" w:before="164"/>
        <w:ind w:right="215" w:firstLine="439"/>
        <w:jc w:val="both"/>
      </w:pPr>
      <w:r>
        <w:rPr/>
        <w:t>净利润同比减少</w:t>
      </w:r>
      <w:r>
        <w:rPr>
          <w:spacing w:val="-56"/>
        </w:rPr>
        <w:t> </w:t>
      </w:r>
      <w:r>
        <w:rPr>
          <w:rFonts w:ascii="Arial" w:hAnsi="Arial" w:cs="Arial" w:eastAsia="Arial" w:hint="default"/>
          <w:spacing w:val="-4"/>
        </w:rPr>
        <w:t>17.74%</w:t>
      </w:r>
      <w:r>
        <w:rPr>
          <w:spacing w:val="-4"/>
        </w:rPr>
        <w:t>，主要是：</w:t>
      </w:r>
      <w:r>
        <w:rPr>
          <w:rFonts w:ascii="Arial" w:hAnsi="Arial" w:cs="Arial" w:eastAsia="Arial" w:hint="default"/>
          <w:spacing w:val="-4"/>
        </w:rPr>
        <w:t>09</w:t>
      </w:r>
      <w:r>
        <w:rPr>
          <w:rFonts w:ascii="Arial" w:hAnsi="Arial" w:cs="Arial" w:eastAsia="Arial" w:hint="default"/>
          <w:spacing w:val="-10"/>
        </w:rPr>
        <w:t> </w:t>
      </w:r>
      <w:r>
        <w:rPr/>
        <w:t>年度烟台公司处于免税期，</w:t>
      </w:r>
      <w:r>
        <w:rPr>
          <w:rFonts w:ascii="Arial" w:hAnsi="Arial" w:cs="Arial" w:eastAsia="Arial" w:hint="default"/>
        </w:rPr>
        <w:t>2010</w:t>
      </w:r>
      <w:r>
        <w:rPr>
          <w:rFonts w:ascii="Arial" w:hAnsi="Arial" w:cs="Arial" w:eastAsia="Arial" w:hint="default"/>
          <w:spacing w:val="-10"/>
        </w:rPr>
        <w:t> </w:t>
      </w:r>
      <w:r>
        <w:rPr/>
        <w:t>年度收购外方</w:t>
      </w:r>
      <w:r>
        <w:rPr>
          <w:w w:val="100"/>
        </w:rPr>
        <w:t> </w:t>
      </w:r>
      <w:r>
        <w:rPr>
          <w:spacing w:val="3"/>
        </w:rPr>
        <w:t>股权后</w:t>
      </w:r>
      <w:r>
        <w:rPr>
          <w:rFonts w:ascii="Arial" w:hAnsi="Arial" w:cs="Arial" w:eastAsia="Arial" w:hint="default"/>
          <w:spacing w:val="3"/>
        </w:rPr>
        <w:t>,</w:t>
      </w:r>
      <w:r>
        <w:rPr>
          <w:spacing w:val="3"/>
        </w:rPr>
        <w:t>公司由中外合资企业变更为内资企业</w:t>
      </w:r>
      <w:r>
        <w:rPr>
          <w:rFonts w:ascii="Arial" w:hAnsi="Arial" w:cs="Arial" w:eastAsia="Arial" w:hint="default"/>
          <w:spacing w:val="3"/>
        </w:rPr>
        <w:t>,</w:t>
      </w:r>
      <w:r>
        <w:rPr>
          <w:spacing w:val="3"/>
        </w:rPr>
        <w:t>当年适用所得税税率为</w:t>
      </w:r>
      <w:r>
        <w:rPr>
          <w:spacing w:val="62"/>
        </w:rPr>
        <w:t> </w:t>
      </w:r>
      <w:r>
        <w:rPr>
          <w:rFonts w:ascii="Arial" w:hAnsi="Arial" w:cs="Arial" w:eastAsia="Arial" w:hint="default"/>
        </w:rPr>
        <w:t>25%,</w:t>
      </w:r>
      <w:r>
        <w:rPr/>
        <w:t>受上述因素影</w:t>
      </w:r>
      <w:r>
        <w:rPr>
          <w:spacing w:val="-91"/>
        </w:rPr>
        <w:t> </w:t>
      </w:r>
      <w:r>
        <w:rPr>
          <w:spacing w:val="-91"/>
        </w:rPr>
      </w:r>
      <w:r>
        <w:rPr/>
        <w:t>响，</w:t>
      </w:r>
      <w:r>
        <w:rPr>
          <w:rFonts w:ascii="Arial" w:hAnsi="Arial" w:cs="Arial" w:eastAsia="Arial" w:hint="default"/>
        </w:rPr>
        <w:t>2010</w:t>
      </w:r>
      <w:r>
        <w:rPr>
          <w:rFonts w:ascii="Arial" w:hAnsi="Arial" w:cs="Arial" w:eastAsia="Arial" w:hint="default"/>
          <w:spacing w:val="-7"/>
        </w:rPr>
        <w:t> </w:t>
      </w:r>
      <w:r>
        <w:rPr/>
        <w:t>年公司所得税费用增加</w:t>
      </w:r>
      <w:r>
        <w:rPr>
          <w:spacing w:val="-55"/>
        </w:rPr>
        <w:t> </w:t>
      </w:r>
      <w:r>
        <w:rPr>
          <w:rFonts w:ascii="Arial" w:hAnsi="Arial" w:cs="Arial" w:eastAsia="Arial" w:hint="default"/>
          <w:spacing w:val="-7"/>
        </w:rPr>
        <w:t>114</w:t>
      </w:r>
      <w:r>
        <w:rPr>
          <w:rFonts w:ascii="Arial" w:hAnsi="Arial" w:cs="Arial" w:eastAsia="Arial" w:hint="default"/>
          <w:spacing w:val="-9"/>
        </w:rPr>
        <w:t> </w:t>
      </w:r>
      <w:r>
        <w:rPr/>
        <w:t>万元。</w:t>
      </w:r>
    </w:p>
    <w:p>
      <w:pPr>
        <w:pStyle w:val="BodyText"/>
        <w:spacing w:line="369" w:lineRule="auto" w:before="31"/>
        <w:ind w:left="576" w:right="33"/>
        <w:jc w:val="left"/>
      </w:pPr>
      <w:r>
        <w:rPr/>
        <w:t>（</w:t>
      </w:r>
      <w:r>
        <w:rPr>
          <w:rFonts w:ascii="Arial" w:hAnsi="Arial" w:cs="Arial" w:eastAsia="Arial" w:hint="default"/>
        </w:rPr>
        <w:t>2</w:t>
      </w:r>
      <w:r>
        <w:rPr/>
        <w:t>）东营安诺其纺织材料有限公司</w:t>
      </w:r>
      <w:r>
        <w:rPr>
          <w:w w:val="100"/>
        </w:rPr>
        <w:t> </w:t>
      </w:r>
      <w:r>
        <w:rPr>
          <w:spacing w:val="-3"/>
        </w:rPr>
        <w:t>东营安诺其纺织材料有限公司（东营安诺其）为本公司之全资子公司，主要从事业务：</w:t>
      </w:r>
    </w:p>
    <w:p>
      <w:pPr>
        <w:pStyle w:val="BodyText"/>
        <w:spacing w:line="391" w:lineRule="auto" w:before="61"/>
        <w:ind w:right="213"/>
        <w:jc w:val="left"/>
      </w:pPr>
      <w:r>
        <w:rPr>
          <w:w w:val="100"/>
        </w:rPr>
        <w:t>一般经</w:t>
      </w:r>
      <w:r>
        <w:rPr>
          <w:spacing w:val="-3"/>
          <w:w w:val="100"/>
        </w:rPr>
        <w:t>营</w:t>
      </w:r>
      <w:r>
        <w:rPr>
          <w:w w:val="100"/>
        </w:rPr>
        <w:t>项目</w:t>
      </w:r>
      <w:r>
        <w:rPr>
          <w:spacing w:val="-12"/>
          <w:w w:val="100"/>
        </w:rPr>
        <w:t>：</w:t>
      </w:r>
      <w:r>
        <w:rPr>
          <w:w w:val="100"/>
        </w:rPr>
        <w:t>化工</w:t>
      </w:r>
      <w:r>
        <w:rPr>
          <w:spacing w:val="-3"/>
          <w:w w:val="100"/>
        </w:rPr>
        <w:t>染料</w:t>
      </w:r>
      <w:r>
        <w:rPr>
          <w:spacing w:val="-10"/>
          <w:w w:val="100"/>
        </w:rPr>
        <w:t>、</w:t>
      </w:r>
      <w:r>
        <w:rPr>
          <w:w w:val="100"/>
        </w:rPr>
        <w:t>滤</w:t>
      </w:r>
      <w:r>
        <w:rPr>
          <w:spacing w:val="-3"/>
          <w:w w:val="100"/>
        </w:rPr>
        <w:t>饼</w:t>
      </w:r>
      <w:r>
        <w:rPr>
          <w:spacing w:val="-10"/>
          <w:w w:val="100"/>
        </w:rPr>
        <w:t>、</w:t>
      </w:r>
      <w:r>
        <w:rPr>
          <w:w w:val="100"/>
        </w:rPr>
        <w:t>中</w:t>
      </w:r>
      <w:r>
        <w:rPr>
          <w:spacing w:val="-3"/>
          <w:w w:val="100"/>
        </w:rPr>
        <w:t>间</w:t>
      </w:r>
      <w:r>
        <w:rPr>
          <w:w w:val="100"/>
        </w:rPr>
        <w:t>体及</w:t>
      </w:r>
      <w:r>
        <w:rPr>
          <w:spacing w:val="-3"/>
          <w:w w:val="100"/>
        </w:rPr>
        <w:t>助</w:t>
      </w:r>
      <w:r>
        <w:rPr>
          <w:w w:val="100"/>
        </w:rPr>
        <w:t>剂</w:t>
      </w:r>
      <w:r>
        <w:rPr>
          <w:spacing w:val="-3"/>
          <w:w w:val="100"/>
        </w:rPr>
        <w:t>产</w:t>
      </w:r>
      <w:r>
        <w:rPr>
          <w:w w:val="100"/>
        </w:rPr>
        <w:t>品的生</w:t>
      </w:r>
      <w:r>
        <w:rPr>
          <w:spacing w:val="-3"/>
          <w:w w:val="100"/>
        </w:rPr>
        <w:t>产</w:t>
      </w:r>
      <w:r>
        <w:rPr>
          <w:w w:val="100"/>
        </w:rPr>
        <w:t>销售</w:t>
      </w:r>
      <w:r>
        <w:rPr>
          <w:spacing w:val="-12"/>
          <w:w w:val="100"/>
        </w:rPr>
        <w:t>；</w:t>
      </w:r>
      <w:r>
        <w:rPr>
          <w:w w:val="100"/>
        </w:rPr>
        <w:t>商品</w:t>
      </w:r>
      <w:r>
        <w:rPr>
          <w:spacing w:val="-3"/>
          <w:w w:val="100"/>
        </w:rPr>
        <w:t>进出</w:t>
      </w:r>
      <w:r>
        <w:rPr>
          <w:w w:val="100"/>
        </w:rPr>
        <w:t>口</w:t>
      </w:r>
      <w:r>
        <w:rPr>
          <w:spacing w:val="-120"/>
          <w:w w:val="100"/>
        </w:rPr>
        <w:t>。</w:t>
      </w:r>
      <w:r>
        <w:rPr>
          <w:w w:val="100"/>
        </w:rPr>
        <w:t>（</w:t>
      </w:r>
      <w:r>
        <w:rPr>
          <w:spacing w:val="-3"/>
          <w:w w:val="100"/>
        </w:rPr>
        <w:t>以</w:t>
      </w:r>
      <w:r>
        <w:rPr>
          <w:w w:val="100"/>
        </w:rPr>
        <w:t>上经营</w:t>
      </w:r>
      <w:r>
        <w:rPr>
          <w:w w:val="100"/>
        </w:rPr>
        <w:t> 业务不</w:t>
      </w:r>
      <w:r>
        <w:rPr>
          <w:spacing w:val="-3"/>
          <w:w w:val="100"/>
        </w:rPr>
        <w:t>含</w:t>
      </w:r>
      <w:r>
        <w:rPr>
          <w:w w:val="100"/>
        </w:rPr>
        <w:t>危险</w:t>
      </w:r>
      <w:r>
        <w:rPr>
          <w:spacing w:val="-3"/>
          <w:w w:val="100"/>
        </w:rPr>
        <w:t>品</w:t>
      </w:r>
      <w:r>
        <w:rPr>
          <w:w w:val="100"/>
        </w:rPr>
        <w:t>，涉</w:t>
      </w:r>
      <w:r>
        <w:rPr>
          <w:spacing w:val="-3"/>
          <w:w w:val="100"/>
        </w:rPr>
        <w:t>及法</w:t>
      </w:r>
      <w:r>
        <w:rPr>
          <w:w w:val="100"/>
        </w:rPr>
        <w:t>律法规</w:t>
      </w:r>
      <w:r>
        <w:rPr>
          <w:spacing w:val="-3"/>
          <w:w w:val="100"/>
        </w:rPr>
        <w:t>规</w:t>
      </w:r>
      <w:r>
        <w:rPr>
          <w:w w:val="100"/>
        </w:rPr>
        <w:t>定需</w:t>
      </w:r>
      <w:r>
        <w:rPr>
          <w:spacing w:val="-3"/>
          <w:w w:val="100"/>
        </w:rPr>
        <w:t>报</w:t>
      </w:r>
      <w:r>
        <w:rPr>
          <w:w w:val="100"/>
        </w:rPr>
        <w:t>批的</w:t>
      </w:r>
      <w:r>
        <w:rPr>
          <w:spacing w:val="-3"/>
          <w:w w:val="100"/>
        </w:rPr>
        <w:t>，凭</w:t>
      </w:r>
      <w:r>
        <w:rPr>
          <w:w w:val="100"/>
        </w:rPr>
        <w:t>批准证</w:t>
      </w:r>
      <w:r>
        <w:rPr>
          <w:spacing w:val="-3"/>
          <w:w w:val="100"/>
        </w:rPr>
        <w:t>书</w:t>
      </w:r>
      <w:r>
        <w:rPr>
          <w:w w:val="100"/>
        </w:rPr>
        <w:t>经营</w:t>
      </w:r>
      <w:r>
        <w:rPr>
          <w:spacing w:val="-111"/>
          <w:w w:val="100"/>
        </w:rPr>
        <w:t>）</w:t>
      </w:r>
      <w:r>
        <w:rPr>
          <w:w w:val="100"/>
        </w:rPr>
        <w:t>。</w:t>
      </w:r>
    </w:p>
    <w:p>
      <w:pPr>
        <w:pStyle w:val="BodyText"/>
        <w:spacing w:line="369" w:lineRule="auto" w:before="41"/>
        <w:ind w:right="218" w:firstLine="439"/>
        <w:jc w:val="both"/>
      </w:pPr>
      <w:r>
        <w:rPr/>
        <w:t>该公司成立于 </w:t>
      </w:r>
      <w:r>
        <w:rPr>
          <w:rFonts w:ascii="Arial" w:hAnsi="Arial" w:cs="Arial" w:eastAsia="Arial" w:hint="default"/>
        </w:rPr>
        <w:t>2008 </w:t>
      </w:r>
      <w:r>
        <w:rPr/>
        <w:t>年 </w:t>
      </w:r>
      <w:r>
        <w:rPr>
          <w:rFonts w:ascii="Arial" w:hAnsi="Arial" w:cs="Arial" w:eastAsia="Arial" w:hint="default"/>
        </w:rPr>
        <w:t>8 </w:t>
      </w:r>
      <w:r>
        <w:rPr/>
        <w:t>月 </w:t>
      </w:r>
      <w:r>
        <w:rPr>
          <w:rFonts w:ascii="Arial" w:hAnsi="Arial" w:cs="Arial" w:eastAsia="Arial" w:hint="default"/>
        </w:rPr>
        <w:t>3 </w:t>
      </w:r>
      <w:r>
        <w:rPr/>
        <w:t>日，注册资本和实收资本均为 </w:t>
      </w:r>
      <w:r>
        <w:rPr>
          <w:rFonts w:ascii="Arial" w:hAnsi="Arial" w:cs="Arial" w:eastAsia="Arial" w:hint="default"/>
        </w:rPr>
        <w:t>16,453.98</w:t>
      </w:r>
      <w:r>
        <w:rPr>
          <w:rFonts w:ascii="Arial" w:hAnsi="Arial" w:cs="Arial" w:eastAsia="Arial" w:hint="default"/>
          <w:spacing w:val="6"/>
        </w:rPr>
        <w:t> </w:t>
      </w:r>
      <w:r>
        <w:rPr/>
        <w:t>万元，住所</w:t>
      </w:r>
      <w:r>
        <w:rPr>
          <w:w w:val="100"/>
        </w:rPr>
        <w:t> </w:t>
      </w:r>
      <w:r>
        <w:rPr/>
        <w:t>及主要生产经营地为东营市河口经济园区河二路北侧</w:t>
      </w:r>
      <w:r>
        <w:rPr>
          <w:spacing w:val="-8"/>
        </w:rPr>
        <w:t> </w:t>
      </w:r>
      <w:r>
        <w:rPr/>
        <w:t>。</w:t>
      </w:r>
    </w:p>
    <w:p>
      <w:pPr>
        <w:pStyle w:val="BodyText"/>
        <w:spacing w:line="240" w:lineRule="auto" w:before="61"/>
        <w:ind w:left="576" w:right="33"/>
        <w:jc w:val="left"/>
      </w:pPr>
      <w:r>
        <w:rPr/>
        <w:t>经上海众华沪银会计师事务所有限公司审计，东营安诺其截止</w:t>
      </w:r>
      <w:r>
        <w:rPr>
          <w:spacing w:val="-45"/>
        </w:rPr>
        <w:t> </w:t>
      </w:r>
      <w:r>
        <w:rPr>
          <w:rFonts w:ascii="Arial" w:hAnsi="Arial" w:cs="Arial" w:eastAsia="Arial" w:hint="default"/>
        </w:rPr>
        <w:t>2010</w:t>
      </w:r>
      <w:r>
        <w:rPr>
          <w:rFonts w:ascii="Arial" w:hAnsi="Arial" w:cs="Arial" w:eastAsia="Arial" w:hint="default"/>
          <w:spacing w:val="3"/>
        </w:rPr>
        <w:t> </w:t>
      </w:r>
      <w:r>
        <w:rPr/>
        <w:t>年</w:t>
      </w:r>
      <w:r>
        <w:rPr>
          <w:spacing w:val="-45"/>
        </w:rPr>
        <w:t> </w:t>
      </w:r>
      <w:r>
        <w:rPr>
          <w:rFonts w:ascii="Arial" w:hAnsi="Arial" w:cs="Arial" w:eastAsia="Arial" w:hint="default"/>
        </w:rPr>
        <w:t>12</w:t>
      </w:r>
      <w:r>
        <w:rPr>
          <w:rFonts w:ascii="Arial" w:hAnsi="Arial" w:cs="Arial" w:eastAsia="Arial" w:hint="default"/>
          <w:spacing w:val="1"/>
        </w:rPr>
        <w:t> </w:t>
      </w:r>
      <w:r>
        <w:rPr/>
        <w:t>月</w:t>
      </w:r>
      <w:r>
        <w:rPr>
          <w:spacing w:val="-45"/>
        </w:rPr>
        <w:t> </w:t>
      </w:r>
      <w:r>
        <w:rPr>
          <w:rFonts w:ascii="Arial" w:hAnsi="Arial" w:cs="Arial" w:eastAsia="Arial" w:hint="default"/>
        </w:rPr>
        <w:t>31</w:t>
      </w:r>
      <w:r>
        <w:rPr>
          <w:rFonts w:ascii="Arial" w:hAnsi="Arial" w:cs="Arial" w:eastAsia="Arial" w:hint="default"/>
          <w:spacing w:val="3"/>
        </w:rPr>
        <w:t> </w:t>
      </w:r>
      <w:r>
        <w:rPr/>
        <w:t>日，</w:t>
      </w:r>
    </w:p>
    <w:p>
      <w:pPr>
        <w:pStyle w:val="BodyText"/>
        <w:spacing w:line="240" w:lineRule="auto" w:before="164"/>
        <w:ind w:right="33"/>
        <w:jc w:val="left"/>
      </w:pPr>
      <w:r>
        <w:rPr/>
        <w:t>资产总额 </w:t>
      </w:r>
      <w:r>
        <w:rPr>
          <w:rFonts w:ascii="Arial" w:hAnsi="Arial" w:cs="Arial" w:eastAsia="Arial" w:hint="default"/>
        </w:rPr>
        <w:t>18,006 </w:t>
      </w:r>
      <w:r>
        <w:rPr>
          <w:spacing w:val="-12"/>
        </w:rPr>
        <w:t>万元，净资产 </w:t>
      </w:r>
      <w:r>
        <w:rPr>
          <w:rFonts w:ascii="Arial" w:hAnsi="Arial" w:cs="Arial" w:eastAsia="Arial" w:hint="default"/>
        </w:rPr>
        <w:t>16,706 </w:t>
      </w:r>
      <w:r>
        <w:rPr>
          <w:spacing w:val="-10"/>
        </w:rPr>
        <w:t>万元，营业收入 </w:t>
      </w:r>
      <w:r>
        <w:rPr>
          <w:rFonts w:ascii="Arial" w:hAnsi="Arial" w:cs="Arial" w:eastAsia="Arial" w:hint="default"/>
        </w:rPr>
        <w:t>3,458 </w:t>
      </w:r>
      <w:r>
        <w:rPr>
          <w:spacing w:val="-10"/>
        </w:rPr>
        <w:t>万元，营业利润 </w:t>
      </w:r>
      <w:r>
        <w:rPr>
          <w:rFonts w:ascii="Arial" w:hAnsi="Arial" w:cs="Arial" w:eastAsia="Arial" w:hint="default"/>
        </w:rPr>
        <w:t>-149</w:t>
      </w:r>
      <w:r>
        <w:rPr>
          <w:rFonts w:ascii="Arial" w:hAnsi="Arial" w:cs="Arial" w:eastAsia="Arial" w:hint="default"/>
          <w:spacing w:val="17"/>
        </w:rPr>
        <w:t> </w:t>
      </w:r>
      <w:r>
        <w:rPr/>
        <w:t>万元，</w:t>
      </w:r>
    </w:p>
    <w:p>
      <w:pPr>
        <w:pStyle w:val="BodyText"/>
        <w:spacing w:line="240" w:lineRule="auto" w:before="164"/>
        <w:ind w:right="33"/>
        <w:jc w:val="left"/>
      </w:pPr>
      <w:r>
        <w:rPr/>
        <w:t>净利润 </w:t>
      </w:r>
      <w:r>
        <w:rPr>
          <w:rFonts w:ascii="Arial" w:hAnsi="Arial" w:cs="Arial" w:eastAsia="Arial" w:hint="default"/>
        </w:rPr>
        <w:t>137</w:t>
      </w:r>
      <w:r>
        <w:rPr>
          <w:rFonts w:ascii="Arial" w:hAnsi="Arial" w:cs="Arial" w:eastAsia="Arial" w:hint="default"/>
          <w:spacing w:val="-6"/>
        </w:rPr>
        <w:t> </w:t>
      </w:r>
      <w:r>
        <w:rPr/>
        <w:t>万元。</w:t>
      </w:r>
    </w:p>
    <w:p>
      <w:pPr>
        <w:pStyle w:val="BodyText"/>
        <w:spacing w:line="240" w:lineRule="auto" w:before="164"/>
        <w:ind w:left="576" w:right="33"/>
        <w:jc w:val="left"/>
      </w:pPr>
      <w:r>
        <w:rPr/>
        <w:t>净利润同比减少</w:t>
      </w:r>
      <w:r>
        <w:rPr>
          <w:spacing w:val="-57"/>
        </w:rPr>
        <w:t> </w:t>
      </w:r>
      <w:r>
        <w:rPr>
          <w:rFonts w:ascii="Arial" w:hAnsi="Arial" w:cs="Arial" w:eastAsia="Arial" w:hint="default"/>
        </w:rPr>
        <w:t>12.18%</w:t>
      </w:r>
      <w:r>
        <w:rPr/>
        <w:t>，主要由于本年度补贴收入</w:t>
      </w:r>
      <w:r>
        <w:rPr>
          <w:spacing w:val="-57"/>
        </w:rPr>
        <w:t> </w:t>
      </w:r>
      <w:r>
        <w:rPr>
          <w:rFonts w:ascii="Arial" w:hAnsi="Arial" w:cs="Arial" w:eastAsia="Arial" w:hint="default"/>
        </w:rPr>
        <w:t>321</w:t>
      </w:r>
      <w:r>
        <w:rPr>
          <w:rFonts w:ascii="Arial" w:hAnsi="Arial" w:cs="Arial" w:eastAsia="Arial" w:hint="default"/>
          <w:spacing w:val="-9"/>
        </w:rPr>
        <w:t> </w:t>
      </w:r>
      <w:r>
        <w:rPr/>
        <w:t>万比上年减少</w:t>
      </w:r>
      <w:r>
        <w:rPr>
          <w:spacing w:val="-57"/>
        </w:rPr>
        <w:t> </w:t>
      </w:r>
      <w:r>
        <w:rPr>
          <w:rFonts w:ascii="Arial" w:hAnsi="Arial" w:cs="Arial" w:eastAsia="Arial" w:hint="default"/>
        </w:rPr>
        <w:t>47</w:t>
      </w:r>
      <w:r>
        <w:rPr>
          <w:rFonts w:ascii="Arial" w:hAnsi="Arial" w:cs="Arial" w:eastAsia="Arial" w:hint="default"/>
          <w:spacing w:val="-11"/>
        </w:rPr>
        <w:t> </w:t>
      </w:r>
      <w:r>
        <w:rPr/>
        <w:t>万元。</w:t>
      </w:r>
    </w:p>
    <w:p>
      <w:pPr>
        <w:pStyle w:val="Heading3"/>
        <w:spacing w:line="240" w:lineRule="auto" w:before="195"/>
        <w:ind w:right="33"/>
        <w:jc w:val="left"/>
      </w:pPr>
      <w:r>
        <w:rPr/>
        <w:t>二、对公司未来发展的展望</w:t>
      </w:r>
    </w:p>
    <w:p>
      <w:pPr>
        <w:spacing w:line="240" w:lineRule="auto" w:before="9"/>
        <w:rPr>
          <w:rFonts w:ascii="宋体" w:hAnsi="宋体" w:cs="宋体" w:eastAsia="宋体" w:hint="default"/>
          <w:sz w:val="19"/>
          <w:szCs w:val="19"/>
        </w:rPr>
      </w:pPr>
    </w:p>
    <w:p>
      <w:pPr>
        <w:pStyle w:val="Heading3"/>
        <w:spacing w:line="240" w:lineRule="auto"/>
        <w:ind w:right="33"/>
        <w:jc w:val="left"/>
      </w:pPr>
      <w:r>
        <w:rPr/>
        <w:t>（一）公司所处行业的发展趋势</w:t>
      </w:r>
    </w:p>
    <w:p>
      <w:pPr>
        <w:pStyle w:val="BodyText"/>
        <w:spacing w:line="391" w:lineRule="auto" w:before="227"/>
        <w:ind w:right="215" w:firstLine="420"/>
        <w:jc w:val="both"/>
      </w:pPr>
      <w:r>
        <w:rPr/>
        <w:t>染料行业是化工行业的重要分支之一，染料工业所生产的各类染料、有机颜料等广泛</w:t>
      </w:r>
      <w:r>
        <w:rPr>
          <w:w w:val="100"/>
        </w:rPr>
        <w:t> </w:t>
      </w:r>
      <w:r>
        <w:rPr/>
        <w:t>应用于纺织、食品、皮革、轻工产品、涂料、油墨等各个领域。公司主要染料产品为新型</w:t>
      </w:r>
      <w:r>
        <w:rPr>
          <w:spacing w:val="-57"/>
        </w:rPr>
        <w:t> </w:t>
      </w:r>
      <w:r>
        <w:rPr>
          <w:spacing w:val="-57"/>
        </w:rPr>
      </w:r>
      <w:r>
        <w:rPr/>
        <w:t>安全环保染料，属于功能精细化学品，是我国重点支持的高新技术领域。染料最大的应用</w:t>
      </w:r>
      <w:r>
        <w:rPr>
          <w:spacing w:val="-57"/>
        </w:rPr>
        <w:t> </w:t>
      </w:r>
      <w:r>
        <w:rPr>
          <w:spacing w:val="-57"/>
        </w:rPr>
      </w:r>
      <w:r>
        <w:rPr/>
        <w:t>领域是纺织印染行业，染料行业的发展与纺织印染行业的景气度直接相关。我国纺织印染</w:t>
      </w:r>
    </w:p>
    <w:p>
      <w:pPr>
        <w:spacing w:after="0" w:line="391" w:lineRule="auto"/>
        <w:jc w:val="both"/>
        <w:sectPr>
          <w:pgSz w:w="11900" w:h="16840"/>
          <w:pgMar w:header="877" w:footer="981" w:top="1100" w:bottom="1180" w:left="1660" w:right="1240"/>
        </w:sectPr>
      </w:pPr>
    </w:p>
    <w:p>
      <w:pPr>
        <w:spacing w:line="240" w:lineRule="auto" w:before="4"/>
        <w:rPr>
          <w:rFonts w:ascii="宋体" w:hAnsi="宋体" w:cs="宋体" w:eastAsia="宋体" w:hint="default"/>
          <w:sz w:val="26"/>
          <w:szCs w:val="26"/>
        </w:rPr>
      </w:pPr>
    </w:p>
    <w:p>
      <w:pPr>
        <w:pStyle w:val="BodyText"/>
        <w:spacing w:line="391" w:lineRule="auto"/>
        <w:ind w:left="557" w:right="33" w:hanging="420"/>
        <w:jc w:val="left"/>
      </w:pPr>
      <w:r>
        <w:rPr/>
        <w:t>行业对外依存度较高，受国际市场需求波动影响较大。</w:t>
      </w:r>
      <w:r>
        <w:rPr>
          <w:w w:val="100"/>
        </w:rPr>
        <w:t> </w:t>
      </w:r>
      <w:r>
        <w:rPr>
          <w:spacing w:val="-5"/>
          <w:w w:val="100"/>
        </w:rPr>
        <w:t>国家通过制定《纺织工业“一五”展规划》、《纺织工业调整和振兴规划》等有关扶持</w:t>
      </w:r>
    </w:p>
    <w:p>
      <w:pPr>
        <w:pStyle w:val="BodyText"/>
        <w:spacing w:line="391" w:lineRule="auto" w:before="41"/>
        <w:ind w:right="215"/>
        <w:jc w:val="both"/>
      </w:pPr>
      <w:r>
        <w:rPr/>
        <w:t>政策有力推动了我国与纺织行业配套的染料工业的发展，特别促进我国环保型、高档次、</w:t>
      </w:r>
      <w:r>
        <w:rPr>
          <w:spacing w:val="-57"/>
        </w:rPr>
        <w:t> </w:t>
      </w:r>
      <w:r>
        <w:rPr>
          <w:spacing w:val="-57"/>
        </w:rPr>
      </w:r>
      <w:r>
        <w:rPr/>
        <w:t>特色化染料产品的研究开发和推广运用。未来几年，染料行业的发展趋势如下：</w:t>
      </w:r>
    </w:p>
    <w:p>
      <w:pPr>
        <w:pStyle w:val="BodyText"/>
        <w:spacing w:line="369" w:lineRule="auto" w:before="41"/>
        <w:ind w:left="557" w:right="33"/>
        <w:jc w:val="left"/>
      </w:pPr>
      <w:r>
        <w:rPr>
          <w:rFonts w:ascii="Arial" w:hAnsi="Arial" w:cs="Arial" w:eastAsia="Arial" w:hint="default"/>
        </w:rPr>
        <w:t>1</w:t>
      </w:r>
      <w:r>
        <w:rPr/>
        <w:t>、我国纺织印染行业总体上的平稳发展保证染料市场需求的稳定增长</w:t>
      </w:r>
      <w:r>
        <w:rPr>
          <w:w w:val="100"/>
        </w:rPr>
        <w:t> </w:t>
      </w:r>
      <w:r>
        <w:rPr>
          <w:spacing w:val="-2"/>
        </w:rPr>
        <w:t>我国纺织业在加入世界贸易组织并取消纺织品限额后获得了长足发展，目前我国化纤、</w:t>
      </w:r>
    </w:p>
    <w:p>
      <w:pPr>
        <w:pStyle w:val="BodyText"/>
        <w:spacing w:line="386" w:lineRule="auto" w:before="61"/>
        <w:ind w:right="215"/>
        <w:jc w:val="both"/>
      </w:pPr>
      <w:r>
        <w:rPr/>
        <w:t>纱、布、呢绒、丝织品、服装等产量均居世界第一位，纤维加工量占全球比重接近</w:t>
      </w:r>
      <w:r>
        <w:rPr>
          <w:rFonts w:ascii="Arial" w:hAnsi="Arial" w:cs="Arial" w:eastAsia="Arial" w:hint="default"/>
        </w:rPr>
        <w:t>50%</w:t>
      </w:r>
      <w:r>
        <w:rPr/>
        <w:t>，</w:t>
      </w:r>
      <w:r>
        <w:rPr>
          <w:spacing w:val="-58"/>
        </w:rPr>
        <w:t> </w:t>
      </w:r>
      <w:r>
        <w:rPr/>
        <w:t>一直保持世界最大的纺织品服装生产国的地位。尽管金融危机的影响会继续存在，但随着</w:t>
      </w:r>
      <w:r>
        <w:rPr>
          <w:spacing w:val="-57"/>
        </w:rPr>
        <w:t> </w:t>
      </w:r>
      <w:r>
        <w:rPr>
          <w:spacing w:val="-57"/>
        </w:rPr>
      </w:r>
      <w:r>
        <w:rPr/>
        <w:t>国家纺织业扶持政策的逐步落实，国内纺织品消费市场将获得快速发展。国家政策鼓励积</w:t>
      </w:r>
      <w:r>
        <w:rPr>
          <w:spacing w:val="-57"/>
        </w:rPr>
        <w:t> </w:t>
      </w:r>
      <w:r>
        <w:rPr>
          <w:spacing w:val="-57"/>
        </w:rPr>
      </w:r>
      <w:r>
        <w:rPr/>
        <w:t>极拓展多元化出口市场，稳定国际市场份额，因此在中长期内我国纺织工业仍将保持稳定</w:t>
      </w:r>
      <w:r>
        <w:rPr>
          <w:spacing w:val="-57"/>
        </w:rPr>
        <w:t> </w:t>
      </w:r>
      <w:r>
        <w:rPr>
          <w:spacing w:val="-57"/>
        </w:rPr>
      </w:r>
      <w:r>
        <w:rPr/>
        <w:t>增长的趋势。我国纺织行业的平稳发展使得其对染料产品的总需求量将保持稳定的增加，</w:t>
      </w:r>
      <w:r>
        <w:rPr>
          <w:spacing w:val="-57"/>
        </w:rPr>
        <w:t> </w:t>
      </w:r>
      <w:r>
        <w:rPr>
          <w:spacing w:val="-57"/>
        </w:rPr>
      </w:r>
      <w:r>
        <w:rPr/>
        <w:t>近几年我国染料行业整体呈现稳定增长的趋势。</w:t>
      </w:r>
    </w:p>
    <w:p>
      <w:pPr>
        <w:pStyle w:val="BodyText"/>
        <w:spacing w:line="369" w:lineRule="auto" w:before="46"/>
        <w:ind w:left="557" w:right="33"/>
        <w:jc w:val="left"/>
      </w:pPr>
      <w:r>
        <w:rPr>
          <w:rFonts w:ascii="Arial" w:hAnsi="Arial" w:cs="Arial" w:eastAsia="Arial" w:hint="default"/>
        </w:rPr>
        <w:t>2</w:t>
      </w:r>
      <w:r>
        <w:rPr/>
        <w:t>、国内纺织品需求的巨大潜力是染料市场拓展的重要保证</w:t>
      </w:r>
      <w:r>
        <w:rPr>
          <w:w w:val="100"/>
        </w:rPr>
        <w:t> </w:t>
      </w:r>
      <w:r>
        <w:rPr/>
        <w:t>国内纺织品市场存在尚待开发的巨大潜力。以服装、纤维消费为例，我国年人均消费</w:t>
      </w:r>
    </w:p>
    <w:p>
      <w:pPr>
        <w:pStyle w:val="BodyText"/>
        <w:spacing w:line="384" w:lineRule="auto" w:before="61"/>
        <w:ind w:right="33"/>
        <w:jc w:val="left"/>
      </w:pPr>
      <w:r>
        <w:rPr/>
        <w:t>量不到发达国家的一半，我国农村消费量仅是城镇的</w:t>
      </w:r>
      <w:r>
        <w:rPr>
          <w:rFonts w:ascii="Arial" w:hAnsi="Arial" w:cs="Arial" w:eastAsia="Arial" w:hint="default"/>
        </w:rPr>
        <w:t>1/5</w:t>
      </w:r>
      <w:r>
        <w:rPr/>
        <w:t>。国内，特别是农村纺织品消费市</w:t>
      </w:r>
      <w:r>
        <w:rPr>
          <w:w w:val="100"/>
        </w:rPr>
        <w:t> </w:t>
      </w:r>
      <w:r>
        <w:rPr/>
        <w:t>场需求极大。当前，国内市场正处于消费环境加快改善、需求结构逐步升级的关键时期，</w:t>
      </w:r>
      <w:r>
        <w:rPr>
          <w:spacing w:val="-57"/>
        </w:rPr>
        <w:t> </w:t>
      </w:r>
      <w:r>
        <w:rPr>
          <w:spacing w:val="-57"/>
        </w:rPr>
      </w:r>
      <w:r>
        <w:rPr/>
        <w:t>农村的消费潜力正逐步释放，随着我国城镇化进程的进一步推进，农民可支配收入的不断</w:t>
      </w:r>
      <w:r>
        <w:rPr>
          <w:spacing w:val="-57"/>
        </w:rPr>
        <w:t> </w:t>
      </w:r>
      <w:r>
        <w:rPr>
          <w:spacing w:val="-57"/>
        </w:rPr>
      </w:r>
      <w:r>
        <w:rPr>
          <w:spacing w:val="-3"/>
        </w:rPr>
        <w:t>提高，再加上农村商业网点建设的不断完善，农村市场的部分潜在需求将转化为现实需求，</w:t>
      </w:r>
      <w:r>
        <w:rPr>
          <w:spacing w:val="-51"/>
        </w:rPr>
        <w:t> </w:t>
      </w:r>
      <w:r>
        <w:rPr>
          <w:spacing w:val="-51"/>
        </w:rPr>
      </w:r>
      <w:r>
        <w:rPr/>
        <w:t>染料行业开拓农村市场将大有可为。</w:t>
      </w:r>
    </w:p>
    <w:p>
      <w:pPr>
        <w:pStyle w:val="BodyText"/>
        <w:spacing w:line="369" w:lineRule="auto" w:before="48"/>
        <w:ind w:left="557" w:right="33"/>
        <w:jc w:val="left"/>
      </w:pPr>
      <w:r>
        <w:rPr>
          <w:rFonts w:ascii="Arial" w:hAnsi="Arial" w:cs="Arial" w:eastAsia="Arial" w:hint="default"/>
        </w:rPr>
        <w:t>3</w:t>
      </w:r>
      <w:r>
        <w:rPr/>
        <w:t>、家纺、汽车内饰、产业用纺织品等新兴市场促进染料市场规模扩大</w:t>
      </w:r>
      <w:r>
        <w:rPr>
          <w:w w:val="100"/>
        </w:rPr>
        <w:t> </w:t>
      </w:r>
      <w:r>
        <w:rPr>
          <w:spacing w:val="-6"/>
          <w:w w:val="100"/>
        </w:rPr>
        <w:t>据最新出台的《纺织工业调整和振兴规划》，到</w:t>
      </w:r>
      <w:r>
        <w:rPr>
          <w:rFonts w:ascii="Arial" w:hAnsi="Arial" w:cs="Arial" w:eastAsia="Arial" w:hint="default"/>
          <w:spacing w:val="-6"/>
          <w:w w:val="100"/>
        </w:rPr>
        <w:t>2010</w:t>
      </w:r>
      <w:r>
        <w:rPr>
          <w:spacing w:val="-6"/>
          <w:w w:val="100"/>
        </w:rPr>
        <w:t>年，我国服装、家用、产业用三大</w:t>
      </w:r>
    </w:p>
    <w:p>
      <w:pPr>
        <w:pStyle w:val="BodyText"/>
        <w:spacing w:line="379" w:lineRule="auto" w:before="31"/>
        <w:ind w:right="215"/>
        <w:jc w:val="both"/>
      </w:pPr>
      <w:r>
        <w:rPr/>
        <w:t>终端产品纤维消耗比例调整至</w:t>
      </w:r>
      <w:r>
        <w:rPr>
          <w:rFonts w:ascii="Arial" w:hAnsi="Arial" w:cs="Arial" w:eastAsia="Arial" w:hint="default"/>
        </w:rPr>
        <w:t>49:32:19</w:t>
      </w:r>
      <w:r>
        <w:rPr/>
        <w:t>，我国染料的应用范围将得以快速扩展，在家纺、</w:t>
      </w:r>
      <w:r>
        <w:rPr>
          <w:spacing w:val="-42"/>
        </w:rPr>
        <w:t> </w:t>
      </w:r>
      <w:r>
        <w:rPr>
          <w:spacing w:val="-42"/>
        </w:rPr>
      </w:r>
      <w:r>
        <w:rPr/>
        <w:t>汽车内饰、产业用纺织品等领域的市场需求将快速增加。针对上述领域及相关细分市场的</w:t>
      </w:r>
      <w:r>
        <w:rPr>
          <w:spacing w:val="-57"/>
        </w:rPr>
        <w:t> </w:t>
      </w:r>
      <w:r>
        <w:rPr>
          <w:spacing w:val="-57"/>
        </w:rPr>
      </w:r>
      <w:r>
        <w:rPr/>
        <w:t>染料开发将会得到快速发展。</w:t>
      </w:r>
    </w:p>
    <w:p>
      <w:pPr>
        <w:pStyle w:val="BodyText"/>
        <w:spacing w:line="369" w:lineRule="auto" w:before="52"/>
        <w:ind w:left="557" w:right="33"/>
        <w:jc w:val="left"/>
      </w:pPr>
      <w:r>
        <w:rPr>
          <w:rFonts w:ascii="Arial" w:hAnsi="Arial" w:cs="Arial" w:eastAsia="Arial" w:hint="default"/>
        </w:rPr>
        <w:t>4</w:t>
      </w:r>
      <w:r>
        <w:rPr/>
        <w:t>、印染行业的持续发展和产业集中有效拉动染料需求</w:t>
      </w:r>
      <w:r>
        <w:rPr>
          <w:w w:val="100"/>
        </w:rPr>
        <w:t> </w:t>
      </w:r>
      <w:r>
        <w:rPr/>
        <w:t>作为染料业的直接下游行业，我国印染业进入新千年后保持了快速的发展，全国规模</w:t>
      </w:r>
    </w:p>
    <w:p>
      <w:pPr>
        <w:pStyle w:val="BodyText"/>
        <w:spacing w:line="384" w:lineRule="auto" w:before="61"/>
        <w:ind w:right="107"/>
        <w:jc w:val="both"/>
      </w:pPr>
      <w:r>
        <w:rPr/>
        <w:t>以上印染企业印染布产量年均增长率接近</w:t>
      </w:r>
      <w:r>
        <w:rPr>
          <w:rFonts w:ascii="Arial" w:hAnsi="Arial" w:cs="Arial" w:eastAsia="Arial" w:hint="default"/>
        </w:rPr>
        <w:t>20%</w:t>
      </w:r>
      <w:r>
        <w:rPr/>
        <w:t>，我国印染布产量和消费量的持续增加将直</w:t>
      </w:r>
      <w:r>
        <w:rPr>
          <w:spacing w:val="-61"/>
        </w:rPr>
        <w:t> </w:t>
      </w:r>
      <w:r>
        <w:rPr>
          <w:spacing w:val="-61"/>
        </w:rPr>
      </w:r>
      <w:r>
        <w:rPr/>
        <w:t>接拉动染料产品的市场需求保持增长。国际金融危机虽使得印染企业出现了一些困难，但</w:t>
      </w:r>
      <w:r>
        <w:rPr>
          <w:spacing w:val="-57"/>
        </w:rPr>
        <w:t> </w:t>
      </w:r>
      <w:r>
        <w:rPr>
          <w:spacing w:val="-57"/>
        </w:rPr>
      </w:r>
      <w:r>
        <w:rPr/>
        <w:t>是行业发展的基本面没有改变，产业优势依然存在，而我国内需市场的不断发展保证了印</w:t>
      </w:r>
      <w:r>
        <w:rPr>
          <w:spacing w:val="-57"/>
        </w:rPr>
        <w:t> </w:t>
      </w:r>
      <w:r>
        <w:rPr>
          <w:spacing w:val="-57"/>
        </w:rPr>
      </w:r>
      <w:r>
        <w:rPr>
          <w:spacing w:val="-3"/>
        </w:rPr>
        <w:t>染行业中长期向好。同时，我国印染行业企业也将通过产业升级和并购重组快速走向集中，</w:t>
      </w:r>
    </w:p>
    <w:p>
      <w:pPr>
        <w:spacing w:after="0" w:line="384" w:lineRule="auto"/>
        <w:jc w:val="both"/>
        <w:sectPr>
          <w:footerReference w:type="default" r:id="rId40"/>
          <w:pgSz w:w="11900" w:h="16840"/>
          <w:pgMar w:footer="981" w:header="877" w:top="1100" w:bottom="1180" w:left="1660" w:right="1240"/>
          <w:pgNumType w:start="23"/>
        </w:sectPr>
      </w:pPr>
    </w:p>
    <w:p>
      <w:pPr>
        <w:spacing w:line="240" w:lineRule="auto" w:before="4"/>
        <w:rPr>
          <w:rFonts w:ascii="宋体" w:hAnsi="宋体" w:cs="宋体" w:eastAsia="宋体" w:hint="default"/>
          <w:sz w:val="26"/>
          <w:szCs w:val="26"/>
        </w:rPr>
      </w:pPr>
    </w:p>
    <w:p>
      <w:pPr>
        <w:pStyle w:val="BodyText"/>
        <w:spacing w:line="379" w:lineRule="auto"/>
        <w:ind w:left="557" w:right="33" w:hanging="420"/>
        <w:jc w:val="left"/>
      </w:pPr>
      <w:r>
        <w:rPr/>
        <w:t>形成规模优势，从而对我国染料产品的市场发展和产业升级产生积极影响。</w:t>
      </w:r>
      <w:r>
        <w:rPr>
          <w:w w:val="100"/>
        </w:rPr>
        <w:t> </w:t>
      </w:r>
      <w:r>
        <w:rPr>
          <w:rFonts w:ascii="Arial" w:hAnsi="Arial" w:cs="Arial" w:eastAsia="Arial" w:hint="default"/>
        </w:rPr>
        <w:t>5</w:t>
      </w:r>
      <w:r>
        <w:rPr/>
        <w:t>、特色化成为染料产品未来发展趋势</w:t>
      </w:r>
      <w:r>
        <w:rPr>
          <w:w w:val="100"/>
        </w:rPr>
        <w:t> </w:t>
      </w:r>
      <w:r>
        <w:rPr/>
        <w:t>随着世界经济的不断发展，国际纺织品的消费呈现出市场、品种、式样、花色多元化</w:t>
      </w:r>
    </w:p>
    <w:p>
      <w:pPr>
        <w:pStyle w:val="BodyText"/>
        <w:spacing w:line="391" w:lineRule="auto" w:before="52"/>
        <w:ind w:right="33"/>
        <w:jc w:val="left"/>
      </w:pPr>
      <w:r>
        <w:rPr/>
        <w:t>及崇尚自然环保的趋势。我国纺织产业正经历结构调整和产业升级，加速由纺织大国向纺</w:t>
      </w:r>
      <w:r>
        <w:rPr>
          <w:spacing w:val="-57"/>
        </w:rPr>
        <w:t> </w:t>
      </w:r>
      <w:r>
        <w:rPr>
          <w:spacing w:val="-57"/>
        </w:rPr>
      </w:r>
      <w:r>
        <w:rPr>
          <w:spacing w:val="-3"/>
        </w:rPr>
        <w:t>织强国的迈进步伐。经济的持续增长使消费者的购买力不断增强，由此对纺织品的个性化、</w:t>
      </w:r>
      <w:r>
        <w:rPr>
          <w:spacing w:val="-51"/>
        </w:rPr>
        <w:t> </w:t>
      </w:r>
      <w:r>
        <w:rPr>
          <w:spacing w:val="-51"/>
        </w:rPr>
      </w:r>
      <w:r>
        <w:rPr/>
        <w:t>舒适化、品牌化和时尚化的需求也不断增加，各种新型纤维和混纺面料产品不断涌现，以</w:t>
      </w:r>
      <w:r>
        <w:rPr>
          <w:spacing w:val="-57"/>
        </w:rPr>
        <w:t> </w:t>
      </w:r>
      <w:r>
        <w:rPr>
          <w:spacing w:val="-57"/>
        </w:rPr>
      </w:r>
      <w:r>
        <w:rPr/>
        <w:t>迎合消费者的特殊需求，这将推动具有更好染色性能指标和特色化染色效果的高端染料的</w:t>
      </w:r>
      <w:r>
        <w:rPr>
          <w:spacing w:val="-57"/>
        </w:rPr>
        <w:t> </w:t>
      </w:r>
      <w:r>
        <w:rPr>
          <w:spacing w:val="-57"/>
        </w:rPr>
      </w:r>
      <w:r>
        <w:rPr/>
        <w:t>需求快速增长。</w:t>
      </w:r>
    </w:p>
    <w:p>
      <w:pPr>
        <w:pStyle w:val="BodyText"/>
        <w:spacing w:line="369" w:lineRule="auto" w:before="41"/>
        <w:ind w:left="557" w:right="33"/>
        <w:jc w:val="left"/>
      </w:pPr>
      <w:r>
        <w:rPr>
          <w:rFonts w:ascii="Arial" w:hAnsi="Arial" w:cs="Arial" w:eastAsia="Arial" w:hint="default"/>
        </w:rPr>
        <w:t>6</w:t>
      </w:r>
      <w:r>
        <w:rPr/>
        <w:t>、绿色环保及其生产工艺成为染料产品未来发展趋势</w:t>
      </w:r>
      <w:r>
        <w:rPr>
          <w:w w:val="100"/>
        </w:rPr>
        <w:t> </w:t>
      </w:r>
      <w:r>
        <w:rPr/>
        <w:t>随着人类环保意识的日益增强，环保政策要求日益提高，绿色纺织品及环保技工技术</w:t>
      </w:r>
    </w:p>
    <w:p>
      <w:pPr>
        <w:pStyle w:val="BodyText"/>
        <w:spacing w:line="391" w:lineRule="auto" w:before="61"/>
        <w:ind w:right="33"/>
        <w:jc w:val="left"/>
      </w:pPr>
      <w:r>
        <w:rPr/>
        <w:t>已成为国际纺织品贸易的基本要求和我国纺织工业可持续发展的前提，这促进了环保型染</w:t>
      </w:r>
      <w:r>
        <w:rPr>
          <w:spacing w:val="-57"/>
        </w:rPr>
        <w:t> </w:t>
      </w:r>
      <w:r>
        <w:rPr>
          <w:spacing w:val="-57"/>
        </w:rPr>
      </w:r>
      <w:r>
        <w:rPr/>
        <w:t>料新技术、新产品的开发进程，绿色、环保染料新产品和新应用技术成为染料产业发展的</w:t>
      </w:r>
      <w:r>
        <w:rPr>
          <w:spacing w:val="-57"/>
        </w:rPr>
        <w:t> </w:t>
      </w:r>
      <w:r>
        <w:rPr>
          <w:spacing w:val="-57"/>
        </w:rPr>
      </w:r>
      <w:r>
        <w:rPr>
          <w:spacing w:val="-3"/>
        </w:rPr>
        <w:t>必由之路。我国染料工业的环保发展趋势体现在以下三个方面：</w:t>
      </w:r>
      <w:r>
        <w:rPr>
          <w:rFonts w:ascii="宋体" w:hAnsi="宋体" w:cs="宋体" w:eastAsia="宋体" w:hint="default"/>
          <w:spacing w:val="-3"/>
        </w:rPr>
        <w:t>①</w:t>
      </w:r>
      <w:r>
        <w:rPr>
          <w:spacing w:val="-3"/>
        </w:rPr>
        <w:t>染料产品本身的环保性，</w:t>
      </w:r>
      <w:r>
        <w:rPr>
          <w:spacing w:val="-51"/>
        </w:rPr>
        <w:t> </w:t>
      </w:r>
      <w:r>
        <w:rPr>
          <w:spacing w:val="-51"/>
        </w:rPr>
      </w:r>
      <w:r>
        <w:rPr/>
        <w:t>染整加工后面料完全不含或基本不含对人体有害的化学物质；</w:t>
      </w:r>
      <w:r>
        <w:rPr>
          <w:rFonts w:ascii="宋体" w:hAnsi="宋体" w:cs="宋体" w:eastAsia="宋体" w:hint="default"/>
        </w:rPr>
        <w:t>②</w:t>
      </w:r>
      <w:r>
        <w:rPr/>
        <w:t>染料生产采用环境友好的</w:t>
      </w:r>
      <w:r>
        <w:rPr>
          <w:spacing w:val="-57"/>
        </w:rPr>
        <w:t> </w:t>
      </w:r>
      <w:r>
        <w:rPr>
          <w:spacing w:val="-57"/>
        </w:rPr>
      </w:r>
      <w:r>
        <w:rPr/>
        <w:t>生产工艺，不仅生产过程中的能耗减低，而且三废排放量下降；</w:t>
      </w:r>
      <w:r>
        <w:rPr>
          <w:rFonts w:ascii="宋体" w:hAnsi="宋体" w:cs="宋体" w:eastAsia="宋体" w:hint="default"/>
        </w:rPr>
        <w:t>③</w:t>
      </w:r>
      <w:r>
        <w:rPr/>
        <w:t>染料产品和配套染整工</w:t>
      </w:r>
      <w:r>
        <w:rPr>
          <w:spacing w:val="-57"/>
        </w:rPr>
        <w:t> </w:t>
      </w:r>
      <w:r>
        <w:rPr>
          <w:spacing w:val="-57"/>
        </w:rPr>
      </w:r>
      <w:r>
        <w:rPr/>
        <w:t>艺可以提高印染一次成功率，降低印染污水排放量。</w:t>
      </w:r>
    </w:p>
    <w:p>
      <w:pPr>
        <w:pStyle w:val="BodyText"/>
        <w:spacing w:line="369" w:lineRule="auto" w:before="41"/>
        <w:ind w:left="557" w:right="33"/>
        <w:jc w:val="left"/>
      </w:pPr>
      <w:r>
        <w:rPr>
          <w:rFonts w:ascii="Arial" w:hAnsi="Arial" w:cs="Arial" w:eastAsia="Arial" w:hint="default"/>
        </w:rPr>
        <w:t>7</w:t>
      </w:r>
      <w:r>
        <w:rPr/>
        <w:t>、</w:t>
      </w:r>
      <w:r>
        <w:rPr>
          <w:spacing w:val="-1"/>
        </w:rPr>
        <w:t> </w:t>
      </w:r>
      <w:r>
        <w:rPr/>
        <w:t>提升应用技术和服务能力也是染料行业发展方向</w:t>
      </w:r>
      <w:r>
        <w:rPr>
          <w:w w:val="100"/>
        </w:rPr>
        <w:t> </w:t>
      </w:r>
      <w:r>
        <w:rPr/>
        <w:t>染料的应用技术决定了染料行业今后的发展方向。目前市场上有上千种染料产品，而</w:t>
      </w:r>
    </w:p>
    <w:p>
      <w:pPr>
        <w:pStyle w:val="BodyText"/>
        <w:spacing w:line="391" w:lineRule="auto" w:before="61"/>
        <w:ind w:right="33"/>
        <w:jc w:val="left"/>
      </w:pPr>
      <w:r>
        <w:rPr>
          <w:spacing w:val="-3"/>
        </w:rPr>
        <w:t>各种纤维及混纺的纺织品面料种类更加繁多，加上人们对各种面料的染色效果的不同需求，</w:t>
      </w:r>
      <w:r>
        <w:rPr>
          <w:spacing w:val="-51"/>
        </w:rPr>
        <w:t> </w:t>
      </w:r>
      <w:r>
        <w:rPr>
          <w:spacing w:val="-51"/>
        </w:rPr>
      </w:r>
      <w:r>
        <w:rPr/>
        <w:t>选用合适的染料产品和印染工艺以满足客户要求成为摆在染料厂商和印染企业面前亟待解</w:t>
      </w:r>
      <w:r>
        <w:rPr>
          <w:spacing w:val="-57"/>
        </w:rPr>
        <w:t> </w:t>
      </w:r>
      <w:r>
        <w:rPr>
          <w:spacing w:val="-57"/>
        </w:rPr>
      </w:r>
      <w:r>
        <w:rPr/>
        <w:t>决的难题。在现有染料的基础上，开发不同的应用工艺，扩大染料的应用范围，将是染料</w:t>
      </w:r>
      <w:r>
        <w:rPr>
          <w:spacing w:val="-57"/>
        </w:rPr>
        <w:t> </w:t>
      </w:r>
      <w:r>
        <w:rPr>
          <w:spacing w:val="-57"/>
        </w:rPr>
      </w:r>
      <w:r>
        <w:rPr/>
        <w:t>行业未来的发展趋势之一。</w:t>
      </w:r>
    </w:p>
    <w:p>
      <w:pPr>
        <w:pStyle w:val="Heading3"/>
        <w:spacing w:line="240" w:lineRule="auto" w:before="72"/>
        <w:ind w:right="33"/>
        <w:jc w:val="left"/>
      </w:pPr>
      <w:r>
        <w:rPr/>
        <w:t>（二）公司面临的市场格局分析</w:t>
      </w:r>
    </w:p>
    <w:p>
      <w:pPr>
        <w:pStyle w:val="BodyText"/>
        <w:spacing w:line="391" w:lineRule="auto" w:before="227"/>
        <w:ind w:right="33" w:firstLine="420"/>
        <w:jc w:val="left"/>
      </w:pPr>
      <w:r>
        <w:rPr>
          <w:spacing w:val="-2"/>
        </w:rPr>
        <w:t>国际染料市场竞争格局方面。近几年，随全球纺织市场的增长而呈现平稳发展的趋势，</w:t>
      </w:r>
      <w:r>
        <w:rPr>
          <w:w w:val="100"/>
        </w:rPr>
        <w:t> </w:t>
      </w:r>
      <w:r>
        <w:rPr/>
        <w:t>发达国家一些大型染料公司由于环保要求的日益严格及生产成本的大幅增加等经营困境而</w:t>
      </w:r>
      <w:r>
        <w:rPr>
          <w:spacing w:val="-57"/>
        </w:rPr>
        <w:t> </w:t>
      </w:r>
      <w:r>
        <w:rPr>
          <w:spacing w:val="-57"/>
        </w:rPr>
      </w:r>
      <w:r>
        <w:rPr>
          <w:spacing w:val="-3"/>
        </w:rPr>
        <w:t>退出染料行业，另有部分大型染料公司则通过兼并重组向综合性纺织印染化学品公司转型。</w:t>
      </w:r>
      <w:r>
        <w:rPr>
          <w:spacing w:val="-51"/>
        </w:rPr>
        <w:t> </w:t>
      </w:r>
      <w:r>
        <w:rPr>
          <w:spacing w:val="-51"/>
        </w:rPr>
      </w:r>
      <w:r>
        <w:rPr/>
        <w:t>与此同时，中国、印度等发展中国家染料工业迅速崛起，成为全球染料业生产基地。</w:t>
      </w:r>
    </w:p>
    <w:p>
      <w:pPr>
        <w:pStyle w:val="BodyText"/>
        <w:spacing w:line="391" w:lineRule="auto" w:before="41"/>
        <w:ind w:right="33" w:firstLine="420"/>
        <w:jc w:val="left"/>
      </w:pPr>
      <w:r>
        <w:rPr/>
        <w:t>目前，发达国家企业逐步退出基础的染料合成业务，形成了主要依靠进口中国、印度</w:t>
      </w:r>
      <w:r>
        <w:rPr>
          <w:w w:val="100"/>
        </w:rPr>
        <w:t> </w:t>
      </w:r>
      <w:r>
        <w:rPr>
          <w:spacing w:val="-1"/>
        </w:rPr>
        <w:t>两国的染料半成品来加工生产高附加值染料商品化产品，或直接采购两国</w:t>
      </w:r>
      <w:r>
        <w:rPr>
          <w:rFonts w:ascii="Arial" w:hAnsi="Arial" w:cs="Arial" w:eastAsia="Arial" w:hint="default"/>
          <w:spacing w:val="-1"/>
        </w:rPr>
        <w:t>OEM</w:t>
      </w:r>
      <w:r>
        <w:rPr>
          <w:spacing w:val="-1"/>
        </w:rPr>
        <w:t>厂商的染料</w:t>
      </w:r>
    </w:p>
    <w:p>
      <w:pPr>
        <w:spacing w:after="0" w:line="391" w:lineRule="auto"/>
        <w:jc w:val="left"/>
        <w:sectPr>
          <w:pgSz w:w="11900" w:h="16840"/>
          <w:pgMar w:header="877" w:footer="981" w:top="1100" w:bottom="1180" w:left="1660" w:right="1240"/>
        </w:sectPr>
      </w:pPr>
    </w:p>
    <w:p>
      <w:pPr>
        <w:spacing w:line="240" w:lineRule="auto" w:before="4"/>
        <w:rPr>
          <w:rFonts w:ascii="宋体" w:hAnsi="宋体" w:cs="宋体" w:eastAsia="宋体" w:hint="default"/>
          <w:sz w:val="26"/>
          <w:szCs w:val="26"/>
        </w:rPr>
      </w:pPr>
    </w:p>
    <w:p>
      <w:pPr>
        <w:pStyle w:val="BodyText"/>
        <w:spacing w:line="391" w:lineRule="auto"/>
        <w:ind w:right="215"/>
        <w:jc w:val="both"/>
      </w:pPr>
      <w:r>
        <w:rPr/>
        <w:t>产品并贴牌销售的经营模式。另一方面以德司达为代表的老牌染料企业积极进行产品、技</w:t>
      </w:r>
      <w:r>
        <w:rPr>
          <w:spacing w:val="-57"/>
        </w:rPr>
        <w:t> </w:t>
      </w:r>
      <w:r>
        <w:rPr>
          <w:spacing w:val="-57"/>
        </w:rPr>
      </w:r>
      <w:r>
        <w:rPr/>
        <w:t>术的重新调整，将重点收缩到高端染料、功能性染料和纺织印染助剂领域，进行环保型染</w:t>
      </w:r>
      <w:r>
        <w:rPr>
          <w:spacing w:val="-57"/>
        </w:rPr>
        <w:t> </w:t>
      </w:r>
      <w:r>
        <w:rPr>
          <w:spacing w:val="-57"/>
        </w:rPr>
      </w:r>
      <w:r>
        <w:rPr/>
        <w:t>料新产品和印染新技术的开发，再辅以全球各地设点及先进的咨询技术服务作为公司竞争</w:t>
      </w:r>
      <w:r>
        <w:rPr>
          <w:spacing w:val="-57"/>
        </w:rPr>
        <w:t> </w:t>
      </w:r>
      <w:r>
        <w:rPr>
          <w:spacing w:val="-57"/>
        </w:rPr>
      </w:r>
      <w:r>
        <w:rPr/>
        <w:t>策略，从而保持了其在高档次、特色化染料领域内的优势地位。</w:t>
      </w:r>
    </w:p>
    <w:p>
      <w:pPr>
        <w:pStyle w:val="BodyText"/>
        <w:spacing w:line="391" w:lineRule="auto" w:before="41"/>
        <w:ind w:right="215" w:firstLine="420"/>
        <w:jc w:val="both"/>
      </w:pPr>
      <w:r>
        <w:rPr/>
        <w:t>中国、印度等发展中国家的染料工业也因染料制造技术的转移和纺织工业的快速发展</w:t>
      </w:r>
      <w:r>
        <w:rPr>
          <w:w w:val="100"/>
        </w:rPr>
        <w:t> </w:t>
      </w:r>
      <w:r>
        <w:rPr/>
        <w:t>而涌现出一些具有强大生产实力和较强研发实力的大型企业和一大批中小型染料企业，并</w:t>
      </w:r>
      <w:r>
        <w:rPr>
          <w:spacing w:val="-57"/>
        </w:rPr>
        <w:t> </w:t>
      </w:r>
      <w:r>
        <w:rPr>
          <w:spacing w:val="-57"/>
        </w:rPr>
      </w:r>
      <w:r>
        <w:rPr/>
        <w:t>投入大量资金进行染料新产品和应用技术的研发，这对欧美企业形成了较大冲击，但短期</w:t>
      </w:r>
      <w:r>
        <w:rPr>
          <w:spacing w:val="-57"/>
        </w:rPr>
        <w:t> </w:t>
      </w:r>
      <w:r>
        <w:rPr>
          <w:spacing w:val="-57"/>
        </w:rPr>
      </w:r>
      <w:r>
        <w:rPr/>
        <w:t>内其竞争优势仍然主要体现在附加值较低的常规染料领域。</w:t>
      </w:r>
    </w:p>
    <w:p>
      <w:pPr>
        <w:pStyle w:val="BodyText"/>
        <w:spacing w:line="391" w:lineRule="auto" w:before="41"/>
        <w:ind w:right="33" w:firstLine="420"/>
        <w:jc w:val="left"/>
      </w:pPr>
      <w:r>
        <w:rPr/>
        <w:t>国内染料市场竞争格局方面。近几年，中国民营染料生产企业迅速崛起，大大促进了</w:t>
      </w:r>
      <w:r>
        <w:rPr>
          <w:w w:val="100"/>
        </w:rPr>
        <w:t> </w:t>
      </w:r>
      <w:r>
        <w:rPr>
          <w:spacing w:val="-3"/>
        </w:rPr>
        <w:t>国内染料生产企业的改革和发展，国内染料工业呈现出全新的产业格局与强劲的增长势头，</w:t>
      </w:r>
      <w:r>
        <w:rPr>
          <w:spacing w:val="-51"/>
        </w:rPr>
        <w:t> </w:t>
      </w:r>
      <w:r>
        <w:rPr>
          <w:spacing w:val="-51"/>
        </w:rPr>
      </w:r>
      <w:r>
        <w:rPr/>
        <w:t>整体处于完全竞争的态势，国际竞争力不断增强。同时，国内染料工业产业集中度不断提</w:t>
      </w:r>
      <w:r>
        <w:rPr>
          <w:spacing w:val="-57"/>
        </w:rPr>
        <w:t> </w:t>
      </w:r>
      <w:r>
        <w:rPr>
          <w:spacing w:val="-57"/>
        </w:rPr>
      </w:r>
      <w:r>
        <w:rPr>
          <w:spacing w:val="-3"/>
        </w:rPr>
        <w:t>高，目前国内最常用的分散染料领域，基本形成了大型染料生产企业垄断市场的竞争格局。</w:t>
      </w:r>
    </w:p>
    <w:p>
      <w:pPr>
        <w:pStyle w:val="BodyText"/>
        <w:spacing w:line="391" w:lineRule="auto" w:before="41"/>
        <w:ind w:right="33" w:firstLine="420"/>
        <w:jc w:val="left"/>
      </w:pPr>
      <w:r>
        <w:rPr/>
        <w:t>常规染料产品领域竞争激烈。浙江龙盛、浙江闰土和杭州吉华等大型企业凭借其规模</w:t>
      </w:r>
      <w:r>
        <w:rPr>
          <w:w w:val="100"/>
        </w:rPr>
        <w:t> </w:t>
      </w:r>
      <w:r>
        <w:rPr/>
        <w:t>优势占据市场主导地位，在常规产品领域的竞争优势明显。国内大批中小染料生产企业则</w:t>
      </w:r>
      <w:r>
        <w:rPr>
          <w:spacing w:val="-57"/>
        </w:rPr>
        <w:t> </w:t>
      </w:r>
      <w:r>
        <w:rPr>
          <w:spacing w:val="-57"/>
        </w:rPr>
      </w:r>
      <w:r>
        <w:rPr>
          <w:spacing w:val="-3"/>
        </w:rPr>
        <w:t>由于产品结构雷同，品种单一无法获得竞争优势，主要依靠压低价格获取一定的市场份额，</w:t>
      </w:r>
      <w:r>
        <w:rPr>
          <w:spacing w:val="-51"/>
        </w:rPr>
        <w:t> </w:t>
      </w:r>
      <w:r>
        <w:rPr>
          <w:spacing w:val="-51"/>
        </w:rPr>
      </w:r>
      <w:r>
        <w:rPr/>
        <w:t>整个行业利润平均化且逐年降低，面临激烈市场竞争。在常规染料产品领域，面对市场竞</w:t>
      </w:r>
      <w:r>
        <w:rPr>
          <w:spacing w:val="-57"/>
        </w:rPr>
        <w:t> </w:t>
      </w:r>
      <w:r>
        <w:rPr>
          <w:spacing w:val="-57"/>
        </w:rPr>
      </w:r>
      <w:r>
        <w:rPr/>
        <w:t>争，行业内大型染料生产厂家的竞争策略集中于以各种方式降低生产成本，通过扩大生产</w:t>
      </w:r>
      <w:r>
        <w:rPr>
          <w:spacing w:val="-57"/>
        </w:rPr>
        <w:t> </w:t>
      </w:r>
      <w:r>
        <w:rPr>
          <w:spacing w:val="-57"/>
        </w:rPr>
      </w:r>
      <w:r>
        <w:rPr/>
        <w:t>规模降低单位成本；通过技术革新，提高成品率，减少污染排放；通过向行业上游延伸，</w:t>
      </w:r>
      <w:r>
        <w:rPr>
          <w:spacing w:val="-57"/>
        </w:rPr>
        <w:t> </w:t>
      </w:r>
      <w:r>
        <w:rPr>
          <w:spacing w:val="-57"/>
        </w:rPr>
      </w:r>
      <w:r>
        <w:rPr/>
        <w:t>降低原材料采购成本；通过采用先进设备和加强生产管理来提升产品质量和稳定性；通过</w:t>
      </w:r>
      <w:r>
        <w:rPr>
          <w:spacing w:val="-57"/>
        </w:rPr>
        <w:t> </w:t>
      </w:r>
      <w:r>
        <w:rPr>
          <w:spacing w:val="-57"/>
        </w:rPr>
      </w:r>
      <w:r>
        <w:rPr>
          <w:spacing w:val="-3"/>
        </w:rPr>
        <w:t>加强营销力度等手段来维持竞争优势，必要时也会采取价格手段来应对中小型企业的冲击。</w:t>
      </w:r>
    </w:p>
    <w:p>
      <w:pPr>
        <w:pStyle w:val="BodyText"/>
        <w:spacing w:line="391" w:lineRule="auto" w:before="41"/>
        <w:ind w:right="33" w:firstLine="420"/>
        <w:jc w:val="left"/>
      </w:pPr>
      <w:r>
        <w:rPr/>
        <w:t>高端和特色化产品领域竞争比较平和，竞争对手局限于国内少数注重产品开发与应用</w:t>
      </w:r>
      <w:r>
        <w:rPr>
          <w:w w:val="100"/>
        </w:rPr>
        <w:t> </w:t>
      </w:r>
      <w:r>
        <w:rPr/>
        <w:t>技术开发的染料企业，但却要直接面对国际巨头的竞争。面对跨国染料巨头的技术优势，</w:t>
      </w:r>
      <w:r>
        <w:rPr>
          <w:spacing w:val="-57"/>
        </w:rPr>
        <w:t> </w:t>
      </w:r>
      <w:r>
        <w:rPr>
          <w:spacing w:val="-57"/>
        </w:rPr>
      </w:r>
      <w:r>
        <w:rPr/>
        <w:t>国内企业通过加强技术研发、产品创新、以其灵活的经营方式为客户提供快速、周到的服</w:t>
      </w:r>
      <w:r>
        <w:rPr>
          <w:spacing w:val="-57"/>
        </w:rPr>
        <w:t> </w:t>
      </w:r>
      <w:r>
        <w:rPr>
          <w:spacing w:val="-57"/>
        </w:rPr>
      </w:r>
      <w:r>
        <w:rPr>
          <w:spacing w:val="-3"/>
        </w:rPr>
        <w:t>务等手段来与其竞争，另外国内较低的人力和管理成本也为国内企业赢得一部分竞争优势。</w:t>
      </w:r>
      <w:r>
        <w:rPr>
          <w:spacing w:val="-51"/>
        </w:rPr>
        <w:t> </w:t>
      </w:r>
      <w:r>
        <w:rPr>
          <w:spacing w:val="-51"/>
        </w:rPr>
      </w:r>
      <w:r>
        <w:rPr/>
        <w:t>但近两年来，跨国染料巨头由于种种原因经营陷入困境，特别是金融危机对他们造成巨大</w:t>
      </w:r>
      <w:r>
        <w:rPr>
          <w:spacing w:val="-57"/>
        </w:rPr>
        <w:t> </w:t>
      </w:r>
      <w:r>
        <w:rPr>
          <w:spacing w:val="-57"/>
        </w:rPr>
      </w:r>
      <w:r>
        <w:rPr/>
        <w:t>冲击，跨国公司在华业务也受到很大冲击。与此同时跨国公司在新产品技术研发和应用服</w:t>
      </w:r>
      <w:r>
        <w:rPr>
          <w:spacing w:val="-57"/>
        </w:rPr>
        <w:t> </w:t>
      </w:r>
      <w:r>
        <w:rPr>
          <w:spacing w:val="-57"/>
        </w:rPr>
      </w:r>
      <w:r>
        <w:rPr/>
        <w:t>务方面的优势地位正被国内染料公司逐步打破。近年来，我国涌现出一批创新型的染料企</w:t>
      </w:r>
      <w:r>
        <w:rPr>
          <w:spacing w:val="-57"/>
        </w:rPr>
        <w:t> </w:t>
      </w:r>
      <w:r>
        <w:rPr>
          <w:spacing w:val="-57"/>
        </w:rPr>
      </w:r>
      <w:r>
        <w:rPr/>
        <w:t>业，在国内高端和特色化染料领域对跨国公司的主导地位形成了有力挑战。</w:t>
      </w:r>
    </w:p>
    <w:p>
      <w:pPr>
        <w:pStyle w:val="Heading3"/>
        <w:spacing w:line="240" w:lineRule="auto" w:before="72"/>
        <w:ind w:right="0"/>
        <w:jc w:val="both"/>
      </w:pPr>
      <w:r>
        <w:rPr/>
        <w:t>（三）公司未来发展可能遇到的风险因素和应对措施</w:t>
      </w:r>
    </w:p>
    <w:p>
      <w:pPr>
        <w:spacing w:after="0" w:line="240" w:lineRule="auto"/>
        <w:jc w:val="both"/>
        <w:sectPr>
          <w:pgSz w:w="11900" w:h="16840"/>
          <w:pgMar w:header="877" w:footer="981" w:top="1100" w:bottom="1180" w:left="1660" w:right="1240"/>
        </w:sectPr>
      </w:pPr>
    </w:p>
    <w:p>
      <w:pPr>
        <w:spacing w:line="240" w:lineRule="auto" w:before="4"/>
        <w:rPr>
          <w:rFonts w:ascii="宋体" w:hAnsi="宋体" w:cs="宋体" w:eastAsia="宋体" w:hint="default"/>
          <w:sz w:val="26"/>
          <w:szCs w:val="26"/>
        </w:rPr>
      </w:pPr>
    </w:p>
    <w:p>
      <w:pPr>
        <w:pStyle w:val="BodyText"/>
        <w:spacing w:line="403" w:lineRule="auto"/>
        <w:ind w:left="557" w:right="0"/>
        <w:jc w:val="left"/>
      </w:pPr>
      <w:r>
        <w:rPr>
          <w:rFonts w:ascii="Arial" w:hAnsi="Arial" w:cs="Arial" w:eastAsia="Arial" w:hint="default"/>
        </w:rPr>
        <w:t>1</w:t>
      </w:r>
      <w:r>
        <w:rPr/>
        <w:t>、宏观经济及行业风险</w:t>
      </w:r>
      <w:r>
        <w:rPr>
          <w:w w:val="100"/>
        </w:rPr>
        <w:t> </w:t>
      </w:r>
      <w:r>
        <w:rPr/>
        <w:t>针对国际金融危机，国家及时出台了一系列针对性的政策措施，使得目前纺织印染产</w:t>
      </w:r>
    </w:p>
    <w:p>
      <w:pPr>
        <w:pStyle w:val="BodyText"/>
        <w:spacing w:line="391" w:lineRule="auto" w:before="30"/>
        <w:ind w:right="115"/>
        <w:jc w:val="both"/>
      </w:pPr>
      <w:r>
        <w:rPr/>
        <w:t>业已步入复苏进程，国内市场需求更是呈现加速增长的良好势头，危机没有完全消除，美</w:t>
      </w:r>
      <w:r>
        <w:rPr>
          <w:spacing w:val="-57"/>
        </w:rPr>
        <w:t> </w:t>
      </w:r>
      <w:r>
        <w:rPr>
          <w:spacing w:val="-57"/>
        </w:rPr>
      </w:r>
      <w:r>
        <w:rPr/>
        <w:t>国、欧盟的经济发展还存在很大的变数，但全球经济的持续稳定发展仍面临许多不确定因</w:t>
      </w:r>
      <w:r>
        <w:rPr>
          <w:spacing w:val="-57"/>
        </w:rPr>
        <w:t> </w:t>
      </w:r>
      <w:r>
        <w:rPr>
          <w:spacing w:val="-57"/>
        </w:rPr>
      </w:r>
      <w:r>
        <w:rPr/>
        <w:t>素，人民币汇率等宏观经济可能出现较大波动，而纺织印染受国内外宏观经济影响较大，</w:t>
      </w:r>
      <w:r>
        <w:rPr>
          <w:spacing w:val="-57"/>
        </w:rPr>
        <w:t> </w:t>
      </w:r>
      <w:r>
        <w:rPr>
          <w:spacing w:val="-57"/>
        </w:rPr>
      </w:r>
      <w:r>
        <w:rPr/>
        <w:t>对与之密切相关的染料行业也会产生一定的经营风险。</w:t>
      </w:r>
    </w:p>
    <w:p>
      <w:pPr>
        <w:pStyle w:val="BodyText"/>
        <w:spacing w:line="403" w:lineRule="auto" w:before="80"/>
        <w:ind w:left="557" w:right="0"/>
        <w:jc w:val="left"/>
      </w:pPr>
      <w:r>
        <w:rPr>
          <w:rFonts w:ascii="Arial" w:hAnsi="Arial" w:cs="Arial" w:eastAsia="Arial" w:hint="default"/>
        </w:rPr>
        <w:t>2</w:t>
      </w:r>
      <w:r>
        <w:rPr/>
        <w:t>、技术应用和产品开发风险</w:t>
      </w:r>
      <w:r>
        <w:rPr>
          <w:w w:val="100"/>
        </w:rPr>
        <w:t> </w:t>
      </w:r>
      <w:r>
        <w:rPr/>
        <w:t>公司部分产品采用外包生产的方式，同时提供产品的技术标准及相关技术信息，这使</w:t>
      </w:r>
    </w:p>
    <w:p>
      <w:pPr>
        <w:pStyle w:val="BodyText"/>
        <w:spacing w:line="391" w:lineRule="auto" w:before="30"/>
        <w:ind w:right="115"/>
        <w:jc w:val="both"/>
      </w:pPr>
      <w:r>
        <w:rPr/>
        <w:t>得部分外包生产厂或竞争企业有对相关技术产品泄密的可能性。公司按照市场需求开发产</w:t>
      </w:r>
      <w:r>
        <w:rPr>
          <w:spacing w:val="-57"/>
        </w:rPr>
        <w:t> </w:t>
      </w:r>
      <w:r>
        <w:rPr>
          <w:spacing w:val="-57"/>
        </w:rPr>
      </w:r>
      <w:r>
        <w:rPr/>
        <w:t>品的模式，使得有可能由于新产品市场开发的不确定性而对公司的经营造成一定的风险。</w:t>
      </w:r>
    </w:p>
    <w:p>
      <w:pPr>
        <w:pStyle w:val="BodyText"/>
        <w:spacing w:line="400" w:lineRule="auto" w:before="82"/>
        <w:ind w:left="557" w:right="0"/>
        <w:jc w:val="left"/>
      </w:pPr>
      <w:r>
        <w:rPr>
          <w:rFonts w:ascii="Arial" w:hAnsi="Arial" w:cs="Arial" w:eastAsia="Arial" w:hint="default"/>
        </w:rPr>
        <w:t>3</w:t>
      </w:r>
      <w:r>
        <w:rPr/>
        <w:t>、公司对风险的应对措施</w:t>
      </w:r>
      <w:r>
        <w:rPr>
          <w:w w:val="100"/>
        </w:rPr>
        <w:t> </w:t>
      </w:r>
      <w:r>
        <w:rPr/>
        <w:t>为应对上述风险，公司将不断加强管理和人才团队建设，加大加强研发投入，进一步</w:t>
      </w:r>
    </w:p>
    <w:p>
      <w:pPr>
        <w:pStyle w:val="BodyText"/>
        <w:spacing w:line="391" w:lineRule="auto"/>
        <w:ind w:right="115"/>
        <w:jc w:val="both"/>
      </w:pPr>
      <w:r>
        <w:rPr/>
        <w:t>提升核心技术的创新能力。随着募投项目的建设和超募基金投建，经营规模将快速扩张，</w:t>
      </w:r>
      <w:r>
        <w:rPr>
          <w:spacing w:val="-57"/>
        </w:rPr>
        <w:t> </w:t>
      </w:r>
      <w:r>
        <w:rPr>
          <w:spacing w:val="-57"/>
        </w:rPr>
      </w:r>
      <w:r>
        <w:rPr/>
        <w:t>公司将更加重视在机制建立、战略规划、组织设计、运营管理、资金管理和内部控制等管</w:t>
      </w:r>
      <w:r>
        <w:rPr>
          <w:spacing w:val="-57"/>
        </w:rPr>
        <w:t> </w:t>
      </w:r>
      <w:r>
        <w:rPr>
          <w:spacing w:val="-57"/>
        </w:rPr>
      </w:r>
      <w:r>
        <w:rPr/>
        <w:t>理，特别在营销人才、研发人才和专业人才的引进和培养，建立起与产能相匹配的生产、</w:t>
      </w:r>
      <w:r>
        <w:rPr>
          <w:spacing w:val="-57"/>
        </w:rPr>
        <w:t> </w:t>
      </w:r>
      <w:r>
        <w:rPr>
          <w:spacing w:val="-57"/>
        </w:rPr>
      </w:r>
      <w:r>
        <w:rPr/>
        <w:t>市场开发、管理以及技术人才团队，进一步完善人力资源管理体系等方面加大力度，创造</w:t>
      </w:r>
      <w:r>
        <w:rPr>
          <w:spacing w:val="-57"/>
        </w:rPr>
        <w:t> </w:t>
      </w:r>
      <w:r>
        <w:rPr>
          <w:spacing w:val="-57"/>
        </w:rPr>
      </w:r>
      <w:r>
        <w:rPr/>
        <w:t>和谐高效的运营环境，从而不断增强公司总体竞争力，最大程度上化解各种竞争风险。</w:t>
      </w:r>
    </w:p>
    <w:p>
      <w:pPr>
        <w:pStyle w:val="Heading3"/>
        <w:spacing w:line="240" w:lineRule="auto" w:before="113"/>
        <w:ind w:right="0"/>
        <w:jc w:val="both"/>
      </w:pPr>
      <w:r>
        <w:rPr/>
        <w:t>（四）管理层所关注的公司发展机遇和挑战</w:t>
      </w:r>
    </w:p>
    <w:p>
      <w:pPr>
        <w:pStyle w:val="BodyText"/>
        <w:spacing w:line="240" w:lineRule="auto" w:before="227"/>
        <w:ind w:left="576" w:right="0"/>
        <w:jc w:val="left"/>
      </w:pPr>
      <w:r>
        <w:rPr>
          <w:rFonts w:ascii="Arial" w:hAnsi="Arial" w:cs="Arial" w:eastAsia="Arial" w:hint="default"/>
        </w:rPr>
        <w:t>1</w:t>
      </w:r>
      <w:r>
        <w:rPr/>
        <w:t>、发展机遇</w:t>
      </w:r>
    </w:p>
    <w:p>
      <w:pPr>
        <w:pStyle w:val="BodyText"/>
        <w:spacing w:line="381" w:lineRule="auto" w:before="164"/>
        <w:ind w:right="115" w:firstLine="439"/>
        <w:jc w:val="both"/>
      </w:pPr>
      <w:r>
        <w:rPr>
          <w:rFonts w:ascii="Arial" w:hAnsi="Arial" w:cs="Arial" w:eastAsia="Arial" w:hint="default"/>
        </w:rPr>
        <w:t>2010</w:t>
      </w:r>
      <w:r>
        <w:rPr/>
        <w:t>年</w:t>
      </w:r>
      <w:r>
        <w:rPr>
          <w:rFonts w:ascii="Arial" w:hAnsi="Arial" w:cs="Arial" w:eastAsia="Arial" w:hint="default"/>
        </w:rPr>
        <w:t>11</w:t>
      </w:r>
      <w:r>
        <w:rPr/>
        <w:t>月</w:t>
      </w:r>
      <w:r>
        <w:rPr>
          <w:rFonts w:ascii="Arial" w:hAnsi="Arial" w:cs="Arial" w:eastAsia="Arial" w:hint="default"/>
        </w:rPr>
        <w:t>19</w:t>
      </w:r>
      <w:r>
        <w:rPr/>
        <w:t>日，中国纺织工业协会公布了《纺织工业</w:t>
      </w:r>
      <w:r>
        <w:rPr>
          <w:rFonts w:ascii="Arial" w:hAnsi="Arial" w:cs="Arial" w:eastAsia="Arial" w:hint="default"/>
        </w:rPr>
        <w:t>“</w:t>
      </w:r>
      <w:r>
        <w:rPr/>
        <w:t>十二五</w:t>
      </w:r>
      <w:r>
        <w:rPr>
          <w:rFonts w:ascii="Arial" w:hAnsi="Arial" w:cs="Arial" w:eastAsia="Arial" w:hint="default"/>
        </w:rPr>
        <w:t>”</w:t>
      </w:r>
      <w:r>
        <w:rPr/>
        <w:t>科技进步纲要》，纲</w:t>
      </w:r>
      <w:r>
        <w:rPr>
          <w:w w:val="100"/>
        </w:rPr>
        <w:t> </w:t>
      </w:r>
      <w:r>
        <w:rPr>
          <w:spacing w:val="-4"/>
        </w:rPr>
        <w:t>要中指出：</w:t>
      </w:r>
      <w:r>
        <w:rPr>
          <w:rFonts w:ascii="Arial" w:hAnsi="Arial" w:cs="Arial" w:eastAsia="Arial" w:hint="default"/>
          <w:spacing w:val="-4"/>
        </w:rPr>
        <w:t>“</w:t>
      </w:r>
      <w:r>
        <w:rPr>
          <w:spacing w:val="-4"/>
        </w:rPr>
        <w:t>十二五</w:t>
      </w:r>
      <w:r>
        <w:rPr>
          <w:rFonts w:ascii="Arial" w:hAnsi="Arial" w:cs="Arial" w:eastAsia="Arial" w:hint="default"/>
          <w:spacing w:val="-4"/>
        </w:rPr>
        <w:t>”</w:t>
      </w:r>
      <w:r>
        <w:rPr>
          <w:spacing w:val="-4"/>
        </w:rPr>
        <w:t>纺织工业科技进步的重点任务包括：大力发展技术性纺织品、个性化纺</w:t>
      </w:r>
      <w:r>
        <w:rPr>
          <w:spacing w:val="-46"/>
        </w:rPr>
        <w:t> </w:t>
      </w:r>
      <w:r>
        <w:rPr>
          <w:spacing w:val="-46"/>
        </w:rPr>
      </w:r>
      <w:r>
        <w:rPr/>
        <w:t>织品、功能性纺织品、绿色环保纺织品和智能化纺织品等高附加值纺织产品，进一步提高</w:t>
      </w:r>
      <w:r>
        <w:rPr>
          <w:spacing w:val="-57"/>
        </w:rPr>
        <w:t> </w:t>
      </w:r>
      <w:r>
        <w:rPr>
          <w:spacing w:val="-57"/>
        </w:rPr>
      </w:r>
      <w:r>
        <w:rPr>
          <w:spacing w:val="-4"/>
        </w:rPr>
        <w:t>我国纺织产品在国际、国内市场上的竞争能力。</w:t>
      </w:r>
      <w:r>
        <w:rPr>
          <w:rFonts w:ascii="Arial" w:hAnsi="Arial" w:cs="Arial" w:eastAsia="Arial" w:hint="default"/>
          <w:spacing w:val="-4"/>
        </w:rPr>
        <w:t>“</w:t>
      </w:r>
      <w:r>
        <w:rPr>
          <w:spacing w:val="-4"/>
        </w:rPr>
        <w:t>十二五</w:t>
      </w:r>
      <w:r>
        <w:rPr>
          <w:rFonts w:ascii="Arial" w:hAnsi="Arial" w:cs="Arial" w:eastAsia="Arial" w:hint="default"/>
          <w:spacing w:val="-4"/>
        </w:rPr>
        <w:t>”</w:t>
      </w:r>
      <w:r>
        <w:rPr>
          <w:spacing w:val="-4"/>
        </w:rPr>
        <w:t>规划促进国内消费水平提高，衣食</w:t>
      </w:r>
      <w:r>
        <w:rPr>
          <w:spacing w:val="-47"/>
        </w:rPr>
        <w:t> </w:t>
      </w:r>
      <w:r>
        <w:rPr>
          <w:spacing w:val="-47"/>
        </w:rPr>
      </w:r>
      <w:r>
        <w:rPr/>
        <w:t>住行拉动纺织品需求，导致全社会服装消费能力的提高；在休闲度假时代和个性彰显及幸</w:t>
      </w:r>
      <w:r>
        <w:rPr>
          <w:spacing w:val="-57"/>
        </w:rPr>
        <w:t> </w:t>
      </w:r>
      <w:r>
        <w:rPr>
          <w:spacing w:val="-57"/>
        </w:rPr>
      </w:r>
      <w:r>
        <w:rPr/>
        <w:t>福感需求等方面的消费变化将带动服装产业呈现小批量、多品种趋势，更新换代快；高端</w:t>
      </w:r>
      <w:r>
        <w:rPr>
          <w:spacing w:val="-57"/>
        </w:rPr>
        <w:t> </w:t>
      </w:r>
      <w:r>
        <w:rPr>
          <w:spacing w:val="-57"/>
        </w:rPr>
      </w:r>
      <w:r>
        <w:rPr/>
        <w:t>印染市场需求比较大，高水洗、高日晒等细分市场的需求将不断增加；国内服装消费的观</w:t>
      </w:r>
      <w:r>
        <w:rPr>
          <w:spacing w:val="-57"/>
        </w:rPr>
        <w:t> </w:t>
      </w:r>
      <w:r>
        <w:rPr>
          <w:spacing w:val="-57"/>
        </w:rPr>
      </w:r>
      <w:r>
        <w:rPr/>
        <w:t>念与国外相比仍然存在较大差距，特色化产品增长空间较大；</w:t>
      </w:r>
    </w:p>
    <w:p>
      <w:pPr>
        <w:pStyle w:val="BodyText"/>
        <w:spacing w:line="391" w:lineRule="auto" w:before="50"/>
        <w:ind w:right="115" w:firstLine="441"/>
        <w:jc w:val="both"/>
      </w:pPr>
      <w:r>
        <w:rPr/>
        <w:t>国家扶持新材料行业发展，鼓励企业在全行业范围内加快研发和推广绿色环保技术，</w:t>
      </w:r>
      <w:r>
        <w:rPr>
          <w:w w:val="100"/>
        </w:rPr>
        <w:t> </w:t>
      </w:r>
      <w:r>
        <w:rPr/>
        <w:t>资源循环利用技术，高性能、高效率、节能减排的先进适用工艺、技术和装备，淘汰落后</w:t>
      </w:r>
    </w:p>
    <w:p>
      <w:pPr>
        <w:spacing w:after="0" w:line="391" w:lineRule="auto"/>
        <w:jc w:val="both"/>
        <w:sectPr>
          <w:pgSz w:w="11900" w:h="16840"/>
          <w:pgMar w:header="877" w:footer="981" w:top="1100" w:bottom="1180" w:left="1660" w:right="1340"/>
        </w:sectPr>
      </w:pPr>
    </w:p>
    <w:p>
      <w:pPr>
        <w:spacing w:line="240" w:lineRule="auto" w:before="4"/>
        <w:rPr>
          <w:rFonts w:ascii="宋体" w:hAnsi="宋体" w:cs="宋体" w:eastAsia="宋体" w:hint="default"/>
          <w:sz w:val="26"/>
          <w:szCs w:val="26"/>
        </w:rPr>
      </w:pPr>
    </w:p>
    <w:p>
      <w:pPr>
        <w:pStyle w:val="BodyText"/>
        <w:spacing w:line="391" w:lineRule="auto"/>
        <w:ind w:right="33"/>
        <w:jc w:val="left"/>
      </w:pPr>
      <w:r>
        <w:rPr/>
        <w:t>产能，各主流行业均面临产业升级；在淘汰一些低档产品的同时，导致产品档次提高，竞</w:t>
      </w:r>
      <w:r>
        <w:rPr>
          <w:spacing w:val="-57"/>
        </w:rPr>
        <w:t> </w:t>
      </w:r>
      <w:r>
        <w:rPr>
          <w:spacing w:val="-57"/>
        </w:rPr>
      </w:r>
      <w:r>
        <w:rPr/>
        <w:t>争趋于有序，行业利润有可能提高，也必然引导企业将产品做细做精；公司将充分利用现</w:t>
      </w:r>
      <w:r>
        <w:rPr>
          <w:spacing w:val="-57"/>
        </w:rPr>
        <w:t> </w:t>
      </w:r>
      <w:r>
        <w:rPr>
          <w:spacing w:val="-57"/>
        </w:rPr>
      </w:r>
      <w:r>
        <w:rPr>
          <w:spacing w:val="-3"/>
        </w:rPr>
        <w:t>有优势，在节能减排和环保处着手帮助客户排难解忧，则可带来机会，而迫于环保的压力，</w:t>
      </w:r>
      <w:r>
        <w:rPr>
          <w:spacing w:val="-51"/>
        </w:rPr>
        <w:t> </w:t>
      </w:r>
      <w:r>
        <w:rPr>
          <w:spacing w:val="-51"/>
        </w:rPr>
      </w:r>
      <w:r>
        <w:rPr/>
        <w:t>印染行业正在逐步向东南亚和南美转移，给公司开拓海外市场带来机遇。</w:t>
      </w:r>
    </w:p>
    <w:p>
      <w:pPr>
        <w:pStyle w:val="BodyText"/>
        <w:spacing w:line="369" w:lineRule="auto" w:before="41"/>
        <w:ind w:left="576" w:right="33" w:firstLine="110"/>
        <w:jc w:val="left"/>
      </w:pPr>
      <w:r>
        <w:rPr>
          <w:rFonts w:ascii="Arial" w:hAnsi="Arial" w:cs="Arial" w:eastAsia="Arial" w:hint="default"/>
        </w:rPr>
        <w:t>2</w:t>
      </w:r>
      <w:r>
        <w:rPr/>
        <w:t>、挑战</w:t>
      </w:r>
      <w:r>
        <w:rPr>
          <w:w w:val="100"/>
        </w:rPr>
        <w:t> </w:t>
      </w:r>
      <w:r>
        <w:rPr/>
        <w:t>公司所属染料行业是环境污染较严重的行业，“三废”在尤其是废水的排放量较大，</w:t>
      </w:r>
    </w:p>
    <w:p>
      <w:pPr>
        <w:pStyle w:val="BodyText"/>
        <w:spacing w:line="391" w:lineRule="auto" w:before="61"/>
        <w:ind w:right="33"/>
        <w:jc w:val="left"/>
      </w:pPr>
      <w:r>
        <w:rPr/>
        <w:t>随着国家环保要求的日趋严格和整个社会环保意识的逐步增强，环保治理成本将进一步提</w:t>
      </w:r>
      <w:r>
        <w:rPr>
          <w:spacing w:val="-57"/>
        </w:rPr>
        <w:t> </w:t>
      </w:r>
      <w:r>
        <w:rPr>
          <w:spacing w:val="-57"/>
        </w:rPr>
      </w:r>
      <w:r>
        <w:rPr/>
        <w:t>高，从而可能给公司发展带来影响；</w:t>
      </w:r>
    </w:p>
    <w:p>
      <w:pPr>
        <w:pStyle w:val="BodyText"/>
        <w:spacing w:line="376" w:lineRule="auto" w:before="41"/>
        <w:ind w:right="215" w:firstLine="439"/>
        <w:jc w:val="both"/>
      </w:pPr>
      <w:r>
        <w:rPr>
          <w:spacing w:val="-3"/>
        </w:rPr>
        <w:t>欧盟</w:t>
      </w:r>
      <w:r>
        <w:rPr>
          <w:rFonts w:ascii="Arial" w:hAnsi="Arial" w:cs="Arial" w:eastAsia="Arial" w:hint="default"/>
          <w:spacing w:val="-3"/>
        </w:rPr>
        <w:t>REACH</w:t>
      </w:r>
      <w:r>
        <w:rPr>
          <w:spacing w:val="-3"/>
        </w:rPr>
        <w:t>法规造成产品出口程序复杂和成本的增加，人工成本升高带来经营成本上</w:t>
      </w:r>
      <w:r>
        <w:rPr>
          <w:w w:val="100"/>
        </w:rPr>
        <w:t> </w:t>
      </w:r>
      <w:r>
        <w:rPr/>
        <w:t>升压力，人民币升值对出口不利，专业化知识变为行业常识的速度加快，上游原料采购非</w:t>
      </w:r>
      <w:r>
        <w:rPr>
          <w:spacing w:val="-57"/>
        </w:rPr>
        <w:t> </w:t>
      </w:r>
      <w:r>
        <w:rPr>
          <w:spacing w:val="-57"/>
        </w:rPr>
      </w:r>
      <w:r>
        <w:rPr>
          <w:spacing w:val="-4"/>
        </w:rPr>
        <w:t>常困难，下游由于纺织品原料涨价快，导致下游</w:t>
      </w:r>
      <w:r>
        <w:rPr>
          <w:rFonts w:ascii="Arial" w:hAnsi="Arial" w:cs="Arial" w:eastAsia="Arial" w:hint="default"/>
          <w:spacing w:val="-4"/>
        </w:rPr>
        <w:t>“</w:t>
      </w:r>
      <w:r>
        <w:rPr>
          <w:spacing w:val="-4"/>
        </w:rPr>
        <w:t>不敢接单</w:t>
      </w:r>
      <w:r>
        <w:rPr>
          <w:rFonts w:ascii="Arial" w:hAnsi="Arial" w:cs="Arial" w:eastAsia="Arial" w:hint="default"/>
          <w:spacing w:val="-4"/>
        </w:rPr>
        <w:t>”</w:t>
      </w:r>
      <w:r>
        <w:rPr>
          <w:spacing w:val="-4"/>
        </w:rPr>
        <w:t>等诸多因素对公司利润盈利能力</w:t>
      </w:r>
      <w:r>
        <w:rPr>
          <w:spacing w:val="-45"/>
        </w:rPr>
        <w:t> </w:t>
      </w:r>
      <w:r>
        <w:rPr>
          <w:spacing w:val="-45"/>
        </w:rPr>
      </w:r>
      <w:r>
        <w:rPr/>
        <w:t>上带来一定的影响</w:t>
      </w:r>
    </w:p>
    <w:p>
      <w:pPr>
        <w:pStyle w:val="BodyText"/>
        <w:spacing w:line="391" w:lineRule="auto" w:before="54"/>
        <w:ind w:right="33" w:firstLine="439"/>
        <w:jc w:val="left"/>
      </w:pPr>
      <w:r>
        <w:rPr/>
        <w:t>随着公司规模的不断扩大，经营团队的不断壮大，管理模式的转型，新旧管理团队的</w:t>
      </w:r>
      <w:r>
        <w:rPr>
          <w:w w:val="100"/>
        </w:rPr>
        <w:t> </w:t>
      </w:r>
      <w:r>
        <w:rPr/>
        <w:t>理念统一，新市场的开辟都会给公司发展速度上带来一定的影响。</w:t>
      </w:r>
    </w:p>
    <w:p>
      <w:pPr>
        <w:pStyle w:val="Heading3"/>
        <w:spacing w:line="240" w:lineRule="auto" w:before="72"/>
        <w:ind w:right="33"/>
        <w:jc w:val="left"/>
      </w:pPr>
      <w:r>
        <w:rPr/>
        <w:t>（五）公司未来发展战略规划及</w:t>
      </w:r>
      <w:r>
        <w:rPr>
          <w:rFonts w:ascii="Arial" w:hAnsi="Arial" w:cs="Arial" w:eastAsia="Arial" w:hint="default"/>
          <w:b/>
          <w:bCs/>
        </w:rPr>
        <w:t>2011</w:t>
      </w:r>
      <w:r>
        <w:rPr/>
        <w:t>年经营计划</w:t>
      </w:r>
    </w:p>
    <w:p>
      <w:pPr>
        <w:pStyle w:val="BodyText"/>
        <w:spacing w:line="386" w:lineRule="auto" w:before="247"/>
        <w:ind w:right="33" w:firstLine="420"/>
        <w:jc w:val="left"/>
      </w:pPr>
      <w:r>
        <w:rPr>
          <w:spacing w:val="-2"/>
        </w:rPr>
        <w:t>公司坚持以市场为导向，以创新为动力，以品牌经营为核心，凭借公司所具有的技术、</w:t>
      </w:r>
      <w:r>
        <w:rPr>
          <w:w w:val="100"/>
        </w:rPr>
        <w:t> </w:t>
      </w:r>
      <w:r>
        <w:rPr>
          <w:spacing w:val="-4"/>
        </w:rPr>
        <w:t>服务、营销和人才优势，秉承</w:t>
      </w:r>
      <w:r>
        <w:rPr>
          <w:rFonts w:ascii="Arial" w:hAnsi="Arial" w:cs="Arial" w:eastAsia="Arial" w:hint="default"/>
          <w:spacing w:val="-4"/>
        </w:rPr>
        <w:t>“</w:t>
      </w:r>
      <w:r>
        <w:rPr>
          <w:spacing w:val="-4"/>
        </w:rPr>
        <w:t>品质创造价值</w:t>
      </w:r>
      <w:r>
        <w:rPr>
          <w:rFonts w:ascii="Arial" w:hAnsi="Arial" w:cs="Arial" w:eastAsia="Arial" w:hint="default"/>
          <w:spacing w:val="-4"/>
        </w:rPr>
        <w:t>”</w:t>
      </w:r>
      <w:r>
        <w:rPr>
          <w:spacing w:val="-4"/>
        </w:rPr>
        <w:t>的经营理念，巩固在国内高端、特色化染料市</w:t>
      </w:r>
      <w:r>
        <w:rPr>
          <w:spacing w:val="-45"/>
        </w:rPr>
        <w:t> </w:t>
      </w:r>
      <w:r>
        <w:rPr>
          <w:spacing w:val="-45"/>
        </w:rPr>
      </w:r>
      <w:r>
        <w:rPr/>
        <w:t>场的竞争优势，同时积极开拓在纺织助剂领域内的业务，进一步完善产业链，将公司建设</w:t>
      </w:r>
      <w:r>
        <w:rPr>
          <w:spacing w:val="-57"/>
        </w:rPr>
        <w:t> </w:t>
      </w:r>
      <w:r>
        <w:rPr>
          <w:spacing w:val="-57"/>
        </w:rPr>
      </w:r>
      <w:r>
        <w:rPr/>
        <w:t>成为技术领先、质量领先、管理领先、规模领先、效益领先，具有高成长性、可持续发展</w:t>
      </w:r>
      <w:r>
        <w:rPr>
          <w:spacing w:val="-57"/>
        </w:rPr>
        <w:t> </w:t>
      </w:r>
      <w:r>
        <w:rPr>
          <w:spacing w:val="-57"/>
        </w:rPr>
      </w:r>
      <w:r>
        <w:rPr/>
        <w:t>的创新型企业，将公司打造成在中国染料行业最具竞争力和品牌影响力的综合染整解决方</w:t>
      </w:r>
      <w:r>
        <w:rPr>
          <w:spacing w:val="-57"/>
        </w:rPr>
        <w:t> </w:t>
      </w:r>
      <w:r>
        <w:rPr>
          <w:spacing w:val="-57"/>
        </w:rPr>
      </w:r>
      <w:r>
        <w:rPr/>
        <w:t>案供应商。依据公司发展战略，</w:t>
      </w:r>
      <w:r>
        <w:rPr>
          <w:rFonts w:ascii="Arial" w:hAnsi="Arial" w:cs="Arial" w:eastAsia="Arial" w:hint="default"/>
        </w:rPr>
        <w:t>2011</w:t>
      </w:r>
      <w:r>
        <w:rPr/>
        <w:t>年经营计划如下：</w:t>
      </w:r>
    </w:p>
    <w:p>
      <w:pPr>
        <w:pStyle w:val="BodyText"/>
        <w:spacing w:line="403" w:lineRule="auto" w:before="53"/>
        <w:ind w:left="557" w:right="33"/>
        <w:jc w:val="left"/>
        <w:rPr>
          <w:rFonts w:ascii="Arial" w:hAnsi="Arial" w:cs="Arial" w:eastAsia="Arial" w:hint="default"/>
        </w:rPr>
      </w:pPr>
      <w:r>
        <w:rPr>
          <w:rFonts w:ascii="Arial" w:hAnsi="Arial" w:cs="Arial" w:eastAsia="Arial" w:hint="default"/>
        </w:rPr>
        <w:t>1</w:t>
      </w:r>
      <w:r>
        <w:rPr/>
        <w:t>、销售渠道与市场开发</w:t>
      </w:r>
      <w:r>
        <w:rPr>
          <w:w w:val="100"/>
        </w:rPr>
        <w:t> </w:t>
      </w:r>
      <w:r>
        <w:rPr>
          <w:spacing w:val="2"/>
        </w:rPr>
        <w:t>巩固和提高公司差异化产品市场信誉度，同时不断扩大产品的市场占有率。在</w:t>
      </w:r>
      <w:r>
        <w:rPr>
          <w:rFonts w:ascii="Arial" w:hAnsi="Arial" w:cs="Arial" w:eastAsia="Arial" w:hint="default"/>
          <w:spacing w:val="2"/>
        </w:rPr>
        <w:t>“</w:t>
      </w:r>
      <w:r>
        <w:rPr>
          <w:spacing w:val="2"/>
        </w:rPr>
        <w:t>直销</w:t>
      </w:r>
      <w:r>
        <w:rPr>
          <w:rFonts w:ascii="Arial" w:hAnsi="Arial" w:cs="Arial" w:eastAsia="Arial" w:hint="default"/>
          <w:spacing w:val="2"/>
        </w:rPr>
        <w:t>”</w:t>
      </w:r>
    </w:p>
    <w:p>
      <w:pPr>
        <w:pStyle w:val="BodyText"/>
        <w:spacing w:line="384" w:lineRule="auto" w:before="0"/>
        <w:ind w:right="215"/>
        <w:jc w:val="both"/>
      </w:pPr>
      <w:r>
        <w:rPr/>
        <w:t>模式的基础上，强化直销、经销商、出口三种销售模式并行，进一步丰富渠道体系。加强</w:t>
      </w:r>
      <w:r>
        <w:rPr>
          <w:spacing w:val="-57"/>
        </w:rPr>
        <w:t> </w:t>
      </w:r>
      <w:r>
        <w:rPr>
          <w:spacing w:val="-57"/>
        </w:rPr>
      </w:r>
      <w:r>
        <w:rPr>
          <w:spacing w:val="-2"/>
        </w:rPr>
        <w:t>对外销售，为今后</w:t>
      </w:r>
      <w:r>
        <w:rPr>
          <w:rFonts w:ascii="Arial" w:hAnsi="Arial" w:cs="Arial" w:eastAsia="Arial" w:hint="default"/>
          <w:spacing w:val="-2"/>
        </w:rPr>
        <w:t>2-3</w:t>
      </w:r>
      <w:r>
        <w:rPr>
          <w:spacing w:val="-2"/>
        </w:rPr>
        <w:t>年外贸贸易打下基础。根据市场、销售区域、产品类别等情况，针对</w:t>
      </w:r>
      <w:r>
        <w:rPr>
          <w:spacing w:val="-82"/>
        </w:rPr>
        <w:t> </w:t>
      </w:r>
      <w:r>
        <w:rPr>
          <w:spacing w:val="-82"/>
        </w:rPr>
      </w:r>
      <w:r>
        <w:rPr/>
        <w:t>性地实施销售体系、销售价格、激励和回款等销售管理模式建设，将公司产品市场份额不</w:t>
      </w:r>
      <w:r>
        <w:rPr>
          <w:spacing w:val="-57"/>
        </w:rPr>
        <w:t> </w:t>
      </w:r>
      <w:r>
        <w:rPr>
          <w:spacing w:val="-57"/>
        </w:rPr>
      </w:r>
      <w:r>
        <w:rPr/>
        <w:t>断扩大。</w:t>
      </w:r>
    </w:p>
    <w:p>
      <w:pPr>
        <w:pStyle w:val="BodyText"/>
        <w:spacing w:line="391" w:lineRule="auto" w:before="89"/>
        <w:ind w:right="33" w:firstLine="420"/>
        <w:jc w:val="left"/>
      </w:pPr>
      <w:r>
        <w:rPr/>
        <w:t>进一步壮大特别是业务集中区域的技术型销售和应用技术服务队伍，完善市场开拓人</w:t>
      </w:r>
      <w:r>
        <w:rPr>
          <w:w w:val="100"/>
        </w:rPr>
        <w:t> </w:t>
      </w:r>
      <w:r>
        <w:rPr/>
        <w:t>员团队和组织管理建设，加强行业和市场的信息分析和品牌宣传，积极开展各类技术研讨</w:t>
      </w:r>
    </w:p>
    <w:p>
      <w:pPr>
        <w:spacing w:after="0" w:line="391" w:lineRule="auto"/>
        <w:jc w:val="left"/>
        <w:sectPr>
          <w:pgSz w:w="11900" w:h="16840"/>
          <w:pgMar w:header="877" w:footer="981" w:top="1100" w:bottom="1180" w:left="1660" w:right="1240"/>
        </w:sectPr>
      </w:pPr>
    </w:p>
    <w:p>
      <w:pPr>
        <w:spacing w:line="240" w:lineRule="auto" w:before="4"/>
        <w:rPr>
          <w:rFonts w:ascii="宋体" w:hAnsi="宋体" w:cs="宋体" w:eastAsia="宋体" w:hint="default"/>
          <w:sz w:val="26"/>
          <w:szCs w:val="26"/>
        </w:rPr>
      </w:pPr>
    </w:p>
    <w:p>
      <w:pPr>
        <w:pStyle w:val="BodyText"/>
        <w:spacing w:line="391" w:lineRule="auto"/>
        <w:ind w:right="115"/>
        <w:jc w:val="both"/>
      </w:pPr>
      <w:r>
        <w:rPr/>
        <w:t>会，加大与纺织品行业龙头企业特别下游企业合作力度，进行全面撒网，重点开发有质量</w:t>
      </w:r>
      <w:r>
        <w:rPr>
          <w:spacing w:val="-57"/>
        </w:rPr>
        <w:t> </w:t>
      </w:r>
      <w:r>
        <w:rPr>
          <w:spacing w:val="-57"/>
        </w:rPr>
      </w:r>
      <w:r>
        <w:rPr/>
        <w:t>的大客户，建立战略伙伴关系，形成稳定的大客户销售收入。</w:t>
      </w:r>
    </w:p>
    <w:p>
      <w:pPr>
        <w:pStyle w:val="BodyText"/>
        <w:spacing w:line="400" w:lineRule="auto" w:before="82"/>
        <w:ind w:left="557" w:right="0"/>
        <w:jc w:val="left"/>
      </w:pPr>
      <w:r>
        <w:rPr>
          <w:rFonts w:ascii="Arial" w:hAnsi="Arial" w:cs="Arial" w:eastAsia="Arial" w:hint="default"/>
        </w:rPr>
        <w:t>2</w:t>
      </w:r>
      <w:r>
        <w:rPr/>
        <w:t>、技术创新体系</w:t>
      </w:r>
      <w:r>
        <w:rPr>
          <w:w w:val="100"/>
        </w:rPr>
        <w:t> </w:t>
      </w:r>
      <w:r>
        <w:rPr/>
        <w:t>继续坚持以市场为导向，企业为主体的前瞻式技术创新模式，积极开展产学研合作。</w:t>
      </w:r>
    </w:p>
    <w:p>
      <w:pPr>
        <w:pStyle w:val="BodyText"/>
        <w:spacing w:line="391" w:lineRule="auto"/>
        <w:ind w:right="115" w:hanging="1"/>
        <w:jc w:val="both"/>
      </w:pPr>
      <w:r>
        <w:rPr/>
        <w:t>建立企业技术中心，健全成套的产品开发管理机制，优化研发流程和组织结构，进一步加</w:t>
      </w:r>
      <w:r>
        <w:rPr>
          <w:spacing w:val="-57"/>
        </w:rPr>
        <w:t> </w:t>
      </w:r>
      <w:r>
        <w:rPr>
          <w:spacing w:val="-57"/>
        </w:rPr>
      </w:r>
      <w:r>
        <w:rPr/>
        <w:t>大科技投入，采取各种措施吸引、引进和培养优秀技术人员，增强自主研发实力。</w:t>
      </w:r>
    </w:p>
    <w:p>
      <w:pPr>
        <w:pStyle w:val="BodyText"/>
        <w:spacing w:line="391" w:lineRule="auto" w:before="82"/>
        <w:ind w:right="0" w:firstLine="420"/>
        <w:jc w:val="left"/>
      </w:pPr>
      <w:r>
        <w:rPr/>
        <w:t>产品研发方面，继续开发或对高性能染料产品进行品质提升，结合子公司生产实际开</w:t>
      </w:r>
      <w:r>
        <w:rPr>
          <w:w w:val="100"/>
        </w:rPr>
        <w:t> </w:t>
      </w:r>
      <w:r>
        <w:rPr/>
        <w:t>展工艺技术改进，达到降低成本和节能减排目的。</w:t>
      </w:r>
    </w:p>
    <w:p>
      <w:pPr>
        <w:pStyle w:val="BodyText"/>
        <w:spacing w:line="391" w:lineRule="auto" w:before="82"/>
        <w:ind w:right="0" w:firstLine="420"/>
        <w:jc w:val="left"/>
      </w:pPr>
      <w:r>
        <w:rPr/>
        <w:t>同时，加强与国内外知名高校、科研院所的合作，加强与上游纤维原料等生产企业和</w:t>
      </w:r>
      <w:r>
        <w:rPr>
          <w:w w:val="100"/>
        </w:rPr>
        <w:t> </w:t>
      </w:r>
      <w:r>
        <w:rPr/>
        <w:t>下游家纺服装等企业交流合作，完善公司技术创新体系。</w:t>
      </w:r>
    </w:p>
    <w:p>
      <w:pPr>
        <w:pStyle w:val="BodyText"/>
        <w:spacing w:line="403" w:lineRule="auto" w:before="80"/>
        <w:ind w:left="557" w:right="0"/>
        <w:jc w:val="left"/>
      </w:pPr>
      <w:r>
        <w:rPr>
          <w:rFonts w:ascii="Arial" w:hAnsi="Arial" w:cs="Arial" w:eastAsia="Arial" w:hint="default"/>
        </w:rPr>
        <w:t>3</w:t>
      </w:r>
      <w:r>
        <w:rPr/>
        <w:t>、生产和生产模式</w:t>
      </w:r>
      <w:r>
        <w:rPr>
          <w:w w:val="100"/>
        </w:rPr>
        <w:t> </w:t>
      </w:r>
      <w:r>
        <w:rPr/>
        <w:t>在现有生产基础上，提高生产能力和产品性能，丰富产品种类。其中，分散染料仍主</w:t>
      </w:r>
    </w:p>
    <w:p>
      <w:pPr>
        <w:pStyle w:val="BodyText"/>
        <w:spacing w:line="391" w:lineRule="auto" w:before="30"/>
        <w:ind w:right="115"/>
        <w:jc w:val="both"/>
      </w:pPr>
      <w:r>
        <w:rPr/>
        <w:t>要由烟台安诺其组织生产，活性染料，酸性染料仍主要由公司采用外包生产方式。同时，</w:t>
      </w:r>
      <w:r>
        <w:rPr>
          <w:spacing w:val="-57"/>
        </w:rPr>
        <w:t> </w:t>
      </w:r>
      <w:r>
        <w:rPr>
          <w:spacing w:val="-57"/>
        </w:rPr>
      </w:r>
      <w:r>
        <w:rPr/>
        <w:t>采用扩大产能和品种、兼并、合作等多种方式，丰富原料来源渠道，有效降低生产加工成</w:t>
      </w:r>
      <w:r>
        <w:rPr>
          <w:spacing w:val="-57"/>
        </w:rPr>
        <w:t> </w:t>
      </w:r>
      <w:r>
        <w:rPr>
          <w:spacing w:val="-57"/>
        </w:rPr>
      </w:r>
      <w:r>
        <w:rPr/>
        <w:t>本，提升公司的综合竞争能力和盈利能力，实现公司收入和利润的持续、稳定增长，实现</w:t>
      </w:r>
      <w:r>
        <w:rPr>
          <w:spacing w:val="-57"/>
        </w:rPr>
        <w:t> </w:t>
      </w:r>
      <w:r>
        <w:rPr>
          <w:spacing w:val="-57"/>
        </w:rPr>
      </w:r>
      <w:r>
        <w:rPr/>
        <w:t>股东利益最大化。</w:t>
      </w:r>
    </w:p>
    <w:p>
      <w:pPr>
        <w:pStyle w:val="BodyText"/>
        <w:spacing w:line="400" w:lineRule="auto" w:before="82"/>
        <w:ind w:left="557" w:right="0"/>
        <w:jc w:val="left"/>
      </w:pPr>
      <w:r>
        <w:rPr>
          <w:rFonts w:ascii="Arial" w:hAnsi="Arial" w:cs="Arial" w:eastAsia="Arial" w:hint="default"/>
        </w:rPr>
        <w:t>4</w:t>
      </w:r>
      <w:r>
        <w:rPr/>
        <w:t>、内部管理和结构优化</w:t>
      </w:r>
      <w:r>
        <w:rPr>
          <w:w w:val="100"/>
        </w:rPr>
        <w:t> </w:t>
      </w:r>
      <w:r>
        <w:rPr/>
        <w:t>按照现代企业制度的要求，不断优化组织机构，完善法人治理结构，健全科学的管理</w:t>
      </w:r>
    </w:p>
    <w:p>
      <w:pPr>
        <w:pStyle w:val="BodyText"/>
        <w:spacing w:line="391" w:lineRule="auto"/>
        <w:ind w:right="115"/>
        <w:jc w:val="both"/>
      </w:pPr>
      <w:r>
        <w:rPr/>
        <w:t>决策体制，健全和完善公司各项管理制度，建立并完善公司培训体系，继续加强内部审计</w:t>
      </w:r>
      <w:r>
        <w:rPr>
          <w:spacing w:val="-57"/>
        </w:rPr>
        <w:t> </w:t>
      </w:r>
      <w:r>
        <w:rPr>
          <w:spacing w:val="-57"/>
        </w:rPr>
      </w:r>
      <w:r>
        <w:rPr/>
        <w:t>职能，强化内部控制，全面实施预算制度，提高公司资本运作能力。公司将根据客观条件</w:t>
      </w:r>
      <w:r>
        <w:rPr>
          <w:spacing w:val="-57"/>
        </w:rPr>
        <w:t> </w:t>
      </w:r>
      <w:r>
        <w:rPr>
          <w:spacing w:val="-57"/>
        </w:rPr>
      </w:r>
      <w:r>
        <w:rPr/>
        <w:t>和自身业务的变化，及时调整内部结构和岗位设置，以保持组织结构的合理性和管理的有</w:t>
      </w:r>
      <w:r>
        <w:rPr>
          <w:spacing w:val="-57"/>
        </w:rPr>
        <w:t> </w:t>
      </w:r>
      <w:r>
        <w:rPr>
          <w:spacing w:val="-57"/>
        </w:rPr>
      </w:r>
      <w:r>
        <w:rPr/>
        <w:t>效性。</w:t>
      </w:r>
    </w:p>
    <w:p>
      <w:pPr>
        <w:pStyle w:val="BodyText"/>
        <w:spacing w:line="403" w:lineRule="auto" w:before="82"/>
        <w:ind w:left="557" w:right="0"/>
        <w:jc w:val="left"/>
      </w:pPr>
      <w:r>
        <w:rPr>
          <w:rFonts w:ascii="Arial" w:hAnsi="Arial" w:cs="Arial" w:eastAsia="Arial" w:hint="default"/>
        </w:rPr>
        <w:t>5</w:t>
      </w:r>
      <w:r>
        <w:rPr/>
        <w:t>、募集资金运营</w:t>
      </w:r>
      <w:r>
        <w:rPr>
          <w:w w:val="100"/>
        </w:rPr>
        <w:t> </w:t>
      </w:r>
      <w:r>
        <w:rPr/>
        <w:t>继续按照完善产业链的目标，加快推进募投项目的建设进度，确保按计划完成。使公</w:t>
      </w:r>
    </w:p>
    <w:p>
      <w:pPr>
        <w:pStyle w:val="BodyText"/>
        <w:spacing w:line="391" w:lineRule="auto" w:before="30"/>
        <w:ind w:right="115"/>
        <w:jc w:val="both"/>
      </w:pPr>
      <w:r>
        <w:rPr/>
        <w:t>司初步具备多种染料滤饼的供应能力，形成从滤饼到染料成品的完整产业链，从而进一步</w:t>
      </w:r>
      <w:r>
        <w:rPr>
          <w:spacing w:val="-57"/>
        </w:rPr>
        <w:t> </w:t>
      </w:r>
      <w:r>
        <w:rPr>
          <w:spacing w:val="-57"/>
        </w:rPr>
      </w:r>
      <w:r>
        <w:rPr/>
        <w:t>增强公司的整体竞争力。同时，在补充完善产业链以及技术研发上做充分规划，制定规划</w:t>
      </w:r>
      <w:r>
        <w:rPr>
          <w:spacing w:val="-57"/>
        </w:rPr>
        <w:t> </w:t>
      </w:r>
      <w:r>
        <w:rPr>
          <w:spacing w:val="-57"/>
        </w:rPr>
      </w:r>
      <w:r>
        <w:rPr/>
        <w:t>方案并适时落实计划。</w:t>
      </w:r>
    </w:p>
    <w:p>
      <w:pPr>
        <w:pStyle w:val="Heading3"/>
        <w:spacing w:line="240" w:lineRule="auto" w:before="110"/>
        <w:ind w:right="0"/>
        <w:jc w:val="both"/>
      </w:pPr>
      <w:r>
        <w:rPr/>
        <w:t>三、报告期内公司投资情况</w:t>
      </w:r>
    </w:p>
    <w:p>
      <w:pPr>
        <w:spacing w:after="0" w:line="240" w:lineRule="auto"/>
        <w:jc w:val="both"/>
        <w:sectPr>
          <w:pgSz w:w="11900" w:h="16840"/>
          <w:pgMar w:header="877" w:footer="981" w:top="1100" w:bottom="1180" w:left="1660" w:right="1340"/>
        </w:sectPr>
      </w:pPr>
    </w:p>
    <w:p>
      <w:pPr>
        <w:spacing w:line="240" w:lineRule="auto" w:before="0"/>
        <w:rPr>
          <w:rFonts w:ascii="宋体" w:hAnsi="宋体" w:cs="宋体" w:eastAsia="宋体" w:hint="default"/>
          <w:sz w:val="20"/>
          <w:szCs w:val="20"/>
        </w:rPr>
      </w:pPr>
    </w:p>
    <w:p>
      <w:pPr>
        <w:pStyle w:val="Heading3"/>
        <w:spacing w:line="240" w:lineRule="auto" w:before="145"/>
        <w:ind w:left="1297" w:right="0"/>
        <w:jc w:val="left"/>
      </w:pPr>
      <w:r>
        <w:rPr/>
        <w:t>（一）报告期内募集资金使用情况</w:t>
      </w:r>
    </w:p>
    <w:p>
      <w:pPr>
        <w:spacing w:line="240" w:lineRule="auto" w:before="9"/>
        <w:rPr>
          <w:rFonts w:ascii="宋体" w:hAnsi="宋体" w:cs="宋体" w:eastAsia="宋体" w:hint="default"/>
          <w:sz w:val="19"/>
          <w:szCs w:val="19"/>
        </w:rPr>
      </w:pPr>
    </w:p>
    <w:p>
      <w:pPr>
        <w:pStyle w:val="Heading3"/>
        <w:spacing w:line="240" w:lineRule="auto"/>
        <w:ind w:left="1859" w:right="0"/>
        <w:jc w:val="left"/>
      </w:pPr>
      <w:r>
        <w:rPr>
          <w:rFonts w:ascii="Arial" w:hAnsi="Arial" w:cs="Arial" w:eastAsia="Arial" w:hint="default"/>
          <w:b/>
          <w:bCs/>
        </w:rPr>
        <w:t>1</w:t>
      </w:r>
      <w:r>
        <w:rPr/>
        <w:t>、募集资金到位情况</w:t>
      </w:r>
    </w:p>
    <w:p>
      <w:pPr>
        <w:pStyle w:val="BodyText"/>
        <w:spacing w:line="379" w:lineRule="auto" w:before="207"/>
        <w:ind w:left="1297" w:right="1315" w:firstLine="439"/>
        <w:jc w:val="both"/>
      </w:pPr>
      <w:r>
        <w:rPr/>
        <w:t>经中国证券监督管理委员会《关于核准上海安诺其纺织化工股份有限公司首次公开发</w:t>
      </w:r>
      <w:r>
        <w:rPr>
          <w:w w:val="100"/>
        </w:rPr>
        <w:t> </w:t>
      </w:r>
      <w:r>
        <w:rPr>
          <w:spacing w:val="-6"/>
          <w:w w:val="100"/>
        </w:rPr>
        <w:t>行股票并在创业板上市的批复》（证监许可［</w:t>
      </w:r>
      <w:r>
        <w:rPr>
          <w:rFonts w:ascii="Arial" w:hAnsi="Arial" w:cs="Arial" w:eastAsia="Arial" w:hint="default"/>
          <w:spacing w:val="-6"/>
          <w:w w:val="100"/>
        </w:rPr>
        <w:t>2010</w:t>
      </w:r>
      <w:r>
        <w:rPr>
          <w:spacing w:val="-6"/>
          <w:w w:val="100"/>
        </w:rPr>
        <w:t>］</w:t>
      </w:r>
      <w:r>
        <w:rPr>
          <w:rFonts w:ascii="Arial" w:hAnsi="Arial" w:cs="Arial" w:eastAsia="Arial" w:hint="default"/>
          <w:spacing w:val="-6"/>
          <w:w w:val="100"/>
        </w:rPr>
        <w:t>366</w:t>
      </w:r>
      <w:r>
        <w:rPr>
          <w:spacing w:val="-6"/>
          <w:w w:val="100"/>
        </w:rPr>
        <w:t>号</w:t>
      </w:r>
      <w:r>
        <w:rPr>
          <w:rFonts w:ascii="Arial" w:hAnsi="Arial" w:cs="Arial" w:eastAsia="Arial" w:hint="default"/>
          <w:spacing w:val="-6"/>
          <w:w w:val="100"/>
        </w:rPr>
        <w:t>)</w:t>
      </w:r>
      <w:r>
        <w:rPr>
          <w:spacing w:val="-6"/>
          <w:w w:val="100"/>
        </w:rPr>
        <w:t>的核准，并经深圳证券交易所同</w:t>
      </w:r>
      <w:r>
        <w:rPr>
          <w:spacing w:val="-97"/>
          <w:w w:val="100"/>
        </w:rPr>
        <w:t> </w:t>
      </w:r>
      <w:r>
        <w:rPr>
          <w:spacing w:val="-97"/>
          <w:w w:val="100"/>
        </w:rPr>
      </w:r>
      <w:r>
        <w:rPr/>
        <w:t>意，本公司由主承销商平安证券有限责任公司采用网下询价配售与网上资金申购定价发行</w:t>
      </w:r>
      <w:r>
        <w:rPr>
          <w:spacing w:val="-57"/>
        </w:rPr>
        <w:t> </w:t>
      </w:r>
      <w:r>
        <w:rPr>
          <w:spacing w:val="-57"/>
        </w:rPr>
      </w:r>
      <w:r>
        <w:rPr>
          <w:spacing w:val="-9"/>
          <w:w w:val="100"/>
        </w:rPr>
        <w:t>相结合的方式发行人民币普通股（</w:t>
      </w:r>
      <w:r>
        <w:rPr>
          <w:rFonts w:ascii="Arial" w:hAnsi="Arial" w:cs="Arial" w:eastAsia="Arial" w:hint="default"/>
          <w:spacing w:val="-9"/>
          <w:w w:val="100"/>
        </w:rPr>
        <w:t>A</w:t>
      </w:r>
      <w:r>
        <w:rPr>
          <w:spacing w:val="-9"/>
          <w:w w:val="100"/>
        </w:rPr>
        <w:t>股）股票</w:t>
      </w:r>
      <w:r>
        <w:rPr>
          <w:rFonts w:ascii="Arial" w:hAnsi="Arial" w:cs="Arial" w:eastAsia="Arial" w:hint="default"/>
          <w:spacing w:val="-9"/>
          <w:w w:val="100"/>
        </w:rPr>
        <w:t>2,700</w:t>
      </w:r>
      <w:r>
        <w:rPr>
          <w:spacing w:val="-9"/>
          <w:w w:val="100"/>
        </w:rPr>
        <w:t>万股，发行价格为每股</w:t>
      </w:r>
      <w:r>
        <w:rPr>
          <w:rFonts w:ascii="Arial" w:hAnsi="Arial" w:cs="Arial" w:eastAsia="Arial" w:hint="default"/>
          <w:spacing w:val="-9"/>
          <w:w w:val="100"/>
        </w:rPr>
        <w:t>21.20</w:t>
      </w:r>
      <w:r>
        <w:rPr>
          <w:spacing w:val="-9"/>
          <w:w w:val="100"/>
        </w:rPr>
        <w:t>元。截止</w:t>
      </w:r>
      <w:r>
        <w:rPr>
          <w:rFonts w:ascii="Arial" w:hAnsi="Arial" w:cs="Arial" w:eastAsia="Arial" w:hint="default"/>
          <w:spacing w:val="-9"/>
          <w:w w:val="100"/>
        </w:rPr>
        <w:t>2010</w:t>
      </w:r>
      <w:r>
        <w:rPr>
          <w:rFonts w:ascii="Arial" w:hAnsi="Arial" w:cs="Arial" w:eastAsia="Arial" w:hint="default"/>
          <w:spacing w:val="-30"/>
          <w:w w:val="100"/>
        </w:rPr>
        <w:t> </w:t>
      </w:r>
      <w:r>
        <w:rPr>
          <w:rFonts w:ascii="Arial" w:hAnsi="Arial" w:cs="Arial" w:eastAsia="Arial" w:hint="default"/>
          <w:spacing w:val="-30"/>
          <w:w w:val="100"/>
        </w:rPr>
      </w:r>
      <w:r>
        <w:rPr>
          <w:spacing w:val="12"/>
        </w:rPr>
        <w:t>年</w:t>
      </w:r>
      <w:r>
        <w:rPr>
          <w:rFonts w:ascii="Arial" w:hAnsi="Arial" w:cs="Arial" w:eastAsia="Arial" w:hint="default"/>
          <w:spacing w:val="12"/>
        </w:rPr>
        <w:t>4</w:t>
      </w:r>
      <w:r>
        <w:rPr>
          <w:spacing w:val="12"/>
        </w:rPr>
        <w:t>月</w:t>
      </w:r>
      <w:r>
        <w:rPr>
          <w:rFonts w:ascii="Arial" w:hAnsi="Arial" w:cs="Arial" w:eastAsia="Arial" w:hint="default"/>
          <w:spacing w:val="12"/>
        </w:rPr>
        <w:t>13</w:t>
      </w:r>
      <w:r>
        <w:rPr>
          <w:spacing w:val="12"/>
        </w:rPr>
        <w:t>日止，扣除公开发行股票发生的费用</w:t>
      </w:r>
      <w:r>
        <w:rPr>
          <w:rFonts w:ascii="Arial" w:hAnsi="Arial" w:cs="Arial" w:eastAsia="Arial" w:hint="default"/>
          <w:spacing w:val="12"/>
        </w:rPr>
        <w:t>4,353.35</w:t>
      </w:r>
      <w:r>
        <w:rPr>
          <w:spacing w:val="12"/>
        </w:rPr>
        <w:t>万元后，实际募集资金净额为</w:t>
      </w:r>
      <w:r>
        <w:rPr>
          <w:spacing w:val="-43"/>
        </w:rPr>
        <w:t> </w:t>
      </w:r>
      <w:r>
        <w:rPr>
          <w:spacing w:val="-43"/>
        </w:rPr>
      </w:r>
      <w:r>
        <w:rPr>
          <w:rFonts w:ascii="Arial" w:hAnsi="Arial" w:cs="Arial" w:eastAsia="Arial" w:hint="default"/>
          <w:spacing w:val="2"/>
        </w:rPr>
        <w:t>52,886.65</w:t>
      </w:r>
      <w:r>
        <w:rPr>
          <w:spacing w:val="2"/>
        </w:rPr>
        <w:t>万元。以上募集资金已经上海众华沪银会计师事务所于</w:t>
      </w:r>
      <w:r>
        <w:rPr>
          <w:rFonts w:ascii="Arial" w:hAnsi="Arial" w:cs="Arial" w:eastAsia="Arial" w:hint="default"/>
          <w:spacing w:val="2"/>
        </w:rPr>
        <w:t>2010</w:t>
      </w:r>
      <w:r>
        <w:rPr>
          <w:spacing w:val="2"/>
        </w:rPr>
        <w:t>年</w:t>
      </w:r>
      <w:r>
        <w:rPr>
          <w:rFonts w:ascii="Arial" w:hAnsi="Arial" w:cs="Arial" w:eastAsia="Arial" w:hint="default"/>
          <w:spacing w:val="2"/>
        </w:rPr>
        <w:t>4</w:t>
      </w:r>
      <w:r>
        <w:rPr>
          <w:spacing w:val="2"/>
        </w:rPr>
        <w:t>月</w:t>
      </w:r>
      <w:r>
        <w:rPr>
          <w:rFonts w:ascii="Arial" w:hAnsi="Arial" w:cs="Arial" w:eastAsia="Arial" w:hint="default"/>
          <w:spacing w:val="2"/>
        </w:rPr>
        <w:t>13</w:t>
      </w:r>
      <w:r>
        <w:rPr>
          <w:spacing w:val="2"/>
        </w:rPr>
        <w:t>日出具的</w:t>
      </w:r>
    </w:p>
    <w:p>
      <w:pPr>
        <w:pStyle w:val="BodyText"/>
        <w:spacing w:line="240" w:lineRule="auto" w:before="22"/>
        <w:ind w:left="1297" w:right="0"/>
        <w:jc w:val="left"/>
      </w:pPr>
      <w:r>
        <w:rPr>
          <w:w w:val="100"/>
        </w:rPr>
        <w:t>《验资</w:t>
      </w:r>
      <w:r>
        <w:rPr>
          <w:spacing w:val="-3"/>
          <w:w w:val="100"/>
        </w:rPr>
        <w:t>报</w:t>
      </w:r>
      <w:r>
        <w:rPr>
          <w:w w:val="100"/>
        </w:rPr>
        <w:t>告</w:t>
      </w:r>
      <w:r>
        <w:rPr>
          <w:spacing w:val="-111"/>
          <w:w w:val="100"/>
        </w:rPr>
        <w:t>》</w:t>
      </w:r>
      <w:r>
        <w:rPr>
          <w:w w:val="100"/>
        </w:rPr>
        <w:t>（</w:t>
      </w:r>
      <w:r>
        <w:rPr>
          <w:spacing w:val="-3"/>
          <w:w w:val="100"/>
        </w:rPr>
        <w:t>沪</w:t>
      </w:r>
      <w:r>
        <w:rPr>
          <w:w w:val="100"/>
        </w:rPr>
        <w:t>众会</w:t>
      </w:r>
      <w:r>
        <w:rPr>
          <w:spacing w:val="-3"/>
          <w:w w:val="100"/>
        </w:rPr>
        <w:t>字</w:t>
      </w:r>
      <w:r>
        <w:rPr>
          <w:rFonts w:ascii="Arial" w:hAnsi="Arial" w:cs="Arial" w:eastAsia="Arial" w:hint="default"/>
          <w:spacing w:val="-2"/>
          <w:w w:val="100"/>
        </w:rPr>
        <w:t>(</w:t>
      </w:r>
      <w:r>
        <w:rPr>
          <w:rFonts w:ascii="Arial" w:hAnsi="Arial" w:cs="Arial" w:eastAsia="Arial" w:hint="default"/>
          <w:spacing w:val="-1"/>
          <w:w w:val="100"/>
        </w:rPr>
        <w:t>2010</w:t>
      </w:r>
      <w:r>
        <w:rPr>
          <w:rFonts w:ascii="Arial" w:hAnsi="Arial" w:cs="Arial" w:eastAsia="Arial" w:hint="default"/>
          <w:w w:val="100"/>
        </w:rPr>
        <w:t>)</w:t>
      </w:r>
      <w:r>
        <w:rPr>
          <w:w w:val="100"/>
        </w:rPr>
        <w:t>第</w:t>
      </w:r>
      <w:r>
        <w:rPr>
          <w:rFonts w:ascii="Arial" w:hAnsi="Arial" w:cs="Arial" w:eastAsia="Arial" w:hint="default"/>
          <w:spacing w:val="-1"/>
          <w:w w:val="100"/>
        </w:rPr>
        <w:t>2691</w:t>
      </w:r>
      <w:r>
        <w:rPr>
          <w:spacing w:val="-3"/>
          <w:w w:val="100"/>
        </w:rPr>
        <w:t>号</w:t>
      </w:r>
      <w:r>
        <w:rPr>
          <w:w w:val="100"/>
        </w:rPr>
        <w:t>）验</w:t>
      </w:r>
      <w:r>
        <w:rPr>
          <w:spacing w:val="-3"/>
          <w:w w:val="100"/>
        </w:rPr>
        <w:t>证确</w:t>
      </w:r>
      <w:r>
        <w:rPr>
          <w:w w:val="100"/>
        </w:rPr>
        <w:t>认。</w:t>
      </w:r>
    </w:p>
    <w:p>
      <w:pPr>
        <w:pStyle w:val="Heading3"/>
        <w:spacing w:line="240" w:lineRule="auto" w:before="195"/>
        <w:ind w:left="1859" w:right="0"/>
        <w:jc w:val="left"/>
      </w:pPr>
      <w:r>
        <w:rPr>
          <w:rFonts w:ascii="Arial" w:hAnsi="Arial" w:cs="Arial" w:eastAsia="Arial" w:hint="default"/>
          <w:b/>
          <w:bCs/>
        </w:rPr>
        <w:t>2</w:t>
      </w:r>
      <w:r>
        <w:rPr/>
        <w:t>、本年度募集资金使用情况</w:t>
      </w:r>
    </w:p>
    <w:p>
      <w:pPr>
        <w:spacing w:line="240" w:lineRule="auto" w:before="8"/>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1416"/>
        <w:gridCol w:w="1092"/>
        <w:gridCol w:w="896"/>
        <w:gridCol w:w="966"/>
        <w:gridCol w:w="962"/>
        <w:gridCol w:w="130"/>
        <w:gridCol w:w="646"/>
        <w:gridCol w:w="1260"/>
        <w:gridCol w:w="1118"/>
        <w:gridCol w:w="209"/>
        <w:gridCol w:w="571"/>
        <w:gridCol w:w="681"/>
        <w:gridCol w:w="1080"/>
      </w:tblGrid>
      <w:tr>
        <w:trPr>
          <w:trHeight w:val="161" w:hRule="exact"/>
        </w:trPr>
        <w:tc>
          <w:tcPr>
            <w:tcW w:w="3404"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募集资金总额</w:t>
            </w:r>
          </w:p>
        </w:tc>
        <w:tc>
          <w:tcPr>
            <w:tcW w:w="2058" w:type="dxa"/>
            <w:gridSpan w:val="3"/>
            <w:vMerge w:val="restart"/>
            <w:tcBorders>
              <w:top w:val="single" w:sz="4" w:space="0" w:color="000000"/>
              <w:left w:val="single" w:sz="13" w:space="0" w:color="DCDCDC"/>
              <w:right w:val="single" w:sz="10" w:space="0" w:color="DCDCDC"/>
            </w:tcBorders>
          </w:tcPr>
          <w:p>
            <w:pPr>
              <w:pStyle w:val="TableParagraph"/>
              <w:spacing w:line="240" w:lineRule="auto" w:before="49"/>
              <w:ind w:left="611" w:right="0"/>
              <w:jc w:val="left"/>
              <w:rPr>
                <w:rFonts w:ascii="Arial" w:hAnsi="Arial" w:cs="Arial" w:eastAsia="Arial" w:hint="default"/>
                <w:sz w:val="18"/>
                <w:szCs w:val="18"/>
              </w:rPr>
            </w:pPr>
            <w:r>
              <w:rPr>
                <w:rFonts w:ascii="Arial"/>
                <w:sz w:val="18"/>
              </w:rPr>
              <w:t>52,886.65</w:t>
            </w:r>
          </w:p>
        </w:tc>
        <w:tc>
          <w:tcPr>
            <w:tcW w:w="3233"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2333" w:type="dxa"/>
            <w:gridSpan w:val="3"/>
            <w:vMerge w:val="restart"/>
            <w:tcBorders>
              <w:top w:val="single" w:sz="4" w:space="0" w:color="000000"/>
              <w:left w:val="single" w:sz="10" w:space="0" w:color="DCDCDC"/>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51" w:right="0"/>
              <w:jc w:val="left"/>
              <w:rPr>
                <w:rFonts w:ascii="Arial" w:hAnsi="Arial" w:cs="Arial" w:eastAsia="Arial" w:hint="default"/>
                <w:sz w:val="18"/>
                <w:szCs w:val="18"/>
              </w:rPr>
            </w:pPr>
            <w:r>
              <w:rPr>
                <w:rFonts w:ascii="Arial"/>
                <w:sz w:val="18"/>
              </w:rPr>
              <w:t>14,385.79</w:t>
            </w:r>
          </w:p>
        </w:tc>
      </w:tr>
      <w:tr>
        <w:trPr>
          <w:trHeight w:val="161" w:hRule="exact"/>
        </w:trPr>
        <w:tc>
          <w:tcPr>
            <w:tcW w:w="3404" w:type="dxa"/>
            <w:gridSpan w:val="3"/>
            <w:vMerge/>
            <w:tcBorders>
              <w:left w:val="single" w:sz="4" w:space="0" w:color="000000"/>
              <w:bottom w:val="single" w:sz="4" w:space="0" w:color="000000"/>
              <w:right w:val="single" w:sz="4" w:space="0" w:color="000000"/>
            </w:tcBorders>
            <w:shd w:val="clear" w:color="auto" w:fill="DCDCDC"/>
          </w:tcPr>
          <w:p>
            <w:pPr/>
          </w:p>
        </w:tc>
        <w:tc>
          <w:tcPr>
            <w:tcW w:w="2058" w:type="dxa"/>
            <w:gridSpan w:val="3"/>
            <w:vMerge/>
            <w:tcBorders>
              <w:left w:val="single" w:sz="13" w:space="0" w:color="DCDCDC"/>
              <w:bottom w:val="single" w:sz="4" w:space="0" w:color="000000"/>
              <w:right w:val="single" w:sz="10" w:space="0" w:color="DCDCDC"/>
            </w:tcBorders>
          </w:tcPr>
          <w:p>
            <w:pPr/>
          </w:p>
        </w:tc>
        <w:tc>
          <w:tcPr>
            <w:tcW w:w="3233"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621"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2333" w:type="dxa"/>
            <w:gridSpan w:val="3"/>
            <w:vMerge/>
            <w:tcBorders>
              <w:left w:val="single" w:sz="10" w:space="0" w:color="DCDCDC"/>
              <w:right w:val="single" w:sz="4" w:space="0" w:color="000000"/>
            </w:tcBorders>
          </w:tcPr>
          <w:p>
            <w:pPr/>
          </w:p>
        </w:tc>
      </w:tr>
      <w:tr>
        <w:trPr>
          <w:trHeight w:val="151" w:hRule="exact"/>
        </w:trPr>
        <w:tc>
          <w:tcPr>
            <w:tcW w:w="3404"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343"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2058" w:type="dxa"/>
            <w:gridSpan w:val="3"/>
            <w:vMerge w:val="restart"/>
            <w:tcBorders>
              <w:top w:val="single" w:sz="4" w:space="0" w:color="000000"/>
              <w:left w:val="single" w:sz="13" w:space="0" w:color="DCDCDC"/>
              <w:right w:val="single" w:sz="10" w:space="0" w:color="DCDCDC"/>
            </w:tcBorders>
          </w:tcPr>
          <w:p>
            <w:pPr/>
          </w:p>
        </w:tc>
        <w:tc>
          <w:tcPr>
            <w:tcW w:w="3233" w:type="dxa"/>
            <w:gridSpan w:val="4"/>
            <w:vMerge/>
            <w:tcBorders>
              <w:left w:val="single" w:sz="4" w:space="0" w:color="000000"/>
              <w:bottom w:val="nil" w:sz="6" w:space="0" w:color="auto"/>
              <w:right w:val="single" w:sz="4" w:space="0" w:color="000000"/>
            </w:tcBorders>
            <w:shd w:val="clear" w:color="auto" w:fill="DCDCDC"/>
          </w:tcPr>
          <w:p>
            <w:pPr/>
          </w:p>
        </w:tc>
        <w:tc>
          <w:tcPr>
            <w:tcW w:w="2333" w:type="dxa"/>
            <w:gridSpan w:val="3"/>
            <w:vMerge/>
            <w:tcBorders>
              <w:left w:val="single" w:sz="10" w:space="0" w:color="DCDCDC"/>
              <w:right w:val="single" w:sz="4" w:space="0" w:color="000000"/>
            </w:tcBorders>
          </w:tcPr>
          <w:p>
            <w:pPr/>
          </w:p>
        </w:tc>
      </w:tr>
      <w:tr>
        <w:trPr>
          <w:trHeight w:val="170" w:hRule="exact"/>
        </w:trPr>
        <w:tc>
          <w:tcPr>
            <w:tcW w:w="3404" w:type="dxa"/>
            <w:gridSpan w:val="3"/>
            <w:vMerge/>
            <w:tcBorders>
              <w:left w:val="single" w:sz="4" w:space="0" w:color="000000"/>
              <w:bottom w:val="single" w:sz="4" w:space="0" w:color="000000"/>
              <w:right w:val="single" w:sz="4" w:space="0" w:color="000000"/>
            </w:tcBorders>
            <w:shd w:val="clear" w:color="auto" w:fill="DCDCDC"/>
          </w:tcPr>
          <w:p>
            <w:pPr/>
          </w:p>
        </w:tc>
        <w:tc>
          <w:tcPr>
            <w:tcW w:w="2058" w:type="dxa"/>
            <w:gridSpan w:val="3"/>
            <w:vMerge/>
            <w:tcBorders>
              <w:left w:val="single" w:sz="13" w:space="0" w:color="DCDCDC"/>
              <w:bottom w:val="single" w:sz="4" w:space="0" w:color="000000"/>
              <w:right w:val="single" w:sz="10" w:space="0" w:color="DCDCDC"/>
            </w:tcBorders>
          </w:tcPr>
          <w:p>
            <w:pPr/>
          </w:p>
        </w:tc>
        <w:tc>
          <w:tcPr>
            <w:tcW w:w="3233"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2333" w:type="dxa"/>
            <w:gridSpan w:val="3"/>
            <w:vMerge/>
            <w:tcBorders>
              <w:left w:val="single" w:sz="10" w:space="0" w:color="DCDCDC"/>
              <w:bottom w:val="single" w:sz="4" w:space="0" w:color="000000"/>
              <w:right w:val="single" w:sz="4" w:space="0" w:color="000000"/>
            </w:tcBorders>
          </w:tcPr>
          <w:p>
            <w:pPr/>
          </w:p>
        </w:tc>
      </w:tr>
      <w:tr>
        <w:trPr>
          <w:trHeight w:val="160" w:hRule="exact"/>
        </w:trPr>
        <w:tc>
          <w:tcPr>
            <w:tcW w:w="3404"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523"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2058" w:type="dxa"/>
            <w:gridSpan w:val="3"/>
            <w:vMerge w:val="restart"/>
            <w:tcBorders>
              <w:top w:val="single" w:sz="4" w:space="0" w:color="000000"/>
              <w:left w:val="single" w:sz="13" w:space="0" w:color="DCDCDC"/>
              <w:right w:val="single" w:sz="10" w:space="0" w:color="DCDCDC"/>
            </w:tcBorders>
          </w:tcPr>
          <w:p>
            <w:pPr/>
          </w:p>
        </w:tc>
        <w:tc>
          <w:tcPr>
            <w:tcW w:w="3233"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2333" w:type="dxa"/>
            <w:gridSpan w:val="3"/>
            <w:vMerge w:val="restart"/>
            <w:tcBorders>
              <w:top w:val="single" w:sz="4" w:space="0" w:color="000000"/>
              <w:left w:val="single" w:sz="10" w:space="0" w:color="DCDCDC"/>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51" w:right="0"/>
              <w:jc w:val="left"/>
              <w:rPr>
                <w:rFonts w:ascii="Arial" w:hAnsi="Arial" w:cs="Arial" w:eastAsia="Arial" w:hint="default"/>
                <w:sz w:val="18"/>
                <w:szCs w:val="18"/>
              </w:rPr>
            </w:pPr>
            <w:r>
              <w:rPr>
                <w:rFonts w:ascii="Arial"/>
                <w:sz w:val="18"/>
              </w:rPr>
              <w:t>14,385.79</w:t>
            </w:r>
          </w:p>
        </w:tc>
      </w:tr>
      <w:tr>
        <w:trPr>
          <w:trHeight w:val="161" w:hRule="exact"/>
        </w:trPr>
        <w:tc>
          <w:tcPr>
            <w:tcW w:w="3404" w:type="dxa"/>
            <w:gridSpan w:val="3"/>
            <w:vMerge/>
            <w:tcBorders>
              <w:left w:val="single" w:sz="4" w:space="0" w:color="000000"/>
              <w:bottom w:val="single" w:sz="4" w:space="0" w:color="000000"/>
              <w:right w:val="single" w:sz="4" w:space="0" w:color="000000"/>
            </w:tcBorders>
            <w:shd w:val="clear" w:color="auto" w:fill="DCDCDC"/>
          </w:tcPr>
          <w:p>
            <w:pPr/>
          </w:p>
        </w:tc>
        <w:tc>
          <w:tcPr>
            <w:tcW w:w="2058" w:type="dxa"/>
            <w:gridSpan w:val="3"/>
            <w:vMerge/>
            <w:tcBorders>
              <w:left w:val="single" w:sz="13" w:space="0" w:color="DCDCDC"/>
              <w:bottom w:val="single" w:sz="4" w:space="0" w:color="000000"/>
              <w:right w:val="single" w:sz="10" w:space="0" w:color="DCDCDC"/>
            </w:tcBorders>
          </w:tcPr>
          <w:p>
            <w:pPr/>
          </w:p>
        </w:tc>
        <w:tc>
          <w:tcPr>
            <w:tcW w:w="3233"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621"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2333" w:type="dxa"/>
            <w:gridSpan w:val="3"/>
            <w:vMerge/>
            <w:tcBorders>
              <w:left w:val="single" w:sz="10" w:space="0" w:color="DCDCDC"/>
              <w:right w:val="single" w:sz="4" w:space="0" w:color="000000"/>
            </w:tcBorders>
          </w:tcPr>
          <w:p>
            <w:pPr/>
          </w:p>
        </w:tc>
      </w:tr>
      <w:tr>
        <w:trPr>
          <w:trHeight w:val="151" w:hRule="exact"/>
        </w:trPr>
        <w:tc>
          <w:tcPr>
            <w:tcW w:w="3404"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343"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2058" w:type="dxa"/>
            <w:gridSpan w:val="3"/>
            <w:vMerge w:val="restart"/>
            <w:tcBorders>
              <w:top w:val="single" w:sz="4" w:space="0" w:color="000000"/>
              <w:left w:val="single" w:sz="13" w:space="0" w:color="DCDCDC"/>
              <w:right w:val="single" w:sz="10" w:space="0" w:color="DCDCDC"/>
            </w:tcBorders>
          </w:tcPr>
          <w:p>
            <w:pPr/>
          </w:p>
        </w:tc>
        <w:tc>
          <w:tcPr>
            <w:tcW w:w="3233" w:type="dxa"/>
            <w:gridSpan w:val="4"/>
            <w:vMerge/>
            <w:tcBorders>
              <w:left w:val="single" w:sz="4" w:space="0" w:color="000000"/>
              <w:bottom w:val="nil" w:sz="6" w:space="0" w:color="auto"/>
              <w:right w:val="single" w:sz="4" w:space="0" w:color="000000"/>
            </w:tcBorders>
            <w:shd w:val="clear" w:color="auto" w:fill="DCDCDC"/>
          </w:tcPr>
          <w:p>
            <w:pPr/>
          </w:p>
        </w:tc>
        <w:tc>
          <w:tcPr>
            <w:tcW w:w="2333" w:type="dxa"/>
            <w:gridSpan w:val="3"/>
            <w:vMerge/>
            <w:tcBorders>
              <w:left w:val="single" w:sz="10" w:space="0" w:color="DCDCDC"/>
              <w:right w:val="single" w:sz="4" w:space="0" w:color="000000"/>
            </w:tcBorders>
          </w:tcPr>
          <w:p>
            <w:pPr/>
          </w:p>
        </w:tc>
      </w:tr>
      <w:tr>
        <w:trPr>
          <w:trHeight w:val="173" w:hRule="exact"/>
        </w:trPr>
        <w:tc>
          <w:tcPr>
            <w:tcW w:w="3404" w:type="dxa"/>
            <w:gridSpan w:val="3"/>
            <w:vMerge/>
            <w:tcBorders>
              <w:left w:val="single" w:sz="4" w:space="0" w:color="000000"/>
              <w:bottom w:val="single" w:sz="4" w:space="0" w:color="000000"/>
              <w:right w:val="single" w:sz="4" w:space="0" w:color="000000"/>
            </w:tcBorders>
            <w:shd w:val="clear" w:color="auto" w:fill="DCDCDC"/>
          </w:tcPr>
          <w:p>
            <w:pPr/>
          </w:p>
        </w:tc>
        <w:tc>
          <w:tcPr>
            <w:tcW w:w="2058" w:type="dxa"/>
            <w:gridSpan w:val="3"/>
            <w:vMerge/>
            <w:tcBorders>
              <w:left w:val="single" w:sz="13" w:space="0" w:color="DCDCDC"/>
              <w:bottom w:val="single" w:sz="4" w:space="0" w:color="000000"/>
              <w:right w:val="single" w:sz="10" w:space="0" w:color="DCDCDC"/>
            </w:tcBorders>
          </w:tcPr>
          <w:p>
            <w:pPr/>
          </w:p>
        </w:tc>
        <w:tc>
          <w:tcPr>
            <w:tcW w:w="3233"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2333" w:type="dxa"/>
            <w:gridSpan w:val="3"/>
            <w:vMerge/>
            <w:tcBorders>
              <w:left w:val="single" w:sz="10" w:space="0" w:color="DCDCDC"/>
              <w:bottom w:val="single" w:sz="4" w:space="0" w:color="000000"/>
              <w:right w:val="single" w:sz="4" w:space="0" w:color="000000"/>
            </w:tcBorders>
          </w:tcPr>
          <w:p>
            <w:pPr/>
          </w:p>
        </w:tc>
      </w:tr>
      <w:tr>
        <w:trPr>
          <w:trHeight w:val="161" w:hRule="exact"/>
        </w:trPr>
        <w:tc>
          <w:tcPr>
            <w:tcW w:w="1416" w:type="dxa"/>
            <w:tcBorders>
              <w:top w:val="single" w:sz="4" w:space="0" w:color="000000"/>
              <w:left w:val="single" w:sz="4" w:space="0" w:color="000000"/>
              <w:bottom w:val="nil" w:sz="6" w:space="0" w:color="auto"/>
              <w:right w:val="single" w:sz="4" w:space="0" w:color="000000"/>
            </w:tcBorders>
            <w:shd w:val="clear" w:color="auto" w:fill="DCDCDC"/>
          </w:tcPr>
          <w:p>
            <w:pPr/>
          </w:p>
        </w:tc>
        <w:tc>
          <w:tcPr>
            <w:tcW w:w="1092" w:type="dxa"/>
            <w:vMerge w:val="restart"/>
            <w:tcBorders>
              <w:top w:val="single" w:sz="4" w:space="0" w:color="000000"/>
              <w:left w:val="single" w:sz="4" w:space="0" w:color="000000"/>
              <w:right w:val="single" w:sz="4" w:space="0" w:color="000000"/>
            </w:tcBorders>
            <w:shd w:val="clear" w:color="auto" w:fill="DCDCDC"/>
          </w:tcPr>
          <w:p>
            <w:pPr>
              <w:pStyle w:val="TableParagraph"/>
              <w:spacing w:line="309" w:lineRule="auto" w:before="8"/>
              <w:ind w:left="67" w:right="53" w:firstLine="2"/>
              <w:jc w:val="center"/>
              <w:rPr>
                <w:rFonts w:ascii="Arial" w:hAnsi="Arial" w:cs="Arial" w:eastAsia="Arial" w:hint="default"/>
                <w:sz w:val="18"/>
                <w:szCs w:val="18"/>
              </w:rPr>
            </w:pPr>
            <w:r>
              <w:rPr>
                <w:rFonts w:ascii="宋体" w:hAnsi="宋体" w:cs="宋体" w:eastAsia="宋体" w:hint="default"/>
                <w:sz w:val="18"/>
                <w:szCs w:val="18"/>
              </w:rPr>
              <w:t>是否已变更</w:t>
            </w:r>
            <w:r>
              <w:rPr>
                <w:rFonts w:ascii="宋体" w:hAnsi="宋体" w:cs="宋体" w:eastAsia="宋体" w:hint="default"/>
                <w:w w:val="99"/>
                <w:sz w:val="18"/>
                <w:szCs w:val="18"/>
              </w:rPr>
              <w:t> </w:t>
            </w:r>
            <w:r>
              <w:rPr>
                <w:rFonts w:ascii="宋体" w:hAnsi="宋体" w:cs="宋体" w:eastAsia="宋体" w:hint="default"/>
                <w:sz w:val="18"/>
                <w:szCs w:val="18"/>
              </w:rPr>
              <w:t>项目</w:t>
            </w:r>
            <w:r>
              <w:rPr>
                <w:rFonts w:ascii="Arial" w:hAnsi="Arial" w:cs="Arial" w:eastAsia="Arial" w:hint="default"/>
                <w:sz w:val="18"/>
                <w:szCs w:val="18"/>
              </w:rPr>
              <w:t>(</w:t>
            </w:r>
            <w:r>
              <w:rPr>
                <w:rFonts w:ascii="宋体" w:hAnsi="宋体" w:cs="宋体" w:eastAsia="宋体" w:hint="default"/>
                <w:sz w:val="18"/>
                <w:szCs w:val="18"/>
              </w:rPr>
              <w:t>含部分</w:t>
            </w:r>
            <w:r>
              <w:rPr>
                <w:rFonts w:ascii="宋体" w:hAnsi="宋体" w:cs="宋体" w:eastAsia="宋体" w:hint="default"/>
                <w:w w:val="99"/>
                <w:sz w:val="18"/>
                <w:szCs w:val="18"/>
              </w:rPr>
              <w:t> </w:t>
            </w:r>
            <w:r>
              <w:rPr>
                <w:rFonts w:ascii="宋体" w:hAnsi="宋体" w:cs="宋体" w:eastAsia="宋体" w:hint="default"/>
                <w:sz w:val="18"/>
                <w:szCs w:val="18"/>
              </w:rPr>
              <w:t>变更</w:t>
            </w:r>
            <w:r>
              <w:rPr>
                <w:rFonts w:ascii="Arial" w:hAnsi="Arial" w:cs="Arial" w:eastAsia="Arial" w:hint="default"/>
                <w:sz w:val="18"/>
                <w:szCs w:val="18"/>
              </w:rPr>
              <w:t>)</w:t>
            </w:r>
          </w:p>
        </w:tc>
        <w:tc>
          <w:tcPr>
            <w:tcW w:w="896"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8"/>
              <w:ind w:left="86" w:right="78"/>
              <w:jc w:val="center"/>
              <w:rPr>
                <w:rFonts w:ascii="宋体" w:hAnsi="宋体" w:cs="宋体" w:eastAsia="宋体" w:hint="default"/>
                <w:sz w:val="18"/>
                <w:szCs w:val="18"/>
              </w:rPr>
            </w:pPr>
            <w:r>
              <w:rPr>
                <w:rFonts w:ascii="宋体" w:hAnsi="宋体" w:cs="宋体" w:eastAsia="宋体" w:hint="default"/>
                <w:sz w:val="18"/>
                <w:szCs w:val="18"/>
              </w:rPr>
              <w:t>募集资金</w:t>
            </w:r>
            <w:r>
              <w:rPr>
                <w:rFonts w:ascii="宋体" w:hAnsi="宋体" w:cs="宋体" w:eastAsia="宋体" w:hint="default"/>
                <w:w w:val="99"/>
                <w:sz w:val="18"/>
                <w:szCs w:val="18"/>
              </w:rPr>
              <w:t> </w:t>
            </w:r>
            <w:r>
              <w:rPr>
                <w:rFonts w:ascii="宋体" w:hAnsi="宋体" w:cs="宋体" w:eastAsia="宋体" w:hint="default"/>
                <w:sz w:val="18"/>
                <w:szCs w:val="18"/>
              </w:rPr>
              <w:t>承诺投资</w:t>
            </w:r>
            <w:r>
              <w:rPr>
                <w:rFonts w:ascii="宋体" w:hAnsi="宋体" w:cs="宋体" w:eastAsia="宋体" w:hint="default"/>
                <w:w w:val="99"/>
                <w:sz w:val="18"/>
                <w:szCs w:val="18"/>
              </w:rPr>
              <w:t> </w:t>
            </w:r>
            <w:r>
              <w:rPr>
                <w:rFonts w:ascii="宋体" w:hAnsi="宋体" w:cs="宋体" w:eastAsia="宋体" w:hint="default"/>
                <w:sz w:val="18"/>
                <w:szCs w:val="18"/>
              </w:rPr>
              <w:t>总额</w:t>
            </w:r>
          </w:p>
        </w:tc>
        <w:tc>
          <w:tcPr>
            <w:tcW w:w="966" w:type="dxa"/>
            <w:tcBorders>
              <w:top w:val="single" w:sz="4" w:space="0" w:color="000000"/>
              <w:left w:val="single" w:sz="4" w:space="0" w:color="000000"/>
              <w:bottom w:val="nil" w:sz="6" w:space="0" w:color="auto"/>
              <w:right w:val="single" w:sz="4" w:space="0" w:color="000000"/>
            </w:tcBorders>
            <w:shd w:val="clear" w:color="auto" w:fill="DCDCDC"/>
          </w:tcPr>
          <w:p>
            <w:pPr/>
          </w:p>
        </w:tc>
        <w:tc>
          <w:tcPr>
            <w:tcW w:w="962" w:type="dxa"/>
            <w:tcBorders>
              <w:top w:val="single" w:sz="4" w:space="0" w:color="000000"/>
              <w:left w:val="single" w:sz="4" w:space="0" w:color="000000"/>
              <w:bottom w:val="nil" w:sz="6" w:space="0" w:color="auto"/>
              <w:right w:val="single" w:sz="4" w:space="0" w:color="000000"/>
            </w:tcBorders>
            <w:shd w:val="clear" w:color="auto" w:fill="DCDCDC"/>
          </w:tcPr>
          <w:p>
            <w:pPr/>
          </w:p>
        </w:tc>
        <w:tc>
          <w:tcPr>
            <w:tcW w:w="776"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8"/>
              <w:ind w:left="23" w:right="20"/>
              <w:jc w:val="both"/>
              <w:rPr>
                <w:rFonts w:ascii="Arial" w:hAnsi="Arial" w:cs="Arial" w:eastAsia="Arial" w:hint="default"/>
                <w:sz w:val="18"/>
                <w:szCs w:val="18"/>
              </w:rPr>
            </w:pPr>
            <w:r>
              <w:rPr>
                <w:rFonts w:ascii="宋体" w:hAnsi="宋体" w:cs="宋体" w:eastAsia="宋体" w:hint="default"/>
                <w:sz w:val="18"/>
                <w:szCs w:val="18"/>
              </w:rPr>
              <w:t>截至期末</w:t>
            </w:r>
            <w:r>
              <w:rPr>
                <w:rFonts w:ascii="宋体" w:hAnsi="宋体" w:cs="宋体" w:eastAsia="宋体" w:hint="default"/>
                <w:w w:val="99"/>
                <w:sz w:val="18"/>
                <w:szCs w:val="18"/>
              </w:rPr>
              <w:t> </w:t>
            </w:r>
            <w:r>
              <w:rPr>
                <w:rFonts w:ascii="宋体" w:hAnsi="宋体" w:cs="宋体" w:eastAsia="宋体" w:hint="default"/>
                <w:sz w:val="18"/>
                <w:szCs w:val="18"/>
              </w:rPr>
              <w:t>累计投入</w:t>
            </w:r>
            <w:r>
              <w:rPr>
                <w:rFonts w:ascii="宋体" w:hAnsi="宋体" w:cs="宋体" w:eastAsia="宋体" w:hint="default"/>
                <w:w w:val="99"/>
                <w:sz w:val="18"/>
                <w:szCs w:val="18"/>
              </w:rPr>
              <w:t> </w:t>
            </w:r>
            <w:r>
              <w:rPr>
                <w:rFonts w:ascii="宋体" w:hAnsi="宋体" w:cs="宋体" w:eastAsia="宋体" w:hint="default"/>
                <w:sz w:val="18"/>
                <w:szCs w:val="18"/>
              </w:rPr>
              <w:t>金额</w:t>
            </w:r>
            <w:r>
              <w:rPr>
                <w:rFonts w:ascii="Arial" w:hAnsi="Arial" w:cs="Arial" w:eastAsia="Arial" w:hint="default"/>
                <w:sz w:val="18"/>
                <w:szCs w:val="18"/>
              </w:rPr>
              <w:t>(2)</w:t>
            </w:r>
          </w:p>
        </w:tc>
        <w:tc>
          <w:tcPr>
            <w:tcW w:w="1260"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8"/>
              <w:ind w:left="85" w:right="82"/>
              <w:jc w:val="center"/>
              <w:rPr>
                <w:rFonts w:ascii="宋体" w:hAnsi="宋体" w:cs="宋体" w:eastAsia="宋体" w:hint="default"/>
                <w:sz w:val="18"/>
                <w:szCs w:val="18"/>
              </w:rPr>
            </w:pPr>
            <w:r>
              <w:rPr>
                <w:rFonts w:ascii="宋体" w:hAnsi="宋体" w:cs="宋体" w:eastAsia="宋体" w:hint="default"/>
                <w:sz w:val="18"/>
                <w:szCs w:val="18"/>
              </w:rPr>
              <w:t>截至期末投资</w:t>
            </w:r>
            <w:r>
              <w:rPr>
                <w:rFonts w:ascii="宋体" w:hAnsi="宋体" w:cs="宋体" w:eastAsia="宋体" w:hint="default"/>
                <w:w w:val="99"/>
                <w:sz w:val="18"/>
                <w:szCs w:val="18"/>
              </w:rPr>
              <w:t> </w:t>
            </w:r>
            <w:r>
              <w:rPr>
                <w:rFonts w:ascii="宋体" w:hAnsi="宋体" w:cs="宋体" w:eastAsia="宋体" w:hint="default"/>
                <w:sz w:val="18"/>
                <w:szCs w:val="18"/>
              </w:rPr>
              <w:t>进度</w:t>
            </w:r>
            <w:r>
              <w:rPr>
                <w:rFonts w:ascii="Arial" w:hAnsi="Arial" w:cs="Arial" w:eastAsia="Arial" w:hint="default"/>
                <w:sz w:val="18"/>
                <w:szCs w:val="18"/>
              </w:rPr>
              <w:t>(%)(3)</w:t>
            </w:r>
            <w:r>
              <w:rPr>
                <w:rFonts w:ascii="宋体" w:hAnsi="宋体" w:cs="宋体" w:eastAsia="宋体" w:hint="default"/>
                <w:sz w:val="18"/>
                <w:szCs w:val="18"/>
              </w:rPr>
              <w:t>＝</w:t>
            </w:r>
          </w:p>
          <w:p>
            <w:pPr>
              <w:pStyle w:val="TableParagraph"/>
              <w:spacing w:line="240" w:lineRule="auto" w:before="40"/>
              <w:ind w:right="0"/>
              <w:jc w:val="center"/>
              <w:rPr>
                <w:rFonts w:ascii="Arial" w:hAnsi="Arial" w:cs="Arial" w:eastAsia="Arial" w:hint="default"/>
                <w:sz w:val="18"/>
                <w:szCs w:val="18"/>
              </w:rPr>
            </w:pPr>
            <w:r>
              <w:rPr>
                <w:rFonts w:ascii="Arial"/>
                <w:sz w:val="18"/>
              </w:rPr>
              <w:t>(2)/(1)</w:t>
            </w:r>
          </w:p>
        </w:tc>
        <w:tc>
          <w:tcPr>
            <w:tcW w:w="1118"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8"/>
              <w:ind w:left="105" w:right="101"/>
              <w:jc w:val="center"/>
              <w:rPr>
                <w:rFonts w:ascii="宋体" w:hAnsi="宋体" w:cs="宋体" w:eastAsia="宋体" w:hint="default"/>
                <w:sz w:val="18"/>
                <w:szCs w:val="18"/>
              </w:rPr>
            </w:pPr>
            <w:r>
              <w:rPr>
                <w:rFonts w:ascii="宋体" w:hAnsi="宋体" w:cs="宋体" w:eastAsia="宋体" w:hint="default"/>
                <w:sz w:val="18"/>
                <w:szCs w:val="18"/>
              </w:rPr>
              <w:t>项目达到预</w:t>
            </w:r>
            <w:r>
              <w:rPr>
                <w:rFonts w:ascii="宋体" w:hAnsi="宋体" w:cs="宋体" w:eastAsia="宋体" w:hint="default"/>
                <w:w w:val="99"/>
                <w:sz w:val="18"/>
                <w:szCs w:val="18"/>
              </w:rPr>
              <w:t> </w:t>
            </w:r>
            <w:r>
              <w:rPr>
                <w:rFonts w:ascii="宋体" w:hAnsi="宋体" w:cs="宋体" w:eastAsia="宋体" w:hint="default"/>
                <w:sz w:val="18"/>
                <w:szCs w:val="18"/>
              </w:rPr>
              <w:t>定可使用状</w:t>
            </w:r>
            <w:r>
              <w:rPr>
                <w:rFonts w:ascii="宋体" w:hAnsi="宋体" w:cs="宋体" w:eastAsia="宋体" w:hint="default"/>
                <w:w w:val="99"/>
                <w:sz w:val="18"/>
                <w:szCs w:val="18"/>
              </w:rPr>
              <w:t> </w:t>
            </w:r>
            <w:r>
              <w:rPr>
                <w:rFonts w:ascii="宋体" w:hAnsi="宋体" w:cs="宋体" w:eastAsia="宋体" w:hint="default"/>
                <w:sz w:val="18"/>
                <w:szCs w:val="18"/>
              </w:rPr>
              <w:t>态日期</w:t>
            </w:r>
          </w:p>
        </w:tc>
        <w:tc>
          <w:tcPr>
            <w:tcW w:w="780"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681"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8"/>
              <w:ind w:left="64" w:right="64"/>
              <w:jc w:val="both"/>
              <w:rPr>
                <w:rFonts w:ascii="宋体" w:hAnsi="宋体" w:cs="宋体" w:eastAsia="宋体" w:hint="default"/>
                <w:sz w:val="18"/>
                <w:szCs w:val="18"/>
              </w:rPr>
            </w:pPr>
            <w:r>
              <w:rPr>
                <w:rFonts w:ascii="宋体" w:hAnsi="宋体" w:cs="宋体" w:eastAsia="宋体" w:hint="default"/>
                <w:sz w:val="18"/>
                <w:szCs w:val="18"/>
              </w:rPr>
              <w:t>是否达</w:t>
            </w:r>
            <w:r>
              <w:rPr>
                <w:rFonts w:ascii="宋体" w:hAnsi="宋体" w:cs="宋体" w:eastAsia="宋体" w:hint="default"/>
                <w:w w:val="99"/>
                <w:sz w:val="18"/>
                <w:szCs w:val="18"/>
              </w:rPr>
              <w:t> </w:t>
            </w:r>
            <w:r>
              <w:rPr>
                <w:rFonts w:ascii="宋体" w:hAnsi="宋体" w:cs="宋体" w:eastAsia="宋体" w:hint="default"/>
                <w:sz w:val="18"/>
                <w:szCs w:val="18"/>
              </w:rPr>
              <w:t>到预计</w:t>
            </w:r>
            <w:r>
              <w:rPr>
                <w:rFonts w:ascii="宋体" w:hAnsi="宋体" w:cs="宋体" w:eastAsia="宋体" w:hint="default"/>
                <w:w w:val="99"/>
                <w:sz w:val="18"/>
                <w:szCs w:val="18"/>
              </w:rPr>
              <w:t> </w:t>
            </w:r>
            <w:r>
              <w:rPr>
                <w:rFonts w:ascii="宋体" w:hAnsi="宋体" w:cs="宋体" w:eastAsia="宋体" w:hint="default"/>
                <w:sz w:val="18"/>
                <w:szCs w:val="18"/>
              </w:rPr>
              <w:t>效益</w:t>
            </w:r>
          </w:p>
        </w:tc>
        <w:tc>
          <w:tcPr>
            <w:tcW w:w="1080"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8"/>
              <w:ind w:left="84" w:right="84"/>
              <w:jc w:val="center"/>
              <w:rPr>
                <w:rFonts w:ascii="宋体" w:hAnsi="宋体" w:cs="宋体" w:eastAsia="宋体" w:hint="default"/>
                <w:sz w:val="18"/>
                <w:szCs w:val="18"/>
              </w:rPr>
            </w:pPr>
            <w:r>
              <w:rPr>
                <w:rFonts w:ascii="宋体" w:hAnsi="宋体" w:cs="宋体" w:eastAsia="宋体" w:hint="default"/>
                <w:sz w:val="18"/>
                <w:szCs w:val="18"/>
              </w:rPr>
              <w:t>项目可行性</w:t>
            </w:r>
            <w:r>
              <w:rPr>
                <w:rFonts w:ascii="宋体" w:hAnsi="宋体" w:cs="宋体" w:eastAsia="宋体" w:hint="default"/>
                <w:w w:val="99"/>
                <w:sz w:val="18"/>
                <w:szCs w:val="18"/>
              </w:rPr>
              <w:t> </w:t>
            </w:r>
            <w:r>
              <w:rPr>
                <w:rFonts w:ascii="宋体" w:hAnsi="宋体" w:cs="宋体" w:eastAsia="宋体" w:hint="default"/>
                <w:sz w:val="18"/>
                <w:szCs w:val="18"/>
              </w:rPr>
              <w:t>是否发生重</w:t>
            </w:r>
            <w:r>
              <w:rPr>
                <w:rFonts w:ascii="宋体" w:hAnsi="宋体" w:cs="宋体" w:eastAsia="宋体" w:hint="default"/>
                <w:w w:val="99"/>
                <w:sz w:val="18"/>
                <w:szCs w:val="18"/>
              </w:rPr>
              <w:t> </w:t>
            </w:r>
            <w:r>
              <w:rPr>
                <w:rFonts w:ascii="宋体" w:hAnsi="宋体" w:cs="宋体" w:eastAsia="宋体" w:hint="default"/>
                <w:sz w:val="18"/>
                <w:szCs w:val="18"/>
              </w:rPr>
              <w:t>大变化</w:t>
            </w:r>
          </w:p>
        </w:tc>
      </w:tr>
      <w:tr>
        <w:trPr>
          <w:trHeight w:val="624" w:hRule="exact"/>
        </w:trPr>
        <w:tc>
          <w:tcPr>
            <w:tcW w:w="141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316" w:lineRule="auto" w:before="8"/>
              <w:ind w:left="163" w:right="70" w:hanging="89"/>
              <w:jc w:val="left"/>
              <w:rPr>
                <w:rFonts w:ascii="宋体" w:hAnsi="宋体" w:cs="宋体" w:eastAsia="宋体" w:hint="default"/>
                <w:sz w:val="18"/>
                <w:szCs w:val="18"/>
              </w:rPr>
            </w:pPr>
            <w:r>
              <w:rPr>
                <w:rFonts w:ascii="宋体" w:hAnsi="宋体" w:cs="宋体" w:eastAsia="宋体" w:hint="default"/>
                <w:sz w:val="18"/>
                <w:szCs w:val="18"/>
              </w:rPr>
              <w:t>承诺投资项目和</w:t>
            </w:r>
            <w:r>
              <w:rPr>
                <w:rFonts w:ascii="宋体" w:hAnsi="宋体" w:cs="宋体" w:eastAsia="宋体" w:hint="default"/>
                <w:w w:val="99"/>
                <w:sz w:val="18"/>
                <w:szCs w:val="18"/>
              </w:rPr>
              <w:t> </w:t>
            </w:r>
            <w:r>
              <w:rPr>
                <w:rFonts w:ascii="宋体" w:hAnsi="宋体" w:cs="宋体" w:eastAsia="宋体" w:hint="default"/>
                <w:sz w:val="18"/>
                <w:szCs w:val="18"/>
              </w:rPr>
              <w:t>超募资金投向</w:t>
            </w:r>
          </w:p>
        </w:tc>
        <w:tc>
          <w:tcPr>
            <w:tcW w:w="1092" w:type="dxa"/>
            <w:vMerge/>
            <w:tcBorders>
              <w:left w:val="single" w:sz="4" w:space="0" w:color="000000"/>
              <w:right w:val="single" w:sz="4" w:space="0" w:color="000000"/>
            </w:tcBorders>
            <w:shd w:val="clear" w:color="auto" w:fill="DCDCDC"/>
          </w:tcPr>
          <w:p>
            <w:pPr/>
          </w:p>
        </w:tc>
        <w:tc>
          <w:tcPr>
            <w:tcW w:w="896" w:type="dxa"/>
            <w:vMerge/>
            <w:tcBorders>
              <w:left w:val="single" w:sz="4" w:space="0" w:color="000000"/>
              <w:right w:val="single" w:sz="4" w:space="0" w:color="000000"/>
            </w:tcBorders>
            <w:shd w:val="clear" w:color="auto" w:fill="DCDCDC"/>
          </w:tcPr>
          <w:p>
            <w:pPr/>
          </w:p>
        </w:tc>
        <w:tc>
          <w:tcPr>
            <w:tcW w:w="96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316" w:lineRule="auto" w:before="8"/>
              <w:ind w:left="191" w:right="24" w:hanging="161"/>
              <w:jc w:val="left"/>
              <w:rPr>
                <w:rFonts w:ascii="Arial" w:hAnsi="Arial" w:cs="Arial" w:eastAsia="Arial" w:hint="default"/>
                <w:sz w:val="18"/>
                <w:szCs w:val="18"/>
              </w:rPr>
            </w:pPr>
            <w:r>
              <w:rPr>
                <w:rFonts w:ascii="宋体" w:hAnsi="宋体" w:cs="宋体" w:eastAsia="宋体" w:hint="default"/>
                <w:sz w:val="18"/>
                <w:szCs w:val="18"/>
              </w:rPr>
              <w:t>调整后投资</w:t>
            </w:r>
            <w:r>
              <w:rPr>
                <w:rFonts w:ascii="宋体" w:hAnsi="宋体" w:cs="宋体" w:eastAsia="宋体" w:hint="default"/>
                <w:w w:val="99"/>
                <w:sz w:val="18"/>
                <w:szCs w:val="18"/>
              </w:rPr>
              <w:t> </w:t>
            </w:r>
            <w:r>
              <w:rPr>
                <w:rFonts w:ascii="宋体" w:hAnsi="宋体" w:cs="宋体" w:eastAsia="宋体" w:hint="default"/>
                <w:sz w:val="18"/>
                <w:szCs w:val="18"/>
              </w:rPr>
              <w:t>总额</w:t>
            </w:r>
            <w:r>
              <w:rPr>
                <w:rFonts w:ascii="Arial" w:hAnsi="Arial" w:cs="Arial" w:eastAsia="Arial" w:hint="default"/>
                <w:sz w:val="18"/>
                <w:szCs w:val="18"/>
              </w:rPr>
              <w:t>(1)</w:t>
            </w:r>
          </w:p>
        </w:tc>
        <w:tc>
          <w:tcPr>
            <w:tcW w:w="96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316" w:lineRule="auto" w:before="8"/>
              <w:ind w:left="297" w:right="24" w:hanging="272"/>
              <w:jc w:val="left"/>
              <w:rPr>
                <w:rFonts w:ascii="宋体" w:hAnsi="宋体" w:cs="宋体" w:eastAsia="宋体" w:hint="default"/>
                <w:sz w:val="18"/>
                <w:szCs w:val="18"/>
              </w:rPr>
            </w:pPr>
            <w:r>
              <w:rPr>
                <w:rFonts w:ascii="宋体" w:hAnsi="宋体" w:cs="宋体" w:eastAsia="宋体" w:hint="default"/>
                <w:sz w:val="18"/>
                <w:szCs w:val="18"/>
              </w:rPr>
              <w:t>本年度投入</w:t>
            </w:r>
            <w:r>
              <w:rPr>
                <w:rFonts w:ascii="宋体" w:hAnsi="宋体" w:cs="宋体" w:eastAsia="宋体" w:hint="default"/>
                <w:w w:val="99"/>
                <w:sz w:val="18"/>
                <w:szCs w:val="18"/>
              </w:rPr>
              <w:t> </w:t>
            </w:r>
            <w:r>
              <w:rPr>
                <w:rFonts w:ascii="宋体" w:hAnsi="宋体" w:cs="宋体" w:eastAsia="宋体" w:hint="default"/>
                <w:sz w:val="18"/>
                <w:szCs w:val="18"/>
              </w:rPr>
              <w:t>金额</w:t>
            </w:r>
          </w:p>
        </w:tc>
        <w:tc>
          <w:tcPr>
            <w:tcW w:w="776" w:type="dxa"/>
            <w:gridSpan w:val="2"/>
            <w:vMerge/>
            <w:tcBorders>
              <w:left w:val="single" w:sz="4" w:space="0" w:color="000000"/>
              <w:right w:val="single" w:sz="4" w:space="0" w:color="000000"/>
            </w:tcBorders>
            <w:shd w:val="clear" w:color="auto" w:fill="DCDCDC"/>
          </w:tcPr>
          <w:p>
            <w:pPr/>
          </w:p>
        </w:tc>
        <w:tc>
          <w:tcPr>
            <w:tcW w:w="1260" w:type="dxa"/>
            <w:vMerge/>
            <w:tcBorders>
              <w:left w:val="single" w:sz="4" w:space="0" w:color="000000"/>
              <w:right w:val="single" w:sz="4" w:space="0" w:color="000000"/>
            </w:tcBorders>
            <w:shd w:val="clear" w:color="auto" w:fill="DCDCDC"/>
          </w:tcPr>
          <w:p>
            <w:pPr/>
          </w:p>
        </w:tc>
        <w:tc>
          <w:tcPr>
            <w:tcW w:w="1118" w:type="dxa"/>
            <w:vMerge/>
            <w:tcBorders>
              <w:left w:val="single" w:sz="4" w:space="0" w:color="000000"/>
              <w:right w:val="single" w:sz="4" w:space="0" w:color="000000"/>
            </w:tcBorders>
            <w:shd w:val="clear" w:color="auto" w:fill="DCDCDC"/>
          </w:tcPr>
          <w:p>
            <w:pPr/>
          </w:p>
        </w:tc>
        <w:tc>
          <w:tcPr>
            <w:tcW w:w="780"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316" w:lineRule="auto" w:before="8"/>
              <w:ind w:left="26" w:right="22"/>
              <w:jc w:val="left"/>
              <w:rPr>
                <w:rFonts w:ascii="宋体" w:hAnsi="宋体" w:cs="宋体" w:eastAsia="宋体" w:hint="default"/>
                <w:sz w:val="18"/>
                <w:szCs w:val="18"/>
              </w:rPr>
            </w:pPr>
            <w:r>
              <w:rPr>
                <w:rFonts w:ascii="宋体" w:hAnsi="宋体" w:cs="宋体" w:eastAsia="宋体" w:hint="default"/>
                <w:sz w:val="18"/>
                <w:szCs w:val="18"/>
              </w:rPr>
              <w:t>本年度实</w:t>
            </w:r>
            <w:r>
              <w:rPr>
                <w:rFonts w:ascii="宋体" w:hAnsi="宋体" w:cs="宋体" w:eastAsia="宋体" w:hint="default"/>
                <w:w w:val="99"/>
                <w:sz w:val="18"/>
                <w:szCs w:val="18"/>
              </w:rPr>
              <w:t> </w:t>
            </w:r>
            <w:r>
              <w:rPr>
                <w:rFonts w:ascii="宋体" w:hAnsi="宋体" w:cs="宋体" w:eastAsia="宋体" w:hint="default"/>
                <w:sz w:val="18"/>
                <w:szCs w:val="18"/>
              </w:rPr>
              <w:t>现的效益</w:t>
            </w:r>
          </w:p>
        </w:tc>
        <w:tc>
          <w:tcPr>
            <w:tcW w:w="681" w:type="dxa"/>
            <w:vMerge/>
            <w:tcBorders>
              <w:left w:val="single" w:sz="4" w:space="0" w:color="000000"/>
              <w:right w:val="single" w:sz="4" w:space="0" w:color="000000"/>
            </w:tcBorders>
            <w:shd w:val="clear" w:color="auto" w:fill="DCDCDC"/>
          </w:tcPr>
          <w:p>
            <w:pPr/>
          </w:p>
        </w:tc>
        <w:tc>
          <w:tcPr>
            <w:tcW w:w="1080" w:type="dxa"/>
            <w:vMerge/>
            <w:tcBorders>
              <w:left w:val="single" w:sz="4" w:space="0" w:color="000000"/>
              <w:right w:val="single" w:sz="4" w:space="0" w:color="000000"/>
            </w:tcBorders>
            <w:shd w:val="clear" w:color="auto" w:fill="DCDCDC"/>
          </w:tcPr>
          <w:p>
            <w:pPr/>
          </w:p>
        </w:tc>
      </w:tr>
      <w:tr>
        <w:trPr>
          <w:trHeight w:val="161" w:hRule="exact"/>
        </w:trPr>
        <w:tc>
          <w:tcPr>
            <w:tcW w:w="1416" w:type="dxa"/>
            <w:tcBorders>
              <w:top w:val="nil" w:sz="6" w:space="0" w:color="auto"/>
              <w:left w:val="single" w:sz="4" w:space="0" w:color="000000"/>
              <w:bottom w:val="single" w:sz="4" w:space="0" w:color="000000"/>
              <w:right w:val="single" w:sz="4" w:space="0" w:color="000000"/>
            </w:tcBorders>
            <w:shd w:val="clear" w:color="auto" w:fill="DCDCDC"/>
          </w:tcPr>
          <w:p>
            <w:pPr/>
          </w:p>
        </w:tc>
        <w:tc>
          <w:tcPr>
            <w:tcW w:w="1092" w:type="dxa"/>
            <w:vMerge/>
            <w:tcBorders>
              <w:left w:val="single" w:sz="4" w:space="0" w:color="000000"/>
              <w:bottom w:val="single" w:sz="4" w:space="0" w:color="000000"/>
              <w:right w:val="single" w:sz="4" w:space="0" w:color="000000"/>
            </w:tcBorders>
            <w:shd w:val="clear" w:color="auto" w:fill="DCDCDC"/>
          </w:tcPr>
          <w:p>
            <w:pPr/>
          </w:p>
        </w:tc>
        <w:tc>
          <w:tcPr>
            <w:tcW w:w="896" w:type="dxa"/>
            <w:vMerge/>
            <w:tcBorders>
              <w:left w:val="single" w:sz="4" w:space="0" w:color="000000"/>
              <w:bottom w:val="single" w:sz="4" w:space="0" w:color="000000"/>
              <w:right w:val="single" w:sz="4" w:space="0" w:color="000000"/>
            </w:tcBorders>
            <w:shd w:val="clear" w:color="auto" w:fill="DCDCDC"/>
          </w:tcPr>
          <w:p>
            <w:pPr/>
          </w:p>
        </w:tc>
        <w:tc>
          <w:tcPr>
            <w:tcW w:w="966" w:type="dxa"/>
            <w:tcBorders>
              <w:top w:val="nil" w:sz="6" w:space="0" w:color="auto"/>
              <w:left w:val="single" w:sz="4" w:space="0" w:color="000000"/>
              <w:bottom w:val="single" w:sz="4" w:space="0" w:color="000000"/>
              <w:right w:val="single" w:sz="4" w:space="0" w:color="000000"/>
            </w:tcBorders>
            <w:shd w:val="clear" w:color="auto" w:fill="DCDCDC"/>
          </w:tcPr>
          <w:p>
            <w:pPr/>
          </w:p>
        </w:tc>
        <w:tc>
          <w:tcPr>
            <w:tcW w:w="962" w:type="dxa"/>
            <w:tcBorders>
              <w:top w:val="nil" w:sz="6" w:space="0" w:color="auto"/>
              <w:left w:val="single" w:sz="4" w:space="0" w:color="000000"/>
              <w:bottom w:val="single" w:sz="4" w:space="0" w:color="000000"/>
              <w:right w:val="single" w:sz="4" w:space="0" w:color="000000"/>
            </w:tcBorders>
            <w:shd w:val="clear" w:color="auto" w:fill="DCDCDC"/>
          </w:tcPr>
          <w:p>
            <w:pPr/>
          </w:p>
        </w:tc>
        <w:tc>
          <w:tcPr>
            <w:tcW w:w="776" w:type="dxa"/>
            <w:gridSpan w:val="2"/>
            <w:vMerge/>
            <w:tcBorders>
              <w:left w:val="single" w:sz="4" w:space="0" w:color="000000"/>
              <w:bottom w:val="single" w:sz="4" w:space="0" w:color="000000"/>
              <w:right w:val="single" w:sz="4" w:space="0" w:color="000000"/>
            </w:tcBorders>
            <w:shd w:val="clear" w:color="auto" w:fill="DCDCDC"/>
          </w:tcPr>
          <w:p>
            <w:pPr/>
          </w:p>
        </w:tc>
        <w:tc>
          <w:tcPr>
            <w:tcW w:w="1260" w:type="dxa"/>
            <w:vMerge/>
            <w:tcBorders>
              <w:left w:val="single" w:sz="4" w:space="0" w:color="000000"/>
              <w:bottom w:val="single" w:sz="4" w:space="0" w:color="000000"/>
              <w:right w:val="single" w:sz="4" w:space="0" w:color="000000"/>
            </w:tcBorders>
            <w:shd w:val="clear" w:color="auto" w:fill="DCDCDC"/>
          </w:tcPr>
          <w:p>
            <w:pPr/>
          </w:p>
        </w:tc>
        <w:tc>
          <w:tcPr>
            <w:tcW w:w="1118" w:type="dxa"/>
            <w:vMerge/>
            <w:tcBorders>
              <w:left w:val="single" w:sz="4" w:space="0" w:color="000000"/>
              <w:bottom w:val="single" w:sz="4" w:space="0" w:color="000000"/>
              <w:right w:val="single" w:sz="4" w:space="0" w:color="000000"/>
            </w:tcBorders>
            <w:shd w:val="clear" w:color="auto" w:fill="DCDCDC"/>
          </w:tcPr>
          <w:p>
            <w:pPr/>
          </w:p>
        </w:tc>
        <w:tc>
          <w:tcPr>
            <w:tcW w:w="780"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681" w:type="dxa"/>
            <w:vMerge/>
            <w:tcBorders>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承诺投资项目</w:t>
            </w:r>
          </w:p>
        </w:tc>
        <w:tc>
          <w:tcPr>
            <w:tcW w:w="9612" w:type="dxa"/>
            <w:gridSpan w:val="12"/>
            <w:tcBorders>
              <w:top w:val="single" w:sz="4" w:space="0" w:color="000000"/>
              <w:left w:val="single" w:sz="13" w:space="0" w:color="DCDCDC"/>
              <w:bottom w:val="single" w:sz="4" w:space="0" w:color="000000"/>
              <w:right w:val="single" w:sz="4" w:space="0" w:color="000000"/>
            </w:tcBorders>
          </w:tcPr>
          <w:p>
            <w:pP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95" w:right="0"/>
              <w:jc w:val="left"/>
              <w:rPr>
                <w:rFonts w:ascii="Arial" w:hAnsi="Arial" w:cs="Arial" w:eastAsia="Arial" w:hint="default"/>
                <w:sz w:val="18"/>
                <w:szCs w:val="18"/>
              </w:rPr>
            </w:pPr>
            <w:r>
              <w:rPr>
                <w:rFonts w:ascii="宋体" w:hAnsi="宋体" w:cs="宋体" w:eastAsia="宋体" w:hint="default"/>
                <w:sz w:val="18"/>
                <w:szCs w:val="18"/>
              </w:rPr>
              <w:t>东营年产</w:t>
            </w:r>
            <w:r>
              <w:rPr>
                <w:rFonts w:ascii="宋体" w:hAnsi="宋体" w:cs="宋体" w:eastAsia="宋体" w:hint="default"/>
                <w:spacing w:val="-48"/>
                <w:sz w:val="18"/>
                <w:szCs w:val="18"/>
              </w:rPr>
              <w:t> </w:t>
            </w:r>
            <w:r>
              <w:rPr>
                <w:rFonts w:ascii="Arial" w:hAnsi="Arial" w:cs="Arial" w:eastAsia="Arial" w:hint="default"/>
                <w:sz w:val="18"/>
                <w:szCs w:val="18"/>
              </w:rPr>
              <w:t>5,500</w:t>
            </w:r>
          </w:p>
          <w:p>
            <w:pPr>
              <w:pStyle w:val="TableParagraph"/>
              <w:spacing w:line="240" w:lineRule="auto" w:before="63"/>
              <w:ind w:left="74" w:right="0"/>
              <w:jc w:val="left"/>
              <w:rPr>
                <w:rFonts w:ascii="宋体" w:hAnsi="宋体" w:cs="宋体" w:eastAsia="宋体" w:hint="default"/>
                <w:sz w:val="18"/>
                <w:szCs w:val="18"/>
              </w:rPr>
            </w:pPr>
            <w:r>
              <w:rPr>
                <w:rFonts w:ascii="宋体" w:hAnsi="宋体" w:cs="宋体" w:eastAsia="宋体" w:hint="default"/>
                <w:sz w:val="18"/>
                <w:szCs w:val="18"/>
              </w:rPr>
              <w:t>吨染料滤饼项目</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 w:right="0"/>
              <w:jc w:val="left"/>
              <w:rPr>
                <w:rFonts w:ascii="Arial" w:hAnsi="Arial" w:cs="Arial" w:eastAsia="Arial" w:hint="default"/>
                <w:sz w:val="18"/>
                <w:szCs w:val="18"/>
              </w:rPr>
            </w:pPr>
            <w:r>
              <w:rPr>
                <w:rFonts w:ascii="Arial"/>
                <w:sz w:val="18"/>
              </w:rPr>
              <w:t>11,385.61</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Arial" w:hAnsi="Arial" w:cs="Arial" w:eastAsia="Arial" w:hint="default"/>
                <w:sz w:val="18"/>
                <w:szCs w:val="18"/>
              </w:rPr>
            </w:pPr>
            <w:r>
              <w:rPr>
                <w:rFonts w:ascii="Arial"/>
                <w:sz w:val="18"/>
              </w:rPr>
              <w:t>11,385.61</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9,253.40</w:t>
            </w:r>
          </w:p>
        </w:tc>
        <w:tc>
          <w:tcPr>
            <w:tcW w:w="7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 w:right="0"/>
              <w:jc w:val="left"/>
              <w:rPr>
                <w:rFonts w:ascii="Arial" w:hAnsi="Arial" w:cs="Arial" w:eastAsia="Arial" w:hint="default"/>
                <w:sz w:val="18"/>
                <w:szCs w:val="18"/>
              </w:rPr>
            </w:pPr>
            <w:r>
              <w:rPr>
                <w:rFonts w:ascii="Arial"/>
                <w:sz w:val="18"/>
              </w:rPr>
              <w:t>9,253.40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sz w:val="18"/>
              </w:rPr>
              <w:t>81.27%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6</w:t>
            </w:r>
            <w:r>
              <w:rPr>
                <w:rFonts w:ascii="Arial" w:hAnsi="Arial" w:cs="Arial" w:eastAsia="Arial" w:hint="default"/>
                <w:spacing w:val="-4"/>
                <w:sz w:val="18"/>
                <w:szCs w:val="18"/>
              </w:rPr>
              <w:t> </w:t>
            </w:r>
            <w:r>
              <w:rPr>
                <w:rFonts w:ascii="宋体" w:hAnsi="宋体" w:cs="宋体" w:eastAsia="宋体" w:hint="default"/>
                <w:sz w:val="18"/>
                <w:szCs w:val="18"/>
              </w:rPr>
              <w:t>月</w:t>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0" w:right="0"/>
              <w:jc w:val="left"/>
              <w:rPr>
                <w:rFonts w:ascii="Arial" w:hAnsi="Arial" w:cs="Arial" w:eastAsia="Arial" w:hint="default"/>
                <w:sz w:val="18"/>
                <w:szCs w:val="18"/>
              </w:rPr>
            </w:pPr>
            <w:r>
              <w:rPr>
                <w:rFonts w:ascii="Arial"/>
                <w:sz w:val="18"/>
              </w:rPr>
              <w:t>276.89</w:t>
            </w:r>
          </w:p>
        </w:tc>
        <w:tc>
          <w:tcPr>
            <w:tcW w:w="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95" w:right="0"/>
              <w:jc w:val="left"/>
              <w:rPr>
                <w:rFonts w:ascii="Arial" w:hAnsi="Arial" w:cs="Arial" w:eastAsia="Arial" w:hint="default"/>
                <w:sz w:val="18"/>
                <w:szCs w:val="18"/>
              </w:rPr>
            </w:pPr>
            <w:r>
              <w:rPr>
                <w:rFonts w:ascii="宋体" w:hAnsi="宋体" w:cs="宋体" w:eastAsia="宋体" w:hint="default"/>
                <w:sz w:val="18"/>
                <w:szCs w:val="18"/>
              </w:rPr>
              <w:t>烟台年产</w:t>
            </w:r>
            <w:r>
              <w:rPr>
                <w:rFonts w:ascii="宋体" w:hAnsi="宋体" w:cs="宋体" w:eastAsia="宋体" w:hint="default"/>
                <w:spacing w:val="-48"/>
                <w:sz w:val="18"/>
                <w:szCs w:val="18"/>
              </w:rPr>
              <w:t> </w:t>
            </w:r>
            <w:r>
              <w:rPr>
                <w:rFonts w:ascii="Arial" w:hAnsi="Arial" w:cs="Arial" w:eastAsia="Arial" w:hint="default"/>
                <w:sz w:val="18"/>
                <w:szCs w:val="18"/>
              </w:rPr>
              <w:t>6,000</w:t>
            </w:r>
          </w:p>
          <w:p>
            <w:pPr>
              <w:pStyle w:val="TableParagraph"/>
              <w:spacing w:line="240" w:lineRule="auto" w:before="63"/>
              <w:ind w:left="74" w:right="0"/>
              <w:jc w:val="left"/>
              <w:rPr>
                <w:rFonts w:ascii="宋体" w:hAnsi="宋体" w:cs="宋体" w:eastAsia="宋体" w:hint="default"/>
                <w:sz w:val="18"/>
                <w:szCs w:val="18"/>
              </w:rPr>
            </w:pPr>
            <w:r>
              <w:rPr>
                <w:rFonts w:ascii="宋体" w:hAnsi="宋体" w:cs="宋体" w:eastAsia="宋体" w:hint="default"/>
                <w:sz w:val="18"/>
                <w:szCs w:val="18"/>
              </w:rPr>
              <w:t>吨分散染料项目</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Arial" w:hAnsi="Arial" w:cs="Arial" w:eastAsia="Arial" w:hint="default"/>
                <w:sz w:val="18"/>
                <w:szCs w:val="18"/>
              </w:rPr>
            </w:pPr>
            <w:r>
              <w:rPr>
                <w:rFonts w:ascii="Arial"/>
                <w:sz w:val="18"/>
              </w:rPr>
              <w:t>9,470.45</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Arial" w:hAnsi="Arial" w:cs="Arial" w:eastAsia="Arial" w:hint="default"/>
                <w:sz w:val="18"/>
                <w:szCs w:val="18"/>
              </w:rPr>
            </w:pPr>
            <w:r>
              <w:rPr>
                <w:rFonts w:ascii="Arial"/>
                <w:sz w:val="18"/>
              </w:rPr>
              <w:t>9,470.45</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Arial" w:hAnsi="Arial" w:cs="Arial" w:eastAsia="Arial" w:hint="default"/>
                <w:sz w:val="18"/>
                <w:szCs w:val="18"/>
              </w:rPr>
            </w:pPr>
            <w:r>
              <w:rPr>
                <w:rFonts w:ascii="Arial"/>
                <w:sz w:val="18"/>
              </w:rPr>
              <w:t>876.87</w:t>
            </w:r>
          </w:p>
        </w:tc>
        <w:tc>
          <w:tcPr>
            <w:tcW w:w="7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 w:right="0"/>
              <w:jc w:val="left"/>
              <w:rPr>
                <w:rFonts w:ascii="Arial" w:hAnsi="Arial" w:cs="Arial" w:eastAsia="Arial" w:hint="default"/>
                <w:sz w:val="18"/>
                <w:szCs w:val="18"/>
              </w:rPr>
            </w:pPr>
            <w:r>
              <w:rPr>
                <w:rFonts w:ascii="Arial"/>
                <w:sz w:val="18"/>
              </w:rPr>
              <w:t>876.87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Arial" w:hAnsi="Arial" w:cs="Arial" w:eastAsia="Arial" w:hint="default"/>
                <w:sz w:val="18"/>
                <w:szCs w:val="18"/>
              </w:rPr>
            </w:pPr>
            <w:r>
              <w:rPr>
                <w:rFonts w:ascii="Arial"/>
                <w:sz w:val="18"/>
              </w:rPr>
              <w:t>9.25%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Arial" w:hAnsi="Arial" w:cs="Arial" w:eastAsia="Arial" w:hint="default"/>
                <w:sz w:val="18"/>
                <w:szCs w:val="18"/>
              </w:rPr>
              <w:t>12</w:t>
            </w:r>
            <w:r>
              <w:rPr>
                <w:rFonts w:ascii="Arial" w:hAnsi="Arial" w:cs="Arial" w:eastAsia="Arial" w:hint="default"/>
                <w:spacing w:val="-11"/>
                <w:sz w:val="18"/>
                <w:szCs w:val="18"/>
              </w:rPr>
              <w:t> </w:t>
            </w:r>
            <w:r>
              <w:rPr>
                <w:rFonts w:ascii="宋体" w:hAnsi="宋体" w:cs="宋体" w:eastAsia="宋体" w:hint="default"/>
                <w:sz w:val="18"/>
                <w:szCs w:val="18"/>
              </w:rPr>
              <w:t>月</w:t>
            </w:r>
          </w:p>
        </w:tc>
        <w:tc>
          <w:tcPr>
            <w:tcW w:w="780" w:type="dxa"/>
            <w:gridSpan w:val="2"/>
            <w:tcBorders>
              <w:top w:val="single" w:sz="4" w:space="0" w:color="000000"/>
              <w:left w:val="single" w:sz="4" w:space="0" w:color="000000"/>
              <w:bottom w:val="single" w:sz="4" w:space="0" w:color="000000"/>
              <w:right w:val="single" w:sz="4" w:space="0" w:color="000000"/>
            </w:tcBorders>
          </w:tcPr>
          <w:p>
            <w:pPr/>
          </w:p>
        </w:tc>
        <w:tc>
          <w:tcPr>
            <w:tcW w:w="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8"/>
              <w:ind w:left="614" w:right="70" w:hanging="540"/>
              <w:jc w:val="left"/>
              <w:rPr>
                <w:rFonts w:ascii="宋体" w:hAnsi="宋体" w:cs="宋体" w:eastAsia="宋体" w:hint="default"/>
                <w:sz w:val="18"/>
                <w:szCs w:val="18"/>
              </w:rPr>
            </w:pPr>
            <w:r>
              <w:rPr>
                <w:rFonts w:ascii="宋体" w:hAnsi="宋体" w:cs="宋体" w:eastAsia="宋体" w:hint="default"/>
                <w:sz w:val="18"/>
                <w:szCs w:val="18"/>
              </w:rPr>
              <w:t>承诺投资项目小</w:t>
            </w:r>
            <w:r>
              <w:rPr>
                <w:rFonts w:ascii="宋体" w:hAnsi="宋体" w:cs="宋体" w:eastAsia="宋体" w:hint="default"/>
                <w:w w:val="99"/>
                <w:sz w:val="18"/>
                <w:szCs w:val="18"/>
              </w:rPr>
              <w:t> </w:t>
            </w:r>
            <w:r>
              <w:rPr>
                <w:rFonts w:ascii="宋体" w:hAnsi="宋体" w:cs="宋体" w:eastAsia="宋体" w:hint="default"/>
                <w:sz w:val="18"/>
                <w:szCs w:val="18"/>
              </w:rPr>
              <w:t>计</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Arial" w:hAnsi="Arial" w:cs="Arial" w:eastAsia="Arial" w:hint="default"/>
                <w:sz w:val="18"/>
                <w:szCs w:val="18"/>
              </w:rPr>
            </w:pPr>
            <w:r>
              <w:rPr>
                <w:rFonts w:ascii="Arial"/>
                <w:w w:val="99"/>
                <w:sz w:val="18"/>
              </w:rPr>
              <w:t>-</w:t>
            </w:r>
            <w:r>
              <w:rPr>
                <w:rFonts w:ascii="Arial"/>
                <w:sz w:val="18"/>
              </w:rPr>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 w:right="0"/>
              <w:jc w:val="left"/>
              <w:rPr>
                <w:rFonts w:ascii="Arial" w:hAnsi="Arial" w:cs="Arial" w:eastAsia="Arial" w:hint="default"/>
                <w:sz w:val="18"/>
                <w:szCs w:val="18"/>
              </w:rPr>
            </w:pPr>
            <w:r>
              <w:rPr>
                <w:rFonts w:ascii="Arial"/>
                <w:sz w:val="18"/>
              </w:rPr>
              <w:t>20,856.06</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Arial" w:hAnsi="Arial" w:cs="Arial" w:eastAsia="Arial" w:hint="default"/>
                <w:sz w:val="18"/>
                <w:szCs w:val="18"/>
              </w:rPr>
            </w:pPr>
            <w:r>
              <w:rPr>
                <w:rFonts w:ascii="Arial"/>
                <w:sz w:val="18"/>
              </w:rPr>
              <w:t>20,856.06</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10,130.27</w:t>
            </w:r>
          </w:p>
        </w:tc>
        <w:tc>
          <w:tcPr>
            <w:tcW w:w="7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Arial" w:hAnsi="Arial" w:cs="Arial" w:eastAsia="Arial" w:hint="default"/>
                <w:sz w:val="18"/>
                <w:szCs w:val="18"/>
              </w:rPr>
            </w:pPr>
            <w:r>
              <w:rPr>
                <w:rFonts w:ascii="Arial"/>
                <w:w w:val="99"/>
                <w:sz w:val="18"/>
              </w:rPr>
              <w:t>-</w:t>
            </w:r>
            <w:r>
              <w:rPr>
                <w:rFonts w:ascii="Arial"/>
                <w:sz w:val="18"/>
              </w:rPr>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0" w:right="0"/>
              <w:jc w:val="left"/>
              <w:rPr>
                <w:rFonts w:ascii="Arial" w:hAnsi="Arial" w:cs="Arial" w:eastAsia="Arial" w:hint="default"/>
                <w:sz w:val="18"/>
                <w:szCs w:val="18"/>
              </w:rPr>
            </w:pPr>
            <w:r>
              <w:rPr>
                <w:rFonts w:ascii="Arial"/>
                <w:sz w:val="18"/>
              </w:rPr>
              <w:t>276.89</w:t>
            </w:r>
          </w:p>
        </w:tc>
        <w:tc>
          <w:tcPr>
            <w:tcW w:w="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24" w:hRule="exact"/>
        </w:trPr>
        <w:tc>
          <w:tcPr>
            <w:tcW w:w="14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超募资金投向</w:t>
            </w:r>
          </w:p>
        </w:tc>
        <w:tc>
          <w:tcPr>
            <w:tcW w:w="9612" w:type="dxa"/>
            <w:gridSpan w:val="12"/>
            <w:tcBorders>
              <w:top w:val="single" w:sz="4" w:space="0" w:color="000000"/>
              <w:left w:val="single" w:sz="13" w:space="0" w:color="DCDCDC"/>
              <w:bottom w:val="single" w:sz="4" w:space="0" w:color="000000"/>
              <w:right w:val="single" w:sz="4" w:space="0" w:color="000000"/>
            </w:tcBorders>
          </w:tcPr>
          <w:p>
            <w:pP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归还银行贷款</w:t>
            </w:r>
          </w:p>
        </w:tc>
        <w:tc>
          <w:tcPr>
            <w:tcW w:w="1092" w:type="dxa"/>
            <w:tcBorders>
              <w:top w:val="single" w:sz="4" w:space="0" w:color="000000"/>
              <w:left w:val="single" w:sz="13" w:space="0" w:color="DCDCDC"/>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3" w:right="0"/>
              <w:jc w:val="left"/>
              <w:rPr>
                <w:rFonts w:ascii="Arial" w:hAnsi="Arial" w:cs="Arial" w:eastAsia="Arial" w:hint="default"/>
                <w:sz w:val="18"/>
                <w:szCs w:val="18"/>
              </w:rPr>
            </w:pPr>
            <w:r>
              <w:rPr>
                <w:rFonts w:ascii="Arial"/>
                <w:sz w:val="18"/>
              </w:rPr>
              <w:t>3,500.00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Arial" w:hAnsi="Arial" w:cs="Arial" w:eastAsia="Arial" w:hint="default"/>
                <w:sz w:val="18"/>
                <w:szCs w:val="18"/>
              </w:rPr>
            </w:pPr>
            <w:r>
              <w:rPr>
                <w:rFonts w:ascii="Arial"/>
                <w:sz w:val="18"/>
              </w:rPr>
              <w:t>3,500.00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3,500.00</w:t>
            </w:r>
          </w:p>
        </w:tc>
        <w:tc>
          <w:tcPr>
            <w:tcW w:w="7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1" w:right="0"/>
              <w:jc w:val="left"/>
              <w:rPr>
                <w:rFonts w:ascii="Arial" w:hAnsi="Arial" w:cs="Arial" w:eastAsia="Arial" w:hint="default"/>
                <w:sz w:val="18"/>
                <w:szCs w:val="18"/>
              </w:rPr>
            </w:pPr>
            <w:r>
              <w:rPr>
                <w:rFonts w:ascii="Arial"/>
                <w:sz w:val="18"/>
              </w:rPr>
              <w:t>3,500.00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Arial" w:hAnsi="Arial" w:cs="Arial" w:eastAsia="Arial" w:hint="default"/>
                <w:sz w:val="18"/>
                <w:szCs w:val="18"/>
              </w:rPr>
            </w:pPr>
            <w:r>
              <w:rPr>
                <w:rFonts w:ascii="Arial"/>
                <w:sz w:val="18"/>
              </w:rPr>
              <w:t>100%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Arial" w:hAnsi="Arial" w:cs="Arial" w:eastAsia="Arial" w:hint="default"/>
                <w:sz w:val="18"/>
                <w:szCs w:val="18"/>
              </w:rPr>
            </w:pPr>
            <w:r>
              <w:rPr>
                <w:rFonts w:ascii="Arial"/>
                <w:w w:val="99"/>
                <w:sz w:val="18"/>
              </w:rPr>
              <w:t>-</w:t>
            </w:r>
            <w:r>
              <w:rPr>
                <w:rFonts w:ascii="Arial"/>
                <w:sz w:val="18"/>
              </w:rPr>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w w:val="99"/>
                <w:sz w:val="18"/>
              </w:rPr>
              <w:t>-</w:t>
            </w:r>
            <w:r>
              <w:rPr>
                <w:rFonts w:ascii="Arial"/>
                <w:sz w:val="18"/>
              </w:rPr>
            </w:r>
          </w:p>
        </w:tc>
        <w:tc>
          <w:tcPr>
            <w:tcW w:w="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w w:val="99"/>
                <w:sz w:val="18"/>
              </w:rPr>
              <w:t>-</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1258" w:hRule="exact"/>
        </w:trPr>
        <w:tc>
          <w:tcPr>
            <w:tcW w:w="14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8"/>
              <w:ind w:left="11" w:right="5"/>
              <w:jc w:val="left"/>
              <w:rPr>
                <w:rFonts w:ascii="宋体" w:hAnsi="宋体" w:cs="宋体" w:eastAsia="宋体" w:hint="default"/>
                <w:sz w:val="18"/>
                <w:szCs w:val="18"/>
              </w:rPr>
            </w:pPr>
            <w:r>
              <w:rPr>
                <w:rFonts w:ascii="宋体" w:hAnsi="宋体" w:cs="宋体" w:eastAsia="宋体" w:hint="default"/>
                <w:spacing w:val="17"/>
                <w:sz w:val="18"/>
                <w:szCs w:val="18"/>
              </w:rPr>
              <w:t>东营年产染料滤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饼 </w:t>
            </w:r>
            <w:r>
              <w:rPr>
                <w:rFonts w:ascii="Arial" w:hAnsi="Arial" w:cs="Arial" w:eastAsia="Arial" w:hint="default"/>
                <w:sz w:val="18"/>
                <w:szCs w:val="18"/>
              </w:rPr>
              <w:t>1,500 </w:t>
            </w:r>
            <w:r>
              <w:rPr>
                <w:rFonts w:ascii="Arial" w:hAnsi="Arial" w:cs="Arial" w:eastAsia="Arial" w:hint="default"/>
                <w:spacing w:val="8"/>
                <w:sz w:val="18"/>
                <w:szCs w:val="18"/>
              </w:rPr>
              <w:t> </w:t>
            </w:r>
            <w:r>
              <w:rPr>
                <w:rFonts w:ascii="宋体" w:hAnsi="宋体" w:cs="宋体" w:eastAsia="宋体" w:hint="default"/>
                <w:spacing w:val="4"/>
                <w:sz w:val="18"/>
                <w:szCs w:val="18"/>
              </w:rPr>
              <w:t>吨及分</w:t>
            </w:r>
          </w:p>
          <w:p>
            <w:pPr>
              <w:pStyle w:val="TableParagraph"/>
              <w:spacing w:line="302" w:lineRule="auto"/>
              <w:ind w:left="11" w:right="7"/>
              <w:jc w:val="left"/>
              <w:rPr>
                <w:rFonts w:ascii="宋体" w:hAnsi="宋体" w:cs="宋体" w:eastAsia="宋体" w:hint="default"/>
                <w:sz w:val="18"/>
                <w:szCs w:val="18"/>
              </w:rPr>
            </w:pPr>
            <w:r>
              <w:rPr>
                <w:rFonts w:ascii="宋体" w:hAnsi="宋体" w:cs="宋体" w:eastAsia="宋体" w:hint="default"/>
                <w:spacing w:val="4"/>
                <w:sz w:val="18"/>
                <w:szCs w:val="18"/>
              </w:rPr>
              <w:t>散染料 </w:t>
            </w:r>
            <w:r>
              <w:rPr>
                <w:rFonts w:ascii="Arial" w:hAnsi="Arial" w:cs="Arial" w:eastAsia="Arial" w:hint="default"/>
                <w:sz w:val="18"/>
                <w:szCs w:val="18"/>
              </w:rPr>
              <w:t>5,000</w:t>
            </w:r>
            <w:r>
              <w:rPr>
                <w:rFonts w:ascii="Arial" w:hAnsi="Arial" w:cs="Arial" w:eastAsia="Arial" w:hint="default"/>
                <w:spacing w:val="4"/>
                <w:sz w:val="18"/>
                <w:szCs w:val="18"/>
              </w:rPr>
              <w:t> </w:t>
            </w:r>
            <w:r>
              <w:rPr>
                <w:rFonts w:ascii="宋体" w:hAnsi="宋体" w:cs="宋体" w:eastAsia="宋体" w:hint="default"/>
                <w:sz w:val="18"/>
                <w:szCs w:val="18"/>
              </w:rPr>
              <w:t>吨</w:t>
            </w:r>
            <w:r>
              <w:rPr>
                <w:rFonts w:ascii="宋体" w:hAnsi="宋体" w:cs="宋体" w:eastAsia="宋体" w:hint="default"/>
                <w:w w:val="99"/>
                <w:sz w:val="18"/>
                <w:szCs w:val="18"/>
              </w:rPr>
              <w:t> </w:t>
            </w:r>
            <w:r>
              <w:rPr>
                <w:rFonts w:ascii="宋体" w:hAnsi="宋体" w:cs="宋体" w:eastAsia="宋体" w:hint="default"/>
                <w:sz w:val="18"/>
                <w:szCs w:val="18"/>
              </w:rPr>
              <w:t>项目</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宋体" w:hAnsi="宋体" w:cs="宋体" w:eastAsia="宋体" w:hint="default"/>
                <w:sz w:val="18"/>
                <w:szCs w:val="18"/>
              </w:rPr>
              <w:t>否</w:t>
            </w:r>
            <w:r>
              <w:rPr>
                <w:rFonts w:ascii="Arial" w:hAnsi="Arial" w:cs="Arial" w:eastAsia="Arial" w:hint="default"/>
                <w:sz w:val="18"/>
                <w:szCs w:val="18"/>
              </w:rPr>
              <w:t>-</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Arial" w:hAnsi="Arial" w:cs="Arial" w:eastAsia="Arial" w:hint="default"/>
                <w:sz w:val="18"/>
                <w:szCs w:val="18"/>
              </w:rPr>
            </w:pPr>
            <w:r>
              <w:rPr>
                <w:rFonts w:ascii="Arial"/>
                <w:sz w:val="18"/>
              </w:rPr>
              <w:t>4,953.00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 w:right="0"/>
              <w:jc w:val="center"/>
              <w:rPr>
                <w:rFonts w:ascii="Arial" w:hAnsi="Arial" w:cs="Arial" w:eastAsia="Arial" w:hint="default"/>
                <w:sz w:val="18"/>
                <w:szCs w:val="18"/>
              </w:rPr>
            </w:pPr>
            <w:r>
              <w:rPr>
                <w:rFonts w:ascii="Arial"/>
                <w:sz w:val="18"/>
              </w:rPr>
              <w:t>4,953.00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0"/>
              <w:jc w:val="center"/>
              <w:rPr>
                <w:rFonts w:ascii="Arial" w:hAnsi="Arial" w:cs="Arial" w:eastAsia="Arial" w:hint="default"/>
                <w:sz w:val="18"/>
                <w:szCs w:val="18"/>
              </w:rPr>
            </w:pPr>
            <w:r>
              <w:rPr>
                <w:rFonts w:ascii="Arial"/>
                <w:sz w:val="18"/>
              </w:rPr>
              <w:t>686.52</w:t>
            </w:r>
          </w:p>
        </w:tc>
        <w:tc>
          <w:tcPr>
            <w:tcW w:w="7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7" w:right="0"/>
              <w:jc w:val="left"/>
              <w:rPr>
                <w:rFonts w:ascii="Arial" w:hAnsi="Arial" w:cs="Arial" w:eastAsia="Arial" w:hint="default"/>
                <w:sz w:val="18"/>
                <w:szCs w:val="18"/>
              </w:rPr>
            </w:pPr>
            <w:r>
              <w:rPr>
                <w:rFonts w:ascii="Arial"/>
                <w:sz w:val="18"/>
              </w:rPr>
              <w:t>686.52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Arial" w:hAnsi="Arial" w:cs="Arial" w:eastAsia="Arial" w:hint="default"/>
                <w:sz w:val="18"/>
                <w:szCs w:val="18"/>
              </w:rPr>
            </w:pPr>
            <w:r>
              <w:rPr>
                <w:rFonts w:ascii="Arial"/>
                <w:sz w:val="18"/>
              </w:rPr>
              <w:t>13.86%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7</w:t>
            </w:r>
            <w:r>
              <w:rPr>
                <w:rFonts w:ascii="Arial" w:hAnsi="Arial" w:cs="Arial" w:eastAsia="Arial" w:hint="default"/>
                <w:spacing w:val="-5"/>
                <w:sz w:val="18"/>
                <w:szCs w:val="18"/>
              </w:rPr>
              <w:t> </w:t>
            </w:r>
            <w:r>
              <w:rPr>
                <w:rFonts w:ascii="宋体" w:hAnsi="宋体" w:cs="宋体" w:eastAsia="宋体" w:hint="default"/>
                <w:sz w:val="18"/>
                <w:szCs w:val="18"/>
              </w:rPr>
              <w:t>月</w:t>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Arial" w:hAnsi="Arial" w:cs="Arial" w:eastAsia="Arial" w:hint="default"/>
                <w:sz w:val="18"/>
                <w:szCs w:val="18"/>
              </w:rPr>
            </w:pPr>
            <w:r>
              <w:rPr>
                <w:rFonts w:ascii="Arial"/>
                <w:sz w:val="18"/>
              </w:rPr>
              <w:t>23.64-</w:t>
            </w:r>
          </w:p>
        </w:tc>
        <w:tc>
          <w:tcPr>
            <w:tcW w:w="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宋体" w:hAnsi="宋体" w:cs="宋体" w:eastAsia="宋体" w:hint="default"/>
                <w:sz w:val="18"/>
                <w:szCs w:val="18"/>
              </w:rPr>
              <w:t>不适用</w:t>
            </w:r>
            <w:r>
              <w:rPr>
                <w:rFonts w:ascii="Arial" w:hAnsi="Arial" w:cs="Arial" w:eastAsia="Arial"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8"/>
              <w:ind w:left="254" w:right="70" w:hanging="180"/>
              <w:jc w:val="left"/>
              <w:rPr>
                <w:rFonts w:ascii="宋体" w:hAnsi="宋体" w:cs="宋体" w:eastAsia="宋体" w:hint="default"/>
                <w:sz w:val="18"/>
                <w:szCs w:val="18"/>
              </w:rPr>
            </w:pPr>
            <w:r>
              <w:rPr>
                <w:rFonts w:ascii="宋体" w:hAnsi="宋体" w:cs="宋体" w:eastAsia="宋体" w:hint="default"/>
                <w:sz w:val="18"/>
                <w:szCs w:val="18"/>
              </w:rPr>
              <w:t>收购烟台子公司</w:t>
            </w:r>
            <w:r>
              <w:rPr>
                <w:rFonts w:ascii="宋体" w:hAnsi="宋体" w:cs="宋体" w:eastAsia="宋体" w:hint="default"/>
                <w:w w:val="99"/>
                <w:sz w:val="18"/>
                <w:szCs w:val="18"/>
              </w:rPr>
              <w:t> </w:t>
            </w:r>
            <w:r>
              <w:rPr>
                <w:rFonts w:ascii="宋体" w:hAnsi="宋体" w:cs="宋体" w:eastAsia="宋体" w:hint="default"/>
                <w:sz w:val="18"/>
                <w:szCs w:val="18"/>
              </w:rPr>
              <w:t>自然人股权</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0" w:right="0"/>
              <w:jc w:val="left"/>
              <w:rPr>
                <w:rFonts w:ascii="Arial" w:hAnsi="Arial" w:cs="Arial" w:eastAsia="Arial" w:hint="default"/>
                <w:sz w:val="18"/>
                <w:szCs w:val="18"/>
              </w:rPr>
            </w:pPr>
            <w:r>
              <w:rPr>
                <w:rFonts w:ascii="Arial"/>
                <w:sz w:val="18"/>
              </w:rPr>
              <w:t>985.00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Arial" w:hAnsi="Arial" w:cs="Arial" w:eastAsia="Arial" w:hint="default"/>
                <w:sz w:val="18"/>
                <w:szCs w:val="18"/>
              </w:rPr>
            </w:pPr>
            <w:r>
              <w:rPr>
                <w:rFonts w:ascii="Arial"/>
                <w:sz w:val="18"/>
              </w:rPr>
              <w:t>985.00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69.00</w:t>
            </w:r>
          </w:p>
        </w:tc>
        <w:tc>
          <w:tcPr>
            <w:tcW w:w="7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5" w:right="0"/>
              <w:jc w:val="left"/>
              <w:rPr>
                <w:rFonts w:ascii="Arial" w:hAnsi="Arial" w:cs="Arial" w:eastAsia="Arial" w:hint="default"/>
                <w:sz w:val="18"/>
                <w:szCs w:val="18"/>
              </w:rPr>
            </w:pPr>
            <w:r>
              <w:rPr>
                <w:rFonts w:ascii="Arial"/>
                <w:sz w:val="18"/>
              </w:rPr>
              <w:t>69.00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sz w:val="18"/>
              </w:rPr>
              <w:t>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月</w:t>
            </w:r>
          </w:p>
        </w:tc>
        <w:tc>
          <w:tcPr>
            <w:tcW w:w="780" w:type="dxa"/>
            <w:gridSpan w:val="2"/>
            <w:tcBorders>
              <w:top w:val="single" w:sz="4" w:space="0" w:color="000000"/>
              <w:left w:val="single" w:sz="4" w:space="0" w:color="000000"/>
              <w:bottom w:val="single" w:sz="4" w:space="0" w:color="000000"/>
              <w:right w:val="single" w:sz="4" w:space="0" w:color="000000"/>
            </w:tcBorders>
          </w:tcPr>
          <w:p>
            <w:pPr/>
          </w:p>
        </w:tc>
        <w:tc>
          <w:tcPr>
            <w:tcW w:w="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8"/>
              <w:ind w:left="614" w:right="70" w:hanging="540"/>
              <w:jc w:val="left"/>
              <w:rPr>
                <w:rFonts w:ascii="宋体" w:hAnsi="宋体" w:cs="宋体" w:eastAsia="宋体" w:hint="default"/>
                <w:sz w:val="18"/>
                <w:szCs w:val="18"/>
              </w:rPr>
            </w:pPr>
            <w:r>
              <w:rPr>
                <w:rFonts w:ascii="宋体" w:hAnsi="宋体" w:cs="宋体" w:eastAsia="宋体" w:hint="default"/>
                <w:sz w:val="18"/>
                <w:szCs w:val="18"/>
              </w:rPr>
              <w:t>超募资金投向小</w:t>
            </w:r>
            <w:r>
              <w:rPr>
                <w:rFonts w:ascii="宋体" w:hAnsi="宋体" w:cs="宋体" w:eastAsia="宋体" w:hint="default"/>
                <w:w w:val="99"/>
                <w:sz w:val="18"/>
                <w:szCs w:val="18"/>
              </w:rPr>
              <w:t> </w:t>
            </w:r>
            <w:r>
              <w:rPr>
                <w:rFonts w:ascii="宋体" w:hAnsi="宋体" w:cs="宋体" w:eastAsia="宋体" w:hint="default"/>
                <w:sz w:val="18"/>
                <w:szCs w:val="18"/>
              </w:rPr>
              <w:t>计</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Arial" w:hAnsi="Arial" w:cs="Arial" w:eastAsia="Arial" w:hint="default"/>
                <w:sz w:val="18"/>
                <w:szCs w:val="18"/>
              </w:rPr>
            </w:pPr>
            <w:r>
              <w:rPr>
                <w:rFonts w:ascii="Arial"/>
                <w:w w:val="99"/>
                <w:sz w:val="18"/>
              </w:rPr>
              <w:t>-</w:t>
            </w:r>
            <w:r>
              <w:rPr>
                <w:rFonts w:ascii="Arial"/>
                <w:sz w:val="18"/>
              </w:rPr>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Arial" w:hAnsi="Arial" w:cs="Arial" w:eastAsia="Arial" w:hint="default"/>
                <w:sz w:val="18"/>
                <w:szCs w:val="18"/>
              </w:rPr>
            </w:pPr>
            <w:r>
              <w:rPr>
                <w:rFonts w:ascii="Arial"/>
                <w:sz w:val="18"/>
              </w:rPr>
              <w:t>9,438.00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Arial" w:hAnsi="Arial" w:cs="Arial" w:eastAsia="Arial" w:hint="default"/>
                <w:sz w:val="18"/>
                <w:szCs w:val="18"/>
              </w:rPr>
            </w:pPr>
            <w:r>
              <w:rPr>
                <w:rFonts w:ascii="Arial"/>
                <w:sz w:val="18"/>
              </w:rPr>
              <w:t>9,438.00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4,255.52</w:t>
            </w:r>
          </w:p>
        </w:tc>
        <w:tc>
          <w:tcPr>
            <w:tcW w:w="7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 w:right="0"/>
              <w:jc w:val="left"/>
              <w:rPr>
                <w:rFonts w:ascii="Arial" w:hAnsi="Arial" w:cs="Arial" w:eastAsia="Arial" w:hint="default"/>
                <w:sz w:val="18"/>
                <w:szCs w:val="18"/>
              </w:rPr>
            </w:pPr>
            <w:r>
              <w:rPr>
                <w:rFonts w:ascii="Arial"/>
                <w:sz w:val="18"/>
              </w:rPr>
              <w:t>4,255.52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Arial" w:hAnsi="Arial" w:cs="Arial" w:eastAsia="Arial" w:hint="default"/>
                <w:sz w:val="18"/>
                <w:szCs w:val="18"/>
              </w:rPr>
            </w:pPr>
            <w:r>
              <w:rPr>
                <w:rFonts w:ascii="Arial"/>
                <w:w w:val="99"/>
                <w:sz w:val="18"/>
              </w:rPr>
              <w:t>-</w:t>
            </w:r>
            <w:r>
              <w:rPr>
                <w:rFonts w:ascii="Arial"/>
                <w:sz w:val="18"/>
              </w:rPr>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8" w:right="0"/>
              <w:jc w:val="left"/>
              <w:rPr>
                <w:rFonts w:ascii="Arial" w:hAnsi="Arial" w:cs="Arial" w:eastAsia="Arial" w:hint="default"/>
                <w:sz w:val="18"/>
                <w:szCs w:val="18"/>
              </w:rPr>
            </w:pPr>
            <w:r>
              <w:rPr>
                <w:rFonts w:ascii="Arial"/>
                <w:sz w:val="18"/>
              </w:rPr>
              <w:t>23.64</w:t>
            </w:r>
          </w:p>
        </w:tc>
        <w:tc>
          <w:tcPr>
            <w:tcW w:w="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160" w:hRule="exact"/>
        </w:trPr>
        <w:tc>
          <w:tcPr>
            <w:tcW w:w="1416" w:type="dxa"/>
            <w:tcBorders>
              <w:top w:val="single" w:sz="4" w:space="0" w:color="000000"/>
              <w:left w:val="single" w:sz="4" w:space="0" w:color="000000"/>
              <w:bottom w:val="nil" w:sz="6" w:space="0" w:color="auto"/>
              <w:right w:val="single" w:sz="4" w:space="0" w:color="000000"/>
            </w:tcBorders>
            <w:shd w:val="clear" w:color="auto" w:fill="DCDCDC"/>
          </w:tcPr>
          <w:p>
            <w:pPr/>
          </w:p>
        </w:tc>
        <w:tc>
          <w:tcPr>
            <w:tcW w:w="1092" w:type="dxa"/>
            <w:vMerge w:val="restart"/>
            <w:tcBorders>
              <w:top w:val="single" w:sz="4" w:space="0" w:color="000000"/>
              <w:left w:val="single" w:sz="10" w:space="0" w:color="DCDCDC"/>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Arial" w:hAnsi="Arial" w:cs="Arial" w:eastAsia="Arial" w:hint="default"/>
                <w:sz w:val="18"/>
                <w:szCs w:val="18"/>
              </w:rPr>
            </w:pPr>
            <w:r>
              <w:rPr>
                <w:rFonts w:ascii="Arial"/>
                <w:w w:val="99"/>
                <w:sz w:val="18"/>
              </w:rPr>
              <w:t>-</w:t>
            </w:r>
            <w:r>
              <w:rPr>
                <w:rFonts w:ascii="Arial"/>
                <w:sz w:val="18"/>
              </w:rPr>
            </w:r>
          </w:p>
        </w:tc>
        <w:tc>
          <w:tcPr>
            <w:tcW w:w="89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 w:right="0"/>
              <w:jc w:val="left"/>
              <w:rPr>
                <w:rFonts w:ascii="Arial" w:hAnsi="Arial" w:cs="Arial" w:eastAsia="Arial" w:hint="default"/>
                <w:sz w:val="18"/>
                <w:szCs w:val="18"/>
              </w:rPr>
            </w:pPr>
            <w:r>
              <w:rPr>
                <w:rFonts w:ascii="Arial"/>
                <w:sz w:val="18"/>
              </w:rPr>
              <w:t>30,294.06</w:t>
            </w:r>
          </w:p>
        </w:tc>
        <w:tc>
          <w:tcPr>
            <w:tcW w:w="96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8" w:right="0"/>
              <w:jc w:val="left"/>
              <w:rPr>
                <w:rFonts w:ascii="Arial" w:hAnsi="Arial" w:cs="Arial" w:eastAsia="Arial" w:hint="default"/>
                <w:sz w:val="18"/>
                <w:szCs w:val="18"/>
              </w:rPr>
            </w:pPr>
            <w:r>
              <w:rPr>
                <w:rFonts w:ascii="Arial"/>
                <w:sz w:val="18"/>
              </w:rPr>
              <w:t>30,294.06</w:t>
            </w:r>
          </w:p>
        </w:tc>
        <w:tc>
          <w:tcPr>
            <w:tcW w:w="96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 w:right="0"/>
              <w:jc w:val="left"/>
              <w:rPr>
                <w:rFonts w:ascii="Arial" w:hAnsi="Arial" w:cs="Arial" w:eastAsia="Arial" w:hint="default"/>
                <w:sz w:val="18"/>
                <w:szCs w:val="18"/>
              </w:rPr>
            </w:pPr>
            <w:r>
              <w:rPr>
                <w:rFonts w:ascii="Arial"/>
                <w:sz w:val="18"/>
              </w:rPr>
              <w:t>14,385.79</w:t>
            </w:r>
          </w:p>
        </w:tc>
        <w:tc>
          <w:tcPr>
            <w:tcW w:w="776" w:type="dxa"/>
            <w:gridSpan w:val="2"/>
            <w:vMerge w:val="restart"/>
            <w:tcBorders>
              <w:top w:val="single" w:sz="4" w:space="0" w:color="000000"/>
              <w:left w:val="single" w:sz="4" w:space="0" w:color="000000"/>
              <w:right w:val="single" w:sz="4" w:space="0" w:color="000000"/>
            </w:tcBorders>
          </w:tcPr>
          <w:p>
            <w:pPr>
              <w:pStyle w:val="TableParagraph"/>
              <w:spacing w:line="240" w:lineRule="auto" w:before="49"/>
              <w:ind w:left="3" w:right="0"/>
              <w:jc w:val="center"/>
              <w:rPr>
                <w:rFonts w:ascii="Arial" w:hAnsi="Arial" w:cs="Arial" w:eastAsia="Arial" w:hint="default"/>
                <w:sz w:val="18"/>
                <w:szCs w:val="18"/>
              </w:rPr>
            </w:pPr>
            <w:r>
              <w:rPr>
                <w:rFonts w:ascii="Arial"/>
                <w:sz w:val="18"/>
              </w:rPr>
              <w:t>14,385.7</w:t>
            </w:r>
          </w:p>
          <w:p>
            <w:pPr>
              <w:pStyle w:val="TableParagraph"/>
              <w:spacing w:line="240" w:lineRule="auto" w:before="105"/>
              <w:ind w:left="1" w:right="0"/>
              <w:jc w:val="center"/>
              <w:rPr>
                <w:rFonts w:ascii="Arial" w:hAnsi="Arial" w:cs="Arial" w:eastAsia="Arial" w:hint="default"/>
                <w:sz w:val="18"/>
                <w:szCs w:val="18"/>
              </w:rPr>
            </w:pPr>
            <w:r>
              <w:rPr>
                <w:rFonts w:ascii="Arial"/>
                <w:w w:val="99"/>
                <w:sz w:val="18"/>
              </w:rPr>
              <w:t>9</w:t>
            </w:r>
            <w:r>
              <w:rPr>
                <w:rFonts w:ascii="Arial"/>
                <w:sz w:val="18"/>
              </w:rPr>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111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Arial" w:hAnsi="Arial" w:cs="Arial" w:eastAsia="Arial" w:hint="default"/>
                <w:sz w:val="18"/>
                <w:szCs w:val="18"/>
              </w:rPr>
            </w:pPr>
            <w:r>
              <w:rPr>
                <w:rFonts w:ascii="Arial"/>
                <w:w w:val="99"/>
                <w:sz w:val="18"/>
              </w:rPr>
              <w:t>-</w:t>
            </w:r>
            <w:r>
              <w:rPr>
                <w:rFonts w:ascii="Arial"/>
                <w:sz w:val="18"/>
              </w:rPr>
            </w:r>
          </w:p>
        </w:tc>
        <w:tc>
          <w:tcPr>
            <w:tcW w:w="780" w:type="dxa"/>
            <w:gridSpan w:val="2"/>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0" w:right="0"/>
              <w:jc w:val="left"/>
              <w:rPr>
                <w:rFonts w:ascii="Arial" w:hAnsi="Arial" w:cs="Arial" w:eastAsia="Arial" w:hint="default"/>
                <w:sz w:val="18"/>
                <w:szCs w:val="18"/>
              </w:rPr>
            </w:pPr>
            <w:r>
              <w:rPr>
                <w:rFonts w:ascii="Arial"/>
                <w:sz w:val="18"/>
              </w:rPr>
              <w:t>300.53</w:t>
            </w:r>
          </w:p>
        </w:tc>
        <w:tc>
          <w:tcPr>
            <w:tcW w:w="68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12" w:hRule="exact"/>
        </w:trPr>
        <w:tc>
          <w:tcPr>
            <w:tcW w:w="141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92" w:type="dxa"/>
            <w:vMerge/>
            <w:tcBorders>
              <w:left w:val="single" w:sz="10" w:space="0" w:color="DCDCDC"/>
              <w:right w:val="single" w:sz="4" w:space="0" w:color="000000"/>
            </w:tcBorders>
          </w:tcPr>
          <w:p>
            <w:pPr/>
          </w:p>
        </w:tc>
        <w:tc>
          <w:tcPr>
            <w:tcW w:w="896" w:type="dxa"/>
            <w:vMerge/>
            <w:tcBorders>
              <w:left w:val="single" w:sz="4" w:space="0" w:color="000000"/>
              <w:right w:val="single" w:sz="4" w:space="0" w:color="000000"/>
            </w:tcBorders>
          </w:tcPr>
          <w:p>
            <w:pPr/>
          </w:p>
        </w:tc>
        <w:tc>
          <w:tcPr>
            <w:tcW w:w="966" w:type="dxa"/>
            <w:vMerge/>
            <w:tcBorders>
              <w:left w:val="single" w:sz="4" w:space="0" w:color="000000"/>
              <w:right w:val="single" w:sz="4" w:space="0" w:color="000000"/>
            </w:tcBorders>
          </w:tcPr>
          <w:p>
            <w:pPr/>
          </w:p>
        </w:tc>
        <w:tc>
          <w:tcPr>
            <w:tcW w:w="962" w:type="dxa"/>
            <w:vMerge/>
            <w:tcBorders>
              <w:left w:val="single" w:sz="4" w:space="0" w:color="000000"/>
              <w:right w:val="single" w:sz="4" w:space="0" w:color="000000"/>
            </w:tcBorders>
          </w:tcPr>
          <w:p>
            <w:pPr/>
          </w:p>
        </w:tc>
        <w:tc>
          <w:tcPr>
            <w:tcW w:w="776" w:type="dxa"/>
            <w:gridSpan w:val="2"/>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780" w:type="dxa"/>
            <w:gridSpan w:val="2"/>
            <w:vMerge/>
            <w:tcBorders>
              <w:left w:val="single" w:sz="4" w:space="0" w:color="000000"/>
              <w:right w:val="single" w:sz="4" w:space="0" w:color="000000"/>
            </w:tcBorders>
          </w:tcPr>
          <w:p>
            <w:pPr/>
          </w:p>
        </w:tc>
        <w:tc>
          <w:tcPr>
            <w:tcW w:w="681"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161" w:hRule="exact"/>
        </w:trPr>
        <w:tc>
          <w:tcPr>
            <w:tcW w:w="1416" w:type="dxa"/>
            <w:tcBorders>
              <w:top w:val="nil" w:sz="6" w:space="0" w:color="auto"/>
              <w:left w:val="single" w:sz="4" w:space="0" w:color="000000"/>
              <w:bottom w:val="single" w:sz="4" w:space="0" w:color="000000"/>
              <w:right w:val="single" w:sz="4" w:space="0" w:color="000000"/>
            </w:tcBorders>
            <w:shd w:val="clear" w:color="auto" w:fill="DCDCDC"/>
          </w:tcPr>
          <w:p>
            <w:pPr/>
          </w:p>
        </w:tc>
        <w:tc>
          <w:tcPr>
            <w:tcW w:w="1092" w:type="dxa"/>
            <w:vMerge/>
            <w:tcBorders>
              <w:left w:val="single" w:sz="10" w:space="0" w:color="DCDCDC"/>
              <w:bottom w:val="single" w:sz="4" w:space="0" w:color="000000"/>
              <w:right w:val="single" w:sz="4" w:space="0" w:color="000000"/>
            </w:tcBorders>
          </w:tcPr>
          <w:p>
            <w:pPr/>
          </w:p>
        </w:tc>
        <w:tc>
          <w:tcPr>
            <w:tcW w:w="896" w:type="dxa"/>
            <w:vMerge/>
            <w:tcBorders>
              <w:left w:val="single" w:sz="4" w:space="0" w:color="000000"/>
              <w:bottom w:val="single" w:sz="4" w:space="0" w:color="000000"/>
              <w:right w:val="single" w:sz="4" w:space="0" w:color="000000"/>
            </w:tcBorders>
          </w:tcPr>
          <w:p>
            <w:pPr/>
          </w:p>
        </w:tc>
        <w:tc>
          <w:tcPr>
            <w:tcW w:w="966" w:type="dxa"/>
            <w:vMerge/>
            <w:tcBorders>
              <w:left w:val="single" w:sz="4" w:space="0" w:color="000000"/>
              <w:bottom w:val="single" w:sz="4" w:space="0" w:color="000000"/>
              <w:right w:val="single" w:sz="4" w:space="0" w:color="000000"/>
            </w:tcBorders>
          </w:tcPr>
          <w:p>
            <w:pPr/>
          </w:p>
        </w:tc>
        <w:tc>
          <w:tcPr>
            <w:tcW w:w="962" w:type="dxa"/>
            <w:vMerge/>
            <w:tcBorders>
              <w:left w:val="single" w:sz="4" w:space="0" w:color="000000"/>
              <w:bottom w:val="single" w:sz="4" w:space="0" w:color="000000"/>
              <w:right w:val="single" w:sz="4" w:space="0" w:color="000000"/>
            </w:tcBorders>
          </w:tcPr>
          <w:p>
            <w:pPr/>
          </w:p>
        </w:tc>
        <w:tc>
          <w:tcPr>
            <w:tcW w:w="776" w:type="dxa"/>
            <w:gridSpan w:val="2"/>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118" w:type="dxa"/>
            <w:vMerge/>
            <w:tcBorders>
              <w:left w:val="single" w:sz="4" w:space="0" w:color="000000"/>
              <w:bottom w:val="single" w:sz="4" w:space="0" w:color="000000"/>
              <w:right w:val="single" w:sz="4" w:space="0" w:color="000000"/>
            </w:tcBorders>
          </w:tcPr>
          <w:p>
            <w:pPr/>
          </w:p>
        </w:tc>
        <w:tc>
          <w:tcPr>
            <w:tcW w:w="780" w:type="dxa"/>
            <w:gridSpan w:val="2"/>
            <w:vMerge/>
            <w:tcBorders>
              <w:left w:val="single" w:sz="4" w:space="0" w:color="000000"/>
              <w:bottom w:val="single" w:sz="4" w:space="0" w:color="000000"/>
              <w:right w:val="single" w:sz="4" w:space="0" w:color="000000"/>
            </w:tcBorders>
          </w:tcPr>
          <w:p>
            <w:pPr/>
          </w:p>
        </w:tc>
        <w:tc>
          <w:tcPr>
            <w:tcW w:w="681"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r>
      <w:tr>
        <w:trPr>
          <w:trHeight w:val="324" w:hRule="exact"/>
        </w:trPr>
        <w:tc>
          <w:tcPr>
            <w:tcW w:w="14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未达到计划进度</w:t>
            </w:r>
          </w:p>
        </w:tc>
        <w:tc>
          <w:tcPr>
            <w:tcW w:w="9612" w:type="dxa"/>
            <w:gridSpan w:val="12"/>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无未达到计划进度或预计收益的情况</w:t>
            </w:r>
          </w:p>
        </w:tc>
      </w:tr>
    </w:tbl>
    <w:p>
      <w:pPr>
        <w:spacing w:after="0" w:line="240" w:lineRule="auto"/>
        <w:jc w:val="left"/>
        <w:rPr>
          <w:rFonts w:ascii="宋体" w:hAnsi="宋体" w:cs="宋体" w:eastAsia="宋体" w:hint="default"/>
          <w:sz w:val="18"/>
          <w:szCs w:val="18"/>
        </w:rPr>
        <w:sectPr>
          <w:pgSz w:w="11900" w:h="16840"/>
          <w:pgMar w:header="877" w:footer="981" w:top="1100" w:bottom="1180" w:left="500" w:right="140"/>
        </w:sectPr>
      </w:pPr>
    </w:p>
    <w:p>
      <w:pPr>
        <w:spacing w:line="240" w:lineRule="auto" w:before="8"/>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1440"/>
        <w:gridCol w:w="9600"/>
      </w:tblGrid>
      <w:tr>
        <w:trPr>
          <w:trHeight w:val="946" w:hRule="exact"/>
        </w:trPr>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8"/>
              <w:ind w:left="23" w:right="19"/>
              <w:jc w:val="center"/>
              <w:rPr>
                <w:rFonts w:ascii="宋体" w:hAnsi="宋体" w:cs="宋体" w:eastAsia="宋体" w:hint="default"/>
                <w:sz w:val="18"/>
                <w:szCs w:val="18"/>
              </w:rPr>
            </w:pPr>
            <w:r>
              <w:rPr>
                <w:rFonts w:ascii="宋体" w:hAnsi="宋体" w:cs="宋体" w:eastAsia="宋体" w:hint="default"/>
                <w:sz w:val="18"/>
                <w:szCs w:val="18"/>
              </w:rPr>
              <w:t>或预计收益的情</w:t>
            </w:r>
            <w:r>
              <w:rPr>
                <w:rFonts w:ascii="宋体" w:hAnsi="宋体" w:cs="宋体" w:eastAsia="宋体" w:hint="default"/>
                <w:w w:val="99"/>
                <w:sz w:val="18"/>
                <w:szCs w:val="18"/>
              </w:rPr>
              <w:t> </w:t>
            </w:r>
            <w:r>
              <w:rPr>
                <w:rFonts w:ascii="宋体" w:hAnsi="宋体" w:cs="宋体" w:eastAsia="宋体" w:hint="default"/>
                <w:spacing w:val="-8"/>
                <w:sz w:val="18"/>
                <w:szCs w:val="18"/>
              </w:rPr>
              <w:t>况和原因（分具体</w:t>
            </w:r>
            <w:r>
              <w:rPr>
                <w:rFonts w:ascii="宋体" w:hAnsi="宋体" w:cs="宋体" w:eastAsia="宋体" w:hint="default"/>
                <w:w w:val="99"/>
                <w:sz w:val="18"/>
                <w:szCs w:val="18"/>
              </w:rPr>
              <w:t> </w:t>
            </w:r>
            <w:r>
              <w:rPr>
                <w:rFonts w:ascii="宋体" w:hAnsi="宋体" w:cs="宋体" w:eastAsia="宋体" w:hint="default"/>
                <w:sz w:val="18"/>
                <w:szCs w:val="18"/>
              </w:rPr>
              <w:t>项目）</w:t>
            </w:r>
          </w:p>
        </w:tc>
        <w:tc>
          <w:tcPr>
            <w:tcW w:w="9600" w:type="dxa"/>
            <w:tcBorders>
              <w:top w:val="single" w:sz="4" w:space="0" w:color="000000"/>
              <w:left w:val="single" w:sz="4" w:space="0" w:color="000000"/>
              <w:bottom w:val="single" w:sz="4" w:space="0" w:color="000000"/>
              <w:right w:val="single" w:sz="4" w:space="0" w:color="000000"/>
            </w:tcBorders>
          </w:tcPr>
          <w:p>
            <w:pPr/>
          </w:p>
        </w:tc>
      </w:tr>
      <w:tr>
        <w:trPr>
          <w:trHeight w:val="315" w:hRule="exact"/>
        </w:trPr>
        <w:tc>
          <w:tcPr>
            <w:tcW w:w="144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项目可行性发生</w:t>
            </w:r>
          </w:p>
        </w:tc>
        <w:tc>
          <w:tcPr>
            <w:tcW w:w="960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4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重大变化的情况</w:t>
            </w:r>
          </w:p>
        </w:tc>
        <w:tc>
          <w:tcPr>
            <w:tcW w:w="9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319" w:hRule="exact"/>
        </w:trPr>
        <w:tc>
          <w:tcPr>
            <w:tcW w:w="144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说明</w:t>
            </w:r>
          </w:p>
        </w:tc>
        <w:tc>
          <w:tcPr>
            <w:tcW w:w="9600" w:type="dxa"/>
            <w:tcBorders>
              <w:top w:val="nil" w:sz="6" w:space="0" w:color="auto"/>
              <w:left w:val="single" w:sz="4" w:space="0" w:color="000000"/>
              <w:bottom w:val="single" w:sz="4" w:space="0" w:color="000000"/>
              <w:right w:val="single" w:sz="4" w:space="0" w:color="000000"/>
            </w:tcBorders>
          </w:tcPr>
          <w:p>
            <w:pPr/>
          </w:p>
        </w:tc>
      </w:tr>
      <w:tr>
        <w:trPr>
          <w:trHeight w:val="319" w:hRule="exact"/>
        </w:trPr>
        <w:tc>
          <w:tcPr>
            <w:tcW w:w="1440" w:type="dxa"/>
            <w:tcBorders>
              <w:top w:val="single" w:sz="4" w:space="0" w:color="000000"/>
              <w:left w:val="single" w:sz="4" w:space="0" w:color="000000"/>
              <w:bottom w:val="nil" w:sz="6" w:space="0" w:color="auto"/>
              <w:right w:val="single" w:sz="4" w:space="0" w:color="000000"/>
            </w:tcBorders>
            <w:shd w:val="clear" w:color="auto" w:fill="DCDCDC"/>
          </w:tcPr>
          <w:p>
            <w:pPr/>
          </w:p>
        </w:tc>
        <w:tc>
          <w:tcPr>
            <w:tcW w:w="96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4"/>
                <w:sz w:val="18"/>
                <w:szCs w:val="18"/>
              </w:rPr>
              <w:t> </w:t>
            </w:r>
            <w:r>
              <w:rPr>
                <w:rFonts w:ascii="Arial" w:hAnsi="Arial" w:cs="Arial" w:eastAsia="Arial" w:hint="default"/>
                <w:sz w:val="18"/>
                <w:szCs w:val="18"/>
              </w:rPr>
              <w:t>2010</w:t>
            </w:r>
            <w:r>
              <w:rPr>
                <w:rFonts w:ascii="Arial" w:hAnsi="Arial" w:cs="Arial" w:eastAsia="Arial"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4</w:t>
            </w:r>
            <w:r>
              <w:rPr>
                <w:rFonts w:ascii="Arial" w:hAnsi="Arial" w:cs="Arial" w:eastAsia="Arial" w:hint="default"/>
                <w:spacing w:val="-13"/>
                <w:sz w:val="18"/>
                <w:szCs w:val="18"/>
              </w:rPr>
              <w:t> </w:t>
            </w:r>
            <w:r>
              <w:rPr>
                <w:rFonts w:ascii="宋体" w:hAnsi="宋体" w:cs="宋体" w:eastAsia="宋体" w:hint="default"/>
                <w:sz w:val="18"/>
                <w:szCs w:val="18"/>
              </w:rPr>
              <w:t>月发行新股取得募集资金</w:t>
            </w:r>
            <w:r>
              <w:rPr>
                <w:rFonts w:ascii="宋体" w:hAnsi="宋体" w:cs="宋体" w:eastAsia="宋体" w:hint="default"/>
                <w:spacing w:val="-54"/>
                <w:sz w:val="18"/>
                <w:szCs w:val="18"/>
              </w:rPr>
              <w:t> </w:t>
            </w:r>
            <w:r>
              <w:rPr>
                <w:rFonts w:ascii="Arial" w:hAnsi="Arial" w:cs="Arial" w:eastAsia="Arial" w:hint="default"/>
                <w:sz w:val="18"/>
                <w:szCs w:val="18"/>
              </w:rPr>
              <w:t>52,886.65</w:t>
            </w:r>
            <w:r>
              <w:rPr>
                <w:rFonts w:ascii="Arial" w:hAnsi="Arial" w:cs="Arial" w:eastAsia="Arial" w:hint="default"/>
                <w:spacing w:val="-13"/>
                <w:sz w:val="18"/>
                <w:szCs w:val="18"/>
              </w:rPr>
              <w:t> </w:t>
            </w:r>
            <w:r>
              <w:rPr>
                <w:rFonts w:ascii="宋体" w:hAnsi="宋体" w:cs="宋体" w:eastAsia="宋体" w:hint="default"/>
                <w:sz w:val="18"/>
                <w:szCs w:val="18"/>
              </w:rPr>
              <w:t>万元</w:t>
            </w:r>
            <w:r>
              <w:rPr>
                <w:rFonts w:ascii="Arial" w:hAnsi="Arial" w:cs="Arial" w:eastAsia="Arial" w:hint="default"/>
                <w:sz w:val="18"/>
                <w:szCs w:val="18"/>
              </w:rPr>
              <w:t>,</w:t>
            </w:r>
            <w:r>
              <w:rPr>
                <w:rFonts w:ascii="宋体" w:hAnsi="宋体" w:cs="宋体" w:eastAsia="宋体" w:hint="default"/>
                <w:sz w:val="18"/>
                <w:szCs w:val="18"/>
              </w:rPr>
              <w:t>除投入公司招股说明书列示的募投项目</w:t>
            </w:r>
            <w:r>
              <w:rPr>
                <w:rFonts w:ascii="宋体" w:hAnsi="宋体" w:cs="宋体" w:eastAsia="宋体" w:hint="default"/>
                <w:spacing w:val="-54"/>
                <w:sz w:val="18"/>
                <w:szCs w:val="18"/>
              </w:rPr>
              <w:t> </w:t>
            </w:r>
            <w:r>
              <w:rPr>
                <w:rFonts w:ascii="Arial" w:hAnsi="Arial" w:cs="Arial" w:eastAsia="Arial" w:hint="default"/>
                <w:sz w:val="18"/>
                <w:szCs w:val="18"/>
              </w:rPr>
              <w:t>20,856.06</w:t>
            </w:r>
            <w:r>
              <w:rPr>
                <w:rFonts w:ascii="Arial" w:hAnsi="Arial" w:cs="Arial" w:eastAsia="Arial" w:hint="default"/>
                <w:spacing w:val="-13"/>
                <w:sz w:val="18"/>
                <w:szCs w:val="18"/>
              </w:rPr>
              <w:t> </w:t>
            </w:r>
            <w:r>
              <w:rPr>
                <w:rFonts w:ascii="宋体" w:hAnsi="宋体" w:cs="宋体" w:eastAsia="宋体" w:hint="default"/>
                <w:sz w:val="18"/>
                <w:szCs w:val="18"/>
              </w:rPr>
              <w:t>万元外</w:t>
            </w:r>
            <w:r>
              <w:rPr>
                <w:rFonts w:ascii="Arial" w:hAnsi="Arial" w:cs="Arial" w:eastAsia="Arial" w:hint="default"/>
                <w:sz w:val="18"/>
                <w:szCs w:val="18"/>
              </w:rPr>
              <w:t>,</w:t>
            </w:r>
            <w:r>
              <w:rPr>
                <w:rFonts w:ascii="宋体" w:hAnsi="宋体" w:cs="宋体" w:eastAsia="宋体" w:hint="default"/>
                <w:sz w:val="18"/>
                <w:szCs w:val="18"/>
              </w:rPr>
              <w:t>尚有超</w:t>
            </w:r>
          </w:p>
        </w:tc>
      </w:tr>
      <w:tr>
        <w:trPr>
          <w:trHeight w:val="1248" w:hRule="exact"/>
        </w:trPr>
        <w:tc>
          <w:tcPr>
            <w:tcW w:w="14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23" w:right="-34"/>
              <w:jc w:val="center"/>
              <w:rPr>
                <w:rFonts w:ascii="宋体" w:hAnsi="宋体" w:cs="宋体" w:eastAsia="宋体" w:hint="default"/>
                <w:sz w:val="18"/>
                <w:szCs w:val="18"/>
              </w:rPr>
            </w:pPr>
            <w:r>
              <w:rPr>
                <w:rFonts w:ascii="宋体" w:hAnsi="宋体" w:cs="宋体" w:eastAsia="宋体" w:hint="default"/>
                <w:sz w:val="18"/>
                <w:szCs w:val="18"/>
              </w:rPr>
              <w:t>超募资金的金额、</w:t>
            </w:r>
            <w:r>
              <w:rPr>
                <w:rFonts w:ascii="宋体" w:hAnsi="宋体" w:cs="宋体" w:eastAsia="宋体" w:hint="default"/>
                <w:w w:val="99"/>
                <w:sz w:val="18"/>
                <w:szCs w:val="18"/>
              </w:rPr>
              <w:t> </w:t>
            </w:r>
            <w:r>
              <w:rPr>
                <w:rFonts w:ascii="宋体" w:hAnsi="宋体" w:cs="宋体" w:eastAsia="宋体" w:hint="default"/>
                <w:sz w:val="18"/>
                <w:szCs w:val="18"/>
              </w:rPr>
              <w:t>用途及使用进展</w:t>
            </w:r>
            <w:r>
              <w:rPr>
                <w:rFonts w:ascii="宋体" w:hAnsi="宋体" w:cs="宋体" w:eastAsia="宋体" w:hint="default"/>
                <w:w w:val="99"/>
                <w:sz w:val="18"/>
                <w:szCs w:val="18"/>
              </w:rPr>
              <w:t> </w:t>
            </w:r>
            <w:r>
              <w:rPr>
                <w:rFonts w:ascii="宋体" w:hAnsi="宋体" w:cs="宋体" w:eastAsia="宋体" w:hint="default"/>
                <w:sz w:val="18"/>
                <w:szCs w:val="18"/>
              </w:rPr>
              <w:t>情况</w:t>
            </w:r>
          </w:p>
        </w:tc>
        <w:tc>
          <w:tcPr>
            <w:tcW w:w="96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募资金</w:t>
            </w:r>
            <w:r>
              <w:rPr>
                <w:rFonts w:ascii="宋体" w:hAnsi="宋体" w:cs="宋体" w:eastAsia="宋体" w:hint="default"/>
                <w:spacing w:val="-41"/>
                <w:sz w:val="18"/>
                <w:szCs w:val="18"/>
              </w:rPr>
              <w:t> </w:t>
            </w:r>
            <w:r>
              <w:rPr>
                <w:rFonts w:ascii="Arial" w:hAnsi="Arial" w:cs="Arial" w:eastAsia="Arial" w:hint="default"/>
                <w:sz w:val="18"/>
                <w:szCs w:val="18"/>
              </w:rPr>
              <w:t>32,030.59 </w:t>
            </w:r>
            <w:r>
              <w:rPr>
                <w:rFonts w:ascii="宋体" w:hAnsi="宋体" w:cs="宋体" w:eastAsia="宋体" w:hint="default"/>
                <w:sz w:val="18"/>
                <w:szCs w:val="18"/>
              </w:rPr>
              <w:t>万元</w:t>
            </w:r>
            <w:r>
              <w:rPr>
                <w:rFonts w:ascii="Arial" w:hAnsi="Arial" w:cs="Arial" w:eastAsia="Arial" w:hint="default"/>
                <w:sz w:val="18"/>
                <w:szCs w:val="18"/>
              </w:rPr>
              <w:t>,</w:t>
            </w:r>
            <w:r>
              <w:rPr>
                <w:rFonts w:ascii="宋体" w:hAnsi="宋体" w:cs="宋体" w:eastAsia="宋体" w:hint="default"/>
                <w:sz w:val="18"/>
                <w:szCs w:val="18"/>
              </w:rPr>
              <w:t>本年度超募资金投向总额</w:t>
            </w:r>
            <w:r>
              <w:rPr>
                <w:rFonts w:ascii="宋体" w:hAnsi="宋体" w:cs="宋体" w:eastAsia="宋体" w:hint="default"/>
                <w:spacing w:val="-41"/>
                <w:sz w:val="18"/>
                <w:szCs w:val="18"/>
              </w:rPr>
              <w:t> </w:t>
            </w:r>
            <w:r>
              <w:rPr>
                <w:rFonts w:ascii="Arial" w:hAnsi="Arial" w:cs="Arial" w:eastAsia="Arial" w:hint="default"/>
                <w:sz w:val="18"/>
                <w:szCs w:val="18"/>
              </w:rPr>
              <w:t>9,438 </w:t>
            </w:r>
            <w:r>
              <w:rPr>
                <w:rFonts w:ascii="宋体" w:hAnsi="宋体" w:cs="宋体" w:eastAsia="宋体" w:hint="default"/>
                <w:sz w:val="18"/>
                <w:szCs w:val="18"/>
              </w:rPr>
              <w:t>万元</w:t>
            </w:r>
            <w:r>
              <w:rPr>
                <w:rFonts w:ascii="Arial" w:hAnsi="Arial" w:cs="Arial" w:eastAsia="Arial" w:hint="default"/>
                <w:sz w:val="18"/>
                <w:szCs w:val="18"/>
              </w:rPr>
              <w:t>,</w:t>
            </w:r>
            <w:r>
              <w:rPr>
                <w:rFonts w:ascii="宋体" w:hAnsi="宋体" w:cs="宋体" w:eastAsia="宋体" w:hint="default"/>
                <w:sz w:val="18"/>
                <w:szCs w:val="18"/>
              </w:rPr>
              <w:t>实际使用</w:t>
            </w:r>
            <w:r>
              <w:rPr>
                <w:rFonts w:ascii="宋体" w:hAnsi="宋体" w:cs="宋体" w:eastAsia="宋体" w:hint="default"/>
                <w:spacing w:val="-41"/>
                <w:sz w:val="18"/>
                <w:szCs w:val="18"/>
              </w:rPr>
              <w:t> </w:t>
            </w:r>
            <w:r>
              <w:rPr>
                <w:rFonts w:ascii="Arial" w:hAnsi="Arial" w:cs="Arial" w:eastAsia="Arial" w:hint="default"/>
                <w:sz w:val="18"/>
                <w:szCs w:val="18"/>
              </w:rPr>
              <w:t>4,255.52 </w:t>
            </w:r>
            <w:r>
              <w:rPr>
                <w:rFonts w:ascii="宋体" w:hAnsi="宋体" w:cs="宋体" w:eastAsia="宋体" w:hint="default"/>
                <w:sz w:val="18"/>
                <w:szCs w:val="18"/>
              </w:rPr>
              <w:t>万元</w:t>
            </w:r>
            <w:r>
              <w:rPr>
                <w:rFonts w:ascii="Arial" w:hAnsi="Arial" w:cs="Arial" w:eastAsia="Arial" w:hint="default"/>
                <w:sz w:val="18"/>
                <w:szCs w:val="18"/>
              </w:rPr>
              <w:t>,</w:t>
            </w:r>
            <w:r>
              <w:rPr>
                <w:rFonts w:ascii="宋体" w:hAnsi="宋体" w:cs="宋体" w:eastAsia="宋体" w:hint="default"/>
                <w:sz w:val="18"/>
                <w:szCs w:val="18"/>
              </w:rPr>
              <w:t>具体为：（</w:t>
            </w:r>
            <w:r>
              <w:rPr>
                <w:rFonts w:ascii="Arial" w:hAnsi="Arial" w:cs="Arial" w:eastAsia="Arial" w:hint="default"/>
                <w:sz w:val="18"/>
                <w:szCs w:val="18"/>
              </w:rPr>
              <w:t>1</w:t>
            </w:r>
            <w:r>
              <w:rPr>
                <w:rFonts w:ascii="宋体" w:hAnsi="宋体" w:cs="宋体" w:eastAsia="宋体" w:hint="default"/>
                <w:sz w:val="18"/>
                <w:szCs w:val="18"/>
              </w:rPr>
              <w:t>）经公司第一届董事会</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第十六次会议决议</w:t>
            </w:r>
            <w:r>
              <w:rPr>
                <w:rFonts w:ascii="Arial" w:hAnsi="Arial" w:cs="Arial" w:eastAsia="Arial" w:hint="default"/>
                <w:sz w:val="18"/>
                <w:szCs w:val="18"/>
              </w:rPr>
              <w:t>,</w:t>
            </w:r>
            <w:r>
              <w:rPr>
                <w:rFonts w:ascii="宋体" w:hAnsi="宋体" w:cs="宋体" w:eastAsia="宋体" w:hint="default"/>
                <w:sz w:val="18"/>
                <w:szCs w:val="18"/>
              </w:rPr>
              <w:t>公司使用超募资金</w:t>
            </w:r>
            <w:r>
              <w:rPr>
                <w:rFonts w:ascii="宋体" w:hAnsi="宋体" w:cs="宋体" w:eastAsia="宋体" w:hint="default"/>
                <w:spacing w:val="-45"/>
                <w:sz w:val="18"/>
                <w:szCs w:val="18"/>
              </w:rPr>
              <w:t> </w:t>
            </w:r>
            <w:r>
              <w:rPr>
                <w:rFonts w:ascii="Arial" w:hAnsi="Arial" w:cs="Arial" w:eastAsia="Arial" w:hint="default"/>
                <w:sz w:val="18"/>
                <w:szCs w:val="18"/>
              </w:rPr>
              <w:t>3,500</w:t>
            </w:r>
            <w:r>
              <w:rPr>
                <w:rFonts w:ascii="Arial" w:hAnsi="Arial" w:cs="Arial" w:eastAsia="Arial" w:hint="default"/>
                <w:spacing w:val="-5"/>
                <w:sz w:val="18"/>
                <w:szCs w:val="18"/>
              </w:rPr>
              <w:t> </w:t>
            </w:r>
            <w:r>
              <w:rPr>
                <w:rFonts w:ascii="宋体" w:hAnsi="宋体" w:cs="宋体" w:eastAsia="宋体" w:hint="default"/>
                <w:sz w:val="18"/>
                <w:szCs w:val="18"/>
              </w:rPr>
              <w:t>万元偿还银行贷款</w:t>
            </w: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5</w:t>
            </w:r>
            <w:r>
              <w:rPr>
                <w:rFonts w:ascii="Arial" w:hAnsi="Arial" w:cs="Arial" w:eastAsia="Arial" w:hint="default"/>
                <w:spacing w:val="-5"/>
                <w:sz w:val="18"/>
                <w:szCs w:val="18"/>
              </w:rPr>
              <w:t> </w:t>
            </w:r>
            <w:r>
              <w:rPr>
                <w:rFonts w:ascii="宋体" w:hAnsi="宋体" w:cs="宋体" w:eastAsia="宋体" w:hint="default"/>
                <w:sz w:val="18"/>
                <w:szCs w:val="18"/>
              </w:rPr>
              <w:t>月已使用超募资金支付</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2</w:t>
            </w:r>
            <w:r>
              <w:rPr>
                <w:rFonts w:ascii="宋体" w:hAnsi="宋体" w:cs="宋体" w:eastAsia="宋体" w:hint="default"/>
                <w:sz w:val="18"/>
                <w:szCs w:val="18"/>
              </w:rPr>
              <w:t>）经公司第一届董事</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会第十九次会议决议</w:t>
            </w:r>
            <w:r>
              <w:rPr>
                <w:rFonts w:ascii="Arial" w:hAnsi="Arial" w:cs="Arial" w:eastAsia="Arial" w:hint="default"/>
                <w:sz w:val="18"/>
                <w:szCs w:val="18"/>
              </w:rPr>
              <w:t>,</w:t>
            </w:r>
            <w:r>
              <w:rPr>
                <w:rFonts w:ascii="Arial" w:hAnsi="Arial" w:cs="Arial" w:eastAsia="Arial" w:hint="default"/>
                <w:spacing w:val="37"/>
                <w:sz w:val="18"/>
                <w:szCs w:val="18"/>
              </w:rPr>
              <w:t> </w:t>
            </w:r>
            <w:r>
              <w:rPr>
                <w:rFonts w:ascii="宋体" w:hAnsi="宋体" w:cs="宋体" w:eastAsia="宋体" w:hint="default"/>
                <w:sz w:val="18"/>
                <w:szCs w:val="18"/>
              </w:rPr>
              <w:t>公司使用超募资金建设东营年产染料滤饼</w:t>
            </w:r>
            <w:r>
              <w:rPr>
                <w:rFonts w:ascii="宋体" w:hAnsi="宋体" w:cs="宋体" w:eastAsia="宋体" w:hint="default"/>
                <w:spacing w:val="-49"/>
                <w:sz w:val="18"/>
                <w:szCs w:val="18"/>
              </w:rPr>
              <w:t> </w:t>
            </w:r>
            <w:r>
              <w:rPr>
                <w:rFonts w:ascii="Arial" w:hAnsi="Arial" w:cs="Arial" w:eastAsia="Arial" w:hint="default"/>
                <w:sz w:val="18"/>
                <w:szCs w:val="18"/>
              </w:rPr>
              <w:t>1,500</w:t>
            </w:r>
            <w:r>
              <w:rPr>
                <w:rFonts w:ascii="Arial" w:hAnsi="Arial" w:cs="Arial" w:eastAsia="Arial" w:hint="default"/>
                <w:spacing w:val="-9"/>
                <w:sz w:val="18"/>
                <w:szCs w:val="18"/>
              </w:rPr>
              <w:t> </w:t>
            </w:r>
            <w:r>
              <w:rPr>
                <w:rFonts w:ascii="宋体" w:hAnsi="宋体" w:cs="宋体" w:eastAsia="宋体" w:hint="default"/>
                <w:sz w:val="18"/>
                <w:szCs w:val="18"/>
              </w:rPr>
              <w:t>吨及分散染料</w:t>
            </w:r>
            <w:r>
              <w:rPr>
                <w:rFonts w:ascii="宋体" w:hAnsi="宋体" w:cs="宋体" w:eastAsia="宋体" w:hint="default"/>
                <w:spacing w:val="-49"/>
                <w:sz w:val="18"/>
                <w:szCs w:val="18"/>
              </w:rPr>
              <w:t> </w:t>
            </w:r>
            <w:r>
              <w:rPr>
                <w:rFonts w:ascii="Arial" w:hAnsi="Arial" w:cs="Arial" w:eastAsia="Arial" w:hint="default"/>
                <w:sz w:val="18"/>
                <w:szCs w:val="18"/>
              </w:rPr>
              <w:t>5,000</w:t>
            </w:r>
            <w:r>
              <w:rPr>
                <w:rFonts w:ascii="Arial" w:hAnsi="Arial" w:cs="Arial" w:eastAsia="Arial" w:hint="default"/>
                <w:spacing w:val="-9"/>
                <w:sz w:val="18"/>
                <w:szCs w:val="18"/>
              </w:rPr>
              <w:t> </w:t>
            </w:r>
            <w:r>
              <w:rPr>
                <w:rFonts w:ascii="宋体" w:hAnsi="宋体" w:cs="宋体" w:eastAsia="宋体" w:hint="default"/>
                <w:sz w:val="18"/>
                <w:szCs w:val="18"/>
              </w:rPr>
              <w:t>吨项目</w:t>
            </w:r>
            <w:r>
              <w:rPr>
                <w:rFonts w:ascii="Arial" w:hAnsi="Arial" w:cs="Arial" w:eastAsia="Arial" w:hint="default"/>
                <w:sz w:val="18"/>
                <w:szCs w:val="18"/>
              </w:rPr>
              <w:t>,</w:t>
            </w:r>
            <w:r>
              <w:rPr>
                <w:rFonts w:ascii="宋体" w:hAnsi="宋体" w:cs="宋体" w:eastAsia="宋体" w:hint="default"/>
                <w:sz w:val="18"/>
                <w:szCs w:val="18"/>
              </w:rPr>
              <w:t>项目投资总额</w:t>
            </w:r>
            <w:r>
              <w:rPr>
                <w:rFonts w:ascii="宋体" w:hAnsi="宋体" w:cs="宋体" w:eastAsia="宋体" w:hint="default"/>
                <w:spacing w:val="-49"/>
                <w:sz w:val="18"/>
                <w:szCs w:val="18"/>
              </w:rPr>
              <w:t> </w:t>
            </w:r>
            <w:r>
              <w:rPr>
                <w:rFonts w:ascii="Arial" w:hAnsi="Arial" w:cs="Arial" w:eastAsia="Arial" w:hint="default"/>
                <w:sz w:val="18"/>
                <w:szCs w:val="18"/>
              </w:rPr>
              <w:t>4,953</w:t>
            </w:r>
            <w:r>
              <w:rPr>
                <w:rFonts w:ascii="Arial" w:hAnsi="Arial" w:cs="Arial" w:eastAsia="Arial" w:hint="default"/>
                <w:spacing w:val="-1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本年度实际使用 </w:t>
            </w:r>
            <w:r>
              <w:rPr>
                <w:rFonts w:ascii="Arial" w:hAnsi="Arial" w:cs="Arial" w:eastAsia="Arial" w:hint="default"/>
                <w:sz w:val="18"/>
                <w:szCs w:val="18"/>
              </w:rPr>
              <w:t>686.52  </w:t>
            </w:r>
            <w:r>
              <w:rPr>
                <w:rFonts w:ascii="宋体" w:hAnsi="宋体" w:cs="宋体" w:eastAsia="宋体" w:hint="default"/>
                <w:sz w:val="18"/>
                <w:szCs w:val="18"/>
              </w:rPr>
              <w:t>万元 </w:t>
            </w:r>
            <w:r>
              <w:rPr>
                <w:rFonts w:ascii="Arial" w:hAnsi="Arial" w:cs="Arial" w:eastAsia="Arial" w:hint="default"/>
                <w:sz w:val="18"/>
                <w:szCs w:val="18"/>
              </w:rPr>
              <w:t>(3)</w:t>
            </w:r>
            <w:r>
              <w:rPr>
                <w:rFonts w:ascii="Arial" w:hAnsi="Arial" w:cs="Arial" w:eastAsia="Arial" w:hint="default"/>
                <w:spacing w:val="43"/>
                <w:sz w:val="18"/>
                <w:szCs w:val="18"/>
              </w:rPr>
              <w:t> </w:t>
            </w:r>
            <w:r>
              <w:rPr>
                <w:rFonts w:ascii="宋体" w:hAnsi="宋体" w:cs="宋体" w:eastAsia="宋体" w:hint="default"/>
                <w:sz w:val="18"/>
                <w:szCs w:val="18"/>
              </w:rPr>
              <w:t>经公司第一届董事会第二十次会议决议</w:t>
            </w:r>
            <w:r>
              <w:rPr>
                <w:rFonts w:ascii="Arial" w:hAnsi="Arial" w:cs="Arial" w:eastAsia="Arial" w:hint="default"/>
                <w:sz w:val="18"/>
                <w:szCs w:val="18"/>
              </w:rPr>
              <w:t>,</w:t>
            </w:r>
            <w:r>
              <w:rPr>
                <w:rFonts w:ascii="宋体" w:hAnsi="宋体" w:cs="宋体" w:eastAsia="宋体" w:hint="default"/>
                <w:sz w:val="18"/>
                <w:szCs w:val="18"/>
              </w:rPr>
              <w:t>公司使用超募资金收购烟台子公司自然人股</w:t>
            </w:r>
          </w:p>
        </w:tc>
      </w:tr>
      <w:tr>
        <w:trPr>
          <w:trHeight w:val="315" w:hRule="exact"/>
        </w:trPr>
        <w:tc>
          <w:tcPr>
            <w:tcW w:w="1440" w:type="dxa"/>
            <w:tcBorders>
              <w:top w:val="nil" w:sz="6" w:space="0" w:color="auto"/>
              <w:left w:val="single" w:sz="4" w:space="0" w:color="000000"/>
              <w:bottom w:val="single" w:sz="4" w:space="0" w:color="000000"/>
              <w:right w:val="single" w:sz="4" w:space="0" w:color="000000"/>
            </w:tcBorders>
            <w:shd w:val="clear" w:color="auto" w:fill="DCDCDC"/>
          </w:tcPr>
          <w:p>
            <w:pPr/>
          </w:p>
        </w:tc>
        <w:tc>
          <w:tcPr>
            <w:tcW w:w="96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东延元起先生股权</w:t>
            </w:r>
            <w:r>
              <w:rPr>
                <w:rFonts w:ascii="Arial" w:hAnsi="Arial" w:cs="Arial" w:eastAsia="Arial" w:hint="default"/>
                <w:sz w:val="18"/>
                <w:szCs w:val="18"/>
              </w:rPr>
              <w:t>,</w:t>
            </w:r>
            <w:r>
              <w:rPr>
                <w:rFonts w:ascii="宋体" w:hAnsi="宋体" w:cs="宋体" w:eastAsia="宋体" w:hint="default"/>
                <w:sz w:val="18"/>
                <w:szCs w:val="18"/>
              </w:rPr>
              <w:t>股权收购价格</w:t>
            </w:r>
            <w:r>
              <w:rPr>
                <w:rFonts w:ascii="宋体" w:hAnsi="宋体" w:cs="宋体" w:eastAsia="宋体" w:hint="default"/>
                <w:spacing w:val="-47"/>
                <w:sz w:val="18"/>
                <w:szCs w:val="18"/>
              </w:rPr>
              <w:t> </w:t>
            </w:r>
            <w:r>
              <w:rPr>
                <w:rFonts w:ascii="Arial" w:hAnsi="Arial" w:cs="Arial" w:eastAsia="Arial" w:hint="default"/>
                <w:sz w:val="18"/>
                <w:szCs w:val="18"/>
              </w:rPr>
              <w:t>985</w:t>
            </w:r>
            <w:r>
              <w:rPr>
                <w:rFonts w:ascii="Arial" w:hAnsi="Arial" w:cs="Arial" w:eastAsia="Arial" w:hint="default"/>
                <w:spacing w:val="-6"/>
                <w:sz w:val="18"/>
                <w:szCs w:val="18"/>
              </w:rPr>
              <w:t> </w:t>
            </w:r>
            <w:r>
              <w:rPr>
                <w:rFonts w:ascii="宋体" w:hAnsi="宋体" w:cs="宋体" w:eastAsia="宋体" w:hint="default"/>
                <w:sz w:val="18"/>
                <w:szCs w:val="18"/>
              </w:rPr>
              <w:t>万元</w:t>
            </w:r>
            <w:r>
              <w:rPr>
                <w:rFonts w:ascii="Arial" w:hAnsi="Arial" w:cs="Arial" w:eastAsia="Arial" w:hint="default"/>
                <w:sz w:val="18"/>
                <w:szCs w:val="18"/>
              </w:rPr>
              <w:t>,</w:t>
            </w:r>
            <w:r>
              <w:rPr>
                <w:rFonts w:ascii="宋体" w:hAnsi="宋体" w:cs="宋体" w:eastAsia="宋体" w:hint="default"/>
                <w:sz w:val="18"/>
                <w:szCs w:val="18"/>
              </w:rPr>
              <w:t>本年度实际使用</w:t>
            </w:r>
            <w:r>
              <w:rPr>
                <w:rFonts w:ascii="宋体" w:hAnsi="宋体" w:cs="宋体" w:eastAsia="宋体" w:hint="default"/>
                <w:spacing w:val="-47"/>
                <w:sz w:val="18"/>
                <w:szCs w:val="18"/>
              </w:rPr>
              <w:t> </w:t>
            </w:r>
            <w:r>
              <w:rPr>
                <w:rFonts w:ascii="Arial" w:hAnsi="Arial" w:cs="Arial" w:eastAsia="Arial" w:hint="default"/>
                <w:sz w:val="18"/>
                <w:szCs w:val="18"/>
              </w:rPr>
              <w:t>69</w:t>
            </w:r>
            <w:r>
              <w:rPr>
                <w:rFonts w:ascii="Arial" w:hAnsi="Arial" w:cs="Arial" w:eastAsia="Arial" w:hint="default"/>
                <w:spacing w:val="-6"/>
                <w:sz w:val="18"/>
                <w:szCs w:val="18"/>
              </w:rPr>
              <w:t> </w:t>
            </w:r>
            <w:r>
              <w:rPr>
                <w:rFonts w:ascii="宋体" w:hAnsi="宋体" w:cs="宋体" w:eastAsia="宋体" w:hint="default"/>
                <w:sz w:val="18"/>
                <w:szCs w:val="18"/>
              </w:rPr>
              <w:t>万元</w:t>
            </w:r>
          </w:p>
        </w:tc>
      </w:tr>
      <w:tr>
        <w:trPr>
          <w:trHeight w:val="315" w:hRule="exact"/>
        </w:trPr>
        <w:tc>
          <w:tcPr>
            <w:tcW w:w="144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募集资金投资项</w:t>
            </w:r>
          </w:p>
        </w:tc>
        <w:tc>
          <w:tcPr>
            <w:tcW w:w="960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4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目实施地点变更</w:t>
            </w:r>
          </w:p>
        </w:tc>
        <w:tc>
          <w:tcPr>
            <w:tcW w:w="9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未发生变更</w:t>
            </w:r>
          </w:p>
        </w:tc>
      </w:tr>
      <w:tr>
        <w:trPr>
          <w:trHeight w:val="321" w:hRule="exact"/>
        </w:trPr>
        <w:tc>
          <w:tcPr>
            <w:tcW w:w="144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情况</w:t>
            </w:r>
          </w:p>
        </w:tc>
        <w:tc>
          <w:tcPr>
            <w:tcW w:w="9600" w:type="dxa"/>
            <w:tcBorders>
              <w:top w:val="nil" w:sz="6" w:space="0" w:color="auto"/>
              <w:left w:val="single" w:sz="4" w:space="0" w:color="000000"/>
              <w:bottom w:val="single" w:sz="4" w:space="0" w:color="000000"/>
              <w:right w:val="single" w:sz="4" w:space="0" w:color="000000"/>
            </w:tcBorders>
          </w:tcPr>
          <w:p>
            <w:pPr/>
          </w:p>
        </w:tc>
      </w:tr>
      <w:tr>
        <w:trPr>
          <w:trHeight w:val="315" w:hRule="exact"/>
        </w:trPr>
        <w:tc>
          <w:tcPr>
            <w:tcW w:w="144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募集资金投资项</w:t>
            </w:r>
          </w:p>
        </w:tc>
        <w:tc>
          <w:tcPr>
            <w:tcW w:w="960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4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目实施方式调整</w:t>
            </w:r>
          </w:p>
        </w:tc>
        <w:tc>
          <w:tcPr>
            <w:tcW w:w="9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未发生调整</w:t>
            </w:r>
          </w:p>
        </w:tc>
      </w:tr>
      <w:tr>
        <w:trPr>
          <w:trHeight w:val="319" w:hRule="exact"/>
        </w:trPr>
        <w:tc>
          <w:tcPr>
            <w:tcW w:w="144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情况</w:t>
            </w:r>
          </w:p>
        </w:tc>
        <w:tc>
          <w:tcPr>
            <w:tcW w:w="9600" w:type="dxa"/>
            <w:tcBorders>
              <w:top w:val="nil" w:sz="6" w:space="0" w:color="auto"/>
              <w:left w:val="single" w:sz="4" w:space="0" w:color="000000"/>
              <w:bottom w:val="single" w:sz="4" w:space="0" w:color="000000"/>
              <w:right w:val="single" w:sz="4" w:space="0" w:color="000000"/>
            </w:tcBorders>
          </w:tcPr>
          <w:p>
            <w:pPr/>
          </w:p>
        </w:tc>
      </w:tr>
      <w:tr>
        <w:trPr>
          <w:trHeight w:val="319" w:hRule="exact"/>
        </w:trPr>
        <w:tc>
          <w:tcPr>
            <w:tcW w:w="144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募集资金投资项</w:t>
            </w:r>
          </w:p>
        </w:tc>
        <w:tc>
          <w:tcPr>
            <w:tcW w:w="96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Arial" w:hAnsi="Arial" w:cs="Arial" w:eastAsia="Arial" w:hint="default"/>
                <w:sz w:val="18"/>
                <w:szCs w:val="18"/>
              </w:rPr>
            </w:pPr>
            <w:r>
              <w:rPr>
                <w:rFonts w:ascii="宋体" w:hAnsi="宋体" w:cs="宋体" w:eastAsia="宋体" w:hint="default"/>
                <w:sz w:val="18"/>
                <w:szCs w:val="18"/>
              </w:rPr>
              <w:t>在募集资金到位前</w:t>
            </w:r>
            <w:r>
              <w:rPr>
                <w:rFonts w:ascii="Arial" w:hAnsi="Arial" w:cs="Arial" w:eastAsia="Arial" w:hint="default"/>
                <w:sz w:val="18"/>
                <w:szCs w:val="18"/>
              </w:rPr>
              <w:t>,</w:t>
            </w:r>
            <w:r>
              <w:rPr>
                <w:rFonts w:ascii="宋体" w:hAnsi="宋体" w:cs="宋体" w:eastAsia="宋体" w:hint="default"/>
                <w:sz w:val="18"/>
                <w:szCs w:val="18"/>
              </w:rPr>
              <w:t>公司从</w:t>
            </w:r>
            <w:r>
              <w:rPr>
                <w:rFonts w:ascii="宋体" w:hAnsi="宋体" w:cs="宋体" w:eastAsia="宋体" w:hint="default"/>
                <w:spacing w:val="-36"/>
                <w:sz w:val="18"/>
                <w:szCs w:val="18"/>
              </w:rPr>
              <w:t> </w:t>
            </w:r>
            <w:r>
              <w:rPr>
                <w:rFonts w:ascii="Arial" w:hAnsi="Arial" w:cs="Arial" w:eastAsia="Arial" w:hint="default"/>
                <w:sz w:val="18"/>
                <w:szCs w:val="18"/>
              </w:rPr>
              <w:t>2008</w:t>
            </w:r>
            <w:r>
              <w:rPr>
                <w:rFonts w:ascii="Arial" w:hAnsi="Arial" w:cs="Arial" w:eastAsia="Arial"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Arial" w:hAnsi="Arial" w:cs="Arial" w:eastAsia="Arial" w:hint="default"/>
                <w:sz w:val="18"/>
                <w:szCs w:val="18"/>
              </w:rPr>
              <w:t>8</w:t>
            </w:r>
            <w:r>
              <w:rPr>
                <w:rFonts w:ascii="Arial" w:hAnsi="Arial" w:cs="Arial" w:eastAsia="Arial" w:hint="default"/>
                <w:spacing w:val="4"/>
                <w:sz w:val="18"/>
                <w:szCs w:val="18"/>
              </w:rPr>
              <w:t> </w:t>
            </w:r>
            <w:r>
              <w:rPr>
                <w:rFonts w:ascii="宋体" w:hAnsi="宋体" w:cs="宋体" w:eastAsia="宋体" w:hint="default"/>
                <w:sz w:val="18"/>
                <w:szCs w:val="18"/>
              </w:rPr>
              <w:t>月起即以自筹资金投入东营年产</w:t>
            </w:r>
            <w:r>
              <w:rPr>
                <w:rFonts w:ascii="宋体" w:hAnsi="宋体" w:cs="宋体" w:eastAsia="宋体" w:hint="default"/>
                <w:spacing w:val="-36"/>
                <w:sz w:val="18"/>
                <w:szCs w:val="18"/>
              </w:rPr>
              <w:t> </w:t>
            </w:r>
            <w:r>
              <w:rPr>
                <w:rFonts w:ascii="Arial" w:hAnsi="Arial" w:cs="Arial" w:eastAsia="Arial" w:hint="default"/>
                <w:sz w:val="18"/>
                <w:szCs w:val="18"/>
              </w:rPr>
              <w:t>5,500</w:t>
            </w:r>
            <w:r>
              <w:rPr>
                <w:rFonts w:ascii="Arial" w:hAnsi="Arial" w:cs="Arial" w:eastAsia="Arial" w:hint="default"/>
                <w:spacing w:val="4"/>
                <w:sz w:val="18"/>
                <w:szCs w:val="18"/>
              </w:rPr>
              <w:t> </w:t>
            </w:r>
            <w:r>
              <w:rPr>
                <w:rFonts w:ascii="宋体" w:hAnsi="宋体" w:cs="宋体" w:eastAsia="宋体" w:hint="default"/>
                <w:sz w:val="18"/>
                <w:szCs w:val="18"/>
              </w:rPr>
              <w:t>吨染料滤饼募集资金项目</w:t>
            </w:r>
            <w:r>
              <w:rPr>
                <w:rFonts w:ascii="Arial" w:hAnsi="Arial" w:cs="Arial" w:eastAsia="Arial" w:hint="default"/>
                <w:sz w:val="18"/>
                <w:szCs w:val="18"/>
              </w:rPr>
              <w:t>,</w:t>
            </w:r>
            <w:r>
              <w:rPr>
                <w:rFonts w:ascii="宋体" w:hAnsi="宋体" w:cs="宋体" w:eastAsia="宋体" w:hint="default"/>
                <w:sz w:val="18"/>
                <w:szCs w:val="18"/>
              </w:rPr>
              <w:t>截止</w:t>
            </w:r>
            <w:r>
              <w:rPr>
                <w:rFonts w:ascii="宋体" w:hAnsi="宋体" w:cs="宋体" w:eastAsia="宋体" w:hint="default"/>
                <w:spacing w:val="-36"/>
                <w:sz w:val="18"/>
                <w:szCs w:val="18"/>
              </w:rPr>
              <w:t> </w:t>
            </w:r>
            <w:r>
              <w:rPr>
                <w:rFonts w:ascii="Arial" w:hAnsi="Arial" w:cs="Arial" w:eastAsia="Arial" w:hint="default"/>
                <w:sz w:val="18"/>
                <w:szCs w:val="18"/>
              </w:rPr>
              <w:t>2010</w:t>
            </w:r>
            <w:r>
              <w:rPr>
                <w:rFonts w:ascii="Arial" w:hAnsi="Arial" w:cs="Arial" w:eastAsia="Arial"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月</w:t>
            </w:r>
            <w:r>
              <w:rPr>
                <w:rFonts w:ascii="Arial" w:hAnsi="Arial" w:cs="Arial" w:eastAsia="Arial" w:hint="default"/>
                <w:sz w:val="18"/>
                <w:szCs w:val="18"/>
              </w:rPr>
              <w:t>,</w:t>
            </w:r>
          </w:p>
        </w:tc>
      </w:tr>
      <w:tr>
        <w:trPr>
          <w:trHeight w:val="312" w:hRule="exact"/>
        </w:trPr>
        <w:tc>
          <w:tcPr>
            <w:tcW w:w="14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6"/>
              <w:ind w:left="2" w:right="0"/>
              <w:jc w:val="center"/>
              <w:rPr>
                <w:rFonts w:ascii="宋体" w:hAnsi="宋体" w:cs="宋体" w:eastAsia="宋体" w:hint="default"/>
                <w:sz w:val="18"/>
                <w:szCs w:val="18"/>
              </w:rPr>
            </w:pPr>
            <w:r>
              <w:rPr>
                <w:rFonts w:ascii="宋体" w:hAnsi="宋体" w:cs="宋体" w:eastAsia="宋体" w:hint="default"/>
                <w:sz w:val="18"/>
                <w:szCs w:val="18"/>
              </w:rPr>
              <w:t>目先期投入及置</w:t>
            </w:r>
          </w:p>
        </w:tc>
        <w:tc>
          <w:tcPr>
            <w:tcW w:w="96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先期投入金额合计</w:t>
            </w:r>
            <w:r>
              <w:rPr>
                <w:rFonts w:ascii="宋体" w:hAnsi="宋体" w:cs="宋体" w:eastAsia="宋体" w:hint="default"/>
                <w:spacing w:val="-42"/>
                <w:sz w:val="18"/>
                <w:szCs w:val="18"/>
              </w:rPr>
              <w:t> </w:t>
            </w:r>
            <w:r>
              <w:rPr>
                <w:rFonts w:ascii="Arial" w:hAnsi="Arial" w:cs="Arial" w:eastAsia="Arial" w:hint="default"/>
                <w:sz w:val="18"/>
                <w:szCs w:val="18"/>
              </w:rPr>
              <w:t>6,384.63</w:t>
            </w:r>
            <w:r>
              <w:rPr>
                <w:rFonts w:ascii="Arial" w:hAnsi="Arial" w:cs="Arial" w:eastAsia="Arial" w:hint="default"/>
                <w:spacing w:val="-1"/>
                <w:sz w:val="18"/>
                <w:szCs w:val="18"/>
              </w:rPr>
              <w:t> </w:t>
            </w:r>
            <w:r>
              <w:rPr>
                <w:rFonts w:ascii="宋体" w:hAnsi="宋体" w:cs="宋体" w:eastAsia="宋体" w:hint="default"/>
                <w:sz w:val="18"/>
                <w:szCs w:val="18"/>
              </w:rPr>
              <w:t>万元</w:t>
            </w:r>
            <w:r>
              <w:rPr>
                <w:rFonts w:ascii="Arial" w:hAnsi="Arial" w:cs="Arial" w:eastAsia="Arial" w:hint="default"/>
                <w:sz w:val="18"/>
                <w:szCs w:val="18"/>
              </w:rPr>
              <w:t>,</w:t>
            </w:r>
            <w:r>
              <w:rPr>
                <w:rFonts w:ascii="宋体" w:hAnsi="宋体" w:cs="宋体" w:eastAsia="宋体" w:hint="default"/>
                <w:sz w:val="18"/>
                <w:szCs w:val="18"/>
              </w:rPr>
              <w:t>经众华沪银会计师事务所出具专项审核报告。</w:t>
            </w:r>
            <w:r>
              <w:rPr>
                <w:rFonts w:ascii="Arial" w:hAnsi="Arial" w:cs="Arial" w:eastAsia="Arial" w:hint="default"/>
                <w:sz w:val="18"/>
                <w:szCs w:val="18"/>
              </w:rPr>
              <w:t>2010</w:t>
            </w:r>
            <w:r>
              <w:rPr>
                <w:rFonts w:ascii="Arial" w:hAnsi="Arial" w:cs="Arial" w:eastAsia="Arial"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Arial" w:hAnsi="Arial" w:cs="Arial" w:eastAsia="Arial" w:hint="default"/>
                <w:sz w:val="18"/>
                <w:szCs w:val="18"/>
              </w:rPr>
              <w:t>13</w:t>
            </w:r>
            <w:r>
              <w:rPr>
                <w:rFonts w:ascii="Arial" w:hAnsi="Arial" w:cs="Arial" w:eastAsia="Arial" w:hint="default"/>
                <w:spacing w:val="-1"/>
                <w:sz w:val="18"/>
                <w:szCs w:val="18"/>
              </w:rPr>
              <w:t> </w:t>
            </w:r>
            <w:r>
              <w:rPr>
                <w:rFonts w:ascii="宋体" w:hAnsi="宋体" w:cs="宋体" w:eastAsia="宋体" w:hint="default"/>
                <w:sz w:val="18"/>
                <w:szCs w:val="18"/>
              </w:rPr>
              <w:t>日募集资金到位后，经公</w:t>
            </w:r>
          </w:p>
        </w:tc>
      </w:tr>
      <w:tr>
        <w:trPr>
          <w:trHeight w:val="315" w:hRule="exact"/>
        </w:trPr>
        <w:tc>
          <w:tcPr>
            <w:tcW w:w="144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6"/>
              <w:ind w:left="2" w:right="0"/>
              <w:jc w:val="center"/>
              <w:rPr>
                <w:rFonts w:ascii="宋体" w:hAnsi="宋体" w:cs="宋体" w:eastAsia="宋体" w:hint="default"/>
                <w:sz w:val="18"/>
                <w:szCs w:val="18"/>
              </w:rPr>
            </w:pPr>
            <w:r>
              <w:rPr>
                <w:rFonts w:ascii="宋体" w:hAnsi="宋体" w:cs="宋体" w:eastAsia="宋体" w:hint="default"/>
                <w:sz w:val="18"/>
                <w:szCs w:val="18"/>
              </w:rPr>
              <w:t>换情况</w:t>
            </w:r>
          </w:p>
        </w:tc>
        <w:tc>
          <w:tcPr>
            <w:tcW w:w="96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司第一届董事会第十六次会议决议，并知会保荐代表人，于</w:t>
            </w:r>
            <w:r>
              <w:rPr>
                <w:rFonts w:ascii="宋体" w:hAnsi="宋体" w:cs="宋体" w:eastAsia="宋体" w:hint="default"/>
                <w:spacing w:val="-48"/>
                <w:sz w:val="18"/>
                <w:szCs w:val="18"/>
              </w:rPr>
              <w:t> </w:t>
            </w:r>
            <w:r>
              <w:rPr>
                <w:rFonts w:ascii="Arial" w:hAnsi="Arial" w:cs="Arial" w:eastAsia="Arial" w:hint="default"/>
                <w:sz w:val="18"/>
                <w:szCs w:val="18"/>
              </w:rPr>
              <w:t>2010</w:t>
            </w:r>
            <w:r>
              <w:rPr>
                <w:rFonts w:ascii="Arial" w:hAnsi="Arial" w:cs="Arial" w:eastAsia="Arial"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6</w:t>
            </w:r>
            <w:r>
              <w:rPr>
                <w:rFonts w:ascii="Arial" w:hAnsi="Arial" w:cs="Arial" w:eastAsia="Arial" w:hint="default"/>
                <w:spacing w:val="-7"/>
                <w:sz w:val="18"/>
                <w:szCs w:val="18"/>
              </w:rPr>
              <w:t> </w:t>
            </w:r>
            <w:r>
              <w:rPr>
                <w:rFonts w:ascii="宋体" w:hAnsi="宋体" w:cs="宋体" w:eastAsia="宋体" w:hint="default"/>
                <w:sz w:val="18"/>
                <w:szCs w:val="18"/>
              </w:rPr>
              <w:t>月用募集资金置换先期投入金额</w:t>
            </w:r>
            <w:r>
              <w:rPr>
                <w:rFonts w:ascii="宋体" w:hAnsi="宋体" w:cs="宋体" w:eastAsia="宋体" w:hint="default"/>
                <w:spacing w:val="-48"/>
                <w:sz w:val="18"/>
                <w:szCs w:val="18"/>
              </w:rPr>
              <w:t> </w:t>
            </w:r>
            <w:r>
              <w:rPr>
                <w:rFonts w:ascii="Arial" w:hAnsi="Arial" w:cs="Arial" w:eastAsia="Arial" w:hint="default"/>
                <w:sz w:val="18"/>
                <w:szCs w:val="18"/>
              </w:rPr>
              <w:t>6,384.63</w:t>
            </w:r>
            <w:r>
              <w:rPr>
                <w:rFonts w:ascii="Arial" w:hAnsi="Arial" w:cs="Arial" w:eastAsia="Arial" w:hint="default"/>
                <w:spacing w:val="-7"/>
                <w:sz w:val="18"/>
                <w:szCs w:val="18"/>
              </w:rPr>
              <w:t> </w:t>
            </w:r>
            <w:r>
              <w:rPr>
                <w:rFonts w:ascii="宋体" w:hAnsi="宋体" w:cs="宋体" w:eastAsia="宋体" w:hint="default"/>
                <w:sz w:val="18"/>
                <w:szCs w:val="18"/>
              </w:rPr>
              <w:t>万元</w:t>
            </w:r>
          </w:p>
        </w:tc>
      </w:tr>
      <w:tr>
        <w:trPr>
          <w:trHeight w:val="315" w:hRule="exact"/>
        </w:trPr>
        <w:tc>
          <w:tcPr>
            <w:tcW w:w="144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用闲置募集资金</w:t>
            </w:r>
          </w:p>
        </w:tc>
        <w:tc>
          <w:tcPr>
            <w:tcW w:w="960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4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暂时补充流动资</w:t>
            </w:r>
          </w:p>
        </w:tc>
        <w:tc>
          <w:tcPr>
            <w:tcW w:w="9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未发生情况</w:t>
            </w:r>
          </w:p>
        </w:tc>
      </w:tr>
      <w:tr>
        <w:trPr>
          <w:trHeight w:val="319" w:hRule="exact"/>
        </w:trPr>
        <w:tc>
          <w:tcPr>
            <w:tcW w:w="144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金情况</w:t>
            </w:r>
          </w:p>
        </w:tc>
        <w:tc>
          <w:tcPr>
            <w:tcW w:w="9600" w:type="dxa"/>
            <w:tcBorders>
              <w:top w:val="nil" w:sz="6" w:space="0" w:color="auto"/>
              <w:left w:val="single" w:sz="4" w:space="0" w:color="000000"/>
              <w:bottom w:val="single" w:sz="4" w:space="0" w:color="000000"/>
              <w:right w:val="single" w:sz="4" w:space="0" w:color="000000"/>
            </w:tcBorders>
          </w:tcPr>
          <w:p>
            <w:pPr/>
          </w:p>
        </w:tc>
      </w:tr>
      <w:tr>
        <w:trPr>
          <w:trHeight w:val="315" w:hRule="exact"/>
        </w:trPr>
        <w:tc>
          <w:tcPr>
            <w:tcW w:w="144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项目实施出现募</w:t>
            </w:r>
          </w:p>
        </w:tc>
        <w:tc>
          <w:tcPr>
            <w:tcW w:w="9600"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4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集资金结余的金</w:t>
            </w:r>
          </w:p>
        </w:tc>
        <w:tc>
          <w:tcPr>
            <w:tcW w:w="9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募集资金尚在投入过程中</w:t>
            </w:r>
            <w:r>
              <w:rPr>
                <w:rFonts w:ascii="Arial" w:hAnsi="Arial" w:cs="Arial" w:eastAsia="Arial" w:hint="default"/>
                <w:sz w:val="18"/>
                <w:szCs w:val="18"/>
              </w:rPr>
              <w:t>,</w:t>
            </w:r>
            <w:r>
              <w:rPr>
                <w:rFonts w:ascii="宋体" w:hAnsi="宋体" w:cs="宋体" w:eastAsia="宋体" w:hint="default"/>
                <w:sz w:val="18"/>
                <w:szCs w:val="18"/>
              </w:rPr>
              <w:t>不存在募集资金结余情况</w:t>
            </w:r>
          </w:p>
        </w:tc>
      </w:tr>
      <w:tr>
        <w:trPr>
          <w:trHeight w:val="315" w:hRule="exact"/>
        </w:trPr>
        <w:tc>
          <w:tcPr>
            <w:tcW w:w="144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额及原因</w:t>
            </w:r>
          </w:p>
        </w:tc>
        <w:tc>
          <w:tcPr>
            <w:tcW w:w="9600" w:type="dxa"/>
            <w:tcBorders>
              <w:top w:val="nil" w:sz="6" w:space="0" w:color="auto"/>
              <w:left w:val="single" w:sz="4" w:space="0" w:color="000000"/>
              <w:bottom w:val="single" w:sz="4" w:space="0" w:color="000000"/>
              <w:right w:val="single" w:sz="4" w:space="0" w:color="000000"/>
            </w:tcBorders>
          </w:tcPr>
          <w:p>
            <w:pPr/>
          </w:p>
        </w:tc>
      </w:tr>
      <w:tr>
        <w:trPr>
          <w:trHeight w:val="946" w:hRule="exact"/>
        </w:trPr>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86" w:right="82"/>
              <w:jc w:val="left"/>
              <w:rPr>
                <w:rFonts w:ascii="宋体" w:hAnsi="宋体" w:cs="宋体" w:eastAsia="宋体" w:hint="default"/>
                <w:sz w:val="18"/>
                <w:szCs w:val="18"/>
              </w:rPr>
            </w:pPr>
            <w:r>
              <w:rPr>
                <w:rFonts w:ascii="宋体" w:hAnsi="宋体" w:cs="宋体" w:eastAsia="宋体" w:hint="default"/>
                <w:sz w:val="18"/>
                <w:szCs w:val="18"/>
              </w:rPr>
              <w:t>尚未使用的募集</w:t>
            </w:r>
            <w:r>
              <w:rPr>
                <w:rFonts w:ascii="宋体" w:hAnsi="宋体" w:cs="宋体" w:eastAsia="宋体" w:hint="default"/>
                <w:w w:val="99"/>
                <w:sz w:val="18"/>
                <w:szCs w:val="18"/>
              </w:rPr>
              <w:t> </w:t>
            </w:r>
            <w:r>
              <w:rPr>
                <w:rFonts w:ascii="宋体" w:hAnsi="宋体" w:cs="宋体" w:eastAsia="宋体" w:hint="default"/>
                <w:sz w:val="18"/>
                <w:szCs w:val="18"/>
              </w:rPr>
              <w:t>资金用途及去向</w:t>
            </w:r>
          </w:p>
        </w:tc>
        <w:tc>
          <w:tcPr>
            <w:tcW w:w="96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4"/>
              <w:jc w:val="both"/>
              <w:rPr>
                <w:rFonts w:ascii="宋体" w:hAnsi="宋体" w:cs="宋体" w:eastAsia="宋体" w:hint="default"/>
                <w:sz w:val="18"/>
                <w:szCs w:val="18"/>
              </w:rPr>
            </w:pPr>
            <w:r>
              <w:rPr>
                <w:rFonts w:ascii="宋体" w:hAnsi="宋体" w:cs="宋体" w:eastAsia="宋体" w:hint="default"/>
                <w:sz w:val="18"/>
                <w:szCs w:val="18"/>
              </w:rPr>
              <w:t>为了提高募集资金的使用效率，公司已定期存储了部分尚未使用的募集资金，到期后该部分资金将返还至募集资金专户。</w:t>
            </w:r>
            <w:r>
              <w:rPr>
                <w:rFonts w:ascii="宋体" w:hAnsi="宋体" w:cs="宋体" w:eastAsia="宋体" w:hint="default"/>
                <w:w w:val="99"/>
                <w:sz w:val="18"/>
                <w:szCs w:val="18"/>
              </w:rPr>
              <w:t> </w:t>
            </w:r>
            <w:r>
              <w:rPr>
                <w:rFonts w:ascii="宋体" w:hAnsi="宋体" w:cs="宋体" w:eastAsia="宋体" w:hint="default"/>
                <w:sz w:val="18"/>
                <w:szCs w:val="18"/>
              </w:rPr>
              <w:t>剩余尚未使用的募集资金均存放于募集资金专户中。公司现正在围绕发展战略，积极开展项目调研和论证，争取尽快制定</w:t>
            </w:r>
            <w:r>
              <w:rPr>
                <w:rFonts w:ascii="宋体" w:hAnsi="宋体" w:cs="宋体" w:eastAsia="宋体" w:hint="default"/>
                <w:w w:val="99"/>
                <w:sz w:val="18"/>
                <w:szCs w:val="18"/>
              </w:rPr>
              <w:t> </w:t>
            </w:r>
            <w:r>
              <w:rPr>
                <w:rFonts w:ascii="宋体" w:hAnsi="宋体" w:cs="宋体" w:eastAsia="宋体" w:hint="default"/>
                <w:sz w:val="18"/>
                <w:szCs w:val="18"/>
              </w:rPr>
              <w:t>剩余超募资金的使用计划。</w:t>
            </w:r>
          </w:p>
        </w:tc>
      </w:tr>
      <w:tr>
        <w:trPr>
          <w:trHeight w:val="1260" w:hRule="exact"/>
        </w:trPr>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86" w:right="82"/>
              <w:jc w:val="both"/>
              <w:rPr>
                <w:rFonts w:ascii="宋体" w:hAnsi="宋体" w:cs="宋体" w:eastAsia="宋体" w:hint="default"/>
                <w:sz w:val="18"/>
                <w:szCs w:val="18"/>
              </w:rPr>
            </w:pPr>
            <w:r>
              <w:rPr>
                <w:rFonts w:ascii="宋体" w:hAnsi="宋体" w:cs="宋体" w:eastAsia="宋体" w:hint="default"/>
                <w:sz w:val="18"/>
                <w:szCs w:val="18"/>
              </w:rPr>
              <w:t>募集资金使用及</w:t>
            </w:r>
            <w:r>
              <w:rPr>
                <w:rFonts w:ascii="宋体" w:hAnsi="宋体" w:cs="宋体" w:eastAsia="宋体" w:hint="default"/>
                <w:w w:val="99"/>
                <w:sz w:val="18"/>
                <w:szCs w:val="18"/>
              </w:rPr>
              <w:t> </w:t>
            </w:r>
            <w:r>
              <w:rPr>
                <w:rFonts w:ascii="宋体" w:hAnsi="宋体" w:cs="宋体" w:eastAsia="宋体" w:hint="default"/>
                <w:sz w:val="18"/>
                <w:szCs w:val="18"/>
              </w:rPr>
              <w:t>披露中存在的问</w:t>
            </w:r>
            <w:r>
              <w:rPr>
                <w:rFonts w:ascii="宋体" w:hAnsi="宋体" w:cs="宋体" w:eastAsia="宋体" w:hint="default"/>
                <w:w w:val="99"/>
                <w:sz w:val="18"/>
                <w:szCs w:val="18"/>
              </w:rPr>
              <w:t> </w:t>
            </w:r>
            <w:r>
              <w:rPr>
                <w:rFonts w:ascii="宋体" w:hAnsi="宋体" w:cs="宋体" w:eastAsia="宋体" w:hint="default"/>
                <w:sz w:val="18"/>
                <w:szCs w:val="18"/>
              </w:rPr>
              <w:t>题或其他情况</w:t>
            </w:r>
          </w:p>
        </w:tc>
        <w:tc>
          <w:tcPr>
            <w:tcW w:w="9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0"/>
                <w:sz w:val="18"/>
                <w:szCs w:val="18"/>
              </w:rPr>
              <w:t> </w:t>
            </w:r>
            <w:r>
              <w:rPr>
                <w:rFonts w:ascii="Arial" w:hAnsi="Arial" w:cs="Arial" w:eastAsia="Arial" w:hint="default"/>
                <w:sz w:val="18"/>
                <w:szCs w:val="18"/>
              </w:rPr>
              <w:t>2010</w:t>
            </w:r>
            <w:r>
              <w:rPr>
                <w:rFonts w:ascii="Arial" w:hAnsi="Arial" w:cs="Arial" w:eastAsia="Arial"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Arial" w:hAnsi="Arial" w:cs="Arial" w:eastAsia="Arial" w:hint="default"/>
                <w:sz w:val="18"/>
                <w:szCs w:val="18"/>
              </w:rPr>
              <w:t>4</w:t>
            </w:r>
            <w:r>
              <w:rPr>
                <w:rFonts w:ascii="Arial" w:hAnsi="Arial" w:cs="Arial" w:eastAsia="Arial" w:hint="default"/>
                <w:spacing w:val="1"/>
                <w:sz w:val="18"/>
                <w:szCs w:val="18"/>
              </w:rPr>
              <w:t> </w:t>
            </w:r>
            <w:r>
              <w:rPr>
                <w:rFonts w:ascii="宋体" w:hAnsi="宋体" w:cs="宋体" w:eastAsia="宋体" w:hint="default"/>
                <w:sz w:val="18"/>
                <w:szCs w:val="18"/>
              </w:rPr>
              <w:t>月发行新股过程中支付路演费等相关费用</w:t>
            </w:r>
            <w:r>
              <w:rPr>
                <w:rFonts w:ascii="宋体" w:hAnsi="宋体" w:cs="宋体" w:eastAsia="宋体" w:hint="default"/>
                <w:spacing w:val="-40"/>
                <w:sz w:val="18"/>
                <w:szCs w:val="18"/>
              </w:rPr>
              <w:t> </w:t>
            </w:r>
            <w:r>
              <w:rPr>
                <w:rFonts w:ascii="Arial" w:hAnsi="Arial" w:cs="Arial" w:eastAsia="Arial" w:hint="default"/>
                <w:sz w:val="18"/>
                <w:szCs w:val="18"/>
              </w:rPr>
              <w:t>2,417,700</w:t>
            </w:r>
            <w:r>
              <w:rPr>
                <w:rFonts w:ascii="Arial" w:hAnsi="Arial" w:cs="Arial" w:eastAsia="Arial" w:hint="default"/>
                <w:spacing w:val="1"/>
                <w:sz w:val="18"/>
                <w:szCs w:val="18"/>
              </w:rPr>
              <w:t> </w:t>
            </w:r>
            <w:r>
              <w:rPr>
                <w:rFonts w:ascii="宋体" w:hAnsi="宋体" w:cs="宋体" w:eastAsia="宋体" w:hint="default"/>
                <w:sz w:val="18"/>
                <w:szCs w:val="18"/>
              </w:rPr>
              <w:t>元，作为发行费用，自发行溢价中扣减，根据财政部</w:t>
            </w:r>
          </w:p>
          <w:p>
            <w:pPr>
              <w:pStyle w:val="TableParagraph"/>
              <w:spacing w:line="240" w:lineRule="auto" w:before="63"/>
              <w:ind w:left="23"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Arial" w:hAnsi="Arial" w:cs="Arial" w:eastAsia="Arial" w:hint="default"/>
                <w:sz w:val="18"/>
                <w:szCs w:val="18"/>
              </w:rPr>
              <w:t>12</w:t>
            </w:r>
            <w:r>
              <w:rPr>
                <w:rFonts w:ascii="Arial" w:hAnsi="Arial" w:cs="Arial" w:eastAsia="Arial"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Arial" w:hAnsi="Arial" w:cs="Arial" w:eastAsia="Arial" w:hint="default"/>
                <w:sz w:val="18"/>
                <w:szCs w:val="18"/>
              </w:rPr>
              <w:t>28</w:t>
            </w:r>
            <w:r>
              <w:rPr>
                <w:rFonts w:ascii="Arial" w:hAnsi="Arial" w:cs="Arial" w:eastAsia="Arial" w:hint="default"/>
                <w:spacing w:val="-10"/>
                <w:sz w:val="18"/>
                <w:szCs w:val="18"/>
              </w:rPr>
              <w:t> </w:t>
            </w:r>
            <w:r>
              <w:rPr>
                <w:rFonts w:ascii="宋体" w:hAnsi="宋体" w:cs="宋体" w:eastAsia="宋体" w:hint="default"/>
                <w:sz w:val="18"/>
                <w:szCs w:val="18"/>
              </w:rPr>
              <w:t>日发布的财会</w:t>
            </w:r>
            <w:r>
              <w:rPr>
                <w:rFonts w:ascii="Arial" w:hAnsi="Arial" w:cs="Arial" w:eastAsia="Arial" w:hint="default"/>
                <w:sz w:val="18"/>
                <w:szCs w:val="18"/>
              </w:rPr>
              <w:t>[2010]25</w:t>
            </w:r>
            <w:r>
              <w:rPr>
                <w:rFonts w:ascii="Arial" w:hAnsi="Arial" w:cs="Arial" w:eastAsia="Arial" w:hint="default"/>
                <w:spacing w:val="-10"/>
                <w:sz w:val="18"/>
                <w:szCs w:val="18"/>
              </w:rPr>
              <w:t> </w:t>
            </w:r>
            <w:r>
              <w:rPr>
                <w:rFonts w:ascii="宋体" w:hAnsi="宋体" w:cs="宋体" w:eastAsia="宋体" w:hint="default"/>
                <w:sz w:val="18"/>
                <w:szCs w:val="18"/>
              </w:rPr>
              <w:t>号文规定</w:t>
            </w:r>
            <w:r>
              <w:rPr>
                <w:rFonts w:ascii="Arial" w:hAnsi="Arial" w:cs="Arial" w:eastAsia="Arial" w:hint="default"/>
                <w:sz w:val="18"/>
                <w:szCs w:val="18"/>
              </w:rPr>
              <w:t>,</w:t>
            </w:r>
            <w:r>
              <w:rPr>
                <w:rFonts w:ascii="宋体" w:hAnsi="宋体" w:cs="宋体" w:eastAsia="宋体" w:hint="default"/>
                <w:sz w:val="18"/>
                <w:szCs w:val="18"/>
              </w:rPr>
              <w:t>公司发行权益性证券过程中发生的广告费、路演费、上市酒会费等费用</w:t>
            </w:r>
          </w:p>
          <w:p>
            <w:pPr>
              <w:pStyle w:val="TableParagraph"/>
              <w:spacing w:line="302" w:lineRule="auto" w:before="63"/>
              <w:ind w:left="23" w:right="22"/>
              <w:jc w:val="left"/>
              <w:rPr>
                <w:rFonts w:ascii="宋体" w:hAnsi="宋体" w:cs="宋体" w:eastAsia="宋体" w:hint="default"/>
                <w:sz w:val="18"/>
                <w:szCs w:val="18"/>
              </w:rPr>
            </w:pPr>
            <w:r>
              <w:rPr>
                <w:rFonts w:ascii="宋体" w:hAnsi="宋体" w:cs="宋体" w:eastAsia="宋体" w:hint="default"/>
                <w:sz w:val="18"/>
                <w:szCs w:val="18"/>
              </w:rPr>
              <w:t>应计入当期损益，公司按照规定要求</w:t>
            </w:r>
            <w:r>
              <w:rPr>
                <w:rFonts w:ascii="Arial" w:hAnsi="Arial" w:cs="Arial" w:eastAsia="Arial" w:hint="default"/>
                <w:sz w:val="18"/>
                <w:szCs w:val="18"/>
              </w:rPr>
              <w:t>,</w:t>
            </w:r>
            <w:r>
              <w:rPr>
                <w:rFonts w:ascii="宋体" w:hAnsi="宋体" w:cs="宋体" w:eastAsia="宋体" w:hint="default"/>
                <w:sz w:val="18"/>
                <w:szCs w:val="18"/>
              </w:rPr>
              <w:t>于</w:t>
            </w:r>
            <w:r>
              <w:rPr>
                <w:rFonts w:ascii="宋体" w:hAnsi="宋体" w:cs="宋体" w:eastAsia="宋体" w:hint="default"/>
                <w:spacing w:val="-37"/>
                <w:sz w:val="18"/>
                <w:szCs w:val="18"/>
              </w:rPr>
              <w:t> </w:t>
            </w: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Arial" w:hAnsi="Arial" w:cs="Arial" w:eastAsia="Arial" w:hint="default"/>
                <w:sz w:val="18"/>
                <w:szCs w:val="18"/>
              </w:rPr>
              <w:t>3</w:t>
            </w:r>
            <w:r>
              <w:rPr>
                <w:rFonts w:ascii="Arial" w:hAnsi="Arial" w:cs="Arial" w:eastAsia="Arial"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Arial" w:hAnsi="Arial" w:cs="Arial" w:eastAsia="Arial" w:hint="default"/>
                <w:sz w:val="18"/>
                <w:szCs w:val="18"/>
              </w:rPr>
              <w:t>15</w:t>
            </w:r>
            <w:r>
              <w:rPr>
                <w:rFonts w:ascii="Arial" w:hAnsi="Arial" w:cs="Arial" w:eastAsia="Arial" w:hint="default"/>
                <w:spacing w:val="3"/>
                <w:sz w:val="18"/>
                <w:szCs w:val="18"/>
              </w:rPr>
              <w:t> </w:t>
            </w:r>
            <w:r>
              <w:rPr>
                <w:rFonts w:ascii="宋体" w:hAnsi="宋体" w:cs="宋体" w:eastAsia="宋体" w:hint="default"/>
                <w:sz w:val="18"/>
                <w:szCs w:val="18"/>
              </w:rPr>
              <w:t>日将支付路演费等相关费用</w:t>
            </w:r>
            <w:r>
              <w:rPr>
                <w:rFonts w:ascii="宋体" w:hAnsi="宋体" w:cs="宋体" w:eastAsia="宋体" w:hint="default"/>
                <w:spacing w:val="-37"/>
                <w:sz w:val="18"/>
                <w:szCs w:val="18"/>
              </w:rPr>
              <w:t> </w:t>
            </w:r>
            <w:r>
              <w:rPr>
                <w:rFonts w:ascii="Arial" w:hAnsi="Arial" w:cs="Arial" w:eastAsia="Arial" w:hint="default"/>
                <w:sz w:val="18"/>
                <w:szCs w:val="18"/>
              </w:rPr>
              <w:t>2,417,700</w:t>
            </w:r>
            <w:r>
              <w:rPr>
                <w:rFonts w:ascii="Arial" w:hAnsi="Arial" w:cs="Arial" w:eastAsia="Arial" w:hint="default"/>
                <w:spacing w:val="3"/>
                <w:sz w:val="18"/>
                <w:szCs w:val="18"/>
              </w:rPr>
              <w:t> </w:t>
            </w:r>
            <w:r>
              <w:rPr>
                <w:rFonts w:ascii="宋体" w:hAnsi="宋体" w:cs="宋体" w:eastAsia="宋体" w:hint="default"/>
                <w:sz w:val="18"/>
                <w:szCs w:val="18"/>
              </w:rPr>
              <w:t>元自非募集资金帐户归还</w:t>
            </w:r>
            <w:r>
              <w:rPr>
                <w:rFonts w:ascii="宋体" w:hAnsi="宋体" w:cs="宋体" w:eastAsia="宋体" w:hint="default"/>
                <w:w w:val="99"/>
                <w:sz w:val="18"/>
                <w:szCs w:val="18"/>
              </w:rPr>
              <w:t> </w:t>
            </w:r>
            <w:r>
              <w:rPr>
                <w:rFonts w:ascii="宋体" w:hAnsi="宋体" w:cs="宋体" w:eastAsia="宋体" w:hint="default"/>
                <w:sz w:val="18"/>
                <w:szCs w:val="18"/>
              </w:rPr>
              <w:t>至公司超募资金帐户</w:t>
            </w:r>
          </w:p>
        </w:tc>
      </w:tr>
    </w:tbl>
    <w:p>
      <w:pPr>
        <w:spacing w:line="240" w:lineRule="auto" w:before="6"/>
        <w:rPr>
          <w:rFonts w:ascii="宋体" w:hAnsi="宋体" w:cs="宋体" w:eastAsia="宋体" w:hint="default"/>
          <w:sz w:val="5"/>
          <w:szCs w:val="5"/>
        </w:rPr>
      </w:pPr>
    </w:p>
    <w:p>
      <w:pPr>
        <w:pStyle w:val="Heading3"/>
        <w:spacing w:line="240" w:lineRule="auto" w:before="14"/>
        <w:ind w:left="1879" w:right="0"/>
        <w:jc w:val="left"/>
      </w:pPr>
      <w:r>
        <w:rPr>
          <w:rFonts w:ascii="Arial" w:hAnsi="Arial" w:cs="Arial" w:eastAsia="Arial" w:hint="default"/>
          <w:b/>
          <w:bCs/>
        </w:rPr>
        <w:t>3</w:t>
      </w:r>
      <w:r>
        <w:rPr/>
        <w:t>、募集资金管理情况：</w:t>
      </w:r>
    </w:p>
    <w:p>
      <w:pPr>
        <w:pStyle w:val="BodyText"/>
        <w:spacing w:line="391" w:lineRule="auto" w:before="207"/>
        <w:ind w:left="1317" w:right="1315" w:firstLine="439"/>
        <w:jc w:val="both"/>
      </w:pPr>
      <w:r>
        <w:rPr>
          <w:spacing w:val="-16"/>
          <w:w w:val="100"/>
        </w:rPr>
        <w:t>根据《公司法》、《证券法》、《深圳证券交易所创业板股票上市规则》、《深圳证券交易</w:t>
      </w:r>
      <w:r>
        <w:rPr>
          <w:w w:val="100"/>
        </w:rPr>
        <w:t> </w:t>
      </w:r>
      <w:r>
        <w:rPr/>
        <w:t>所创业板上市公司规范运作指引》等法律法规要求，结合公司实际情况，公司制定了《上</w:t>
      </w:r>
      <w:r>
        <w:rPr>
          <w:spacing w:val="-57"/>
        </w:rPr>
        <w:t> </w:t>
      </w:r>
      <w:r>
        <w:rPr>
          <w:spacing w:val="-57"/>
        </w:rPr>
      </w:r>
      <w:r>
        <w:rPr>
          <w:spacing w:val="-5"/>
          <w:w w:val="100"/>
        </w:rPr>
        <w:t>海安诺其纺织化工股份有限公司募集资金使用管理办法》，对募集资金建立专户存储，并严</w:t>
      </w:r>
      <w:r>
        <w:rPr>
          <w:w w:val="100"/>
        </w:rPr>
        <w:t> </w:t>
      </w:r>
      <w:r>
        <w:rPr/>
        <w:t>格履行审批手续，对募集资金的管理和使用进行监督，保证专款专用。</w:t>
      </w:r>
      <w:r>
        <w:rPr>
          <w:spacing w:val="-33"/>
        </w:rPr>
        <w:t> </w:t>
      </w:r>
      <w:r>
        <w:rPr>
          <w:spacing w:val="-3"/>
        </w:rPr>
        <w:t>公司（包括公司全</w:t>
      </w:r>
      <w:r>
        <w:rPr>
          <w:w w:val="100"/>
        </w:rPr>
        <w:t> </w:t>
      </w:r>
      <w:r>
        <w:rPr/>
        <w:t>资子公司烟台安诺其纺织材料有限公司及东营安诺其纺织材料有限公司）和保荐机构平安</w:t>
      </w:r>
    </w:p>
    <w:p>
      <w:pPr>
        <w:spacing w:after="0" w:line="391" w:lineRule="auto"/>
        <w:jc w:val="both"/>
        <w:sectPr>
          <w:footerReference w:type="default" r:id="rId41"/>
          <w:pgSz w:w="11900" w:h="16840"/>
          <w:pgMar w:footer="981" w:header="877" w:top="1100" w:bottom="1180" w:left="480" w:right="140"/>
          <w:pgNumType w:start="30"/>
        </w:sectPr>
      </w:pPr>
    </w:p>
    <w:p>
      <w:pPr>
        <w:spacing w:line="240" w:lineRule="auto" w:before="4"/>
        <w:rPr>
          <w:rFonts w:ascii="宋体" w:hAnsi="宋体" w:cs="宋体" w:eastAsia="宋体" w:hint="default"/>
          <w:sz w:val="26"/>
          <w:szCs w:val="26"/>
        </w:rPr>
      </w:pPr>
    </w:p>
    <w:p>
      <w:pPr>
        <w:pStyle w:val="BodyText"/>
        <w:spacing w:line="391" w:lineRule="auto"/>
        <w:ind w:left="237" w:right="235"/>
        <w:jc w:val="both"/>
      </w:pPr>
      <w:r>
        <w:rPr/>
        <w:t>证券股份有限公司分别与平安银行股份有限公司上海分行、兴业银行股份有限公司上海青</w:t>
      </w:r>
      <w:r>
        <w:rPr>
          <w:spacing w:val="-57"/>
        </w:rPr>
        <w:t> </w:t>
      </w:r>
      <w:r>
        <w:rPr>
          <w:spacing w:val="-57"/>
        </w:rPr>
      </w:r>
      <w:r>
        <w:rPr/>
        <w:t>浦支行和中国银行股份有限公司上海市青浦支行、东营市商业银行河口支行、恒丰银行蓬</w:t>
      </w:r>
      <w:r>
        <w:rPr>
          <w:spacing w:val="-57"/>
        </w:rPr>
        <w:t> </w:t>
      </w:r>
      <w:r>
        <w:rPr>
          <w:spacing w:val="-57"/>
        </w:rPr>
      </w:r>
      <w:r>
        <w:rPr>
          <w:spacing w:val="-5"/>
          <w:w w:val="100"/>
        </w:rPr>
        <w:t>莱支行签定了《募集资金三方监管协议》，明确了各方的权利和义务。三方监管协议的履行</w:t>
      </w:r>
      <w:r>
        <w:rPr>
          <w:spacing w:val="-109"/>
          <w:w w:val="100"/>
        </w:rPr>
        <w:t> </w:t>
      </w:r>
      <w:r>
        <w:rPr>
          <w:spacing w:val="-109"/>
          <w:w w:val="100"/>
        </w:rPr>
      </w:r>
      <w:r>
        <w:rPr/>
        <w:t>不存在问题。</w:t>
      </w:r>
    </w:p>
    <w:p>
      <w:pPr>
        <w:pStyle w:val="BodyText"/>
        <w:spacing w:line="240" w:lineRule="auto" w:before="41"/>
        <w:ind w:left="676" w:right="125"/>
        <w:jc w:val="left"/>
      </w:pPr>
      <w:r>
        <w:rPr>
          <w:w w:val="100"/>
        </w:rPr>
        <w:t>截止</w:t>
      </w:r>
      <w:r>
        <w:rPr>
          <w:rFonts w:ascii="Arial" w:hAnsi="Arial" w:cs="Arial" w:eastAsia="Arial" w:hint="default"/>
          <w:spacing w:val="-1"/>
          <w:w w:val="100"/>
        </w:rPr>
        <w:t>2010</w:t>
      </w:r>
      <w:r>
        <w:rPr>
          <w:w w:val="100"/>
        </w:rPr>
        <w:t>年</w:t>
      </w:r>
      <w:r>
        <w:rPr>
          <w:rFonts w:ascii="Arial" w:hAnsi="Arial" w:cs="Arial" w:eastAsia="Arial" w:hint="default"/>
          <w:spacing w:val="-1"/>
          <w:w w:val="100"/>
        </w:rPr>
        <w:t>12</w:t>
      </w:r>
      <w:r>
        <w:rPr>
          <w:w w:val="100"/>
        </w:rPr>
        <w:t>月</w:t>
      </w:r>
      <w:r>
        <w:rPr>
          <w:rFonts w:ascii="Arial" w:hAnsi="Arial" w:cs="Arial" w:eastAsia="Arial" w:hint="default"/>
          <w:spacing w:val="-1"/>
          <w:w w:val="100"/>
        </w:rPr>
        <w:t>3</w:t>
      </w:r>
      <w:r>
        <w:rPr>
          <w:rFonts w:ascii="Arial" w:hAnsi="Arial" w:cs="Arial" w:eastAsia="Arial" w:hint="default"/>
          <w:spacing w:val="-3"/>
          <w:w w:val="100"/>
        </w:rPr>
        <w:t>1</w:t>
      </w:r>
      <w:r>
        <w:rPr>
          <w:w w:val="100"/>
        </w:rPr>
        <w:t>日</w:t>
      </w:r>
      <w:r>
        <w:rPr>
          <w:spacing w:val="-3"/>
          <w:w w:val="100"/>
        </w:rPr>
        <w:t>，</w:t>
      </w:r>
      <w:r>
        <w:rPr>
          <w:w w:val="100"/>
        </w:rPr>
        <w:t>公司募</w:t>
      </w:r>
      <w:r>
        <w:rPr>
          <w:spacing w:val="-3"/>
          <w:w w:val="100"/>
        </w:rPr>
        <w:t>集</w:t>
      </w:r>
      <w:r>
        <w:rPr>
          <w:w w:val="100"/>
        </w:rPr>
        <w:t>资金</w:t>
      </w:r>
      <w:r>
        <w:rPr>
          <w:spacing w:val="-3"/>
          <w:w w:val="100"/>
        </w:rPr>
        <w:t>专</w:t>
      </w:r>
      <w:r>
        <w:rPr>
          <w:w w:val="100"/>
        </w:rPr>
        <w:t>户存</w:t>
      </w:r>
      <w:r>
        <w:rPr>
          <w:spacing w:val="-3"/>
          <w:w w:val="100"/>
        </w:rPr>
        <w:t>储情</w:t>
      </w:r>
      <w:r>
        <w:rPr>
          <w:w w:val="100"/>
        </w:rPr>
        <w:t>况如下</w:t>
      </w:r>
      <w:r>
        <w:rPr>
          <w:spacing w:val="-3"/>
          <w:w w:val="100"/>
        </w:rPr>
        <w:t>（</w:t>
      </w:r>
      <w:r>
        <w:rPr>
          <w:w w:val="100"/>
        </w:rPr>
        <w:t>单位</w:t>
      </w:r>
      <w:r>
        <w:rPr>
          <w:spacing w:val="-3"/>
          <w:w w:val="100"/>
        </w:rPr>
        <w:t>：</w:t>
      </w:r>
      <w:r>
        <w:rPr>
          <w:w w:val="100"/>
        </w:rPr>
        <w:t>元</w:t>
      </w:r>
      <w:r>
        <w:rPr>
          <w:spacing w:val="-111"/>
          <w:w w:val="100"/>
        </w:rPr>
        <w:t>）</w:t>
      </w:r>
      <w:r>
        <w:rPr>
          <w:w w:val="100"/>
        </w:rPr>
        <w:t>：</w:t>
      </w:r>
    </w:p>
    <w:p>
      <w:pPr>
        <w:spacing w:line="240" w:lineRule="auto" w:before="5"/>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414"/>
        <w:gridCol w:w="1414"/>
        <w:gridCol w:w="3142"/>
        <w:gridCol w:w="1411"/>
        <w:gridCol w:w="1476"/>
      </w:tblGrid>
      <w:tr>
        <w:trPr>
          <w:trHeight w:val="497" w:hRule="exact"/>
        </w:trPr>
        <w:tc>
          <w:tcPr>
            <w:tcW w:w="14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2"/>
              <w:jc w:val="center"/>
              <w:rPr>
                <w:rFonts w:ascii="宋体" w:hAnsi="宋体" w:cs="宋体" w:eastAsia="宋体" w:hint="default"/>
                <w:sz w:val="18"/>
                <w:szCs w:val="18"/>
              </w:rPr>
            </w:pPr>
            <w:r>
              <w:rPr>
                <w:rFonts w:ascii="宋体" w:hAnsi="宋体" w:cs="宋体" w:eastAsia="宋体" w:hint="default"/>
                <w:sz w:val="18"/>
                <w:szCs w:val="18"/>
              </w:rPr>
              <w:t>序号</w:t>
            </w:r>
          </w:p>
        </w:tc>
        <w:tc>
          <w:tcPr>
            <w:tcW w:w="14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328" w:right="0"/>
              <w:jc w:val="left"/>
              <w:rPr>
                <w:rFonts w:ascii="宋体" w:hAnsi="宋体" w:cs="宋体" w:eastAsia="宋体" w:hint="default"/>
                <w:sz w:val="18"/>
                <w:szCs w:val="18"/>
              </w:rPr>
            </w:pPr>
            <w:r>
              <w:rPr>
                <w:rFonts w:ascii="宋体" w:hAnsi="宋体" w:cs="宋体" w:eastAsia="宋体" w:hint="default"/>
                <w:sz w:val="18"/>
                <w:szCs w:val="18"/>
              </w:rPr>
              <w:t>开户银行</w:t>
            </w:r>
          </w:p>
        </w:tc>
        <w:tc>
          <w:tcPr>
            <w:tcW w:w="31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5"/>
              <w:jc w:val="center"/>
              <w:rPr>
                <w:rFonts w:ascii="宋体" w:hAnsi="宋体" w:cs="宋体" w:eastAsia="宋体" w:hint="default"/>
                <w:sz w:val="18"/>
                <w:szCs w:val="18"/>
              </w:rPr>
            </w:pPr>
            <w:r>
              <w:rPr>
                <w:rFonts w:ascii="宋体" w:hAnsi="宋体" w:cs="宋体" w:eastAsia="宋体" w:hint="default"/>
                <w:sz w:val="18"/>
                <w:szCs w:val="18"/>
              </w:rPr>
              <w:t>账号</w:t>
            </w:r>
            <w:r>
              <w:rPr>
                <w:rFonts w:ascii="Arial" w:hAnsi="Arial" w:cs="Arial" w:eastAsia="Arial" w:hint="default"/>
                <w:b/>
                <w:bCs/>
                <w:sz w:val="18"/>
                <w:szCs w:val="18"/>
              </w:rPr>
              <w:t>/</w:t>
            </w:r>
            <w:r>
              <w:rPr>
                <w:rFonts w:ascii="宋体" w:hAnsi="宋体" w:cs="宋体" w:eastAsia="宋体" w:hint="default"/>
                <w:sz w:val="18"/>
                <w:szCs w:val="18"/>
              </w:rPr>
              <w:t>定期存单号</w:t>
            </w:r>
          </w:p>
        </w:tc>
        <w:tc>
          <w:tcPr>
            <w:tcW w:w="14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账户类别</w:t>
            </w:r>
          </w:p>
        </w:tc>
        <w:tc>
          <w:tcPr>
            <w:tcW w:w="14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359" w:right="0"/>
              <w:jc w:val="left"/>
              <w:rPr>
                <w:rFonts w:ascii="宋体" w:hAnsi="宋体" w:cs="宋体" w:eastAsia="宋体" w:hint="default"/>
                <w:sz w:val="18"/>
                <w:szCs w:val="18"/>
              </w:rPr>
            </w:pPr>
            <w:r>
              <w:rPr>
                <w:rFonts w:ascii="宋体" w:hAnsi="宋体" w:cs="宋体" w:eastAsia="宋体" w:hint="default"/>
                <w:sz w:val="18"/>
                <w:szCs w:val="18"/>
              </w:rPr>
              <w:t>存储余额</w:t>
            </w:r>
          </w:p>
        </w:tc>
      </w:tr>
      <w:tr>
        <w:trPr>
          <w:trHeight w:val="655" w:hRule="exact"/>
        </w:trPr>
        <w:tc>
          <w:tcPr>
            <w:tcW w:w="14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b/>
                <w:w w:val="99"/>
                <w:sz w:val="18"/>
              </w:rPr>
              <w:t>1</w:t>
            </w:r>
            <w:r>
              <w:rPr>
                <w:rFonts w:ascii="Arial"/>
                <w:sz w:val="18"/>
              </w:rPr>
            </w:r>
          </w:p>
        </w:tc>
        <w:tc>
          <w:tcPr>
            <w:tcW w:w="1414"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93" w:right="89"/>
              <w:jc w:val="left"/>
              <w:rPr>
                <w:rFonts w:ascii="宋体" w:hAnsi="宋体" w:cs="宋体" w:eastAsia="宋体" w:hint="default"/>
                <w:sz w:val="18"/>
                <w:szCs w:val="18"/>
              </w:rPr>
            </w:pPr>
            <w:r>
              <w:rPr>
                <w:rFonts w:ascii="宋体" w:hAnsi="宋体" w:cs="宋体" w:eastAsia="宋体" w:hint="default"/>
                <w:sz w:val="18"/>
                <w:szCs w:val="18"/>
              </w:rPr>
              <w:t>中</w:t>
            </w:r>
            <w:r>
              <w:rPr>
                <w:rFonts w:ascii="宋体" w:hAnsi="宋体" w:cs="宋体" w:eastAsia="宋体" w:hint="default"/>
                <w:spacing w:val="-67"/>
                <w:sz w:val="18"/>
                <w:szCs w:val="18"/>
              </w:rPr>
              <w:t> </w:t>
            </w:r>
            <w:r>
              <w:rPr>
                <w:rFonts w:ascii="宋体" w:hAnsi="宋体" w:cs="宋体" w:eastAsia="宋体" w:hint="default"/>
                <w:sz w:val="18"/>
                <w:szCs w:val="18"/>
              </w:rPr>
              <w:t>国</w:t>
            </w:r>
            <w:r>
              <w:rPr>
                <w:rFonts w:ascii="宋体" w:hAnsi="宋体" w:cs="宋体" w:eastAsia="宋体" w:hint="default"/>
                <w:spacing w:val="-67"/>
                <w:sz w:val="18"/>
                <w:szCs w:val="18"/>
              </w:rPr>
              <w:t> </w:t>
            </w:r>
            <w:r>
              <w:rPr>
                <w:rFonts w:ascii="宋体" w:hAnsi="宋体" w:cs="宋体" w:eastAsia="宋体" w:hint="default"/>
                <w:sz w:val="18"/>
                <w:szCs w:val="18"/>
              </w:rPr>
              <w:t>银</w:t>
            </w:r>
            <w:r>
              <w:rPr>
                <w:rFonts w:ascii="宋体" w:hAnsi="宋体" w:cs="宋体" w:eastAsia="宋体" w:hint="default"/>
                <w:spacing w:val="-67"/>
                <w:sz w:val="18"/>
                <w:szCs w:val="18"/>
              </w:rPr>
              <w:t> </w:t>
            </w:r>
            <w:r>
              <w:rPr>
                <w:rFonts w:ascii="宋体" w:hAnsi="宋体" w:cs="宋体" w:eastAsia="宋体" w:hint="default"/>
                <w:sz w:val="18"/>
                <w:szCs w:val="18"/>
              </w:rPr>
              <w:t>行</w:t>
            </w:r>
            <w:r>
              <w:rPr>
                <w:rFonts w:ascii="宋体" w:hAnsi="宋体" w:cs="宋体" w:eastAsia="宋体" w:hint="default"/>
                <w:spacing w:val="-67"/>
                <w:sz w:val="18"/>
                <w:szCs w:val="18"/>
              </w:rPr>
              <w:t> </w:t>
            </w:r>
            <w:r>
              <w:rPr>
                <w:rFonts w:ascii="宋体" w:hAnsi="宋体" w:cs="宋体" w:eastAsia="宋体" w:hint="default"/>
                <w:sz w:val="18"/>
                <w:szCs w:val="18"/>
              </w:rPr>
              <w:t>上</w:t>
            </w:r>
            <w:r>
              <w:rPr>
                <w:rFonts w:ascii="宋体" w:hAnsi="宋体" w:cs="宋体" w:eastAsia="宋体" w:hint="default"/>
                <w:spacing w:val="-67"/>
                <w:sz w:val="18"/>
                <w:szCs w:val="18"/>
              </w:rPr>
              <w:t> </w:t>
            </w:r>
            <w:r>
              <w:rPr>
                <w:rFonts w:ascii="宋体" w:hAnsi="宋体" w:cs="宋体" w:eastAsia="宋体" w:hint="default"/>
                <w:sz w:val="18"/>
                <w:szCs w:val="18"/>
              </w:rPr>
              <w:t>海</w:t>
            </w:r>
            <w:r>
              <w:rPr>
                <w:rFonts w:ascii="宋体" w:hAnsi="宋体" w:cs="宋体" w:eastAsia="宋体" w:hint="default"/>
                <w:w w:val="99"/>
                <w:sz w:val="18"/>
                <w:szCs w:val="18"/>
              </w:rPr>
              <w:t> </w:t>
            </w:r>
            <w:r>
              <w:rPr>
                <w:rFonts w:ascii="宋体" w:hAnsi="宋体" w:cs="宋体" w:eastAsia="宋体" w:hint="default"/>
                <w:sz w:val="18"/>
                <w:szCs w:val="18"/>
              </w:rPr>
              <w:t>青浦支行</w:t>
            </w:r>
          </w:p>
        </w:tc>
        <w:tc>
          <w:tcPr>
            <w:tcW w:w="31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sz w:val="18"/>
              </w:rPr>
              <w:t>044463845016944208094001</w:t>
            </w:r>
          </w:p>
        </w:tc>
        <w:tc>
          <w:tcPr>
            <w:tcW w:w="14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募集资金专户</w:t>
            </w:r>
          </w:p>
        </w:tc>
        <w:tc>
          <w:tcPr>
            <w:tcW w:w="14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2"/>
              <w:jc w:val="right"/>
              <w:rPr>
                <w:rFonts w:ascii="Arial" w:hAnsi="Arial" w:cs="Arial" w:eastAsia="Arial" w:hint="default"/>
                <w:sz w:val="18"/>
                <w:szCs w:val="18"/>
              </w:rPr>
            </w:pPr>
            <w:r>
              <w:rPr>
                <w:rFonts w:ascii="Arial"/>
                <w:spacing w:val="-1"/>
                <w:sz w:val="18"/>
              </w:rPr>
              <w:t>237,765,878.34</w:t>
            </w:r>
          </w:p>
        </w:tc>
      </w:tr>
      <w:tr>
        <w:trPr>
          <w:trHeight w:val="653" w:hRule="exact"/>
        </w:trPr>
        <w:tc>
          <w:tcPr>
            <w:tcW w:w="14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b/>
                <w:w w:val="99"/>
                <w:sz w:val="18"/>
              </w:rPr>
              <w:t>2</w:t>
            </w:r>
            <w:r>
              <w:rPr>
                <w:rFonts w:ascii="Arial"/>
                <w:sz w:val="18"/>
              </w:rPr>
            </w:r>
          </w:p>
        </w:tc>
        <w:tc>
          <w:tcPr>
            <w:tcW w:w="1414"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93" w:right="89"/>
              <w:jc w:val="left"/>
              <w:rPr>
                <w:rFonts w:ascii="宋体" w:hAnsi="宋体" w:cs="宋体" w:eastAsia="宋体" w:hint="default"/>
                <w:sz w:val="18"/>
                <w:szCs w:val="18"/>
              </w:rPr>
            </w:pPr>
            <w:r>
              <w:rPr>
                <w:rFonts w:ascii="宋体" w:hAnsi="宋体" w:cs="宋体" w:eastAsia="宋体" w:hint="default"/>
                <w:sz w:val="18"/>
                <w:szCs w:val="18"/>
              </w:rPr>
              <w:t>平</w:t>
            </w:r>
            <w:r>
              <w:rPr>
                <w:rFonts w:ascii="宋体" w:hAnsi="宋体" w:cs="宋体" w:eastAsia="宋体" w:hint="default"/>
                <w:spacing w:val="-67"/>
                <w:sz w:val="18"/>
                <w:szCs w:val="18"/>
              </w:rPr>
              <w:t> </w:t>
            </w:r>
            <w:r>
              <w:rPr>
                <w:rFonts w:ascii="宋体" w:hAnsi="宋体" w:cs="宋体" w:eastAsia="宋体" w:hint="default"/>
                <w:sz w:val="18"/>
                <w:szCs w:val="18"/>
              </w:rPr>
              <w:t>安</w:t>
            </w:r>
            <w:r>
              <w:rPr>
                <w:rFonts w:ascii="宋体" w:hAnsi="宋体" w:cs="宋体" w:eastAsia="宋体" w:hint="default"/>
                <w:spacing w:val="-67"/>
                <w:sz w:val="18"/>
                <w:szCs w:val="18"/>
              </w:rPr>
              <w:t> </w:t>
            </w:r>
            <w:r>
              <w:rPr>
                <w:rFonts w:ascii="宋体" w:hAnsi="宋体" w:cs="宋体" w:eastAsia="宋体" w:hint="default"/>
                <w:sz w:val="18"/>
                <w:szCs w:val="18"/>
              </w:rPr>
              <w:t>银</w:t>
            </w:r>
            <w:r>
              <w:rPr>
                <w:rFonts w:ascii="宋体" w:hAnsi="宋体" w:cs="宋体" w:eastAsia="宋体" w:hint="default"/>
                <w:spacing w:val="-67"/>
                <w:sz w:val="18"/>
                <w:szCs w:val="18"/>
              </w:rPr>
              <w:t> </w:t>
            </w:r>
            <w:r>
              <w:rPr>
                <w:rFonts w:ascii="宋体" w:hAnsi="宋体" w:cs="宋体" w:eastAsia="宋体" w:hint="default"/>
                <w:sz w:val="18"/>
                <w:szCs w:val="18"/>
              </w:rPr>
              <w:t>行</w:t>
            </w:r>
            <w:r>
              <w:rPr>
                <w:rFonts w:ascii="宋体" w:hAnsi="宋体" w:cs="宋体" w:eastAsia="宋体" w:hint="default"/>
                <w:spacing w:val="-67"/>
                <w:sz w:val="18"/>
                <w:szCs w:val="18"/>
              </w:rPr>
              <w:t> </w:t>
            </w:r>
            <w:r>
              <w:rPr>
                <w:rFonts w:ascii="宋体" w:hAnsi="宋体" w:cs="宋体" w:eastAsia="宋体" w:hint="default"/>
                <w:sz w:val="18"/>
                <w:szCs w:val="18"/>
              </w:rPr>
              <w:t>上</w:t>
            </w:r>
            <w:r>
              <w:rPr>
                <w:rFonts w:ascii="宋体" w:hAnsi="宋体" w:cs="宋体" w:eastAsia="宋体" w:hint="default"/>
                <w:spacing w:val="-67"/>
                <w:sz w:val="18"/>
                <w:szCs w:val="18"/>
              </w:rPr>
              <w:t> </w:t>
            </w:r>
            <w:r>
              <w:rPr>
                <w:rFonts w:ascii="宋体" w:hAnsi="宋体" w:cs="宋体" w:eastAsia="宋体" w:hint="default"/>
                <w:sz w:val="18"/>
                <w:szCs w:val="18"/>
              </w:rPr>
              <w:t>海</w:t>
            </w:r>
            <w:r>
              <w:rPr>
                <w:rFonts w:ascii="宋体" w:hAnsi="宋体" w:cs="宋体" w:eastAsia="宋体" w:hint="default"/>
                <w:w w:val="99"/>
                <w:sz w:val="18"/>
                <w:szCs w:val="18"/>
              </w:rPr>
              <w:t> </w:t>
            </w:r>
            <w:r>
              <w:rPr>
                <w:rFonts w:ascii="宋体" w:hAnsi="宋体" w:cs="宋体" w:eastAsia="宋体" w:hint="default"/>
                <w:sz w:val="18"/>
                <w:szCs w:val="18"/>
              </w:rPr>
              <w:t>分行营业部</w:t>
            </w:r>
          </w:p>
        </w:tc>
        <w:tc>
          <w:tcPr>
            <w:tcW w:w="31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sz w:val="18"/>
              </w:rPr>
              <w:t>8012100133211</w:t>
            </w:r>
          </w:p>
        </w:tc>
        <w:tc>
          <w:tcPr>
            <w:tcW w:w="14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募集资金专户</w:t>
            </w:r>
          </w:p>
        </w:tc>
        <w:tc>
          <w:tcPr>
            <w:tcW w:w="14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2"/>
              <w:jc w:val="right"/>
              <w:rPr>
                <w:rFonts w:ascii="Arial" w:hAnsi="Arial" w:cs="Arial" w:eastAsia="Arial" w:hint="default"/>
                <w:sz w:val="18"/>
                <w:szCs w:val="18"/>
              </w:rPr>
            </w:pPr>
            <w:r>
              <w:rPr>
                <w:rFonts w:ascii="Arial"/>
                <w:spacing w:val="-1"/>
                <w:sz w:val="18"/>
              </w:rPr>
              <w:t>78,329.88</w:t>
            </w:r>
          </w:p>
        </w:tc>
      </w:tr>
      <w:tr>
        <w:trPr>
          <w:trHeight w:val="655" w:hRule="exact"/>
        </w:trPr>
        <w:tc>
          <w:tcPr>
            <w:tcW w:w="14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b/>
                <w:w w:val="99"/>
                <w:sz w:val="18"/>
              </w:rPr>
              <w:t>3</w:t>
            </w:r>
            <w:r>
              <w:rPr>
                <w:rFonts w:ascii="Arial"/>
                <w:sz w:val="18"/>
              </w:rPr>
            </w:r>
          </w:p>
        </w:tc>
        <w:tc>
          <w:tcPr>
            <w:tcW w:w="1414"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93" w:right="89"/>
              <w:jc w:val="left"/>
              <w:rPr>
                <w:rFonts w:ascii="宋体" w:hAnsi="宋体" w:cs="宋体" w:eastAsia="宋体" w:hint="default"/>
                <w:sz w:val="18"/>
                <w:szCs w:val="18"/>
              </w:rPr>
            </w:pPr>
            <w:r>
              <w:rPr>
                <w:rFonts w:ascii="宋体" w:hAnsi="宋体" w:cs="宋体" w:eastAsia="宋体" w:hint="default"/>
                <w:sz w:val="18"/>
                <w:szCs w:val="18"/>
              </w:rPr>
              <w:t>兴</w:t>
            </w:r>
            <w:r>
              <w:rPr>
                <w:rFonts w:ascii="宋体" w:hAnsi="宋体" w:cs="宋体" w:eastAsia="宋体" w:hint="default"/>
                <w:spacing w:val="-67"/>
                <w:sz w:val="18"/>
                <w:szCs w:val="18"/>
              </w:rPr>
              <w:t> </w:t>
            </w:r>
            <w:r>
              <w:rPr>
                <w:rFonts w:ascii="宋体" w:hAnsi="宋体" w:cs="宋体" w:eastAsia="宋体" w:hint="default"/>
                <w:sz w:val="18"/>
                <w:szCs w:val="18"/>
              </w:rPr>
              <w:t>业</w:t>
            </w:r>
            <w:r>
              <w:rPr>
                <w:rFonts w:ascii="宋体" w:hAnsi="宋体" w:cs="宋体" w:eastAsia="宋体" w:hint="default"/>
                <w:spacing w:val="-67"/>
                <w:sz w:val="18"/>
                <w:szCs w:val="18"/>
              </w:rPr>
              <w:t> </w:t>
            </w:r>
            <w:r>
              <w:rPr>
                <w:rFonts w:ascii="宋体" w:hAnsi="宋体" w:cs="宋体" w:eastAsia="宋体" w:hint="default"/>
                <w:sz w:val="18"/>
                <w:szCs w:val="18"/>
              </w:rPr>
              <w:t>银</w:t>
            </w:r>
            <w:r>
              <w:rPr>
                <w:rFonts w:ascii="宋体" w:hAnsi="宋体" w:cs="宋体" w:eastAsia="宋体" w:hint="default"/>
                <w:spacing w:val="-67"/>
                <w:sz w:val="18"/>
                <w:szCs w:val="18"/>
              </w:rPr>
              <w:t> </w:t>
            </w:r>
            <w:r>
              <w:rPr>
                <w:rFonts w:ascii="宋体" w:hAnsi="宋体" w:cs="宋体" w:eastAsia="宋体" w:hint="default"/>
                <w:sz w:val="18"/>
                <w:szCs w:val="18"/>
              </w:rPr>
              <w:t>行</w:t>
            </w:r>
            <w:r>
              <w:rPr>
                <w:rFonts w:ascii="宋体" w:hAnsi="宋体" w:cs="宋体" w:eastAsia="宋体" w:hint="default"/>
                <w:spacing w:val="-67"/>
                <w:sz w:val="18"/>
                <w:szCs w:val="18"/>
              </w:rPr>
              <w:t> </w:t>
            </w:r>
            <w:r>
              <w:rPr>
                <w:rFonts w:ascii="宋体" w:hAnsi="宋体" w:cs="宋体" w:eastAsia="宋体" w:hint="default"/>
                <w:sz w:val="18"/>
                <w:szCs w:val="18"/>
              </w:rPr>
              <w:t>上</w:t>
            </w:r>
            <w:r>
              <w:rPr>
                <w:rFonts w:ascii="宋体" w:hAnsi="宋体" w:cs="宋体" w:eastAsia="宋体" w:hint="default"/>
                <w:spacing w:val="-67"/>
                <w:sz w:val="18"/>
                <w:szCs w:val="18"/>
              </w:rPr>
              <w:t> </w:t>
            </w:r>
            <w:r>
              <w:rPr>
                <w:rFonts w:ascii="宋体" w:hAnsi="宋体" w:cs="宋体" w:eastAsia="宋体" w:hint="default"/>
                <w:sz w:val="18"/>
                <w:szCs w:val="18"/>
              </w:rPr>
              <w:t>海</w:t>
            </w:r>
            <w:r>
              <w:rPr>
                <w:rFonts w:ascii="宋体" w:hAnsi="宋体" w:cs="宋体" w:eastAsia="宋体" w:hint="default"/>
                <w:w w:val="99"/>
                <w:sz w:val="18"/>
                <w:szCs w:val="18"/>
              </w:rPr>
              <w:t> </w:t>
            </w:r>
            <w:r>
              <w:rPr>
                <w:rFonts w:ascii="宋体" w:hAnsi="宋体" w:cs="宋体" w:eastAsia="宋体" w:hint="default"/>
                <w:sz w:val="18"/>
                <w:szCs w:val="18"/>
              </w:rPr>
              <w:t>青浦支行</w:t>
            </w:r>
          </w:p>
        </w:tc>
        <w:tc>
          <w:tcPr>
            <w:tcW w:w="31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sz w:val="18"/>
              </w:rPr>
              <w:t>216400100100015868</w:t>
            </w:r>
          </w:p>
        </w:tc>
        <w:tc>
          <w:tcPr>
            <w:tcW w:w="14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募集资金专户</w:t>
            </w:r>
          </w:p>
        </w:tc>
        <w:tc>
          <w:tcPr>
            <w:tcW w:w="14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2"/>
              <w:jc w:val="right"/>
              <w:rPr>
                <w:rFonts w:ascii="Arial" w:hAnsi="Arial" w:cs="Arial" w:eastAsia="Arial" w:hint="default"/>
                <w:sz w:val="18"/>
                <w:szCs w:val="18"/>
              </w:rPr>
            </w:pPr>
            <w:r>
              <w:rPr>
                <w:rFonts w:ascii="Arial"/>
                <w:spacing w:val="-2"/>
                <w:sz w:val="18"/>
              </w:rPr>
              <w:t>64,733,311.84</w:t>
            </w:r>
          </w:p>
        </w:tc>
      </w:tr>
      <w:tr>
        <w:trPr>
          <w:trHeight w:val="965" w:hRule="exact"/>
        </w:trPr>
        <w:tc>
          <w:tcPr>
            <w:tcW w:w="14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Arial" w:hAnsi="Arial" w:cs="Arial" w:eastAsia="Arial" w:hint="default"/>
                <w:sz w:val="18"/>
                <w:szCs w:val="18"/>
              </w:rPr>
            </w:pPr>
            <w:r>
              <w:rPr>
                <w:rFonts w:ascii="Arial"/>
                <w:b/>
                <w:w w:val="99"/>
                <w:sz w:val="18"/>
              </w:rPr>
              <w:t>4</w:t>
            </w:r>
            <w:r>
              <w:rPr>
                <w:rFonts w:ascii="Arial"/>
                <w:sz w:val="18"/>
              </w:rPr>
            </w:r>
          </w:p>
        </w:tc>
        <w:tc>
          <w:tcPr>
            <w:tcW w:w="1414"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93" w:right="89"/>
              <w:jc w:val="both"/>
              <w:rPr>
                <w:rFonts w:ascii="宋体" w:hAnsi="宋体" w:cs="宋体" w:eastAsia="宋体" w:hint="default"/>
                <w:sz w:val="18"/>
                <w:szCs w:val="18"/>
              </w:rPr>
            </w:pPr>
            <w:r>
              <w:rPr>
                <w:rFonts w:ascii="宋体" w:hAnsi="宋体" w:cs="宋体" w:eastAsia="宋体" w:hint="default"/>
                <w:sz w:val="18"/>
                <w:szCs w:val="18"/>
              </w:rPr>
              <w:t>恒</w:t>
            </w:r>
            <w:r>
              <w:rPr>
                <w:rFonts w:ascii="宋体" w:hAnsi="宋体" w:cs="宋体" w:eastAsia="宋体" w:hint="default"/>
                <w:spacing w:val="-67"/>
                <w:sz w:val="18"/>
                <w:szCs w:val="18"/>
              </w:rPr>
              <w:t> </w:t>
            </w:r>
            <w:r>
              <w:rPr>
                <w:rFonts w:ascii="宋体" w:hAnsi="宋体" w:cs="宋体" w:eastAsia="宋体" w:hint="default"/>
                <w:sz w:val="18"/>
                <w:szCs w:val="18"/>
              </w:rPr>
              <w:t>丰</w:t>
            </w:r>
            <w:r>
              <w:rPr>
                <w:rFonts w:ascii="宋体" w:hAnsi="宋体" w:cs="宋体" w:eastAsia="宋体" w:hint="default"/>
                <w:spacing w:val="-67"/>
                <w:sz w:val="18"/>
                <w:szCs w:val="18"/>
              </w:rPr>
              <w:t> </w:t>
            </w:r>
            <w:r>
              <w:rPr>
                <w:rFonts w:ascii="宋体" w:hAnsi="宋体" w:cs="宋体" w:eastAsia="宋体" w:hint="default"/>
                <w:sz w:val="18"/>
                <w:szCs w:val="18"/>
              </w:rPr>
              <w:t>银</w:t>
            </w:r>
            <w:r>
              <w:rPr>
                <w:rFonts w:ascii="宋体" w:hAnsi="宋体" w:cs="宋体" w:eastAsia="宋体" w:hint="default"/>
                <w:spacing w:val="-67"/>
                <w:sz w:val="18"/>
                <w:szCs w:val="18"/>
              </w:rPr>
              <w:t> </w:t>
            </w:r>
            <w:r>
              <w:rPr>
                <w:rFonts w:ascii="宋体" w:hAnsi="宋体" w:cs="宋体" w:eastAsia="宋体" w:hint="default"/>
                <w:sz w:val="18"/>
                <w:szCs w:val="18"/>
              </w:rPr>
              <w:t>行</w:t>
            </w:r>
            <w:r>
              <w:rPr>
                <w:rFonts w:ascii="宋体" w:hAnsi="宋体" w:cs="宋体" w:eastAsia="宋体" w:hint="default"/>
                <w:spacing w:val="-67"/>
                <w:sz w:val="18"/>
                <w:szCs w:val="18"/>
              </w:rPr>
              <w:t> </w:t>
            </w:r>
            <w:r>
              <w:rPr>
                <w:rFonts w:ascii="宋体" w:hAnsi="宋体" w:cs="宋体" w:eastAsia="宋体" w:hint="default"/>
                <w:sz w:val="18"/>
                <w:szCs w:val="18"/>
              </w:rPr>
              <w:t>蓬</w:t>
            </w:r>
            <w:r>
              <w:rPr>
                <w:rFonts w:ascii="宋体" w:hAnsi="宋体" w:cs="宋体" w:eastAsia="宋体" w:hint="default"/>
                <w:spacing w:val="-67"/>
                <w:sz w:val="18"/>
                <w:szCs w:val="18"/>
              </w:rPr>
              <w:t> </w:t>
            </w:r>
            <w:r>
              <w:rPr>
                <w:rFonts w:ascii="宋体" w:hAnsi="宋体" w:cs="宋体" w:eastAsia="宋体" w:hint="default"/>
                <w:sz w:val="18"/>
                <w:szCs w:val="18"/>
              </w:rPr>
              <w:t>莱</w:t>
            </w:r>
            <w:r>
              <w:rPr>
                <w:rFonts w:ascii="宋体" w:hAnsi="宋体" w:cs="宋体" w:eastAsia="宋体" w:hint="default"/>
                <w:w w:val="99"/>
                <w:sz w:val="18"/>
                <w:szCs w:val="18"/>
              </w:rPr>
              <w:t> </w:t>
            </w:r>
            <w:r>
              <w:rPr>
                <w:rFonts w:ascii="宋体" w:hAnsi="宋体" w:cs="宋体" w:eastAsia="宋体" w:hint="default"/>
                <w:sz w:val="18"/>
                <w:szCs w:val="18"/>
              </w:rPr>
              <w:t>支</w:t>
            </w:r>
            <w:r>
              <w:rPr>
                <w:rFonts w:ascii="宋体" w:hAnsi="宋体" w:cs="宋体" w:eastAsia="宋体" w:hint="default"/>
                <w:spacing w:val="-67"/>
                <w:sz w:val="18"/>
                <w:szCs w:val="18"/>
              </w:rPr>
              <w:t> </w:t>
            </w:r>
            <w:r>
              <w:rPr>
                <w:rFonts w:ascii="宋体" w:hAnsi="宋体" w:cs="宋体" w:eastAsia="宋体" w:hint="default"/>
                <w:sz w:val="18"/>
                <w:szCs w:val="18"/>
              </w:rPr>
              <w:t>行</w:t>
            </w:r>
            <w:r>
              <w:rPr>
                <w:rFonts w:ascii="宋体" w:hAnsi="宋体" w:cs="宋体" w:eastAsia="宋体" w:hint="default"/>
                <w:spacing w:val="-67"/>
                <w:sz w:val="18"/>
                <w:szCs w:val="18"/>
              </w:rPr>
              <w:t> </w:t>
            </w:r>
            <w:r>
              <w:rPr>
                <w:rFonts w:ascii="宋体" w:hAnsi="宋体" w:cs="宋体" w:eastAsia="宋体" w:hint="default"/>
                <w:sz w:val="18"/>
                <w:szCs w:val="18"/>
              </w:rPr>
              <w:t>东</w:t>
            </w:r>
            <w:r>
              <w:rPr>
                <w:rFonts w:ascii="宋体" w:hAnsi="宋体" w:cs="宋体" w:eastAsia="宋体" w:hint="default"/>
                <w:spacing w:val="-67"/>
                <w:sz w:val="18"/>
                <w:szCs w:val="18"/>
              </w:rPr>
              <w:t> </w:t>
            </w:r>
            <w:r>
              <w:rPr>
                <w:rFonts w:ascii="宋体" w:hAnsi="宋体" w:cs="宋体" w:eastAsia="宋体" w:hint="default"/>
                <w:sz w:val="18"/>
                <w:szCs w:val="18"/>
              </w:rPr>
              <w:t>关</w:t>
            </w:r>
            <w:r>
              <w:rPr>
                <w:rFonts w:ascii="宋体" w:hAnsi="宋体" w:cs="宋体" w:eastAsia="宋体" w:hint="default"/>
                <w:spacing w:val="-67"/>
                <w:sz w:val="18"/>
                <w:szCs w:val="18"/>
              </w:rPr>
              <w:t> </w:t>
            </w:r>
            <w:r>
              <w:rPr>
                <w:rFonts w:ascii="宋体" w:hAnsi="宋体" w:cs="宋体" w:eastAsia="宋体" w:hint="default"/>
                <w:sz w:val="18"/>
                <w:szCs w:val="18"/>
              </w:rPr>
              <w:t>分</w:t>
            </w:r>
            <w:r>
              <w:rPr>
                <w:rFonts w:ascii="宋体" w:hAnsi="宋体" w:cs="宋体" w:eastAsia="宋体" w:hint="default"/>
                <w:spacing w:val="-67"/>
                <w:sz w:val="18"/>
                <w:szCs w:val="18"/>
              </w:rPr>
              <w:t> </w:t>
            </w:r>
            <w:r>
              <w:rPr>
                <w:rFonts w:ascii="宋体" w:hAnsi="宋体" w:cs="宋体" w:eastAsia="宋体" w:hint="default"/>
                <w:sz w:val="18"/>
                <w:szCs w:val="18"/>
              </w:rPr>
              <w:t>理</w:t>
            </w:r>
            <w:r>
              <w:rPr>
                <w:rFonts w:ascii="宋体" w:hAnsi="宋体" w:cs="宋体" w:eastAsia="宋体" w:hint="default"/>
                <w:w w:val="99"/>
                <w:sz w:val="18"/>
                <w:szCs w:val="18"/>
              </w:rPr>
              <w:t> </w:t>
            </w:r>
            <w:r>
              <w:rPr>
                <w:rFonts w:ascii="宋体" w:hAnsi="宋体" w:cs="宋体" w:eastAsia="宋体" w:hint="default"/>
                <w:sz w:val="18"/>
                <w:szCs w:val="18"/>
              </w:rPr>
              <w:t>处</w:t>
            </w:r>
          </w:p>
        </w:tc>
        <w:tc>
          <w:tcPr>
            <w:tcW w:w="31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Arial" w:hAnsi="Arial" w:cs="Arial" w:eastAsia="Arial" w:hint="default"/>
                <w:sz w:val="18"/>
                <w:szCs w:val="18"/>
              </w:rPr>
            </w:pPr>
            <w:r>
              <w:rPr>
                <w:rFonts w:ascii="Arial"/>
                <w:sz w:val="18"/>
              </w:rPr>
              <w:t>853544020122666668</w:t>
            </w:r>
          </w:p>
        </w:tc>
        <w:tc>
          <w:tcPr>
            <w:tcW w:w="14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募集资金专户</w:t>
            </w:r>
          </w:p>
        </w:tc>
        <w:tc>
          <w:tcPr>
            <w:tcW w:w="14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2"/>
              <w:jc w:val="right"/>
              <w:rPr>
                <w:rFonts w:ascii="Arial" w:hAnsi="Arial" w:cs="Arial" w:eastAsia="Arial" w:hint="default"/>
                <w:sz w:val="18"/>
                <w:szCs w:val="18"/>
              </w:rPr>
            </w:pPr>
            <w:r>
              <w:rPr>
                <w:rFonts w:ascii="Arial"/>
                <w:spacing w:val="-1"/>
                <w:sz w:val="18"/>
              </w:rPr>
              <w:t>21,344,980.87</w:t>
            </w:r>
          </w:p>
        </w:tc>
      </w:tr>
      <w:tr>
        <w:trPr>
          <w:trHeight w:val="655" w:hRule="exact"/>
        </w:trPr>
        <w:tc>
          <w:tcPr>
            <w:tcW w:w="14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b/>
                <w:w w:val="99"/>
                <w:sz w:val="18"/>
              </w:rPr>
              <w:t>5</w:t>
            </w:r>
            <w:r>
              <w:rPr>
                <w:rFonts w:ascii="Arial"/>
                <w:sz w:val="18"/>
              </w:rPr>
            </w:r>
          </w:p>
        </w:tc>
        <w:tc>
          <w:tcPr>
            <w:tcW w:w="1414"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93" w:right="89"/>
              <w:jc w:val="left"/>
              <w:rPr>
                <w:rFonts w:ascii="宋体" w:hAnsi="宋体" w:cs="宋体" w:eastAsia="宋体" w:hint="default"/>
                <w:sz w:val="18"/>
                <w:szCs w:val="18"/>
              </w:rPr>
            </w:pPr>
            <w:r>
              <w:rPr>
                <w:rFonts w:ascii="宋体" w:hAnsi="宋体" w:cs="宋体" w:eastAsia="宋体" w:hint="default"/>
                <w:sz w:val="18"/>
                <w:szCs w:val="18"/>
              </w:rPr>
              <w:t>东</w:t>
            </w:r>
            <w:r>
              <w:rPr>
                <w:rFonts w:ascii="宋体" w:hAnsi="宋体" w:cs="宋体" w:eastAsia="宋体" w:hint="default"/>
                <w:spacing w:val="-67"/>
                <w:sz w:val="18"/>
                <w:szCs w:val="18"/>
              </w:rPr>
              <w:t> </w:t>
            </w:r>
            <w:r>
              <w:rPr>
                <w:rFonts w:ascii="宋体" w:hAnsi="宋体" w:cs="宋体" w:eastAsia="宋体" w:hint="default"/>
                <w:sz w:val="18"/>
                <w:szCs w:val="18"/>
              </w:rPr>
              <w:t>营</w:t>
            </w:r>
            <w:r>
              <w:rPr>
                <w:rFonts w:ascii="宋体" w:hAnsi="宋体" w:cs="宋体" w:eastAsia="宋体" w:hint="default"/>
                <w:spacing w:val="-67"/>
                <w:sz w:val="18"/>
                <w:szCs w:val="18"/>
              </w:rPr>
              <w:t> </w:t>
            </w:r>
            <w:r>
              <w:rPr>
                <w:rFonts w:ascii="宋体" w:hAnsi="宋体" w:cs="宋体" w:eastAsia="宋体" w:hint="default"/>
                <w:sz w:val="18"/>
                <w:szCs w:val="18"/>
              </w:rPr>
              <w:t>市</w:t>
            </w:r>
            <w:r>
              <w:rPr>
                <w:rFonts w:ascii="宋体" w:hAnsi="宋体" w:cs="宋体" w:eastAsia="宋体" w:hint="default"/>
                <w:spacing w:val="-67"/>
                <w:sz w:val="18"/>
                <w:szCs w:val="18"/>
              </w:rPr>
              <w:t> </w:t>
            </w:r>
            <w:r>
              <w:rPr>
                <w:rFonts w:ascii="宋体" w:hAnsi="宋体" w:cs="宋体" w:eastAsia="宋体" w:hint="default"/>
                <w:sz w:val="18"/>
                <w:szCs w:val="18"/>
              </w:rPr>
              <w:t>商</w:t>
            </w:r>
            <w:r>
              <w:rPr>
                <w:rFonts w:ascii="宋体" w:hAnsi="宋体" w:cs="宋体" w:eastAsia="宋体" w:hint="default"/>
                <w:spacing w:val="-67"/>
                <w:sz w:val="18"/>
                <w:szCs w:val="18"/>
              </w:rPr>
              <w:t> </w:t>
            </w:r>
            <w:r>
              <w:rPr>
                <w:rFonts w:ascii="宋体" w:hAnsi="宋体" w:cs="宋体" w:eastAsia="宋体" w:hint="default"/>
                <w:sz w:val="18"/>
                <w:szCs w:val="18"/>
              </w:rPr>
              <w:t>业</w:t>
            </w:r>
            <w:r>
              <w:rPr>
                <w:rFonts w:ascii="宋体" w:hAnsi="宋体" w:cs="宋体" w:eastAsia="宋体" w:hint="default"/>
                <w:spacing w:val="-67"/>
                <w:sz w:val="18"/>
                <w:szCs w:val="18"/>
              </w:rPr>
              <w:t> </w:t>
            </w:r>
            <w:r>
              <w:rPr>
                <w:rFonts w:ascii="宋体" w:hAnsi="宋体" w:cs="宋体" w:eastAsia="宋体" w:hint="default"/>
                <w:sz w:val="18"/>
                <w:szCs w:val="18"/>
              </w:rPr>
              <w:t>银</w:t>
            </w:r>
            <w:r>
              <w:rPr>
                <w:rFonts w:ascii="宋体" w:hAnsi="宋体" w:cs="宋体" w:eastAsia="宋体" w:hint="default"/>
                <w:w w:val="99"/>
                <w:sz w:val="18"/>
                <w:szCs w:val="18"/>
              </w:rPr>
              <w:t> </w:t>
            </w:r>
            <w:r>
              <w:rPr>
                <w:rFonts w:ascii="宋体" w:hAnsi="宋体" w:cs="宋体" w:eastAsia="宋体" w:hint="default"/>
                <w:sz w:val="18"/>
                <w:szCs w:val="18"/>
              </w:rPr>
              <w:t>行河口支行</w:t>
            </w:r>
          </w:p>
        </w:tc>
        <w:tc>
          <w:tcPr>
            <w:tcW w:w="31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sz w:val="18"/>
              </w:rPr>
              <w:t>666120100100055616</w:t>
            </w:r>
          </w:p>
        </w:tc>
        <w:tc>
          <w:tcPr>
            <w:tcW w:w="14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募集资金专户</w:t>
            </w:r>
          </w:p>
        </w:tc>
        <w:tc>
          <w:tcPr>
            <w:tcW w:w="14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2"/>
              <w:jc w:val="right"/>
              <w:rPr>
                <w:rFonts w:ascii="Arial" w:hAnsi="Arial" w:cs="Arial" w:eastAsia="Arial" w:hint="default"/>
                <w:sz w:val="18"/>
                <w:szCs w:val="18"/>
              </w:rPr>
            </w:pPr>
            <w:r>
              <w:rPr>
                <w:rFonts w:ascii="Arial"/>
                <w:spacing w:val="-1"/>
                <w:sz w:val="18"/>
              </w:rPr>
              <w:t>64,124,927.38</w:t>
            </w:r>
          </w:p>
        </w:tc>
      </w:tr>
      <w:tr>
        <w:trPr>
          <w:trHeight w:val="497" w:hRule="exact"/>
        </w:trPr>
        <w:tc>
          <w:tcPr>
            <w:tcW w:w="14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414" w:type="dxa"/>
            <w:tcBorders>
              <w:top w:val="single" w:sz="12" w:space="0" w:color="000000"/>
              <w:left w:val="single" w:sz="12" w:space="0" w:color="000000"/>
              <w:bottom w:val="single" w:sz="12" w:space="0" w:color="000000"/>
              <w:right w:val="single" w:sz="12" w:space="0" w:color="000000"/>
            </w:tcBorders>
          </w:tcPr>
          <w:p>
            <w:pPr/>
          </w:p>
        </w:tc>
        <w:tc>
          <w:tcPr>
            <w:tcW w:w="3142" w:type="dxa"/>
            <w:tcBorders>
              <w:top w:val="single" w:sz="12" w:space="0" w:color="000000"/>
              <w:left w:val="single" w:sz="12" w:space="0" w:color="000000"/>
              <w:bottom w:val="single" w:sz="12" w:space="0" w:color="000000"/>
              <w:right w:val="single" w:sz="12" w:space="0" w:color="000000"/>
            </w:tcBorders>
          </w:tcPr>
          <w:p>
            <w:pPr/>
          </w:p>
        </w:tc>
        <w:tc>
          <w:tcPr>
            <w:tcW w:w="1411" w:type="dxa"/>
            <w:tcBorders>
              <w:top w:val="single" w:sz="12" w:space="0" w:color="000000"/>
              <w:left w:val="single" w:sz="12" w:space="0" w:color="000000"/>
              <w:bottom w:val="single" w:sz="12" w:space="0" w:color="000000"/>
              <w:right w:val="single" w:sz="12" w:space="0" w:color="000000"/>
            </w:tcBorders>
          </w:tcPr>
          <w:p>
            <w:pPr/>
          </w:p>
        </w:tc>
        <w:tc>
          <w:tcPr>
            <w:tcW w:w="14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8"/>
              <w:ind w:right="92"/>
              <w:jc w:val="right"/>
              <w:rPr>
                <w:rFonts w:ascii="Arial" w:hAnsi="Arial" w:cs="Arial" w:eastAsia="Arial" w:hint="default"/>
                <w:sz w:val="18"/>
                <w:szCs w:val="18"/>
              </w:rPr>
            </w:pPr>
            <w:r>
              <w:rPr>
                <w:rFonts w:ascii="Arial"/>
                <w:spacing w:val="-1"/>
                <w:sz w:val="18"/>
              </w:rPr>
              <w:t>388,047,428.31</w:t>
            </w:r>
          </w:p>
        </w:tc>
      </w:tr>
    </w:tbl>
    <w:p>
      <w:pPr>
        <w:pStyle w:val="BodyText"/>
        <w:spacing w:line="240" w:lineRule="auto" w:before="57"/>
        <w:ind w:left="676" w:right="125"/>
        <w:jc w:val="left"/>
      </w:pPr>
      <w:r>
        <w:rPr/>
        <w:t>其中：定期账户</w:t>
      </w:r>
      <w:r>
        <w:rPr>
          <w:spacing w:val="-61"/>
        </w:rPr>
        <w:t> </w:t>
      </w:r>
      <w:r>
        <w:rPr>
          <w:rFonts w:ascii="Arial" w:hAnsi="Arial" w:cs="Arial" w:eastAsia="Arial" w:hint="default"/>
        </w:rPr>
        <w:t>375,144,295.50</w:t>
      </w:r>
      <w:r>
        <w:rPr>
          <w:rFonts w:ascii="Arial" w:hAnsi="Arial" w:cs="Arial" w:eastAsia="Arial" w:hint="default"/>
          <w:spacing w:val="-13"/>
        </w:rPr>
        <w:t> </w:t>
      </w:r>
      <w:r>
        <w:rPr/>
        <w:t>元明细如下（单位：元）：</w:t>
      </w:r>
    </w:p>
    <w:p>
      <w:pPr>
        <w:spacing w:line="240" w:lineRule="auto" w:before="5"/>
        <w:rPr>
          <w:rFonts w:ascii="宋体" w:hAnsi="宋体" w:cs="宋体" w:eastAsia="宋体" w:hint="default"/>
          <w:sz w:val="8"/>
          <w:szCs w:val="8"/>
        </w:rPr>
      </w:pPr>
    </w:p>
    <w:tbl>
      <w:tblPr>
        <w:tblW w:w="0" w:type="auto"/>
        <w:jc w:val="left"/>
        <w:tblInd w:w="134" w:type="dxa"/>
        <w:tblLayout w:type="fixed"/>
        <w:tblCellMar>
          <w:top w:w="0" w:type="dxa"/>
          <w:left w:w="0" w:type="dxa"/>
          <w:bottom w:w="0" w:type="dxa"/>
          <w:right w:w="0" w:type="dxa"/>
        </w:tblCellMar>
        <w:tblLook w:val="01E0"/>
      </w:tblPr>
      <w:tblGrid>
        <w:gridCol w:w="2731"/>
        <w:gridCol w:w="1601"/>
        <w:gridCol w:w="1510"/>
        <w:gridCol w:w="1526"/>
        <w:gridCol w:w="1447"/>
      </w:tblGrid>
      <w:tr>
        <w:trPr>
          <w:trHeight w:val="420" w:hRule="exact"/>
        </w:trPr>
        <w:tc>
          <w:tcPr>
            <w:tcW w:w="273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5"/>
              <w:ind w:right="5"/>
              <w:jc w:val="center"/>
              <w:rPr>
                <w:rFonts w:ascii="宋体" w:hAnsi="宋体" w:cs="宋体" w:eastAsia="宋体" w:hint="default"/>
                <w:sz w:val="20"/>
                <w:szCs w:val="20"/>
              </w:rPr>
            </w:pPr>
            <w:r>
              <w:rPr>
                <w:rFonts w:ascii="宋体" w:hAnsi="宋体" w:cs="宋体" w:eastAsia="宋体" w:hint="default"/>
                <w:sz w:val="20"/>
                <w:szCs w:val="20"/>
              </w:rPr>
              <w:t>开户银行</w:t>
            </w:r>
          </w:p>
        </w:tc>
        <w:tc>
          <w:tcPr>
            <w:tcW w:w="16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5"/>
              <w:ind w:left="182" w:right="0"/>
              <w:jc w:val="left"/>
              <w:rPr>
                <w:rFonts w:ascii="宋体" w:hAnsi="宋体" w:cs="宋体" w:eastAsia="宋体" w:hint="default"/>
                <w:sz w:val="20"/>
                <w:szCs w:val="20"/>
              </w:rPr>
            </w:pPr>
            <w:r>
              <w:rPr>
                <w:rFonts w:ascii="宋体" w:hAnsi="宋体" w:cs="宋体" w:eastAsia="宋体" w:hint="default"/>
                <w:sz w:val="20"/>
                <w:szCs w:val="20"/>
              </w:rPr>
              <w:t>定期账户种类</w:t>
            </w:r>
          </w:p>
        </w:tc>
        <w:tc>
          <w:tcPr>
            <w:tcW w:w="15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5"/>
              <w:ind w:left="237" w:right="0"/>
              <w:jc w:val="left"/>
              <w:rPr>
                <w:rFonts w:ascii="宋体" w:hAnsi="宋体" w:cs="宋体" w:eastAsia="宋体" w:hint="default"/>
                <w:sz w:val="20"/>
                <w:szCs w:val="20"/>
              </w:rPr>
            </w:pPr>
            <w:r>
              <w:rPr>
                <w:rFonts w:ascii="宋体" w:hAnsi="宋体" w:cs="宋体" w:eastAsia="宋体" w:hint="default"/>
                <w:sz w:val="20"/>
                <w:szCs w:val="20"/>
              </w:rPr>
              <w:t>存期（注）</w:t>
            </w:r>
          </w:p>
        </w:tc>
        <w:tc>
          <w:tcPr>
            <w:tcW w:w="15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5"/>
              <w:ind w:left="343" w:right="0"/>
              <w:jc w:val="left"/>
              <w:rPr>
                <w:rFonts w:ascii="宋体" w:hAnsi="宋体" w:cs="宋体" w:eastAsia="宋体" w:hint="default"/>
                <w:sz w:val="20"/>
                <w:szCs w:val="20"/>
              </w:rPr>
            </w:pPr>
            <w:r>
              <w:rPr>
                <w:rFonts w:ascii="宋体" w:hAnsi="宋体" w:cs="宋体" w:eastAsia="宋体" w:hint="default"/>
                <w:sz w:val="20"/>
                <w:szCs w:val="20"/>
              </w:rPr>
              <w:t>存款金额</w:t>
            </w:r>
          </w:p>
        </w:tc>
        <w:tc>
          <w:tcPr>
            <w:tcW w:w="144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5"/>
              <w:ind w:right="406"/>
              <w:jc w:val="right"/>
              <w:rPr>
                <w:rFonts w:ascii="宋体" w:hAnsi="宋体" w:cs="宋体" w:eastAsia="宋体" w:hint="default"/>
                <w:sz w:val="20"/>
                <w:szCs w:val="20"/>
              </w:rPr>
            </w:pPr>
            <w:r>
              <w:rPr>
                <w:rFonts w:ascii="宋体" w:hAnsi="宋体" w:cs="宋体" w:eastAsia="宋体" w:hint="default"/>
                <w:sz w:val="20"/>
                <w:szCs w:val="20"/>
              </w:rPr>
              <w:t>存单号</w:t>
            </w:r>
          </w:p>
        </w:tc>
      </w:tr>
      <w:tr>
        <w:trPr>
          <w:trHeight w:val="420" w:hRule="exact"/>
        </w:trPr>
        <w:tc>
          <w:tcPr>
            <w:tcW w:w="2731" w:type="dxa"/>
            <w:vMerge w:val="restart"/>
            <w:tcBorders>
              <w:top w:val="single" w:sz="12" w:space="0" w:color="000000"/>
              <w:left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中国银行上海青浦支行</w:t>
            </w:r>
          </w:p>
        </w:tc>
        <w:tc>
          <w:tcPr>
            <w:tcW w:w="16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半年定期存款</w:t>
            </w:r>
          </w:p>
        </w:tc>
        <w:tc>
          <w:tcPr>
            <w:tcW w:w="15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Arial" w:hAnsi="Arial" w:cs="Arial" w:eastAsia="Arial" w:hint="default"/>
                <w:sz w:val="18"/>
                <w:szCs w:val="18"/>
              </w:rPr>
              <w:t>2010-12-3</w:t>
            </w:r>
            <w:r>
              <w:rPr>
                <w:rFonts w:ascii="Arial" w:hAnsi="Arial" w:cs="Arial" w:eastAsia="Arial" w:hint="default"/>
                <w:spacing w:val="-7"/>
                <w:sz w:val="18"/>
                <w:szCs w:val="18"/>
              </w:rPr>
              <w:t> </w:t>
            </w:r>
            <w:r>
              <w:rPr>
                <w:rFonts w:ascii="宋体" w:hAnsi="宋体" w:cs="宋体" w:eastAsia="宋体" w:hint="default"/>
                <w:sz w:val="18"/>
                <w:szCs w:val="18"/>
              </w:rPr>
              <w:t>起</w:t>
            </w:r>
          </w:p>
        </w:tc>
        <w:tc>
          <w:tcPr>
            <w:tcW w:w="15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94"/>
              <w:jc w:val="right"/>
              <w:rPr>
                <w:rFonts w:ascii="Arial" w:hAnsi="Arial" w:cs="Arial" w:eastAsia="Arial" w:hint="default"/>
                <w:sz w:val="18"/>
                <w:szCs w:val="18"/>
              </w:rPr>
            </w:pPr>
            <w:r>
              <w:rPr>
                <w:rFonts w:ascii="Arial"/>
                <w:spacing w:val="-1"/>
                <w:sz w:val="18"/>
              </w:rPr>
              <w:t>201,980,000</w:t>
            </w:r>
          </w:p>
        </w:tc>
        <w:tc>
          <w:tcPr>
            <w:tcW w:w="144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349"/>
              <w:jc w:val="right"/>
              <w:rPr>
                <w:rFonts w:ascii="Arial" w:hAnsi="Arial" w:cs="Arial" w:eastAsia="Arial" w:hint="default"/>
                <w:sz w:val="18"/>
                <w:szCs w:val="18"/>
              </w:rPr>
            </w:pPr>
            <w:r>
              <w:rPr>
                <w:rFonts w:ascii="宋体" w:hAnsi="宋体" w:cs="宋体" w:eastAsia="宋体" w:hint="default"/>
                <w:sz w:val="18"/>
                <w:szCs w:val="18"/>
              </w:rPr>
              <w:t>沪</w:t>
            </w:r>
            <w:r>
              <w:rPr>
                <w:rFonts w:ascii="宋体" w:hAnsi="宋体" w:cs="宋体" w:eastAsia="宋体" w:hint="default"/>
                <w:spacing w:val="-2"/>
                <w:sz w:val="18"/>
                <w:szCs w:val="18"/>
              </w:rPr>
              <w:t> </w:t>
            </w:r>
            <w:r>
              <w:rPr>
                <w:rFonts w:ascii="Arial" w:hAnsi="Arial" w:cs="Arial" w:eastAsia="Arial" w:hint="default"/>
                <w:sz w:val="18"/>
                <w:szCs w:val="18"/>
              </w:rPr>
              <w:t>1886798</w:t>
            </w:r>
          </w:p>
        </w:tc>
      </w:tr>
      <w:tr>
        <w:trPr>
          <w:trHeight w:val="420" w:hRule="exact"/>
        </w:trPr>
        <w:tc>
          <w:tcPr>
            <w:tcW w:w="2731" w:type="dxa"/>
            <w:vMerge/>
            <w:tcBorders>
              <w:left w:val="single" w:sz="12" w:space="0" w:color="000000"/>
              <w:bottom w:val="single" w:sz="12" w:space="0" w:color="000000"/>
              <w:right w:val="single" w:sz="12" w:space="0" w:color="000000"/>
            </w:tcBorders>
          </w:tcPr>
          <w:p>
            <w:pPr/>
          </w:p>
        </w:tc>
        <w:tc>
          <w:tcPr>
            <w:tcW w:w="16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七天通知存款</w:t>
            </w:r>
          </w:p>
        </w:tc>
        <w:tc>
          <w:tcPr>
            <w:tcW w:w="15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Arial" w:hAnsi="Arial" w:cs="Arial" w:eastAsia="Arial" w:hint="default"/>
                <w:sz w:val="18"/>
                <w:szCs w:val="18"/>
              </w:rPr>
              <w:t>2010-11-5</w:t>
            </w:r>
            <w:r>
              <w:rPr>
                <w:rFonts w:ascii="Arial" w:hAnsi="Arial" w:cs="Arial" w:eastAsia="Arial" w:hint="default"/>
                <w:spacing w:val="-22"/>
                <w:sz w:val="18"/>
                <w:szCs w:val="18"/>
              </w:rPr>
              <w:t> </w:t>
            </w:r>
            <w:r>
              <w:rPr>
                <w:rFonts w:ascii="宋体" w:hAnsi="宋体" w:cs="宋体" w:eastAsia="宋体" w:hint="default"/>
                <w:sz w:val="18"/>
                <w:szCs w:val="18"/>
              </w:rPr>
              <w:t>起</w:t>
            </w:r>
          </w:p>
        </w:tc>
        <w:tc>
          <w:tcPr>
            <w:tcW w:w="15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94"/>
              <w:jc w:val="right"/>
              <w:rPr>
                <w:rFonts w:ascii="Arial" w:hAnsi="Arial" w:cs="Arial" w:eastAsia="Arial" w:hint="default"/>
                <w:sz w:val="18"/>
                <w:szCs w:val="18"/>
              </w:rPr>
            </w:pPr>
            <w:r>
              <w:rPr>
                <w:rFonts w:ascii="Arial"/>
                <w:spacing w:val="-1"/>
                <w:sz w:val="18"/>
              </w:rPr>
              <w:t>26,460,000</w:t>
            </w:r>
          </w:p>
        </w:tc>
        <w:tc>
          <w:tcPr>
            <w:tcW w:w="144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349"/>
              <w:jc w:val="right"/>
              <w:rPr>
                <w:rFonts w:ascii="Arial" w:hAnsi="Arial" w:cs="Arial" w:eastAsia="Arial" w:hint="default"/>
                <w:sz w:val="18"/>
                <w:szCs w:val="18"/>
              </w:rPr>
            </w:pPr>
            <w:r>
              <w:rPr>
                <w:rFonts w:ascii="宋体" w:hAnsi="宋体" w:cs="宋体" w:eastAsia="宋体" w:hint="default"/>
                <w:sz w:val="18"/>
                <w:szCs w:val="18"/>
              </w:rPr>
              <w:t>沪</w:t>
            </w:r>
            <w:r>
              <w:rPr>
                <w:rFonts w:ascii="宋体" w:hAnsi="宋体" w:cs="宋体" w:eastAsia="宋体" w:hint="default"/>
                <w:spacing w:val="-2"/>
                <w:sz w:val="18"/>
                <w:szCs w:val="18"/>
              </w:rPr>
              <w:t> </w:t>
            </w:r>
            <w:r>
              <w:rPr>
                <w:rFonts w:ascii="Arial" w:hAnsi="Arial" w:cs="Arial" w:eastAsia="Arial" w:hint="default"/>
                <w:sz w:val="18"/>
                <w:szCs w:val="18"/>
              </w:rPr>
              <w:t>2041725</w:t>
            </w:r>
          </w:p>
        </w:tc>
      </w:tr>
      <w:tr>
        <w:trPr>
          <w:trHeight w:val="420" w:hRule="exact"/>
        </w:trPr>
        <w:tc>
          <w:tcPr>
            <w:tcW w:w="273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兴业银行上海青浦支行</w:t>
            </w:r>
          </w:p>
        </w:tc>
        <w:tc>
          <w:tcPr>
            <w:tcW w:w="16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七天通知存款</w:t>
            </w:r>
          </w:p>
        </w:tc>
        <w:tc>
          <w:tcPr>
            <w:tcW w:w="15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Arial" w:hAnsi="Arial" w:cs="Arial" w:eastAsia="Arial" w:hint="default"/>
                <w:sz w:val="18"/>
                <w:szCs w:val="18"/>
              </w:rPr>
              <w:t>2010-6-3</w:t>
            </w:r>
            <w:r>
              <w:rPr>
                <w:rFonts w:ascii="Arial" w:hAnsi="Arial" w:cs="Arial" w:eastAsia="Arial" w:hint="default"/>
                <w:spacing w:val="-8"/>
                <w:sz w:val="18"/>
                <w:szCs w:val="18"/>
              </w:rPr>
              <w:t> </w:t>
            </w:r>
            <w:r>
              <w:rPr>
                <w:rFonts w:ascii="宋体" w:hAnsi="宋体" w:cs="宋体" w:eastAsia="宋体" w:hint="default"/>
                <w:sz w:val="18"/>
                <w:szCs w:val="18"/>
              </w:rPr>
              <w:t>起</w:t>
            </w:r>
          </w:p>
        </w:tc>
        <w:tc>
          <w:tcPr>
            <w:tcW w:w="15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94"/>
              <w:jc w:val="right"/>
              <w:rPr>
                <w:rFonts w:ascii="Arial" w:hAnsi="Arial" w:cs="Arial" w:eastAsia="Arial" w:hint="default"/>
                <w:sz w:val="18"/>
                <w:szCs w:val="18"/>
              </w:rPr>
            </w:pPr>
            <w:r>
              <w:rPr>
                <w:rFonts w:ascii="Arial"/>
                <w:spacing w:val="-1"/>
                <w:sz w:val="18"/>
              </w:rPr>
              <w:t>64,704,295.50</w:t>
            </w:r>
          </w:p>
        </w:tc>
        <w:tc>
          <w:tcPr>
            <w:tcW w:w="144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349"/>
              <w:jc w:val="right"/>
              <w:rPr>
                <w:rFonts w:ascii="Arial" w:hAnsi="Arial" w:cs="Arial" w:eastAsia="Arial" w:hint="default"/>
                <w:sz w:val="18"/>
                <w:szCs w:val="18"/>
              </w:rPr>
            </w:pPr>
            <w:r>
              <w:rPr>
                <w:rFonts w:ascii="宋体" w:hAnsi="宋体" w:cs="宋体" w:eastAsia="宋体" w:hint="default"/>
                <w:sz w:val="18"/>
                <w:szCs w:val="18"/>
              </w:rPr>
              <w:t>沪</w:t>
            </w:r>
            <w:r>
              <w:rPr>
                <w:rFonts w:ascii="宋体" w:hAnsi="宋体" w:cs="宋体" w:eastAsia="宋体" w:hint="default"/>
                <w:spacing w:val="-2"/>
                <w:sz w:val="18"/>
                <w:szCs w:val="18"/>
              </w:rPr>
              <w:t> </w:t>
            </w:r>
            <w:r>
              <w:rPr>
                <w:rFonts w:ascii="Arial" w:hAnsi="Arial" w:cs="Arial" w:eastAsia="Arial" w:hint="default"/>
                <w:sz w:val="18"/>
                <w:szCs w:val="18"/>
              </w:rPr>
              <w:t>0174510</w:t>
            </w:r>
          </w:p>
        </w:tc>
      </w:tr>
      <w:tr>
        <w:trPr>
          <w:trHeight w:val="420" w:hRule="exact"/>
        </w:trPr>
        <w:tc>
          <w:tcPr>
            <w:tcW w:w="2731" w:type="dxa"/>
            <w:vMerge w:val="restart"/>
            <w:tcBorders>
              <w:top w:val="single" w:sz="12" w:space="0" w:color="000000"/>
              <w:left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恒丰银行蓬莱支行东关分理处</w:t>
            </w:r>
          </w:p>
        </w:tc>
        <w:tc>
          <w:tcPr>
            <w:tcW w:w="16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三个月定期存期</w:t>
            </w:r>
          </w:p>
        </w:tc>
        <w:tc>
          <w:tcPr>
            <w:tcW w:w="15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Arial" w:hAnsi="Arial" w:cs="Arial" w:eastAsia="Arial" w:hint="default"/>
                <w:sz w:val="18"/>
                <w:szCs w:val="18"/>
              </w:rPr>
              <w:t>2010-10-11</w:t>
            </w:r>
            <w:r>
              <w:rPr>
                <w:rFonts w:ascii="Arial" w:hAnsi="Arial" w:cs="Arial" w:eastAsia="Arial" w:hint="default"/>
                <w:spacing w:val="-21"/>
                <w:sz w:val="18"/>
                <w:szCs w:val="18"/>
              </w:rPr>
              <w:t> </w:t>
            </w:r>
            <w:r>
              <w:rPr>
                <w:rFonts w:ascii="宋体" w:hAnsi="宋体" w:cs="宋体" w:eastAsia="宋体" w:hint="default"/>
                <w:sz w:val="18"/>
                <w:szCs w:val="18"/>
              </w:rPr>
              <w:t>起</w:t>
            </w:r>
          </w:p>
        </w:tc>
        <w:tc>
          <w:tcPr>
            <w:tcW w:w="15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94"/>
              <w:jc w:val="right"/>
              <w:rPr>
                <w:rFonts w:ascii="Arial" w:hAnsi="Arial" w:cs="Arial" w:eastAsia="Arial" w:hint="default"/>
                <w:sz w:val="18"/>
                <w:szCs w:val="18"/>
              </w:rPr>
            </w:pPr>
            <w:r>
              <w:rPr>
                <w:rFonts w:ascii="Arial"/>
                <w:spacing w:val="-1"/>
                <w:sz w:val="18"/>
              </w:rPr>
              <w:t>15,000,000</w:t>
            </w:r>
          </w:p>
        </w:tc>
        <w:tc>
          <w:tcPr>
            <w:tcW w:w="144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349"/>
              <w:jc w:val="right"/>
              <w:rPr>
                <w:rFonts w:ascii="Arial" w:hAnsi="Arial" w:cs="Arial" w:eastAsia="Arial" w:hint="default"/>
                <w:sz w:val="18"/>
                <w:szCs w:val="18"/>
              </w:rPr>
            </w:pPr>
            <w:r>
              <w:rPr>
                <w:rFonts w:ascii="宋体" w:hAnsi="宋体" w:cs="宋体" w:eastAsia="宋体" w:hint="default"/>
                <w:sz w:val="18"/>
                <w:szCs w:val="18"/>
              </w:rPr>
              <w:t>鲁</w:t>
            </w:r>
            <w:r>
              <w:rPr>
                <w:rFonts w:ascii="宋体" w:hAnsi="宋体" w:cs="宋体" w:eastAsia="宋体" w:hint="default"/>
                <w:spacing w:val="-2"/>
                <w:sz w:val="18"/>
                <w:szCs w:val="18"/>
              </w:rPr>
              <w:t> </w:t>
            </w:r>
            <w:r>
              <w:rPr>
                <w:rFonts w:ascii="Arial" w:hAnsi="Arial" w:cs="Arial" w:eastAsia="Arial" w:hint="default"/>
                <w:sz w:val="18"/>
                <w:szCs w:val="18"/>
              </w:rPr>
              <w:t>0068188</w:t>
            </w:r>
          </w:p>
        </w:tc>
      </w:tr>
      <w:tr>
        <w:trPr>
          <w:trHeight w:val="420" w:hRule="exact"/>
        </w:trPr>
        <w:tc>
          <w:tcPr>
            <w:tcW w:w="2731" w:type="dxa"/>
            <w:vMerge/>
            <w:tcBorders>
              <w:left w:val="single" w:sz="12" w:space="0" w:color="000000"/>
              <w:bottom w:val="single" w:sz="12" w:space="0" w:color="000000"/>
              <w:right w:val="single" w:sz="12" w:space="0" w:color="000000"/>
            </w:tcBorders>
          </w:tcPr>
          <w:p>
            <w:pPr/>
          </w:p>
        </w:tc>
        <w:tc>
          <w:tcPr>
            <w:tcW w:w="16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七天通知存款</w:t>
            </w:r>
          </w:p>
        </w:tc>
        <w:tc>
          <w:tcPr>
            <w:tcW w:w="15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Arial" w:hAnsi="Arial" w:cs="Arial" w:eastAsia="Arial" w:hint="default"/>
                <w:sz w:val="18"/>
                <w:szCs w:val="18"/>
              </w:rPr>
              <w:t>2010-10-11</w:t>
            </w:r>
            <w:r>
              <w:rPr>
                <w:rFonts w:ascii="Arial" w:hAnsi="Arial" w:cs="Arial" w:eastAsia="Arial" w:hint="default"/>
                <w:spacing w:val="-21"/>
                <w:sz w:val="18"/>
                <w:szCs w:val="18"/>
              </w:rPr>
              <w:t> </w:t>
            </w:r>
            <w:r>
              <w:rPr>
                <w:rFonts w:ascii="宋体" w:hAnsi="宋体" w:cs="宋体" w:eastAsia="宋体" w:hint="default"/>
                <w:sz w:val="18"/>
                <w:szCs w:val="18"/>
              </w:rPr>
              <w:t>起</w:t>
            </w:r>
          </w:p>
        </w:tc>
        <w:tc>
          <w:tcPr>
            <w:tcW w:w="15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94"/>
              <w:jc w:val="right"/>
              <w:rPr>
                <w:rFonts w:ascii="Arial" w:hAnsi="Arial" w:cs="Arial" w:eastAsia="Arial" w:hint="default"/>
                <w:sz w:val="18"/>
                <w:szCs w:val="18"/>
              </w:rPr>
            </w:pPr>
            <w:r>
              <w:rPr>
                <w:rFonts w:ascii="Arial"/>
                <w:spacing w:val="-1"/>
                <w:sz w:val="18"/>
              </w:rPr>
              <w:t>5,000,000</w:t>
            </w:r>
          </w:p>
        </w:tc>
        <w:tc>
          <w:tcPr>
            <w:tcW w:w="144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349"/>
              <w:jc w:val="right"/>
              <w:rPr>
                <w:rFonts w:ascii="Arial" w:hAnsi="Arial" w:cs="Arial" w:eastAsia="Arial" w:hint="default"/>
                <w:sz w:val="18"/>
                <w:szCs w:val="18"/>
              </w:rPr>
            </w:pPr>
            <w:r>
              <w:rPr>
                <w:rFonts w:ascii="宋体" w:hAnsi="宋体" w:cs="宋体" w:eastAsia="宋体" w:hint="default"/>
                <w:sz w:val="18"/>
                <w:szCs w:val="18"/>
              </w:rPr>
              <w:t>鲁</w:t>
            </w:r>
            <w:r>
              <w:rPr>
                <w:rFonts w:ascii="宋体" w:hAnsi="宋体" w:cs="宋体" w:eastAsia="宋体" w:hint="default"/>
                <w:spacing w:val="-2"/>
                <w:sz w:val="18"/>
                <w:szCs w:val="18"/>
              </w:rPr>
              <w:t> </w:t>
            </w:r>
            <w:r>
              <w:rPr>
                <w:rFonts w:ascii="Arial" w:hAnsi="Arial" w:cs="Arial" w:eastAsia="Arial" w:hint="default"/>
                <w:sz w:val="18"/>
                <w:szCs w:val="18"/>
              </w:rPr>
              <w:t>0068189</w:t>
            </w:r>
          </w:p>
        </w:tc>
      </w:tr>
      <w:tr>
        <w:trPr>
          <w:trHeight w:val="420" w:hRule="exact"/>
        </w:trPr>
        <w:tc>
          <w:tcPr>
            <w:tcW w:w="2731" w:type="dxa"/>
            <w:vMerge w:val="restart"/>
            <w:tcBorders>
              <w:top w:val="single" w:sz="12" w:space="0" w:color="000000"/>
              <w:left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东营市商业银行河口支行</w:t>
            </w:r>
          </w:p>
        </w:tc>
        <w:tc>
          <w:tcPr>
            <w:tcW w:w="16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三个月定期存期</w:t>
            </w:r>
          </w:p>
        </w:tc>
        <w:tc>
          <w:tcPr>
            <w:tcW w:w="15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Arial" w:hAnsi="Arial" w:cs="Arial" w:eastAsia="Arial" w:hint="default"/>
                <w:sz w:val="18"/>
                <w:szCs w:val="18"/>
              </w:rPr>
              <w:t>2010-11-9</w:t>
            </w:r>
            <w:r>
              <w:rPr>
                <w:rFonts w:ascii="Arial" w:hAnsi="Arial" w:cs="Arial" w:eastAsia="Arial" w:hint="default"/>
                <w:spacing w:val="-22"/>
                <w:sz w:val="18"/>
                <w:szCs w:val="18"/>
              </w:rPr>
              <w:t> </w:t>
            </w:r>
            <w:r>
              <w:rPr>
                <w:rFonts w:ascii="宋体" w:hAnsi="宋体" w:cs="宋体" w:eastAsia="宋体" w:hint="default"/>
                <w:sz w:val="18"/>
                <w:szCs w:val="18"/>
              </w:rPr>
              <w:t>起</w:t>
            </w:r>
          </w:p>
        </w:tc>
        <w:tc>
          <w:tcPr>
            <w:tcW w:w="15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94"/>
              <w:jc w:val="right"/>
              <w:rPr>
                <w:rFonts w:ascii="Arial" w:hAnsi="Arial" w:cs="Arial" w:eastAsia="Arial" w:hint="default"/>
                <w:sz w:val="18"/>
                <w:szCs w:val="18"/>
              </w:rPr>
            </w:pPr>
            <w:r>
              <w:rPr>
                <w:rFonts w:ascii="Arial"/>
                <w:spacing w:val="-1"/>
                <w:sz w:val="18"/>
              </w:rPr>
              <w:t>5,000,000</w:t>
            </w:r>
          </w:p>
        </w:tc>
        <w:tc>
          <w:tcPr>
            <w:tcW w:w="144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349"/>
              <w:jc w:val="right"/>
              <w:rPr>
                <w:rFonts w:ascii="Arial" w:hAnsi="Arial" w:cs="Arial" w:eastAsia="Arial" w:hint="default"/>
                <w:sz w:val="18"/>
                <w:szCs w:val="18"/>
              </w:rPr>
            </w:pPr>
            <w:r>
              <w:rPr>
                <w:rFonts w:ascii="宋体" w:hAnsi="宋体" w:cs="宋体" w:eastAsia="宋体" w:hint="default"/>
                <w:sz w:val="18"/>
                <w:szCs w:val="18"/>
              </w:rPr>
              <w:t>鲁</w:t>
            </w:r>
            <w:r>
              <w:rPr>
                <w:rFonts w:ascii="宋体" w:hAnsi="宋体" w:cs="宋体" w:eastAsia="宋体" w:hint="default"/>
                <w:spacing w:val="-2"/>
                <w:sz w:val="18"/>
                <w:szCs w:val="18"/>
              </w:rPr>
              <w:t> </w:t>
            </w:r>
            <w:r>
              <w:rPr>
                <w:rFonts w:ascii="Arial" w:hAnsi="Arial" w:cs="Arial" w:eastAsia="Arial" w:hint="default"/>
                <w:sz w:val="18"/>
                <w:szCs w:val="18"/>
              </w:rPr>
              <w:t>0000939</w:t>
            </w:r>
          </w:p>
        </w:tc>
      </w:tr>
      <w:tr>
        <w:trPr>
          <w:trHeight w:val="420" w:hRule="exact"/>
        </w:trPr>
        <w:tc>
          <w:tcPr>
            <w:tcW w:w="2731" w:type="dxa"/>
            <w:vMerge/>
            <w:tcBorders>
              <w:left w:val="single" w:sz="12" w:space="0" w:color="000000"/>
              <w:right w:val="single" w:sz="12" w:space="0" w:color="000000"/>
            </w:tcBorders>
          </w:tcPr>
          <w:p>
            <w:pPr/>
          </w:p>
        </w:tc>
        <w:tc>
          <w:tcPr>
            <w:tcW w:w="16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三个月定期存期</w:t>
            </w:r>
          </w:p>
        </w:tc>
        <w:tc>
          <w:tcPr>
            <w:tcW w:w="15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Arial" w:hAnsi="Arial" w:cs="Arial" w:eastAsia="Arial" w:hint="default"/>
                <w:sz w:val="18"/>
                <w:szCs w:val="18"/>
              </w:rPr>
              <w:t>2010-11-9</w:t>
            </w:r>
            <w:r>
              <w:rPr>
                <w:rFonts w:ascii="Arial" w:hAnsi="Arial" w:cs="Arial" w:eastAsia="Arial" w:hint="default"/>
                <w:spacing w:val="-22"/>
                <w:sz w:val="18"/>
                <w:szCs w:val="18"/>
              </w:rPr>
              <w:t> </w:t>
            </w:r>
            <w:r>
              <w:rPr>
                <w:rFonts w:ascii="宋体" w:hAnsi="宋体" w:cs="宋体" w:eastAsia="宋体" w:hint="default"/>
                <w:sz w:val="18"/>
                <w:szCs w:val="18"/>
              </w:rPr>
              <w:t>起</w:t>
            </w:r>
          </w:p>
        </w:tc>
        <w:tc>
          <w:tcPr>
            <w:tcW w:w="15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94"/>
              <w:jc w:val="right"/>
              <w:rPr>
                <w:rFonts w:ascii="Arial" w:hAnsi="Arial" w:cs="Arial" w:eastAsia="Arial" w:hint="default"/>
                <w:sz w:val="18"/>
                <w:szCs w:val="18"/>
              </w:rPr>
            </w:pPr>
            <w:r>
              <w:rPr>
                <w:rFonts w:ascii="Arial"/>
                <w:spacing w:val="-1"/>
                <w:sz w:val="18"/>
              </w:rPr>
              <w:t>5,000,000</w:t>
            </w:r>
          </w:p>
        </w:tc>
        <w:tc>
          <w:tcPr>
            <w:tcW w:w="144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349"/>
              <w:jc w:val="right"/>
              <w:rPr>
                <w:rFonts w:ascii="Arial" w:hAnsi="Arial" w:cs="Arial" w:eastAsia="Arial" w:hint="default"/>
                <w:sz w:val="18"/>
                <w:szCs w:val="18"/>
              </w:rPr>
            </w:pPr>
            <w:r>
              <w:rPr>
                <w:rFonts w:ascii="宋体" w:hAnsi="宋体" w:cs="宋体" w:eastAsia="宋体" w:hint="default"/>
                <w:sz w:val="18"/>
                <w:szCs w:val="18"/>
              </w:rPr>
              <w:t>鲁</w:t>
            </w:r>
            <w:r>
              <w:rPr>
                <w:rFonts w:ascii="宋体" w:hAnsi="宋体" w:cs="宋体" w:eastAsia="宋体" w:hint="default"/>
                <w:spacing w:val="-2"/>
                <w:sz w:val="18"/>
                <w:szCs w:val="18"/>
              </w:rPr>
              <w:t> </w:t>
            </w:r>
            <w:r>
              <w:rPr>
                <w:rFonts w:ascii="Arial" w:hAnsi="Arial" w:cs="Arial" w:eastAsia="Arial" w:hint="default"/>
                <w:sz w:val="18"/>
                <w:szCs w:val="18"/>
              </w:rPr>
              <w:t>0000940</w:t>
            </w:r>
          </w:p>
        </w:tc>
      </w:tr>
      <w:tr>
        <w:trPr>
          <w:trHeight w:val="420" w:hRule="exact"/>
        </w:trPr>
        <w:tc>
          <w:tcPr>
            <w:tcW w:w="2731" w:type="dxa"/>
            <w:vMerge/>
            <w:tcBorders>
              <w:left w:val="single" w:sz="12" w:space="0" w:color="000000"/>
              <w:right w:val="single" w:sz="12" w:space="0" w:color="000000"/>
            </w:tcBorders>
          </w:tcPr>
          <w:p>
            <w:pPr/>
          </w:p>
        </w:tc>
        <w:tc>
          <w:tcPr>
            <w:tcW w:w="16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三个月定期存期</w:t>
            </w:r>
          </w:p>
        </w:tc>
        <w:tc>
          <w:tcPr>
            <w:tcW w:w="15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Arial" w:hAnsi="Arial" w:cs="Arial" w:eastAsia="Arial" w:hint="default"/>
                <w:sz w:val="18"/>
                <w:szCs w:val="18"/>
              </w:rPr>
              <w:t>2010-10-2</w:t>
            </w:r>
            <w:r>
              <w:rPr>
                <w:rFonts w:ascii="Arial" w:hAnsi="Arial" w:cs="Arial" w:eastAsia="Arial" w:hint="default"/>
                <w:spacing w:val="-7"/>
                <w:sz w:val="18"/>
                <w:szCs w:val="18"/>
              </w:rPr>
              <w:t> </w:t>
            </w:r>
            <w:r>
              <w:rPr>
                <w:rFonts w:ascii="宋体" w:hAnsi="宋体" w:cs="宋体" w:eastAsia="宋体" w:hint="default"/>
                <w:sz w:val="18"/>
                <w:szCs w:val="18"/>
              </w:rPr>
              <w:t>起</w:t>
            </w:r>
          </w:p>
        </w:tc>
        <w:tc>
          <w:tcPr>
            <w:tcW w:w="15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94"/>
              <w:jc w:val="right"/>
              <w:rPr>
                <w:rFonts w:ascii="Arial" w:hAnsi="Arial" w:cs="Arial" w:eastAsia="Arial" w:hint="default"/>
                <w:sz w:val="18"/>
                <w:szCs w:val="18"/>
              </w:rPr>
            </w:pPr>
            <w:r>
              <w:rPr>
                <w:rFonts w:ascii="Arial"/>
                <w:spacing w:val="-1"/>
                <w:sz w:val="18"/>
              </w:rPr>
              <w:t>5,000,000</w:t>
            </w:r>
          </w:p>
        </w:tc>
        <w:tc>
          <w:tcPr>
            <w:tcW w:w="144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349"/>
              <w:jc w:val="right"/>
              <w:rPr>
                <w:rFonts w:ascii="Arial" w:hAnsi="Arial" w:cs="Arial" w:eastAsia="Arial" w:hint="default"/>
                <w:sz w:val="18"/>
                <w:szCs w:val="18"/>
              </w:rPr>
            </w:pPr>
            <w:r>
              <w:rPr>
                <w:rFonts w:ascii="宋体" w:hAnsi="宋体" w:cs="宋体" w:eastAsia="宋体" w:hint="default"/>
                <w:sz w:val="18"/>
                <w:szCs w:val="18"/>
              </w:rPr>
              <w:t>鲁</w:t>
            </w:r>
            <w:r>
              <w:rPr>
                <w:rFonts w:ascii="宋体" w:hAnsi="宋体" w:cs="宋体" w:eastAsia="宋体" w:hint="default"/>
                <w:spacing w:val="-2"/>
                <w:sz w:val="18"/>
                <w:szCs w:val="18"/>
              </w:rPr>
              <w:t> </w:t>
            </w:r>
            <w:r>
              <w:rPr>
                <w:rFonts w:ascii="Arial" w:hAnsi="Arial" w:cs="Arial" w:eastAsia="Arial" w:hint="default"/>
                <w:sz w:val="18"/>
                <w:szCs w:val="18"/>
              </w:rPr>
              <w:t>0000938</w:t>
            </w:r>
          </w:p>
        </w:tc>
      </w:tr>
      <w:tr>
        <w:trPr>
          <w:trHeight w:val="420" w:hRule="exact"/>
        </w:trPr>
        <w:tc>
          <w:tcPr>
            <w:tcW w:w="2731" w:type="dxa"/>
            <w:vMerge/>
            <w:tcBorders>
              <w:left w:val="single" w:sz="12" w:space="0" w:color="000000"/>
              <w:right w:val="single" w:sz="12" w:space="0" w:color="000000"/>
            </w:tcBorders>
          </w:tcPr>
          <w:p>
            <w:pPr/>
          </w:p>
        </w:tc>
        <w:tc>
          <w:tcPr>
            <w:tcW w:w="16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三个月定期存期</w:t>
            </w:r>
          </w:p>
        </w:tc>
        <w:tc>
          <w:tcPr>
            <w:tcW w:w="15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Arial" w:hAnsi="Arial" w:cs="Arial" w:eastAsia="Arial" w:hint="default"/>
                <w:sz w:val="18"/>
                <w:szCs w:val="18"/>
              </w:rPr>
              <w:t>2010-10-2</w:t>
            </w:r>
            <w:r>
              <w:rPr>
                <w:rFonts w:ascii="Arial" w:hAnsi="Arial" w:cs="Arial" w:eastAsia="Arial" w:hint="default"/>
                <w:spacing w:val="-7"/>
                <w:sz w:val="18"/>
                <w:szCs w:val="18"/>
              </w:rPr>
              <w:t> </w:t>
            </w:r>
            <w:r>
              <w:rPr>
                <w:rFonts w:ascii="宋体" w:hAnsi="宋体" w:cs="宋体" w:eastAsia="宋体" w:hint="default"/>
                <w:sz w:val="18"/>
                <w:szCs w:val="18"/>
              </w:rPr>
              <w:t>起</w:t>
            </w:r>
          </w:p>
        </w:tc>
        <w:tc>
          <w:tcPr>
            <w:tcW w:w="15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94"/>
              <w:jc w:val="right"/>
              <w:rPr>
                <w:rFonts w:ascii="Arial" w:hAnsi="Arial" w:cs="Arial" w:eastAsia="Arial" w:hint="default"/>
                <w:sz w:val="18"/>
                <w:szCs w:val="18"/>
              </w:rPr>
            </w:pPr>
            <w:r>
              <w:rPr>
                <w:rFonts w:ascii="Arial"/>
                <w:spacing w:val="-1"/>
                <w:sz w:val="18"/>
              </w:rPr>
              <w:t>10,000,000</w:t>
            </w:r>
          </w:p>
        </w:tc>
        <w:tc>
          <w:tcPr>
            <w:tcW w:w="144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349"/>
              <w:jc w:val="right"/>
              <w:rPr>
                <w:rFonts w:ascii="Arial" w:hAnsi="Arial" w:cs="Arial" w:eastAsia="Arial" w:hint="default"/>
                <w:sz w:val="18"/>
                <w:szCs w:val="18"/>
              </w:rPr>
            </w:pPr>
            <w:r>
              <w:rPr>
                <w:rFonts w:ascii="宋体" w:hAnsi="宋体" w:cs="宋体" w:eastAsia="宋体" w:hint="default"/>
                <w:sz w:val="18"/>
                <w:szCs w:val="18"/>
              </w:rPr>
              <w:t>鲁</w:t>
            </w:r>
            <w:r>
              <w:rPr>
                <w:rFonts w:ascii="宋体" w:hAnsi="宋体" w:cs="宋体" w:eastAsia="宋体" w:hint="default"/>
                <w:spacing w:val="-2"/>
                <w:sz w:val="18"/>
                <w:szCs w:val="18"/>
              </w:rPr>
              <w:t> </w:t>
            </w:r>
            <w:r>
              <w:rPr>
                <w:rFonts w:ascii="Arial" w:hAnsi="Arial" w:cs="Arial" w:eastAsia="Arial" w:hint="default"/>
                <w:sz w:val="18"/>
                <w:szCs w:val="18"/>
              </w:rPr>
              <w:t>0000937</w:t>
            </w:r>
          </w:p>
        </w:tc>
      </w:tr>
      <w:tr>
        <w:trPr>
          <w:trHeight w:val="420" w:hRule="exact"/>
        </w:trPr>
        <w:tc>
          <w:tcPr>
            <w:tcW w:w="2731" w:type="dxa"/>
            <w:vMerge/>
            <w:tcBorders>
              <w:left w:val="single" w:sz="12" w:space="0" w:color="000000"/>
              <w:right w:val="single" w:sz="12" w:space="0" w:color="000000"/>
            </w:tcBorders>
          </w:tcPr>
          <w:p>
            <w:pPr/>
          </w:p>
        </w:tc>
        <w:tc>
          <w:tcPr>
            <w:tcW w:w="16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三个月定期存期</w:t>
            </w:r>
          </w:p>
        </w:tc>
        <w:tc>
          <w:tcPr>
            <w:tcW w:w="15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Arial" w:hAnsi="Arial" w:cs="Arial" w:eastAsia="Arial" w:hint="default"/>
                <w:sz w:val="18"/>
                <w:szCs w:val="18"/>
              </w:rPr>
              <w:t>2010-11-9</w:t>
            </w:r>
            <w:r>
              <w:rPr>
                <w:rFonts w:ascii="Arial" w:hAnsi="Arial" w:cs="Arial" w:eastAsia="Arial" w:hint="default"/>
                <w:spacing w:val="-22"/>
                <w:sz w:val="18"/>
                <w:szCs w:val="18"/>
              </w:rPr>
              <w:t> </w:t>
            </w:r>
            <w:r>
              <w:rPr>
                <w:rFonts w:ascii="宋体" w:hAnsi="宋体" w:cs="宋体" w:eastAsia="宋体" w:hint="default"/>
                <w:sz w:val="18"/>
                <w:szCs w:val="18"/>
              </w:rPr>
              <w:t>起</w:t>
            </w:r>
          </w:p>
        </w:tc>
        <w:tc>
          <w:tcPr>
            <w:tcW w:w="15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94"/>
              <w:jc w:val="right"/>
              <w:rPr>
                <w:rFonts w:ascii="Arial" w:hAnsi="Arial" w:cs="Arial" w:eastAsia="Arial" w:hint="default"/>
                <w:sz w:val="18"/>
                <w:szCs w:val="18"/>
              </w:rPr>
            </w:pPr>
            <w:r>
              <w:rPr>
                <w:rFonts w:ascii="Arial"/>
                <w:spacing w:val="-1"/>
                <w:sz w:val="18"/>
              </w:rPr>
              <w:t>10,000,000</w:t>
            </w:r>
          </w:p>
        </w:tc>
        <w:tc>
          <w:tcPr>
            <w:tcW w:w="144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349"/>
              <w:jc w:val="right"/>
              <w:rPr>
                <w:rFonts w:ascii="Arial" w:hAnsi="Arial" w:cs="Arial" w:eastAsia="Arial" w:hint="default"/>
                <w:sz w:val="18"/>
                <w:szCs w:val="18"/>
              </w:rPr>
            </w:pPr>
            <w:r>
              <w:rPr>
                <w:rFonts w:ascii="宋体" w:hAnsi="宋体" w:cs="宋体" w:eastAsia="宋体" w:hint="default"/>
                <w:sz w:val="18"/>
                <w:szCs w:val="18"/>
              </w:rPr>
              <w:t>鲁</w:t>
            </w:r>
            <w:r>
              <w:rPr>
                <w:rFonts w:ascii="宋体" w:hAnsi="宋体" w:cs="宋体" w:eastAsia="宋体" w:hint="default"/>
                <w:spacing w:val="-2"/>
                <w:sz w:val="18"/>
                <w:szCs w:val="18"/>
              </w:rPr>
              <w:t> </w:t>
            </w:r>
            <w:r>
              <w:rPr>
                <w:rFonts w:ascii="Arial" w:hAnsi="Arial" w:cs="Arial" w:eastAsia="Arial" w:hint="default"/>
                <w:sz w:val="18"/>
                <w:szCs w:val="18"/>
              </w:rPr>
              <w:t>0000941</w:t>
            </w:r>
          </w:p>
        </w:tc>
      </w:tr>
      <w:tr>
        <w:trPr>
          <w:trHeight w:val="420" w:hRule="exact"/>
        </w:trPr>
        <w:tc>
          <w:tcPr>
            <w:tcW w:w="2731" w:type="dxa"/>
            <w:vMerge/>
            <w:tcBorders>
              <w:left w:val="single" w:sz="12" w:space="0" w:color="000000"/>
              <w:right w:val="single" w:sz="12" w:space="0" w:color="000000"/>
            </w:tcBorders>
          </w:tcPr>
          <w:p>
            <w:pPr/>
          </w:p>
        </w:tc>
        <w:tc>
          <w:tcPr>
            <w:tcW w:w="16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三个月定期存期</w:t>
            </w:r>
          </w:p>
        </w:tc>
        <w:tc>
          <w:tcPr>
            <w:tcW w:w="15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Arial" w:hAnsi="Arial" w:cs="Arial" w:eastAsia="Arial" w:hint="default"/>
                <w:sz w:val="18"/>
                <w:szCs w:val="18"/>
              </w:rPr>
              <w:t>2010-11-9</w:t>
            </w:r>
            <w:r>
              <w:rPr>
                <w:rFonts w:ascii="Arial" w:hAnsi="Arial" w:cs="Arial" w:eastAsia="Arial" w:hint="default"/>
                <w:spacing w:val="-22"/>
                <w:sz w:val="18"/>
                <w:szCs w:val="18"/>
              </w:rPr>
              <w:t> </w:t>
            </w:r>
            <w:r>
              <w:rPr>
                <w:rFonts w:ascii="宋体" w:hAnsi="宋体" w:cs="宋体" w:eastAsia="宋体" w:hint="default"/>
                <w:sz w:val="18"/>
                <w:szCs w:val="18"/>
              </w:rPr>
              <w:t>起</w:t>
            </w:r>
          </w:p>
        </w:tc>
        <w:tc>
          <w:tcPr>
            <w:tcW w:w="15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94"/>
              <w:jc w:val="right"/>
              <w:rPr>
                <w:rFonts w:ascii="Arial" w:hAnsi="Arial" w:cs="Arial" w:eastAsia="Arial" w:hint="default"/>
                <w:sz w:val="18"/>
                <w:szCs w:val="18"/>
              </w:rPr>
            </w:pPr>
            <w:r>
              <w:rPr>
                <w:rFonts w:ascii="Arial"/>
                <w:spacing w:val="-1"/>
                <w:sz w:val="18"/>
              </w:rPr>
              <w:t>20,000,000</w:t>
            </w:r>
          </w:p>
        </w:tc>
        <w:tc>
          <w:tcPr>
            <w:tcW w:w="144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349"/>
              <w:jc w:val="right"/>
              <w:rPr>
                <w:rFonts w:ascii="Arial" w:hAnsi="Arial" w:cs="Arial" w:eastAsia="Arial" w:hint="default"/>
                <w:sz w:val="18"/>
                <w:szCs w:val="18"/>
              </w:rPr>
            </w:pPr>
            <w:r>
              <w:rPr>
                <w:rFonts w:ascii="宋体" w:hAnsi="宋体" w:cs="宋体" w:eastAsia="宋体" w:hint="default"/>
                <w:sz w:val="18"/>
                <w:szCs w:val="18"/>
              </w:rPr>
              <w:t>鲁</w:t>
            </w:r>
            <w:r>
              <w:rPr>
                <w:rFonts w:ascii="宋体" w:hAnsi="宋体" w:cs="宋体" w:eastAsia="宋体" w:hint="default"/>
                <w:spacing w:val="-2"/>
                <w:sz w:val="18"/>
                <w:szCs w:val="18"/>
              </w:rPr>
              <w:t> </w:t>
            </w:r>
            <w:r>
              <w:rPr>
                <w:rFonts w:ascii="Arial" w:hAnsi="Arial" w:cs="Arial" w:eastAsia="Arial" w:hint="default"/>
                <w:sz w:val="18"/>
                <w:szCs w:val="18"/>
              </w:rPr>
              <w:t>0000942</w:t>
            </w:r>
          </w:p>
        </w:tc>
      </w:tr>
      <w:tr>
        <w:trPr>
          <w:trHeight w:val="420" w:hRule="exact"/>
        </w:trPr>
        <w:tc>
          <w:tcPr>
            <w:tcW w:w="2731" w:type="dxa"/>
            <w:vMerge/>
            <w:tcBorders>
              <w:left w:val="single" w:sz="12" w:space="0" w:color="000000"/>
              <w:right w:val="single" w:sz="12" w:space="0" w:color="000000"/>
            </w:tcBorders>
          </w:tcPr>
          <w:p>
            <w:pPr/>
          </w:p>
        </w:tc>
        <w:tc>
          <w:tcPr>
            <w:tcW w:w="16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七天通知存款</w:t>
            </w:r>
          </w:p>
        </w:tc>
        <w:tc>
          <w:tcPr>
            <w:tcW w:w="15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Arial" w:hAnsi="Arial" w:cs="Arial" w:eastAsia="Arial" w:hint="default"/>
                <w:sz w:val="18"/>
                <w:szCs w:val="18"/>
              </w:rPr>
              <w:t>2010-11-9</w:t>
            </w:r>
            <w:r>
              <w:rPr>
                <w:rFonts w:ascii="Arial" w:hAnsi="Arial" w:cs="Arial" w:eastAsia="Arial" w:hint="default"/>
                <w:spacing w:val="-22"/>
                <w:sz w:val="18"/>
                <w:szCs w:val="18"/>
              </w:rPr>
              <w:t> </w:t>
            </w:r>
            <w:r>
              <w:rPr>
                <w:rFonts w:ascii="宋体" w:hAnsi="宋体" w:cs="宋体" w:eastAsia="宋体" w:hint="default"/>
                <w:sz w:val="18"/>
                <w:szCs w:val="18"/>
              </w:rPr>
              <w:t>起</w:t>
            </w:r>
          </w:p>
        </w:tc>
        <w:tc>
          <w:tcPr>
            <w:tcW w:w="15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94"/>
              <w:jc w:val="right"/>
              <w:rPr>
                <w:rFonts w:ascii="Arial" w:hAnsi="Arial" w:cs="Arial" w:eastAsia="Arial" w:hint="default"/>
                <w:sz w:val="18"/>
                <w:szCs w:val="18"/>
              </w:rPr>
            </w:pPr>
            <w:r>
              <w:rPr>
                <w:rFonts w:ascii="Arial"/>
                <w:spacing w:val="-1"/>
                <w:sz w:val="18"/>
              </w:rPr>
              <w:t>2,000,000</w:t>
            </w:r>
          </w:p>
        </w:tc>
        <w:tc>
          <w:tcPr>
            <w:tcW w:w="144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349"/>
              <w:jc w:val="right"/>
              <w:rPr>
                <w:rFonts w:ascii="Arial" w:hAnsi="Arial" w:cs="Arial" w:eastAsia="Arial" w:hint="default"/>
                <w:sz w:val="18"/>
                <w:szCs w:val="18"/>
              </w:rPr>
            </w:pPr>
            <w:r>
              <w:rPr>
                <w:rFonts w:ascii="宋体" w:hAnsi="宋体" w:cs="宋体" w:eastAsia="宋体" w:hint="default"/>
                <w:sz w:val="18"/>
                <w:szCs w:val="18"/>
              </w:rPr>
              <w:t>鲁</w:t>
            </w:r>
            <w:r>
              <w:rPr>
                <w:rFonts w:ascii="宋体" w:hAnsi="宋体" w:cs="宋体" w:eastAsia="宋体" w:hint="default"/>
                <w:spacing w:val="-2"/>
                <w:sz w:val="18"/>
                <w:szCs w:val="18"/>
              </w:rPr>
              <w:t> </w:t>
            </w:r>
            <w:r>
              <w:rPr>
                <w:rFonts w:ascii="Arial" w:hAnsi="Arial" w:cs="Arial" w:eastAsia="Arial" w:hint="default"/>
                <w:sz w:val="18"/>
                <w:szCs w:val="18"/>
              </w:rPr>
              <w:t>0000030</w:t>
            </w:r>
          </w:p>
        </w:tc>
      </w:tr>
      <w:tr>
        <w:trPr>
          <w:trHeight w:val="420" w:hRule="exact"/>
        </w:trPr>
        <w:tc>
          <w:tcPr>
            <w:tcW w:w="2731" w:type="dxa"/>
            <w:vMerge/>
            <w:tcBorders>
              <w:left w:val="single" w:sz="12" w:space="0" w:color="000000"/>
              <w:bottom w:val="single" w:sz="12" w:space="0" w:color="000000"/>
              <w:right w:val="single" w:sz="12" w:space="0" w:color="000000"/>
            </w:tcBorders>
          </w:tcPr>
          <w:p>
            <w:pPr/>
          </w:p>
        </w:tc>
        <w:tc>
          <w:tcPr>
            <w:tcW w:w="16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七天通知存款</w:t>
            </w:r>
          </w:p>
        </w:tc>
        <w:tc>
          <w:tcPr>
            <w:tcW w:w="15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Arial" w:hAnsi="Arial" w:cs="Arial" w:eastAsia="Arial" w:hint="default"/>
                <w:sz w:val="18"/>
                <w:szCs w:val="18"/>
              </w:rPr>
              <w:t>2010-7-2</w:t>
            </w:r>
            <w:r>
              <w:rPr>
                <w:rFonts w:ascii="Arial" w:hAnsi="Arial" w:cs="Arial" w:eastAsia="Arial" w:hint="default"/>
                <w:spacing w:val="-8"/>
                <w:sz w:val="18"/>
                <w:szCs w:val="18"/>
              </w:rPr>
              <w:t> </w:t>
            </w:r>
            <w:r>
              <w:rPr>
                <w:rFonts w:ascii="宋体" w:hAnsi="宋体" w:cs="宋体" w:eastAsia="宋体" w:hint="default"/>
                <w:sz w:val="18"/>
                <w:szCs w:val="18"/>
              </w:rPr>
              <w:t>起</w:t>
            </w:r>
          </w:p>
        </w:tc>
        <w:tc>
          <w:tcPr>
            <w:tcW w:w="15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94"/>
              <w:jc w:val="right"/>
              <w:rPr>
                <w:rFonts w:ascii="Arial" w:hAnsi="Arial" w:cs="Arial" w:eastAsia="Arial" w:hint="default"/>
                <w:sz w:val="18"/>
                <w:szCs w:val="18"/>
              </w:rPr>
            </w:pPr>
            <w:r>
              <w:rPr>
                <w:rFonts w:ascii="Arial"/>
                <w:spacing w:val="-1"/>
                <w:sz w:val="18"/>
              </w:rPr>
              <w:t>5,000,000</w:t>
            </w:r>
          </w:p>
        </w:tc>
        <w:tc>
          <w:tcPr>
            <w:tcW w:w="144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349"/>
              <w:jc w:val="right"/>
              <w:rPr>
                <w:rFonts w:ascii="Arial" w:hAnsi="Arial" w:cs="Arial" w:eastAsia="Arial" w:hint="default"/>
                <w:sz w:val="18"/>
                <w:szCs w:val="18"/>
              </w:rPr>
            </w:pPr>
            <w:r>
              <w:rPr>
                <w:rFonts w:ascii="宋体" w:hAnsi="宋体" w:cs="宋体" w:eastAsia="宋体" w:hint="default"/>
                <w:sz w:val="18"/>
                <w:szCs w:val="18"/>
              </w:rPr>
              <w:t>鲁</w:t>
            </w:r>
            <w:r>
              <w:rPr>
                <w:rFonts w:ascii="宋体" w:hAnsi="宋体" w:cs="宋体" w:eastAsia="宋体" w:hint="default"/>
                <w:spacing w:val="-2"/>
                <w:sz w:val="18"/>
                <w:szCs w:val="18"/>
              </w:rPr>
              <w:t> </w:t>
            </w:r>
            <w:r>
              <w:rPr>
                <w:rFonts w:ascii="Arial" w:hAnsi="Arial" w:cs="Arial" w:eastAsia="Arial" w:hint="default"/>
                <w:sz w:val="18"/>
                <w:szCs w:val="18"/>
              </w:rPr>
              <w:t>0000028</w:t>
            </w:r>
          </w:p>
        </w:tc>
      </w:tr>
      <w:tr>
        <w:trPr>
          <w:trHeight w:val="418" w:hRule="exact"/>
        </w:trPr>
        <w:tc>
          <w:tcPr>
            <w:tcW w:w="273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1" w:type="dxa"/>
            <w:tcBorders>
              <w:top w:val="single" w:sz="12" w:space="0" w:color="000000"/>
              <w:left w:val="single" w:sz="12" w:space="0" w:color="000000"/>
              <w:bottom w:val="single" w:sz="12" w:space="0" w:color="000000"/>
              <w:right w:val="single" w:sz="12" w:space="0" w:color="000000"/>
            </w:tcBorders>
          </w:tcPr>
          <w:p>
            <w:pPr/>
          </w:p>
        </w:tc>
        <w:tc>
          <w:tcPr>
            <w:tcW w:w="1510" w:type="dxa"/>
            <w:tcBorders>
              <w:top w:val="single" w:sz="12" w:space="0" w:color="000000"/>
              <w:left w:val="single" w:sz="12" w:space="0" w:color="000000"/>
              <w:bottom w:val="single" w:sz="12" w:space="0" w:color="000000"/>
              <w:right w:val="single" w:sz="12" w:space="0" w:color="000000"/>
            </w:tcBorders>
          </w:tcPr>
          <w:p>
            <w:pPr/>
          </w:p>
        </w:tc>
        <w:tc>
          <w:tcPr>
            <w:tcW w:w="15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94"/>
              <w:jc w:val="right"/>
              <w:rPr>
                <w:rFonts w:ascii="Arial" w:hAnsi="Arial" w:cs="Arial" w:eastAsia="Arial" w:hint="default"/>
                <w:sz w:val="18"/>
                <w:szCs w:val="18"/>
              </w:rPr>
            </w:pPr>
            <w:r>
              <w:rPr>
                <w:rFonts w:ascii="Arial"/>
                <w:spacing w:val="-1"/>
                <w:sz w:val="18"/>
              </w:rPr>
              <w:t>375,144,295.50</w:t>
            </w:r>
          </w:p>
        </w:tc>
        <w:tc>
          <w:tcPr>
            <w:tcW w:w="1447" w:type="dxa"/>
            <w:tcBorders>
              <w:top w:val="single" w:sz="12" w:space="0" w:color="000000"/>
              <w:left w:val="single" w:sz="12" w:space="0" w:color="000000"/>
              <w:bottom w:val="single" w:sz="12" w:space="0" w:color="000000"/>
              <w:right w:val="single" w:sz="12" w:space="0" w:color="000000"/>
            </w:tcBorders>
          </w:tcPr>
          <w:p>
            <w:pPr/>
          </w:p>
        </w:tc>
      </w:tr>
    </w:tbl>
    <w:p>
      <w:pPr>
        <w:spacing w:after="0"/>
        <w:sectPr>
          <w:pgSz w:w="11900" w:h="16840"/>
          <w:pgMar w:header="877" w:footer="981" w:top="1100" w:bottom="1180" w:left="1560" w:right="1220"/>
        </w:sectPr>
      </w:pPr>
    </w:p>
    <w:p>
      <w:pPr>
        <w:spacing w:line="240" w:lineRule="auto" w:before="0"/>
        <w:rPr>
          <w:rFonts w:ascii="宋体" w:hAnsi="宋体" w:cs="宋体" w:eastAsia="宋体" w:hint="default"/>
          <w:sz w:val="20"/>
          <w:szCs w:val="20"/>
        </w:rPr>
      </w:pPr>
    </w:p>
    <w:p>
      <w:pPr>
        <w:pStyle w:val="Heading3"/>
        <w:spacing w:line="240" w:lineRule="auto" w:before="145"/>
        <w:ind w:left="699" w:right="0"/>
        <w:jc w:val="left"/>
      </w:pPr>
      <w:r>
        <w:rPr>
          <w:rFonts w:ascii="Arial" w:hAnsi="Arial" w:cs="Arial" w:eastAsia="Arial" w:hint="default"/>
          <w:b/>
          <w:bCs/>
        </w:rPr>
        <w:t>4</w:t>
      </w:r>
      <w:r>
        <w:rPr/>
        <w:t>、超募资金使用情况</w:t>
      </w:r>
    </w:p>
    <w:p>
      <w:pPr>
        <w:pStyle w:val="BodyText"/>
        <w:spacing w:line="369" w:lineRule="auto" w:before="207"/>
        <w:ind w:right="115" w:firstLine="439"/>
        <w:jc w:val="both"/>
      </w:pPr>
      <w:r>
        <w:rPr/>
        <w:t>（</w:t>
      </w:r>
      <w:r>
        <w:rPr>
          <w:rFonts w:ascii="Arial" w:hAnsi="Arial" w:cs="Arial" w:eastAsia="Arial" w:hint="default"/>
        </w:rPr>
        <w:t>1</w:t>
      </w:r>
      <w:r>
        <w:rPr/>
        <w:t>）经公司第一届董事会第十六次会议决议，公司使用超募资金</w:t>
      </w:r>
      <w:r>
        <w:rPr>
          <w:rFonts w:ascii="Arial" w:hAnsi="Arial" w:cs="Arial" w:eastAsia="Arial" w:hint="default"/>
        </w:rPr>
        <w:t>3,500</w:t>
      </w:r>
      <w:r>
        <w:rPr/>
        <w:t>万元永久补充</w:t>
      </w:r>
      <w:r>
        <w:rPr>
          <w:w w:val="100"/>
        </w:rPr>
        <w:t> </w:t>
      </w:r>
      <w:r>
        <w:rPr/>
        <w:t>流动资金</w:t>
      </w:r>
      <w:r>
        <w:rPr>
          <w:rFonts w:ascii="Arial" w:hAnsi="Arial" w:cs="Arial" w:eastAsia="Arial" w:hint="default"/>
        </w:rPr>
        <w:t>,</w:t>
      </w:r>
      <w:r>
        <w:rPr/>
        <w:t>用于偿还银行贷款，</w:t>
      </w:r>
      <w:r>
        <w:rPr>
          <w:rFonts w:ascii="Arial" w:hAnsi="Arial" w:cs="Arial" w:eastAsia="Arial" w:hint="default"/>
        </w:rPr>
        <w:t>2010</w:t>
      </w:r>
      <w:r>
        <w:rPr/>
        <w:t>年</w:t>
      </w:r>
      <w:r>
        <w:rPr>
          <w:rFonts w:ascii="Arial" w:hAnsi="Arial" w:cs="Arial" w:eastAsia="Arial" w:hint="default"/>
        </w:rPr>
        <w:t>5</w:t>
      </w:r>
      <w:r>
        <w:rPr/>
        <w:t>月使用超募资金支付。</w:t>
      </w:r>
    </w:p>
    <w:p>
      <w:pPr>
        <w:pStyle w:val="BodyText"/>
        <w:spacing w:line="369" w:lineRule="auto" w:before="31"/>
        <w:ind w:right="115" w:firstLine="439"/>
        <w:jc w:val="both"/>
      </w:pPr>
      <w:r>
        <w:rPr>
          <w:spacing w:val="-3"/>
        </w:rPr>
        <w:t>（</w:t>
      </w:r>
      <w:r>
        <w:rPr>
          <w:rFonts w:ascii="Arial" w:hAnsi="Arial" w:cs="Arial" w:eastAsia="Arial" w:hint="default"/>
          <w:spacing w:val="-3"/>
        </w:rPr>
        <w:t>2</w:t>
      </w:r>
      <w:r>
        <w:rPr>
          <w:spacing w:val="-3"/>
        </w:rPr>
        <w:t>）经公司第一届董事会第十九次会议决议，公司使用超募资金建设东营年产染料滤</w:t>
      </w:r>
      <w:r>
        <w:rPr>
          <w:w w:val="100"/>
        </w:rPr>
        <w:t> </w:t>
      </w:r>
      <w:r>
        <w:rPr/>
        <w:t>饼</w:t>
      </w:r>
      <w:r>
        <w:rPr>
          <w:rFonts w:ascii="Arial" w:hAnsi="Arial" w:cs="Arial" w:eastAsia="Arial" w:hint="default"/>
        </w:rPr>
        <w:t>1,500</w:t>
      </w:r>
      <w:r>
        <w:rPr/>
        <w:t>吨及分散染料</w:t>
      </w:r>
      <w:r>
        <w:rPr>
          <w:rFonts w:ascii="Arial" w:hAnsi="Arial" w:cs="Arial" w:eastAsia="Arial" w:hint="default"/>
        </w:rPr>
        <w:t>5,000</w:t>
      </w:r>
      <w:r>
        <w:rPr/>
        <w:t>吨项目，项目投资总额</w:t>
      </w:r>
      <w:r>
        <w:rPr>
          <w:rFonts w:ascii="Arial" w:hAnsi="Arial" w:cs="Arial" w:eastAsia="Arial" w:hint="default"/>
        </w:rPr>
        <w:t>4,953</w:t>
      </w:r>
      <w:r>
        <w:rPr/>
        <w:t>万元，自设立募集资金专户</w:t>
      </w:r>
      <w:r>
        <w:rPr>
          <w:rFonts w:ascii="Arial" w:hAnsi="Arial" w:cs="Arial" w:eastAsia="Arial" w:hint="default"/>
        </w:rPr>
        <w:t>,2010</w:t>
      </w:r>
      <w:r>
        <w:rPr>
          <w:rFonts w:ascii="Arial" w:hAnsi="Arial" w:cs="Arial" w:eastAsia="Arial" w:hint="default"/>
          <w:spacing w:val="-18"/>
        </w:rPr>
        <w:t> </w:t>
      </w:r>
      <w:r>
        <w:rPr>
          <w:rFonts w:ascii="Arial" w:hAnsi="Arial" w:cs="Arial" w:eastAsia="Arial" w:hint="default"/>
          <w:spacing w:val="-18"/>
        </w:rPr>
      </w:r>
      <w:r>
        <w:rPr/>
        <w:t>年</w:t>
      </w:r>
      <w:r>
        <w:rPr>
          <w:rFonts w:ascii="Arial" w:hAnsi="Arial" w:cs="Arial" w:eastAsia="Arial" w:hint="default"/>
        </w:rPr>
        <w:t>11</w:t>
      </w:r>
      <w:r>
        <w:rPr/>
        <w:t>月</w:t>
      </w:r>
      <w:r>
        <w:rPr>
          <w:rFonts w:ascii="Arial" w:hAnsi="Arial" w:cs="Arial" w:eastAsia="Arial" w:hint="default"/>
        </w:rPr>
        <w:t>8</w:t>
      </w:r>
      <w:r>
        <w:rPr/>
        <w:t>日</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日支付资金</w:t>
      </w:r>
      <w:r>
        <w:rPr>
          <w:rFonts w:ascii="Arial" w:hAnsi="Arial" w:cs="Arial" w:eastAsia="Arial" w:hint="default"/>
        </w:rPr>
        <w:t>6,865,170.06</w:t>
      </w:r>
      <w:r>
        <w:rPr/>
        <w:t>元。</w:t>
      </w:r>
    </w:p>
    <w:p>
      <w:pPr>
        <w:pStyle w:val="BodyText"/>
        <w:spacing w:line="369" w:lineRule="auto" w:before="31"/>
        <w:ind w:right="120" w:firstLine="439"/>
        <w:jc w:val="both"/>
      </w:pPr>
      <w:r>
        <w:rPr>
          <w:spacing w:val="-3"/>
        </w:rPr>
        <w:t>（</w:t>
      </w:r>
      <w:r>
        <w:rPr>
          <w:rFonts w:ascii="Arial" w:hAnsi="Arial" w:cs="Arial" w:eastAsia="Arial" w:hint="default"/>
          <w:spacing w:val="-3"/>
        </w:rPr>
        <w:t>3</w:t>
      </w:r>
      <w:r>
        <w:rPr>
          <w:spacing w:val="-3"/>
        </w:rPr>
        <w:t>）经公司第一届董事会第二十次会议决议，公司使用超募资金收购烟台子公司自然</w:t>
      </w:r>
      <w:r>
        <w:rPr>
          <w:w w:val="100"/>
        </w:rPr>
        <w:t> </w:t>
      </w:r>
      <w:r>
        <w:rPr>
          <w:spacing w:val="-3"/>
          <w:w w:val="100"/>
        </w:rPr>
        <w:t>人股东延元起先生股权</w:t>
      </w:r>
      <w:r>
        <w:rPr>
          <w:rFonts w:ascii="Arial" w:hAnsi="Arial" w:cs="Arial" w:eastAsia="Arial" w:hint="default"/>
          <w:spacing w:val="-3"/>
          <w:w w:val="100"/>
        </w:rPr>
        <w:t>,</w:t>
      </w:r>
      <w:r>
        <w:rPr>
          <w:spacing w:val="-3"/>
          <w:w w:val="100"/>
        </w:rPr>
        <w:t>股权收购价格</w:t>
      </w:r>
      <w:r>
        <w:rPr>
          <w:rFonts w:ascii="Arial" w:hAnsi="Arial" w:cs="Arial" w:eastAsia="Arial" w:hint="default"/>
          <w:spacing w:val="-3"/>
          <w:w w:val="100"/>
        </w:rPr>
        <w:t>985</w:t>
      </w:r>
      <w:r>
        <w:rPr>
          <w:spacing w:val="-3"/>
          <w:w w:val="100"/>
        </w:rPr>
        <w:t>万元，截止到</w:t>
      </w:r>
      <w:r>
        <w:rPr>
          <w:rFonts w:ascii="Arial" w:hAnsi="Arial" w:cs="Arial" w:eastAsia="Arial" w:hint="default"/>
          <w:spacing w:val="-3"/>
          <w:w w:val="100"/>
        </w:rPr>
        <w:t>2010</w:t>
      </w:r>
      <w:r>
        <w:rPr>
          <w:spacing w:val="-3"/>
          <w:w w:val="100"/>
        </w:rPr>
        <w:t>年</w:t>
      </w:r>
      <w:r>
        <w:rPr>
          <w:rFonts w:ascii="Arial" w:hAnsi="Arial" w:cs="Arial" w:eastAsia="Arial" w:hint="default"/>
          <w:spacing w:val="-3"/>
          <w:w w:val="100"/>
        </w:rPr>
        <w:t>12</w:t>
      </w:r>
      <w:r>
        <w:rPr>
          <w:spacing w:val="-3"/>
          <w:w w:val="100"/>
        </w:rPr>
        <w:t>月</w:t>
      </w:r>
      <w:r>
        <w:rPr>
          <w:rFonts w:ascii="Arial" w:hAnsi="Arial" w:cs="Arial" w:eastAsia="Arial" w:hint="default"/>
          <w:spacing w:val="-3"/>
          <w:w w:val="100"/>
        </w:rPr>
        <w:t>31</w:t>
      </w:r>
      <w:r>
        <w:rPr>
          <w:spacing w:val="-3"/>
          <w:w w:val="100"/>
        </w:rPr>
        <w:t>日</w:t>
      </w:r>
      <w:r>
        <w:rPr>
          <w:rFonts w:ascii="Arial" w:hAnsi="Arial" w:cs="Arial" w:eastAsia="Arial" w:hint="default"/>
          <w:spacing w:val="-3"/>
          <w:w w:val="100"/>
        </w:rPr>
        <w:t>,</w:t>
      </w:r>
      <w:r>
        <w:rPr>
          <w:spacing w:val="-3"/>
          <w:w w:val="100"/>
        </w:rPr>
        <w:t>超募资金专户支付</w:t>
      </w:r>
      <w:r>
        <w:rPr>
          <w:spacing w:val="-106"/>
          <w:w w:val="100"/>
        </w:rPr>
        <w:t> </w:t>
      </w:r>
      <w:r>
        <w:rPr>
          <w:spacing w:val="-106"/>
          <w:w w:val="100"/>
        </w:rPr>
      </w:r>
      <w:r>
        <w:rPr>
          <w:rFonts w:ascii="Arial" w:hAnsi="Arial" w:cs="Arial" w:eastAsia="Arial" w:hint="default"/>
        </w:rPr>
        <w:t>690,000</w:t>
      </w:r>
      <w:r>
        <w:rPr/>
        <w:t>元</w:t>
      </w:r>
      <w:r>
        <w:rPr>
          <w:rFonts w:ascii="Arial" w:hAnsi="Arial" w:cs="Arial" w:eastAsia="Arial" w:hint="default"/>
        </w:rPr>
        <w:t>(</w:t>
      </w:r>
      <w:r>
        <w:rPr/>
        <w:t>代扣代缴的股权转让个人所得税</w:t>
      </w:r>
      <w:r>
        <w:rPr>
          <w:rFonts w:ascii="Arial" w:hAnsi="Arial" w:cs="Arial" w:eastAsia="Arial" w:hint="default"/>
        </w:rPr>
        <w:t>)</w:t>
      </w:r>
      <w:r>
        <w:rPr/>
        <w:t>。</w:t>
      </w:r>
    </w:p>
    <w:p>
      <w:pPr>
        <w:pStyle w:val="Heading3"/>
        <w:spacing w:line="240" w:lineRule="auto" w:before="62"/>
        <w:ind w:left="699" w:right="0"/>
        <w:jc w:val="left"/>
      </w:pPr>
      <w:r>
        <w:rPr>
          <w:rFonts w:ascii="Arial" w:hAnsi="Arial" w:cs="Arial" w:eastAsia="Arial" w:hint="default"/>
          <w:b/>
          <w:bCs/>
        </w:rPr>
        <w:t>5</w:t>
      </w:r>
      <w:r>
        <w:rPr/>
        <w:t>、变更募集资金投资项目的资金使用情况</w:t>
      </w:r>
    </w:p>
    <w:p>
      <w:pPr>
        <w:pStyle w:val="BodyText"/>
        <w:spacing w:line="240" w:lineRule="auto" w:before="207"/>
        <w:ind w:left="576" w:right="0"/>
        <w:jc w:val="left"/>
      </w:pPr>
      <w:r>
        <w:rPr/>
        <w:t>截至</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日止，公司未发生变更募集资金投资项目的情况。</w:t>
      </w:r>
    </w:p>
    <w:p>
      <w:pPr>
        <w:pStyle w:val="Heading3"/>
        <w:spacing w:line="240" w:lineRule="auto" w:before="195"/>
        <w:ind w:left="699" w:right="0"/>
        <w:jc w:val="left"/>
      </w:pPr>
      <w:r>
        <w:rPr>
          <w:rFonts w:ascii="Arial" w:hAnsi="Arial" w:cs="Arial" w:eastAsia="Arial" w:hint="default"/>
          <w:b/>
          <w:bCs/>
        </w:rPr>
        <w:t>6</w:t>
      </w:r>
      <w:r>
        <w:rPr/>
        <w:t>、募集资金使用及披露中存在的问题</w:t>
      </w:r>
    </w:p>
    <w:p>
      <w:pPr>
        <w:pStyle w:val="BodyText"/>
        <w:spacing w:line="240" w:lineRule="auto" w:before="207"/>
        <w:ind w:left="576" w:right="0"/>
        <w:jc w:val="left"/>
      </w:pPr>
      <w:r>
        <w:rPr/>
        <w:t>公司已披露的相关信息不存在未及时、真实、准确、完整披露的情况。</w:t>
      </w:r>
    </w:p>
    <w:p>
      <w:pPr>
        <w:spacing w:line="240" w:lineRule="auto" w:before="1"/>
        <w:rPr>
          <w:rFonts w:ascii="宋体" w:hAnsi="宋体" w:cs="宋体" w:eastAsia="宋体" w:hint="default"/>
          <w:sz w:val="16"/>
          <w:szCs w:val="16"/>
        </w:rPr>
      </w:pPr>
    </w:p>
    <w:p>
      <w:pPr>
        <w:pStyle w:val="Heading3"/>
        <w:spacing w:line="240" w:lineRule="auto"/>
        <w:ind w:left="699" w:right="0"/>
        <w:jc w:val="left"/>
      </w:pPr>
      <w:r>
        <w:rPr>
          <w:rFonts w:ascii="Arial" w:hAnsi="Arial" w:cs="Arial" w:eastAsia="Arial" w:hint="default"/>
          <w:b/>
          <w:bCs/>
        </w:rPr>
        <w:t>7</w:t>
      </w:r>
      <w:r>
        <w:rPr/>
        <w:t>、会计师事务所对募集资金使用情况的专项审核意见</w:t>
      </w:r>
    </w:p>
    <w:p>
      <w:pPr>
        <w:pStyle w:val="BodyText"/>
        <w:spacing w:line="374" w:lineRule="auto" w:before="207"/>
        <w:ind w:right="115" w:firstLine="439"/>
        <w:jc w:val="both"/>
      </w:pPr>
      <w:r>
        <w:rPr>
          <w:rFonts w:ascii="Arial" w:hAnsi="Arial" w:cs="Arial" w:eastAsia="Arial" w:hint="default"/>
          <w:spacing w:val="-5"/>
          <w:w w:val="100"/>
        </w:rPr>
        <w:t>2011</w:t>
      </w:r>
      <w:r>
        <w:rPr>
          <w:spacing w:val="-5"/>
          <w:w w:val="100"/>
        </w:rPr>
        <w:t>年</w:t>
      </w:r>
      <w:r>
        <w:rPr>
          <w:w w:val="100"/>
        </w:rPr>
        <w:t> </w:t>
      </w:r>
      <w:r>
        <w:rPr>
          <w:w w:val="100"/>
        </w:rPr>
        <w:t>月</w:t>
      </w:r>
      <w:r>
        <w:rPr>
          <w:spacing w:val="11"/>
          <w:w w:val="100"/>
        </w:rPr>
        <w:t> </w:t>
      </w:r>
      <w:r>
        <w:rPr>
          <w:spacing w:val="-7"/>
          <w:w w:val="100"/>
        </w:rPr>
        <w:t>日，上海众华沪银会计师事务所有限公司出具沪众会字</w:t>
      </w:r>
      <w:r>
        <w:rPr>
          <w:rFonts w:ascii="Arial" w:hAnsi="Arial" w:cs="Arial" w:eastAsia="Arial" w:hint="default"/>
          <w:spacing w:val="-7"/>
          <w:w w:val="100"/>
        </w:rPr>
        <w:t>(2011)</w:t>
      </w:r>
      <w:r>
        <w:rPr>
          <w:spacing w:val="-7"/>
          <w:w w:val="100"/>
        </w:rPr>
        <w:t>第</w:t>
      </w:r>
      <w:r>
        <w:rPr>
          <w:rFonts w:ascii="Arial" w:hAnsi="Arial" w:cs="Arial" w:eastAsia="Arial" w:hint="default"/>
          <w:spacing w:val="-7"/>
          <w:w w:val="100"/>
        </w:rPr>
        <w:t>1566</w:t>
      </w:r>
      <w:r>
        <w:rPr>
          <w:spacing w:val="-7"/>
          <w:w w:val="100"/>
        </w:rPr>
        <w:t>号《上</w:t>
      </w:r>
      <w:r>
        <w:rPr>
          <w:w w:val="100"/>
        </w:rPr>
        <w:t> </w:t>
      </w:r>
      <w:r>
        <w:rPr/>
        <w:t>海安诺其纺织化工股份有限公司截至</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日止</w:t>
      </w:r>
      <w:r>
        <w:rPr>
          <w:rFonts w:ascii="Arial" w:hAnsi="Arial" w:cs="Arial" w:eastAsia="Arial" w:hint="default"/>
        </w:rPr>
        <w:t>2010</w:t>
      </w:r>
      <w:r>
        <w:rPr/>
        <w:t>年度募集资金存放与使用情</w:t>
      </w:r>
      <w:r>
        <w:rPr>
          <w:spacing w:val="-3"/>
        </w:rPr>
        <w:t> </w:t>
      </w:r>
      <w:r>
        <w:rPr>
          <w:spacing w:val="-3"/>
        </w:rPr>
      </w:r>
      <w:r>
        <w:rPr>
          <w:spacing w:val="-6"/>
          <w:w w:val="100"/>
        </w:rPr>
        <w:t>况鉴证报告》，认为“上海安诺其公司管理层编制的《</w:t>
      </w:r>
      <w:r>
        <w:rPr>
          <w:rFonts w:ascii="Arial" w:hAnsi="Arial" w:cs="Arial" w:eastAsia="Arial" w:hint="default"/>
          <w:spacing w:val="-6"/>
          <w:w w:val="100"/>
        </w:rPr>
        <w:t>2010</w:t>
      </w:r>
      <w:r>
        <w:rPr>
          <w:spacing w:val="-6"/>
          <w:w w:val="100"/>
        </w:rPr>
        <w:t>年募集资金年度使用情况专项报</w:t>
      </w:r>
      <w:r>
        <w:rPr>
          <w:spacing w:val="-109"/>
          <w:w w:val="100"/>
        </w:rPr>
        <w:t> </w:t>
      </w:r>
      <w:r>
        <w:rPr>
          <w:spacing w:val="-109"/>
          <w:w w:val="100"/>
        </w:rPr>
      </w:r>
      <w:r>
        <w:rPr/>
        <w:t>告》符合《深圳证券交易所创业板上市公司规范运作指引》及相关格式指引的规定，在所</w:t>
      </w:r>
      <w:r>
        <w:rPr>
          <w:spacing w:val="-57"/>
        </w:rPr>
        <w:t> </w:t>
      </w:r>
      <w:r>
        <w:rPr>
          <w:spacing w:val="-57"/>
        </w:rPr>
      </w:r>
      <w:r>
        <w:rPr>
          <w:spacing w:val="-4"/>
          <w:w w:val="100"/>
        </w:rPr>
        <w:t>有重大方面如实反映了上海安诺其公司截至</w:t>
      </w:r>
      <w:r>
        <w:rPr>
          <w:rFonts w:ascii="Arial" w:hAnsi="Arial" w:cs="Arial" w:eastAsia="Arial" w:hint="default"/>
          <w:spacing w:val="-4"/>
          <w:w w:val="100"/>
        </w:rPr>
        <w:t>2010</w:t>
      </w:r>
      <w:r>
        <w:rPr>
          <w:spacing w:val="-4"/>
          <w:w w:val="100"/>
        </w:rPr>
        <w:t>年</w:t>
      </w:r>
      <w:r>
        <w:rPr>
          <w:rFonts w:ascii="Arial" w:hAnsi="Arial" w:cs="Arial" w:eastAsia="Arial" w:hint="default"/>
          <w:spacing w:val="-4"/>
          <w:w w:val="100"/>
        </w:rPr>
        <w:t>12</w:t>
      </w:r>
      <w:r>
        <w:rPr>
          <w:spacing w:val="-4"/>
          <w:w w:val="100"/>
        </w:rPr>
        <w:t>月</w:t>
      </w:r>
      <w:r>
        <w:rPr>
          <w:rFonts w:ascii="Arial" w:hAnsi="Arial" w:cs="Arial" w:eastAsia="Arial" w:hint="default"/>
          <w:spacing w:val="-4"/>
          <w:w w:val="100"/>
        </w:rPr>
        <w:t>31</w:t>
      </w:r>
      <w:r>
        <w:rPr>
          <w:spacing w:val="-4"/>
          <w:w w:val="100"/>
        </w:rPr>
        <w:t>日止募集资金使用情况。”</w:t>
      </w:r>
    </w:p>
    <w:p>
      <w:pPr>
        <w:pStyle w:val="Heading3"/>
        <w:spacing w:line="240" w:lineRule="auto" w:before="57"/>
        <w:ind w:right="0"/>
        <w:jc w:val="both"/>
      </w:pPr>
      <w:r>
        <w:rPr/>
        <w:t>（二）报告期内公司未发生重大非募集资金投资情况。</w:t>
      </w:r>
    </w:p>
    <w:p>
      <w:pPr>
        <w:spacing w:line="240" w:lineRule="auto" w:before="9"/>
        <w:rPr>
          <w:rFonts w:ascii="宋体" w:hAnsi="宋体" w:cs="宋体" w:eastAsia="宋体" w:hint="default"/>
          <w:sz w:val="19"/>
          <w:szCs w:val="19"/>
        </w:rPr>
      </w:pPr>
    </w:p>
    <w:p>
      <w:pPr>
        <w:pStyle w:val="Heading3"/>
        <w:spacing w:line="408" w:lineRule="auto"/>
        <w:ind w:right="118"/>
        <w:jc w:val="both"/>
      </w:pPr>
      <w:r>
        <w:rPr>
          <w:spacing w:val="-3"/>
        </w:rPr>
        <w:t>（三）报告期内，公司没有持有其他上市公司股权、参股商业银行、证</w:t>
      </w:r>
      <w:r>
        <w:rPr>
          <w:spacing w:val="-98"/>
        </w:rPr>
        <w:t> </w:t>
      </w:r>
      <w:r>
        <w:rPr>
          <w:spacing w:val="-98"/>
        </w:rPr>
      </w:r>
      <w:r>
        <w:rPr>
          <w:spacing w:val="-3"/>
        </w:rPr>
        <w:t>券公司、保险公司、信托公司和期货公司等金融企业股权，没有买卖其</w:t>
      </w:r>
      <w:r>
        <w:rPr>
          <w:spacing w:val="-92"/>
        </w:rPr>
        <w:t> </w:t>
      </w:r>
      <w:r>
        <w:rPr>
          <w:spacing w:val="-92"/>
        </w:rPr>
      </w:r>
      <w:r>
        <w:rPr/>
        <w:t>他上市公司股份的情况。</w:t>
      </w:r>
    </w:p>
    <w:p>
      <w:pPr>
        <w:pStyle w:val="Heading3"/>
        <w:spacing w:line="240" w:lineRule="auto" w:before="61"/>
        <w:ind w:right="0"/>
        <w:jc w:val="both"/>
      </w:pPr>
      <w:r>
        <w:rPr/>
        <w:t>（四）报告期内持有以公允价值计量的金融资产情况。</w:t>
      </w:r>
    </w:p>
    <w:p>
      <w:pPr>
        <w:pStyle w:val="BodyText"/>
        <w:spacing w:line="369" w:lineRule="auto" w:before="227"/>
        <w:ind w:right="115" w:firstLine="549"/>
        <w:jc w:val="both"/>
      </w:pPr>
      <w:r>
        <w:rPr>
          <w:spacing w:val="-3"/>
        </w:rPr>
        <w:t>公司</w:t>
      </w:r>
      <w:r>
        <w:rPr>
          <w:rFonts w:ascii="Arial" w:hAnsi="Arial" w:cs="Arial" w:eastAsia="Arial" w:hint="default"/>
          <w:spacing w:val="-3"/>
        </w:rPr>
        <w:t>2010</w:t>
      </w:r>
      <w:r>
        <w:rPr>
          <w:spacing w:val="-3"/>
        </w:rPr>
        <w:t>年</w:t>
      </w:r>
      <w:r>
        <w:rPr>
          <w:rFonts w:ascii="Arial" w:hAnsi="Arial" w:cs="Arial" w:eastAsia="Arial" w:hint="default"/>
          <w:spacing w:val="-3"/>
        </w:rPr>
        <w:t>8</w:t>
      </w:r>
      <w:r>
        <w:rPr>
          <w:spacing w:val="-3"/>
        </w:rPr>
        <w:t>月</w:t>
      </w:r>
      <w:r>
        <w:rPr>
          <w:rFonts w:ascii="Arial" w:hAnsi="Arial" w:cs="Arial" w:eastAsia="Arial" w:hint="default"/>
          <w:spacing w:val="-3"/>
        </w:rPr>
        <w:t>5</w:t>
      </w:r>
      <w:r>
        <w:rPr>
          <w:spacing w:val="-3"/>
        </w:rPr>
        <w:t>日购买光大银行“月月盈”</w:t>
      </w:r>
      <w:r>
        <w:rPr>
          <w:rFonts w:ascii="Arial" w:hAnsi="Arial" w:cs="Arial" w:eastAsia="Arial" w:hint="default"/>
          <w:spacing w:val="-3"/>
        </w:rPr>
        <w:t>800</w:t>
      </w:r>
      <w:r>
        <w:rPr>
          <w:spacing w:val="-3"/>
        </w:rPr>
        <w:t>万元，预计年化收益率</w:t>
      </w:r>
      <w:r>
        <w:rPr>
          <w:rFonts w:ascii="Arial" w:hAnsi="Arial" w:cs="Arial" w:eastAsia="Arial" w:hint="default"/>
          <w:spacing w:val="-3"/>
        </w:rPr>
        <w:t>2.08%</w:t>
      </w:r>
      <w:r>
        <w:rPr>
          <w:spacing w:val="-3"/>
        </w:rPr>
        <w:t>，</w:t>
      </w:r>
      <w:r>
        <w:rPr>
          <w:rFonts w:ascii="Arial" w:hAnsi="Arial" w:cs="Arial" w:eastAsia="Arial" w:hint="default"/>
          <w:spacing w:val="-3"/>
        </w:rPr>
        <w:t>2010</w:t>
      </w:r>
      <w:r>
        <w:rPr>
          <w:rFonts w:ascii="Arial" w:hAnsi="Arial" w:cs="Arial" w:eastAsia="Arial" w:hint="default"/>
          <w:w w:val="100"/>
        </w:rPr>
        <w:t> </w:t>
      </w:r>
      <w:r>
        <w:rPr/>
        <w:t>年</w:t>
      </w:r>
      <w:r>
        <w:rPr>
          <w:rFonts w:ascii="Arial" w:hAnsi="Arial" w:cs="Arial" w:eastAsia="Arial" w:hint="default"/>
        </w:rPr>
        <w:t>8</w:t>
      </w:r>
      <w:r>
        <w:rPr/>
        <w:t>月</w:t>
      </w:r>
      <w:r>
        <w:rPr>
          <w:rFonts w:ascii="Arial" w:hAnsi="Arial" w:cs="Arial" w:eastAsia="Arial" w:hint="default"/>
        </w:rPr>
        <w:t>11</w:t>
      </w:r>
      <w:r>
        <w:rPr/>
        <w:t>日购买光大银行</w:t>
      </w:r>
      <w:r>
        <w:rPr>
          <w:spacing w:val="55"/>
        </w:rPr>
        <w:t> </w:t>
      </w:r>
      <w:r>
        <w:rPr/>
        <w:t>“月月盈”理财产品</w:t>
      </w:r>
      <w:r>
        <w:rPr>
          <w:rFonts w:ascii="Arial" w:hAnsi="Arial" w:cs="Arial" w:eastAsia="Arial" w:hint="default"/>
        </w:rPr>
        <w:t>200</w:t>
      </w:r>
      <w:r>
        <w:rPr/>
        <w:t>万元，预计年化收益率</w:t>
      </w:r>
      <w:r>
        <w:rPr>
          <w:rFonts w:ascii="Arial" w:hAnsi="Arial" w:cs="Arial" w:eastAsia="Arial" w:hint="default"/>
        </w:rPr>
        <w:t>2.08%</w:t>
      </w:r>
      <w:r>
        <w:rPr/>
        <w:t>，</w:t>
      </w:r>
      <w:r>
        <w:rPr>
          <w:rFonts w:ascii="Arial" w:hAnsi="Arial" w:cs="Arial" w:eastAsia="Arial" w:hint="default"/>
        </w:rPr>
        <w:t>2010</w:t>
      </w:r>
      <w:r>
        <w:rPr/>
        <w:t>年</w:t>
      </w:r>
      <w:r>
        <w:rPr>
          <w:spacing w:val="-100"/>
        </w:rPr>
        <w:t> </w:t>
      </w:r>
      <w:r>
        <w:rPr>
          <w:rFonts w:ascii="Arial" w:hAnsi="Arial" w:cs="Arial" w:eastAsia="Arial" w:hint="default"/>
          <w:spacing w:val="-4"/>
        </w:rPr>
        <w:t>12</w:t>
      </w:r>
      <w:r>
        <w:rPr>
          <w:spacing w:val="-4"/>
        </w:rPr>
        <w:t>月</w:t>
      </w:r>
      <w:r>
        <w:rPr>
          <w:rFonts w:ascii="Arial" w:hAnsi="Arial" w:cs="Arial" w:eastAsia="Arial" w:hint="default"/>
          <w:spacing w:val="-4"/>
        </w:rPr>
        <w:t>21</w:t>
      </w:r>
      <w:r>
        <w:rPr>
          <w:spacing w:val="-4"/>
        </w:rPr>
        <w:t>日购买兴业银行人民币保本型理财产品</w:t>
      </w:r>
      <w:r>
        <w:rPr>
          <w:rFonts w:ascii="Arial" w:hAnsi="Arial" w:cs="Arial" w:eastAsia="Arial" w:hint="default"/>
          <w:spacing w:val="-4"/>
        </w:rPr>
        <w:t>1000</w:t>
      </w:r>
      <w:r>
        <w:rPr>
          <w:spacing w:val="-4"/>
        </w:rPr>
        <w:t>万元，预计年化收益率</w:t>
      </w:r>
      <w:r>
        <w:rPr>
          <w:rFonts w:ascii="Arial" w:hAnsi="Arial" w:cs="Arial" w:eastAsia="Arial" w:hint="default"/>
          <w:spacing w:val="-4"/>
        </w:rPr>
        <w:t>2.7%</w:t>
      </w:r>
      <w:r>
        <w:rPr>
          <w:spacing w:val="-4"/>
        </w:rPr>
        <w:t>，截止到本</w:t>
      </w:r>
    </w:p>
    <w:p>
      <w:pPr>
        <w:spacing w:after="0" w:line="369" w:lineRule="auto"/>
        <w:jc w:val="both"/>
        <w:sectPr>
          <w:pgSz w:w="11900" w:h="16840"/>
          <w:pgMar w:header="877" w:footer="981" w:top="1100" w:bottom="1180" w:left="1660" w:right="1340"/>
        </w:sectPr>
      </w:pPr>
    </w:p>
    <w:p>
      <w:pPr>
        <w:spacing w:line="240" w:lineRule="auto" w:before="4"/>
        <w:rPr>
          <w:rFonts w:ascii="宋体" w:hAnsi="宋体" w:cs="宋体" w:eastAsia="宋体" w:hint="default"/>
          <w:sz w:val="26"/>
          <w:szCs w:val="26"/>
        </w:rPr>
      </w:pPr>
    </w:p>
    <w:p>
      <w:pPr>
        <w:pStyle w:val="BodyText"/>
        <w:spacing w:line="240" w:lineRule="auto"/>
        <w:ind w:right="0"/>
        <w:jc w:val="left"/>
      </w:pPr>
      <w:r>
        <w:rPr>
          <w:spacing w:val="2"/>
        </w:rPr>
        <w:t>报告期期末上述理财产品本金</w:t>
      </w:r>
      <w:r>
        <w:rPr>
          <w:rFonts w:ascii="Arial" w:hAnsi="Arial" w:cs="Arial" w:eastAsia="Arial" w:hint="default"/>
          <w:spacing w:val="2"/>
        </w:rPr>
        <w:t>2,000</w:t>
      </w:r>
      <w:r>
        <w:rPr>
          <w:spacing w:val="2"/>
        </w:rPr>
        <w:t>万元，报告期期末对上述理财产品未实现的投资收益</w:t>
      </w:r>
    </w:p>
    <w:p>
      <w:pPr>
        <w:pStyle w:val="BodyText"/>
        <w:spacing w:line="240" w:lineRule="auto" w:before="164"/>
        <w:ind w:right="0"/>
        <w:jc w:val="left"/>
      </w:pPr>
      <w:r>
        <w:rPr>
          <w:rFonts w:ascii="Arial" w:hAnsi="Arial" w:cs="Arial" w:eastAsia="Arial" w:hint="default"/>
        </w:rPr>
        <w:t>25,583.34</w:t>
      </w:r>
      <w:r>
        <w:rPr/>
        <w:t>元按公允价值计价计入交易性金融资产。</w:t>
      </w:r>
    </w:p>
    <w:p>
      <w:pPr>
        <w:pStyle w:val="Heading3"/>
        <w:spacing w:line="408" w:lineRule="auto" w:before="195"/>
        <w:ind w:right="0"/>
        <w:jc w:val="left"/>
      </w:pPr>
      <w:r>
        <w:rPr>
          <w:spacing w:val="-3"/>
        </w:rPr>
        <w:t>四、报告期内，公司没有发行在外的可转换为股份的各种金融工具、以</w:t>
      </w:r>
      <w:r>
        <w:rPr>
          <w:spacing w:val="-92"/>
        </w:rPr>
        <w:t> </w:t>
      </w:r>
      <w:r>
        <w:rPr>
          <w:spacing w:val="-92"/>
        </w:rPr>
      </w:r>
      <w:r>
        <w:rPr/>
        <w:t>公允价值计量的负债。</w:t>
      </w:r>
      <w:r>
        <w:rPr>
          <w:spacing w:val="-132"/>
        </w:rPr>
        <w:t> </w:t>
      </w:r>
      <w:r>
        <w:rPr>
          <w:spacing w:val="-132"/>
        </w:rPr>
      </w:r>
      <w:r>
        <w:rPr/>
        <w:t>五、报告期财务会计报告审计情况及会计政策、会计估计变更</w:t>
      </w:r>
    </w:p>
    <w:p>
      <w:pPr>
        <w:pStyle w:val="Heading3"/>
        <w:spacing w:line="240" w:lineRule="auto" w:before="61"/>
        <w:ind w:left="699" w:right="0"/>
        <w:jc w:val="left"/>
      </w:pPr>
      <w:r>
        <w:rPr/>
        <w:t>（一）报告期财务会计报告审计情况</w:t>
      </w:r>
    </w:p>
    <w:p>
      <w:pPr>
        <w:pStyle w:val="BodyText"/>
        <w:spacing w:line="369" w:lineRule="auto" w:before="227"/>
        <w:ind w:right="0" w:firstLine="439"/>
        <w:jc w:val="left"/>
      </w:pPr>
      <w:r>
        <w:rPr>
          <w:spacing w:val="-1"/>
        </w:rPr>
        <w:t>经众华沪银会计师事务所有限公司审计，对本公司</w:t>
      </w:r>
      <w:r>
        <w:rPr>
          <w:rFonts w:ascii="Arial" w:hAnsi="Arial" w:cs="Arial" w:eastAsia="Arial" w:hint="default"/>
          <w:spacing w:val="-1"/>
        </w:rPr>
        <w:t>2010</w:t>
      </w:r>
      <w:r>
        <w:rPr>
          <w:spacing w:val="-1"/>
        </w:rPr>
        <w:t>年度财务报告出具了标准无保</w:t>
      </w:r>
      <w:r>
        <w:rPr>
          <w:w w:val="100"/>
        </w:rPr>
        <w:t> </w:t>
      </w:r>
      <w:r>
        <w:rPr/>
        <w:t>留意见的审计报告。</w:t>
      </w:r>
    </w:p>
    <w:p>
      <w:pPr>
        <w:pStyle w:val="Heading3"/>
        <w:spacing w:line="240" w:lineRule="auto" w:before="92"/>
        <w:ind w:left="699" w:right="0"/>
        <w:jc w:val="left"/>
      </w:pPr>
      <w:r>
        <w:rPr>
          <w:spacing w:val="-3"/>
        </w:rPr>
        <w:t>（二）公司会计政策、会计估计变更情况及对公司的影响说明和分</w:t>
      </w:r>
    </w:p>
    <w:p>
      <w:pPr>
        <w:spacing w:line="240" w:lineRule="auto" w:before="9"/>
        <w:rPr>
          <w:rFonts w:ascii="宋体" w:hAnsi="宋体" w:cs="宋体" w:eastAsia="宋体" w:hint="default"/>
          <w:sz w:val="19"/>
          <w:szCs w:val="19"/>
        </w:rPr>
      </w:pPr>
    </w:p>
    <w:p>
      <w:pPr>
        <w:pStyle w:val="Heading3"/>
        <w:spacing w:line="240" w:lineRule="auto"/>
        <w:ind w:right="0"/>
        <w:jc w:val="left"/>
      </w:pPr>
      <w:r>
        <w:rPr>
          <w:w w:val="100"/>
        </w:rPr>
        <w:t>析</w:t>
      </w:r>
    </w:p>
    <w:p>
      <w:pPr>
        <w:pStyle w:val="BodyText"/>
        <w:spacing w:line="240" w:lineRule="auto" w:before="227"/>
        <w:ind w:left="687" w:right="0"/>
        <w:jc w:val="left"/>
      </w:pPr>
      <w:r>
        <w:rPr/>
        <w:t>报告期内，公司没有重大会计政策变化、会计估计变更情况，未发生重大会计差错。</w:t>
      </w:r>
    </w:p>
    <w:p>
      <w:pPr>
        <w:spacing w:line="240" w:lineRule="auto" w:before="1"/>
        <w:rPr>
          <w:rFonts w:ascii="宋体" w:hAnsi="宋体" w:cs="宋体" w:eastAsia="宋体" w:hint="default"/>
          <w:sz w:val="16"/>
          <w:szCs w:val="16"/>
        </w:rPr>
      </w:pPr>
    </w:p>
    <w:p>
      <w:pPr>
        <w:pStyle w:val="Heading3"/>
        <w:spacing w:line="240" w:lineRule="auto"/>
        <w:ind w:right="0"/>
        <w:jc w:val="left"/>
      </w:pPr>
      <w:r>
        <w:rPr/>
        <w:t>六、利润分配或资本公积金转增预案</w:t>
      </w:r>
    </w:p>
    <w:p>
      <w:pPr>
        <w:pStyle w:val="BodyText"/>
        <w:spacing w:line="240" w:lineRule="auto" w:before="227"/>
        <w:ind w:left="437" w:right="23"/>
        <w:jc w:val="center"/>
        <w:rPr>
          <w:rFonts w:ascii="Arial" w:hAnsi="Arial" w:cs="Arial" w:eastAsia="Arial" w:hint="default"/>
        </w:rPr>
      </w:pPr>
      <w:r>
        <w:rPr>
          <w:w w:val="100"/>
        </w:rPr>
        <w:t>经上海</w:t>
      </w:r>
      <w:r>
        <w:rPr>
          <w:spacing w:val="-3"/>
          <w:w w:val="100"/>
        </w:rPr>
        <w:t>从</w:t>
      </w:r>
      <w:r>
        <w:rPr>
          <w:w w:val="100"/>
        </w:rPr>
        <w:t>华沪</w:t>
      </w:r>
      <w:r>
        <w:rPr>
          <w:spacing w:val="-3"/>
          <w:w w:val="100"/>
        </w:rPr>
        <w:t>银</w:t>
      </w:r>
      <w:r>
        <w:rPr>
          <w:w w:val="100"/>
        </w:rPr>
        <w:t>会计</w:t>
      </w:r>
      <w:r>
        <w:rPr>
          <w:spacing w:val="-3"/>
          <w:w w:val="100"/>
        </w:rPr>
        <w:t>师事</w:t>
      </w:r>
      <w:r>
        <w:rPr>
          <w:w w:val="100"/>
        </w:rPr>
        <w:t>务所审计</w:t>
      </w:r>
      <w:r>
        <w:rPr>
          <w:spacing w:val="-41"/>
          <w:w w:val="100"/>
        </w:rPr>
        <w:t>，</w:t>
      </w:r>
      <w:r>
        <w:rPr>
          <w:w w:val="100"/>
        </w:rPr>
        <w:t>并出</w:t>
      </w:r>
      <w:r>
        <w:rPr>
          <w:spacing w:val="-3"/>
          <w:w w:val="100"/>
        </w:rPr>
        <w:t>具</w:t>
      </w:r>
      <w:r>
        <w:rPr>
          <w:spacing w:val="-39"/>
          <w:w w:val="100"/>
        </w:rPr>
        <w:t>的</w:t>
      </w:r>
      <w:r>
        <w:rPr>
          <w:w w:val="100"/>
        </w:rPr>
        <w:t>《</w:t>
      </w:r>
      <w:r>
        <w:rPr>
          <w:spacing w:val="-3"/>
          <w:w w:val="100"/>
        </w:rPr>
        <w:t>审</w:t>
      </w:r>
      <w:r>
        <w:rPr>
          <w:w w:val="100"/>
        </w:rPr>
        <w:t>计报告</w:t>
      </w:r>
      <w:r>
        <w:rPr>
          <w:spacing w:val="-149"/>
          <w:w w:val="100"/>
        </w:rPr>
        <w:t>》</w:t>
      </w:r>
      <w:r>
        <w:rPr>
          <w:w w:val="100"/>
        </w:rPr>
        <w:t>【</w:t>
      </w:r>
      <w:r>
        <w:rPr>
          <w:spacing w:val="-3"/>
          <w:w w:val="100"/>
        </w:rPr>
        <w:t>沪</w:t>
      </w:r>
      <w:r>
        <w:rPr>
          <w:w w:val="100"/>
        </w:rPr>
        <w:t>众会</w:t>
      </w:r>
      <w:r>
        <w:rPr>
          <w:spacing w:val="-39"/>
          <w:w w:val="100"/>
        </w:rPr>
        <w:t>字</w:t>
      </w:r>
      <w:r>
        <w:rPr>
          <w:w w:val="100"/>
        </w:rPr>
        <w:t>（</w:t>
      </w:r>
      <w:r>
        <w:rPr>
          <w:rFonts w:ascii="Arial" w:hAnsi="Arial" w:cs="Arial" w:eastAsia="Arial" w:hint="default"/>
          <w:spacing w:val="-1"/>
          <w:w w:val="100"/>
        </w:rPr>
        <w:t>20</w:t>
      </w:r>
      <w:r>
        <w:rPr>
          <w:rFonts w:ascii="Arial" w:hAnsi="Arial" w:cs="Arial" w:eastAsia="Arial" w:hint="default"/>
          <w:spacing w:val="-20"/>
          <w:w w:val="100"/>
        </w:rPr>
        <w:t>1</w:t>
      </w:r>
      <w:r>
        <w:rPr>
          <w:rFonts w:ascii="Arial" w:hAnsi="Arial" w:cs="Arial" w:eastAsia="Arial" w:hint="default"/>
          <w:spacing w:val="-1"/>
          <w:w w:val="100"/>
        </w:rPr>
        <w:t>1</w:t>
      </w:r>
      <w:r>
        <w:rPr>
          <w:spacing w:val="-39"/>
          <w:w w:val="100"/>
        </w:rPr>
        <w:t>）</w:t>
      </w:r>
      <w:r>
        <w:rPr>
          <w:w w:val="100"/>
        </w:rPr>
        <w:t>第</w:t>
      </w:r>
      <w:r>
        <w:rPr>
          <w:spacing w:val="-55"/>
        </w:rPr>
        <w:t> </w:t>
      </w:r>
      <w:r>
        <w:rPr>
          <w:rFonts w:ascii="Arial" w:hAnsi="Arial" w:cs="Arial" w:eastAsia="Arial" w:hint="default"/>
          <w:spacing w:val="-1"/>
          <w:w w:val="100"/>
        </w:rPr>
        <w:t>156</w:t>
      </w:r>
      <w:r>
        <w:rPr>
          <w:rFonts w:ascii="Arial" w:hAnsi="Arial" w:cs="Arial" w:eastAsia="Arial" w:hint="default"/>
          <w:w w:val="100"/>
        </w:rPr>
        <w:t>4</w:t>
      </w:r>
    </w:p>
    <w:p>
      <w:pPr>
        <w:pStyle w:val="BodyText"/>
        <w:spacing w:line="240" w:lineRule="auto" w:before="164"/>
        <w:ind w:right="0"/>
        <w:jc w:val="left"/>
      </w:pPr>
      <w:r>
        <w:rPr>
          <w:w w:val="100"/>
        </w:rPr>
        <w:t>号</w:t>
      </w:r>
      <w:r>
        <w:rPr>
          <w:spacing w:val="-111"/>
          <w:w w:val="100"/>
        </w:rPr>
        <w:t>】</w:t>
      </w:r>
      <w:r>
        <w:rPr>
          <w:spacing w:val="-82"/>
          <w:w w:val="100"/>
        </w:rPr>
        <w:t>，</w:t>
      </w:r>
      <w:r>
        <w:rPr>
          <w:w w:val="100"/>
        </w:rPr>
        <w:t>上海</w:t>
      </w:r>
      <w:r>
        <w:rPr>
          <w:spacing w:val="-3"/>
          <w:w w:val="100"/>
        </w:rPr>
        <w:t>安</w:t>
      </w:r>
      <w:r>
        <w:rPr>
          <w:w w:val="100"/>
        </w:rPr>
        <w:t>诺其</w:t>
      </w:r>
      <w:r>
        <w:rPr>
          <w:spacing w:val="-3"/>
          <w:w w:val="100"/>
        </w:rPr>
        <w:t>纺</w:t>
      </w:r>
      <w:r>
        <w:rPr>
          <w:w w:val="100"/>
        </w:rPr>
        <w:t>织化</w:t>
      </w:r>
      <w:r>
        <w:rPr>
          <w:spacing w:val="-3"/>
          <w:w w:val="100"/>
        </w:rPr>
        <w:t>工</w:t>
      </w:r>
      <w:r>
        <w:rPr>
          <w:w w:val="100"/>
        </w:rPr>
        <w:t>股份有</w:t>
      </w:r>
      <w:r>
        <w:rPr>
          <w:spacing w:val="-3"/>
          <w:w w:val="100"/>
        </w:rPr>
        <w:t>限</w:t>
      </w:r>
      <w:r>
        <w:rPr>
          <w:w w:val="100"/>
        </w:rPr>
        <w:t>公司</w:t>
      </w:r>
      <w:r>
        <w:rPr>
          <w:spacing w:val="-55"/>
        </w:rPr>
        <w:t> </w:t>
      </w:r>
      <w:r>
        <w:rPr>
          <w:rFonts w:ascii="Arial" w:hAnsi="Arial" w:cs="Arial" w:eastAsia="Arial" w:hint="default"/>
          <w:spacing w:val="-1"/>
          <w:w w:val="100"/>
        </w:rPr>
        <w:t>201</w:t>
      </w:r>
      <w:r>
        <w:rPr>
          <w:rFonts w:ascii="Arial" w:hAnsi="Arial" w:cs="Arial" w:eastAsia="Arial" w:hint="default"/>
          <w:w w:val="100"/>
        </w:rPr>
        <w:t>0</w:t>
      </w:r>
      <w:r>
        <w:rPr>
          <w:rFonts w:ascii="Arial" w:hAnsi="Arial" w:cs="Arial" w:eastAsia="Arial" w:hint="default"/>
          <w:spacing w:val="-9"/>
        </w:rPr>
        <w:t> </w:t>
      </w:r>
      <w:r>
        <w:rPr>
          <w:w w:val="100"/>
        </w:rPr>
        <w:t>年</w:t>
      </w:r>
      <w:r>
        <w:rPr>
          <w:spacing w:val="-3"/>
          <w:w w:val="100"/>
        </w:rPr>
        <w:t>度</w:t>
      </w:r>
      <w:r>
        <w:rPr>
          <w:w w:val="100"/>
        </w:rPr>
        <w:t>实现净</w:t>
      </w:r>
      <w:r>
        <w:rPr>
          <w:spacing w:val="-3"/>
          <w:w w:val="100"/>
        </w:rPr>
        <w:t>利</w:t>
      </w:r>
      <w:r>
        <w:rPr>
          <w:w w:val="100"/>
        </w:rPr>
        <w:t>润</w:t>
      </w:r>
      <w:r>
        <w:rPr>
          <w:spacing w:val="-55"/>
        </w:rPr>
        <w:t> </w:t>
      </w:r>
      <w:r>
        <w:rPr>
          <w:rFonts w:ascii="Arial" w:hAnsi="Arial" w:cs="Arial" w:eastAsia="Arial" w:hint="default"/>
          <w:spacing w:val="-1"/>
          <w:w w:val="100"/>
        </w:rPr>
        <w:t>23</w:t>
      </w:r>
      <w:r>
        <w:rPr>
          <w:rFonts w:ascii="Arial" w:hAnsi="Arial" w:cs="Arial" w:eastAsia="Arial" w:hint="default"/>
          <w:spacing w:val="1"/>
          <w:w w:val="100"/>
        </w:rPr>
        <w:t>,</w:t>
      </w:r>
      <w:r>
        <w:rPr>
          <w:rFonts w:ascii="Arial" w:hAnsi="Arial" w:cs="Arial" w:eastAsia="Arial" w:hint="default"/>
          <w:spacing w:val="-1"/>
          <w:w w:val="100"/>
        </w:rPr>
        <w:t>91</w:t>
      </w:r>
      <w:r>
        <w:rPr>
          <w:rFonts w:ascii="Arial" w:hAnsi="Arial" w:cs="Arial" w:eastAsia="Arial" w:hint="default"/>
          <w:spacing w:val="-3"/>
          <w:w w:val="100"/>
        </w:rPr>
        <w:t>8</w:t>
      </w:r>
      <w:r>
        <w:rPr>
          <w:rFonts w:ascii="Arial" w:hAnsi="Arial" w:cs="Arial" w:eastAsia="Arial" w:hint="default"/>
          <w:spacing w:val="1"/>
          <w:w w:val="100"/>
        </w:rPr>
        <w:t>,</w:t>
      </w:r>
      <w:r>
        <w:rPr>
          <w:rFonts w:ascii="Arial" w:hAnsi="Arial" w:cs="Arial" w:eastAsia="Arial" w:hint="default"/>
          <w:spacing w:val="-1"/>
          <w:w w:val="100"/>
        </w:rPr>
        <w:t>441</w:t>
      </w:r>
      <w:r>
        <w:rPr>
          <w:rFonts w:ascii="Arial" w:hAnsi="Arial" w:cs="Arial" w:eastAsia="Arial" w:hint="default"/>
          <w:spacing w:val="1"/>
          <w:w w:val="100"/>
        </w:rPr>
        <w:t>.</w:t>
      </w:r>
      <w:r>
        <w:rPr>
          <w:rFonts w:ascii="Arial" w:hAnsi="Arial" w:cs="Arial" w:eastAsia="Arial" w:hint="default"/>
          <w:spacing w:val="-3"/>
          <w:w w:val="100"/>
        </w:rPr>
        <w:t>7</w:t>
      </w:r>
      <w:r>
        <w:rPr>
          <w:rFonts w:ascii="Arial" w:hAnsi="Arial" w:cs="Arial" w:eastAsia="Arial" w:hint="default"/>
          <w:w w:val="100"/>
        </w:rPr>
        <w:t>1</w:t>
      </w:r>
      <w:r>
        <w:rPr>
          <w:rFonts w:ascii="Arial" w:hAnsi="Arial" w:cs="Arial" w:eastAsia="Arial" w:hint="default"/>
        </w:rPr>
        <w:t> </w:t>
      </w:r>
      <w:r>
        <w:rPr>
          <w:rFonts w:ascii="Arial" w:hAnsi="Arial" w:cs="Arial" w:eastAsia="Arial" w:hint="default"/>
          <w:spacing w:val="-13"/>
        </w:rPr>
        <w:t> </w:t>
      </w:r>
      <w:r>
        <w:rPr>
          <w:w w:val="100"/>
        </w:rPr>
        <w:t>元</w:t>
      </w:r>
      <w:r>
        <w:rPr>
          <w:spacing w:val="-82"/>
          <w:w w:val="100"/>
        </w:rPr>
        <w:t>。</w:t>
      </w:r>
      <w:r>
        <w:rPr>
          <w:w w:val="100"/>
        </w:rPr>
        <w:t>根</w:t>
      </w:r>
      <w:r>
        <w:rPr>
          <w:spacing w:val="-82"/>
          <w:w w:val="100"/>
        </w:rPr>
        <w:t>据</w:t>
      </w:r>
      <w:r>
        <w:rPr>
          <w:w w:val="100"/>
        </w:rPr>
        <w:t>《公</w:t>
      </w:r>
    </w:p>
    <w:p>
      <w:pPr>
        <w:pStyle w:val="BodyText"/>
        <w:spacing w:line="240" w:lineRule="auto" w:before="164"/>
        <w:ind w:right="0"/>
        <w:jc w:val="left"/>
        <w:rPr>
          <w:rFonts w:ascii="Arial" w:hAnsi="Arial" w:cs="Arial" w:eastAsia="Arial" w:hint="default"/>
        </w:rPr>
      </w:pPr>
      <w:r>
        <w:rPr>
          <w:w w:val="100"/>
        </w:rPr>
        <w:t>司章程</w:t>
      </w:r>
      <w:r>
        <w:rPr>
          <w:spacing w:val="-111"/>
          <w:w w:val="100"/>
        </w:rPr>
        <w:t>》</w:t>
      </w:r>
      <w:r>
        <w:rPr>
          <w:w w:val="100"/>
        </w:rPr>
        <w:t>，提取</w:t>
      </w:r>
      <w:r>
        <w:rPr>
          <w:spacing w:val="-3"/>
          <w:w w:val="100"/>
        </w:rPr>
        <w:t>法</w:t>
      </w:r>
      <w:r>
        <w:rPr>
          <w:w w:val="100"/>
        </w:rPr>
        <w:t>定盈</w:t>
      </w:r>
      <w:r>
        <w:rPr>
          <w:spacing w:val="-3"/>
          <w:w w:val="100"/>
        </w:rPr>
        <w:t>余</w:t>
      </w:r>
      <w:r>
        <w:rPr>
          <w:w w:val="100"/>
        </w:rPr>
        <w:t>公积</w:t>
      </w:r>
      <w:r>
        <w:rPr/>
        <w:t> </w:t>
      </w:r>
      <w:r>
        <w:rPr>
          <w:rFonts w:ascii="Arial" w:hAnsi="Arial" w:cs="Arial" w:eastAsia="Arial" w:hint="default"/>
          <w:spacing w:val="-1"/>
          <w:w w:val="100"/>
        </w:rPr>
        <w:t>2</w:t>
      </w:r>
      <w:r>
        <w:rPr>
          <w:rFonts w:ascii="Arial" w:hAnsi="Arial" w:cs="Arial" w:eastAsia="Arial" w:hint="default"/>
          <w:spacing w:val="1"/>
          <w:w w:val="100"/>
        </w:rPr>
        <w:t>,</w:t>
      </w:r>
      <w:r>
        <w:rPr>
          <w:rFonts w:ascii="Arial" w:hAnsi="Arial" w:cs="Arial" w:eastAsia="Arial" w:hint="default"/>
          <w:spacing w:val="-1"/>
          <w:w w:val="100"/>
        </w:rPr>
        <w:t>39</w:t>
      </w:r>
      <w:r>
        <w:rPr>
          <w:rFonts w:ascii="Arial" w:hAnsi="Arial" w:cs="Arial" w:eastAsia="Arial" w:hint="default"/>
          <w:spacing w:val="-3"/>
          <w:w w:val="100"/>
        </w:rPr>
        <w:t>1</w:t>
      </w:r>
      <w:r>
        <w:rPr>
          <w:rFonts w:ascii="Arial" w:hAnsi="Arial" w:cs="Arial" w:eastAsia="Arial" w:hint="default"/>
          <w:spacing w:val="1"/>
          <w:w w:val="100"/>
        </w:rPr>
        <w:t>,</w:t>
      </w:r>
      <w:r>
        <w:rPr>
          <w:rFonts w:ascii="Arial" w:hAnsi="Arial" w:cs="Arial" w:eastAsia="Arial" w:hint="default"/>
          <w:spacing w:val="-1"/>
          <w:w w:val="100"/>
        </w:rPr>
        <w:t>844</w:t>
      </w:r>
      <w:r>
        <w:rPr>
          <w:rFonts w:ascii="Arial" w:hAnsi="Arial" w:cs="Arial" w:eastAsia="Arial" w:hint="default"/>
          <w:spacing w:val="1"/>
          <w:w w:val="100"/>
        </w:rPr>
        <w:t>.</w:t>
      </w:r>
      <w:r>
        <w:rPr>
          <w:rFonts w:ascii="Arial" w:hAnsi="Arial" w:cs="Arial" w:eastAsia="Arial" w:hint="default"/>
          <w:spacing w:val="-1"/>
          <w:w w:val="100"/>
        </w:rPr>
        <w:t>1</w:t>
      </w:r>
      <w:r>
        <w:rPr>
          <w:rFonts w:ascii="Arial" w:hAnsi="Arial" w:cs="Arial" w:eastAsia="Arial" w:hint="default"/>
          <w:w w:val="100"/>
        </w:rPr>
        <w:t>7</w:t>
      </w:r>
      <w:r>
        <w:rPr>
          <w:rFonts w:ascii="Arial" w:hAnsi="Arial" w:cs="Arial" w:eastAsia="Arial" w:hint="default"/>
        </w:rPr>
        <w:t> </w:t>
      </w:r>
      <w:r>
        <w:rPr>
          <w:rFonts w:ascii="Arial" w:hAnsi="Arial" w:cs="Arial" w:eastAsia="Arial" w:hint="default"/>
          <w:spacing w:val="-15"/>
        </w:rPr>
        <w:t> </w:t>
      </w:r>
      <w:r>
        <w:rPr>
          <w:w w:val="100"/>
        </w:rPr>
        <w:t>元</w:t>
      </w:r>
      <w:r>
        <w:rPr>
          <w:spacing w:val="-3"/>
          <w:w w:val="100"/>
        </w:rPr>
        <w:t>，</w:t>
      </w:r>
      <w:r>
        <w:rPr>
          <w:w w:val="100"/>
        </w:rPr>
        <w:t>加上上年结存</w:t>
      </w:r>
      <w:r>
        <w:rPr>
          <w:spacing w:val="-3"/>
          <w:w w:val="100"/>
        </w:rPr>
        <w:t>未</w:t>
      </w:r>
      <w:r>
        <w:rPr>
          <w:w w:val="100"/>
        </w:rPr>
        <w:t>分配</w:t>
      </w:r>
      <w:r>
        <w:rPr>
          <w:spacing w:val="-3"/>
          <w:w w:val="100"/>
        </w:rPr>
        <w:t>利</w:t>
      </w:r>
      <w:r>
        <w:rPr>
          <w:w w:val="100"/>
        </w:rPr>
        <w:t>润</w:t>
      </w:r>
      <w:r>
        <w:rPr/>
        <w:t> </w:t>
      </w:r>
      <w:r>
        <w:rPr>
          <w:rFonts w:ascii="Arial" w:hAnsi="Arial" w:cs="Arial" w:eastAsia="Arial" w:hint="default"/>
          <w:spacing w:val="-1"/>
          <w:w w:val="100"/>
        </w:rPr>
        <w:t>54</w:t>
      </w:r>
      <w:r>
        <w:rPr>
          <w:rFonts w:ascii="Arial" w:hAnsi="Arial" w:cs="Arial" w:eastAsia="Arial" w:hint="default"/>
          <w:spacing w:val="1"/>
          <w:w w:val="100"/>
        </w:rPr>
        <w:t>,</w:t>
      </w:r>
      <w:r>
        <w:rPr>
          <w:rFonts w:ascii="Arial" w:hAnsi="Arial" w:cs="Arial" w:eastAsia="Arial" w:hint="default"/>
          <w:spacing w:val="-1"/>
          <w:w w:val="100"/>
        </w:rPr>
        <w:t>274</w:t>
      </w:r>
      <w:r>
        <w:rPr>
          <w:rFonts w:ascii="Arial" w:hAnsi="Arial" w:cs="Arial" w:eastAsia="Arial" w:hint="default"/>
          <w:spacing w:val="-2"/>
          <w:w w:val="100"/>
        </w:rPr>
        <w:t>,</w:t>
      </w:r>
      <w:r>
        <w:rPr>
          <w:rFonts w:ascii="Arial" w:hAnsi="Arial" w:cs="Arial" w:eastAsia="Arial" w:hint="default"/>
          <w:spacing w:val="-1"/>
          <w:w w:val="100"/>
        </w:rPr>
        <w:t>578</w:t>
      </w:r>
      <w:r>
        <w:rPr>
          <w:rFonts w:ascii="Arial" w:hAnsi="Arial" w:cs="Arial" w:eastAsia="Arial" w:hint="default"/>
          <w:spacing w:val="1"/>
          <w:w w:val="100"/>
        </w:rPr>
        <w:t>.</w:t>
      </w:r>
      <w:r>
        <w:rPr>
          <w:rFonts w:ascii="Arial" w:hAnsi="Arial" w:cs="Arial" w:eastAsia="Arial" w:hint="default"/>
          <w:spacing w:val="-1"/>
          <w:w w:val="100"/>
        </w:rPr>
        <w:t>7</w:t>
      </w:r>
      <w:r>
        <w:rPr>
          <w:rFonts w:ascii="Arial" w:hAnsi="Arial" w:cs="Arial" w:eastAsia="Arial" w:hint="default"/>
          <w:w w:val="100"/>
        </w:rPr>
        <w:t>4</w:t>
      </w:r>
    </w:p>
    <w:p>
      <w:pPr>
        <w:pStyle w:val="BodyText"/>
        <w:spacing w:line="240" w:lineRule="auto" w:before="164"/>
        <w:ind w:right="0"/>
        <w:jc w:val="left"/>
      </w:pPr>
      <w:r>
        <w:rPr/>
        <w:t>元，截止</w:t>
      </w:r>
      <w:r>
        <w:rPr>
          <w:spacing w:val="-45"/>
        </w:rPr>
        <w:t> </w:t>
      </w:r>
      <w:r>
        <w:rPr>
          <w:rFonts w:ascii="Arial" w:hAnsi="Arial" w:cs="Arial" w:eastAsia="Arial" w:hint="default"/>
        </w:rPr>
        <w:t>2010</w:t>
      </w:r>
      <w:r>
        <w:rPr>
          <w:rFonts w:ascii="Arial" w:hAnsi="Arial" w:cs="Arial" w:eastAsia="Arial" w:hint="default"/>
          <w:spacing w:val="3"/>
        </w:rPr>
        <w:t> </w:t>
      </w:r>
      <w:r>
        <w:rPr/>
        <w:t>年</w:t>
      </w:r>
      <w:r>
        <w:rPr>
          <w:spacing w:val="-45"/>
        </w:rPr>
        <w:t> </w:t>
      </w:r>
      <w:r>
        <w:rPr>
          <w:rFonts w:ascii="Arial" w:hAnsi="Arial" w:cs="Arial" w:eastAsia="Arial" w:hint="default"/>
        </w:rPr>
        <w:t>12</w:t>
      </w:r>
      <w:r>
        <w:rPr>
          <w:rFonts w:ascii="Arial" w:hAnsi="Arial" w:cs="Arial" w:eastAsia="Arial" w:hint="default"/>
          <w:spacing w:val="1"/>
        </w:rPr>
        <w:t> </w:t>
      </w:r>
      <w:r>
        <w:rPr/>
        <w:t>月</w:t>
      </w:r>
      <w:r>
        <w:rPr>
          <w:spacing w:val="-48"/>
        </w:rPr>
        <w:t> </w:t>
      </w:r>
      <w:r>
        <w:rPr>
          <w:rFonts w:ascii="Arial" w:hAnsi="Arial" w:cs="Arial" w:eastAsia="Arial" w:hint="default"/>
        </w:rPr>
        <w:t>31</w:t>
      </w:r>
      <w:r>
        <w:rPr>
          <w:rFonts w:ascii="Arial" w:hAnsi="Arial" w:cs="Arial" w:eastAsia="Arial" w:hint="default"/>
          <w:spacing w:val="3"/>
        </w:rPr>
        <w:t> </w:t>
      </w:r>
      <w:r>
        <w:rPr/>
        <w:t>日，公司可供股东分配的利润为</w:t>
      </w:r>
      <w:r>
        <w:rPr>
          <w:spacing w:val="-45"/>
        </w:rPr>
        <w:t> </w:t>
      </w:r>
      <w:r>
        <w:rPr>
          <w:rFonts w:ascii="Arial" w:hAnsi="Arial" w:cs="Arial" w:eastAsia="Arial" w:hint="default"/>
        </w:rPr>
        <w:t>75,801,176.28</w:t>
      </w:r>
      <w:r>
        <w:rPr>
          <w:rFonts w:ascii="Arial" w:hAnsi="Arial" w:cs="Arial" w:eastAsia="Arial" w:hint="default"/>
          <w:spacing w:val="3"/>
        </w:rPr>
        <w:t> </w:t>
      </w:r>
      <w:r>
        <w:rPr/>
        <w:t>元，资本公积</w:t>
      </w:r>
    </w:p>
    <w:p>
      <w:pPr>
        <w:pStyle w:val="BodyText"/>
        <w:spacing w:line="240" w:lineRule="auto" w:before="164"/>
        <w:ind w:right="0"/>
        <w:jc w:val="left"/>
      </w:pPr>
      <w:r>
        <w:rPr/>
        <w:t>金余额为</w:t>
      </w:r>
      <w:r>
        <w:rPr>
          <w:spacing w:val="-45"/>
        </w:rPr>
        <w:t> </w:t>
      </w:r>
      <w:r>
        <w:rPr>
          <w:rFonts w:ascii="Arial" w:hAnsi="Arial" w:cs="Arial" w:eastAsia="Arial" w:hint="default"/>
          <w:spacing w:val="-3"/>
        </w:rPr>
        <w:t>532,811,033.47</w:t>
      </w:r>
      <w:r>
        <w:rPr>
          <w:rFonts w:ascii="Arial" w:hAnsi="Arial" w:cs="Arial" w:eastAsia="Arial" w:hint="default"/>
          <w:spacing w:val="3"/>
        </w:rPr>
        <w:t> </w:t>
      </w:r>
      <w:r>
        <w:rPr/>
        <w:t>元。</w:t>
      </w:r>
    </w:p>
    <w:p>
      <w:pPr>
        <w:pStyle w:val="BodyText"/>
        <w:spacing w:line="240" w:lineRule="auto" w:before="164"/>
        <w:ind w:left="687" w:right="0"/>
        <w:jc w:val="left"/>
      </w:pPr>
      <w:r>
        <w:rPr>
          <w:spacing w:val="-3"/>
        </w:rPr>
        <w:t>根据公司经营发展状况，公司拟定</w:t>
      </w:r>
      <w:r>
        <w:rPr>
          <w:spacing w:val="-52"/>
        </w:rPr>
        <w:t> </w:t>
      </w:r>
      <w:r>
        <w:rPr>
          <w:rFonts w:ascii="Arial" w:hAnsi="Arial" w:cs="Arial" w:eastAsia="Arial" w:hint="default"/>
        </w:rPr>
        <w:t>2010</w:t>
      </w:r>
      <w:r>
        <w:rPr>
          <w:rFonts w:ascii="Arial" w:hAnsi="Arial" w:cs="Arial" w:eastAsia="Arial" w:hint="default"/>
          <w:spacing w:val="-4"/>
        </w:rPr>
        <w:t> </w:t>
      </w:r>
      <w:r>
        <w:rPr>
          <w:spacing w:val="-4"/>
        </w:rPr>
        <w:t>年度利润分配方案为：以公司</w:t>
      </w:r>
      <w:r>
        <w:rPr>
          <w:spacing w:val="-52"/>
        </w:rPr>
        <w:t> </w:t>
      </w:r>
      <w:r>
        <w:rPr>
          <w:rFonts w:ascii="Arial" w:hAnsi="Arial" w:cs="Arial" w:eastAsia="Arial" w:hint="default"/>
        </w:rPr>
        <w:t>2010</w:t>
      </w:r>
      <w:r>
        <w:rPr>
          <w:rFonts w:ascii="Arial" w:hAnsi="Arial" w:cs="Arial" w:eastAsia="Arial" w:hint="default"/>
          <w:spacing w:val="-4"/>
        </w:rPr>
        <w:t> </w:t>
      </w:r>
      <w:r>
        <w:rPr/>
        <w:t>年</w:t>
      </w:r>
      <w:r>
        <w:rPr>
          <w:spacing w:val="-52"/>
        </w:rPr>
        <w:t> </w:t>
      </w:r>
      <w:r>
        <w:rPr>
          <w:rFonts w:ascii="Arial" w:hAnsi="Arial" w:cs="Arial" w:eastAsia="Arial" w:hint="default"/>
        </w:rPr>
        <w:t>12</w:t>
      </w:r>
      <w:r>
        <w:rPr>
          <w:rFonts w:ascii="Arial" w:hAnsi="Arial" w:cs="Arial" w:eastAsia="Arial" w:hint="default"/>
          <w:spacing w:val="-4"/>
        </w:rPr>
        <w:t> </w:t>
      </w:r>
      <w:r>
        <w:rPr/>
        <w:t>月</w:t>
      </w:r>
    </w:p>
    <w:p>
      <w:pPr>
        <w:pStyle w:val="BodyText"/>
        <w:spacing w:line="240" w:lineRule="auto" w:before="164"/>
        <w:ind w:right="0"/>
        <w:jc w:val="left"/>
      </w:pPr>
      <w:r>
        <w:rPr>
          <w:rFonts w:ascii="Arial" w:hAnsi="Arial" w:cs="Arial" w:eastAsia="Arial" w:hint="default"/>
        </w:rPr>
        <w:t>31</w:t>
      </w:r>
      <w:r>
        <w:rPr>
          <w:rFonts w:ascii="Arial" w:hAnsi="Arial" w:cs="Arial" w:eastAsia="Arial" w:hint="default"/>
          <w:spacing w:val="-8"/>
        </w:rPr>
        <w:t> </w:t>
      </w:r>
      <w:r>
        <w:rPr/>
        <w:t>日总股本</w:t>
      </w:r>
      <w:r>
        <w:rPr>
          <w:spacing w:val="-57"/>
        </w:rPr>
        <w:t> </w:t>
      </w:r>
      <w:r>
        <w:rPr>
          <w:rFonts w:ascii="Arial" w:hAnsi="Arial" w:cs="Arial" w:eastAsia="Arial" w:hint="default"/>
        </w:rPr>
        <w:t>10,700</w:t>
      </w:r>
      <w:r>
        <w:rPr>
          <w:rFonts w:ascii="Arial" w:hAnsi="Arial" w:cs="Arial" w:eastAsia="Arial" w:hint="default"/>
          <w:spacing w:val="-8"/>
        </w:rPr>
        <w:t> </w:t>
      </w:r>
      <w:r>
        <w:rPr/>
        <w:t>万股为基数，向全体股东每</w:t>
      </w:r>
      <w:r>
        <w:rPr>
          <w:spacing w:val="-57"/>
        </w:rPr>
        <w:t> </w:t>
      </w:r>
      <w:r>
        <w:rPr>
          <w:rFonts w:ascii="Arial" w:hAnsi="Arial" w:cs="Arial" w:eastAsia="Arial" w:hint="default"/>
        </w:rPr>
        <w:t>10</w:t>
      </w:r>
      <w:r>
        <w:rPr>
          <w:rFonts w:ascii="Arial" w:hAnsi="Arial" w:cs="Arial" w:eastAsia="Arial" w:hint="default"/>
          <w:spacing w:val="-8"/>
        </w:rPr>
        <w:t> </w:t>
      </w:r>
      <w:r>
        <w:rPr/>
        <w:t>股派发现金红利</w:t>
      </w:r>
      <w:r>
        <w:rPr>
          <w:spacing w:val="-57"/>
        </w:rPr>
        <w:t> </w:t>
      </w:r>
      <w:r>
        <w:rPr>
          <w:rFonts w:ascii="Arial" w:hAnsi="Arial" w:cs="Arial" w:eastAsia="Arial" w:hint="default"/>
        </w:rPr>
        <w:t>3</w:t>
      </w:r>
      <w:r>
        <w:rPr>
          <w:rFonts w:ascii="Arial" w:hAnsi="Arial" w:cs="Arial" w:eastAsia="Arial" w:hint="default"/>
          <w:spacing w:val="-8"/>
        </w:rPr>
        <w:t> </w:t>
      </w:r>
      <w:r>
        <w:rPr/>
        <w:t>元</w:t>
      </w:r>
      <w:r>
        <w:rPr>
          <w:rFonts w:ascii="Arial" w:hAnsi="Arial" w:cs="Arial" w:eastAsia="Arial" w:hint="default"/>
        </w:rPr>
        <w:t>(</w:t>
      </w:r>
      <w:r>
        <w:rPr/>
        <w:t>含税</w:t>
      </w:r>
      <w:r>
        <w:rPr>
          <w:rFonts w:ascii="Arial" w:hAnsi="Arial" w:cs="Arial" w:eastAsia="Arial" w:hint="default"/>
        </w:rPr>
        <w:t>)</w:t>
      </w:r>
      <w:r>
        <w:rPr/>
        <w:t>，合计派发</w:t>
      </w:r>
    </w:p>
    <w:p>
      <w:pPr>
        <w:pStyle w:val="BodyText"/>
        <w:spacing w:line="240" w:lineRule="auto" w:before="164"/>
        <w:ind w:right="0"/>
        <w:jc w:val="left"/>
      </w:pPr>
      <w:r>
        <w:rPr/>
        <w:t>现金</w:t>
      </w:r>
      <w:r>
        <w:rPr>
          <w:spacing w:val="-51"/>
        </w:rPr>
        <w:t> </w:t>
      </w:r>
      <w:r>
        <w:rPr>
          <w:rFonts w:ascii="Arial" w:hAnsi="Arial" w:cs="Arial" w:eastAsia="Arial" w:hint="default"/>
        </w:rPr>
        <w:t>32,100,000.00</w:t>
      </w:r>
      <w:r>
        <w:rPr>
          <w:rFonts w:ascii="Arial" w:hAnsi="Arial" w:cs="Arial" w:eastAsia="Arial" w:hint="default"/>
          <w:spacing w:val="44"/>
        </w:rPr>
        <w:t> </w:t>
      </w:r>
      <w:r>
        <w:rPr/>
        <w:t>元，其余未分配利润结转下年；同时，以公司</w:t>
      </w:r>
      <w:r>
        <w:rPr>
          <w:spacing w:val="-51"/>
        </w:rPr>
        <w:t> </w:t>
      </w:r>
      <w:r>
        <w:rPr>
          <w:rFonts w:ascii="Arial" w:hAnsi="Arial" w:cs="Arial" w:eastAsia="Arial" w:hint="default"/>
        </w:rPr>
        <w:t>2010</w:t>
      </w:r>
      <w:r>
        <w:rPr>
          <w:rFonts w:ascii="Arial" w:hAnsi="Arial" w:cs="Arial" w:eastAsia="Arial" w:hint="default"/>
          <w:spacing w:val="-5"/>
        </w:rPr>
        <w:t> </w:t>
      </w:r>
      <w:r>
        <w:rPr/>
        <w:t>年</w:t>
      </w:r>
      <w:r>
        <w:rPr>
          <w:spacing w:val="-51"/>
        </w:rPr>
        <w:t> </w:t>
      </w:r>
      <w:r>
        <w:rPr>
          <w:rFonts w:ascii="Arial" w:hAnsi="Arial" w:cs="Arial" w:eastAsia="Arial" w:hint="default"/>
        </w:rPr>
        <w:t>12</w:t>
      </w:r>
      <w:r>
        <w:rPr>
          <w:rFonts w:ascii="Arial" w:hAnsi="Arial" w:cs="Arial" w:eastAsia="Arial" w:hint="default"/>
          <w:spacing w:val="-3"/>
        </w:rPr>
        <w:t> </w:t>
      </w:r>
      <w:r>
        <w:rPr/>
        <w:t>月</w:t>
      </w:r>
      <w:r>
        <w:rPr>
          <w:spacing w:val="-51"/>
        </w:rPr>
        <w:t> </w:t>
      </w:r>
      <w:r>
        <w:rPr>
          <w:rFonts w:ascii="Arial" w:hAnsi="Arial" w:cs="Arial" w:eastAsia="Arial" w:hint="default"/>
        </w:rPr>
        <w:t>31</w:t>
      </w:r>
      <w:r>
        <w:rPr>
          <w:rFonts w:ascii="Arial" w:hAnsi="Arial" w:cs="Arial" w:eastAsia="Arial" w:hint="default"/>
          <w:spacing w:val="-3"/>
        </w:rPr>
        <w:t> </w:t>
      </w:r>
      <w:r>
        <w:rPr/>
        <w:t>日总</w:t>
      </w:r>
    </w:p>
    <w:p>
      <w:pPr>
        <w:pStyle w:val="BodyText"/>
        <w:spacing w:line="240" w:lineRule="auto" w:before="164"/>
        <w:ind w:right="0"/>
        <w:jc w:val="left"/>
      </w:pPr>
      <w:r>
        <w:rPr/>
        <w:t>股本</w:t>
      </w:r>
      <w:r>
        <w:rPr>
          <w:spacing w:val="-56"/>
        </w:rPr>
        <w:t> </w:t>
      </w:r>
      <w:r>
        <w:rPr>
          <w:rFonts w:ascii="Arial" w:hAnsi="Arial" w:cs="Arial" w:eastAsia="Arial" w:hint="default"/>
        </w:rPr>
        <w:t>10,700</w:t>
      </w:r>
      <w:r>
        <w:rPr>
          <w:rFonts w:ascii="Arial" w:hAnsi="Arial" w:cs="Arial" w:eastAsia="Arial" w:hint="default"/>
          <w:spacing w:val="-10"/>
        </w:rPr>
        <w:t> </w:t>
      </w:r>
      <w:r>
        <w:rPr/>
        <w:t>万股为基数，由资本公积向股东每</w:t>
      </w:r>
      <w:r>
        <w:rPr>
          <w:spacing w:val="-56"/>
        </w:rPr>
        <w:t> </w:t>
      </w:r>
      <w:r>
        <w:rPr>
          <w:rFonts w:ascii="Arial" w:hAnsi="Arial" w:cs="Arial" w:eastAsia="Arial" w:hint="default"/>
        </w:rPr>
        <w:t>10</w:t>
      </w:r>
      <w:r>
        <w:rPr>
          <w:rFonts w:ascii="Arial" w:hAnsi="Arial" w:cs="Arial" w:eastAsia="Arial" w:hint="default"/>
          <w:spacing w:val="-8"/>
        </w:rPr>
        <w:t> </w:t>
      </w:r>
      <w:r>
        <w:rPr/>
        <w:t>股转增</w:t>
      </w:r>
      <w:r>
        <w:rPr>
          <w:spacing w:val="-56"/>
        </w:rPr>
        <w:t> </w:t>
      </w:r>
      <w:r>
        <w:rPr>
          <w:rFonts w:ascii="Arial" w:hAnsi="Arial" w:cs="Arial" w:eastAsia="Arial" w:hint="default"/>
        </w:rPr>
        <w:t>5</w:t>
      </w:r>
      <w:r>
        <w:rPr>
          <w:rFonts w:ascii="Arial" w:hAnsi="Arial" w:cs="Arial" w:eastAsia="Arial" w:hint="default"/>
          <w:spacing w:val="-10"/>
        </w:rPr>
        <w:t> </w:t>
      </w:r>
      <w:r>
        <w:rPr/>
        <w:t>股，合计转增</w:t>
      </w:r>
      <w:r>
        <w:rPr>
          <w:spacing w:val="-59"/>
        </w:rPr>
        <w:t> </w:t>
      </w:r>
      <w:r>
        <w:rPr>
          <w:rFonts w:ascii="Arial" w:hAnsi="Arial" w:cs="Arial" w:eastAsia="Arial" w:hint="default"/>
        </w:rPr>
        <w:t>5,350</w:t>
      </w:r>
      <w:r>
        <w:rPr>
          <w:rFonts w:ascii="Arial" w:hAnsi="Arial" w:cs="Arial" w:eastAsia="Arial" w:hint="default"/>
          <w:spacing w:val="-8"/>
        </w:rPr>
        <w:t> </w:t>
      </w:r>
      <w:r>
        <w:rPr/>
        <w:t>万股。</w:t>
      </w:r>
    </w:p>
    <w:p>
      <w:pPr>
        <w:pStyle w:val="BodyText"/>
        <w:spacing w:line="240" w:lineRule="auto" w:before="164"/>
        <w:ind w:left="576" w:right="0"/>
        <w:jc w:val="left"/>
      </w:pPr>
      <w:r>
        <w:rPr/>
        <w:t>该议案经董事会审议通过后尚需提交公司</w:t>
      </w:r>
      <w:r>
        <w:rPr>
          <w:spacing w:val="-60"/>
        </w:rPr>
        <w:t> </w:t>
      </w:r>
      <w:r>
        <w:rPr>
          <w:rFonts w:ascii="Arial" w:hAnsi="Arial" w:cs="Arial" w:eastAsia="Arial" w:hint="default"/>
        </w:rPr>
        <w:t>2010</w:t>
      </w:r>
      <w:r>
        <w:rPr>
          <w:rFonts w:ascii="Arial" w:hAnsi="Arial" w:cs="Arial" w:eastAsia="Arial" w:hint="default"/>
          <w:spacing w:val="-12"/>
        </w:rPr>
        <w:t> </w:t>
      </w:r>
      <w:r>
        <w:rPr/>
        <w:t>年年度股东大会审议。</w:t>
      </w:r>
    </w:p>
    <w:p>
      <w:pPr>
        <w:spacing w:after="0" w:line="240" w:lineRule="auto"/>
        <w:jc w:val="left"/>
        <w:sectPr>
          <w:pgSz w:w="11900" w:h="16840"/>
          <w:pgMar w:header="877" w:footer="981" w:top="1100" w:bottom="1180" w:left="1660" w:right="1300"/>
        </w:sectPr>
      </w:pPr>
    </w:p>
    <w:p>
      <w:pPr>
        <w:spacing w:line="240" w:lineRule="auto" w:before="1"/>
        <w:rPr>
          <w:rFonts w:ascii="宋体" w:hAnsi="宋体" w:cs="宋体" w:eastAsia="宋体" w:hint="default"/>
          <w:sz w:val="27"/>
          <w:szCs w:val="27"/>
        </w:rPr>
      </w:pPr>
    </w:p>
    <w:p>
      <w:pPr>
        <w:pStyle w:val="Heading1"/>
        <w:tabs>
          <w:tab w:pos="1439" w:val="left" w:leader="none"/>
        </w:tabs>
        <w:spacing w:line="460" w:lineRule="exact"/>
        <w:ind w:right="3"/>
        <w:jc w:val="center"/>
      </w:pPr>
      <w:bookmarkStart w:name="_TOC_250006" w:id="4"/>
      <w:r>
        <w:rPr>
          <w:w w:val="95"/>
        </w:rPr>
        <w:t>第四节</w:t>
        <w:tab/>
      </w:r>
      <w:bookmarkEnd w:id="4"/>
      <w:r>
        <w:rPr/>
        <w:t>重要事项</w:t>
      </w:r>
    </w:p>
    <w:p>
      <w:pPr>
        <w:pStyle w:val="Heading3"/>
        <w:spacing w:line="240" w:lineRule="auto" w:before="217"/>
        <w:ind w:left="157" w:right="0"/>
        <w:jc w:val="left"/>
      </w:pPr>
      <w:r>
        <w:rPr/>
        <w:t>一、重大诉讼、仲裁事项</w:t>
      </w:r>
    </w:p>
    <w:p>
      <w:pPr>
        <w:pStyle w:val="BodyText"/>
        <w:spacing w:line="240" w:lineRule="auto" w:before="227"/>
        <w:ind w:left="596" w:right="0"/>
        <w:jc w:val="left"/>
      </w:pPr>
      <w:r>
        <w:rPr/>
        <w:t>报告期内，公司无重大诉讼、仲裁事项</w:t>
      </w:r>
    </w:p>
    <w:p>
      <w:pPr>
        <w:spacing w:line="240" w:lineRule="auto" w:before="1"/>
        <w:rPr>
          <w:rFonts w:ascii="宋体" w:hAnsi="宋体" w:cs="宋体" w:eastAsia="宋体" w:hint="default"/>
          <w:sz w:val="16"/>
          <w:szCs w:val="16"/>
        </w:rPr>
      </w:pPr>
    </w:p>
    <w:p>
      <w:pPr>
        <w:pStyle w:val="Heading3"/>
        <w:spacing w:line="240" w:lineRule="auto"/>
        <w:ind w:left="157" w:right="0"/>
        <w:jc w:val="left"/>
      </w:pPr>
      <w:r>
        <w:rPr/>
        <w:t>二、破产相关事项</w:t>
      </w:r>
    </w:p>
    <w:p>
      <w:pPr>
        <w:pStyle w:val="BodyText"/>
        <w:spacing w:line="240" w:lineRule="auto" w:before="227"/>
        <w:ind w:left="596" w:right="0"/>
        <w:jc w:val="left"/>
      </w:pPr>
      <w:r>
        <w:rPr/>
        <w:t>报告期内，公司无破产相关事项</w:t>
      </w:r>
    </w:p>
    <w:p>
      <w:pPr>
        <w:spacing w:line="240" w:lineRule="auto" w:before="1"/>
        <w:rPr>
          <w:rFonts w:ascii="宋体" w:hAnsi="宋体" w:cs="宋体" w:eastAsia="宋体" w:hint="default"/>
          <w:sz w:val="16"/>
          <w:szCs w:val="16"/>
        </w:rPr>
      </w:pPr>
    </w:p>
    <w:p>
      <w:pPr>
        <w:pStyle w:val="Heading3"/>
        <w:spacing w:line="240" w:lineRule="auto"/>
        <w:ind w:left="157" w:right="0"/>
        <w:jc w:val="left"/>
      </w:pPr>
      <w:r>
        <w:rPr/>
        <w:t>三、收购及出售资产、企业合并事项</w:t>
      </w:r>
    </w:p>
    <w:p>
      <w:pPr>
        <w:pStyle w:val="BodyText"/>
        <w:spacing w:line="369" w:lineRule="auto" w:before="227"/>
        <w:ind w:left="157" w:right="155" w:firstLine="439"/>
        <w:jc w:val="both"/>
      </w:pPr>
      <w:r>
        <w:rPr>
          <w:rFonts w:ascii="Arial" w:hAnsi="Arial" w:cs="Arial" w:eastAsia="Arial" w:hint="default"/>
          <w:spacing w:val="-2"/>
        </w:rPr>
        <w:t>2010</w:t>
      </w:r>
      <w:r>
        <w:rPr>
          <w:spacing w:val="-2"/>
        </w:rPr>
        <w:t>年</w:t>
      </w:r>
      <w:r>
        <w:rPr>
          <w:rFonts w:ascii="Arial" w:hAnsi="Arial" w:cs="Arial" w:eastAsia="Arial" w:hint="default"/>
          <w:spacing w:val="-2"/>
        </w:rPr>
        <w:t>10</w:t>
      </w:r>
      <w:r>
        <w:rPr>
          <w:spacing w:val="-2"/>
        </w:rPr>
        <w:t>月</w:t>
      </w:r>
      <w:r>
        <w:rPr>
          <w:rFonts w:ascii="Arial" w:hAnsi="Arial" w:cs="Arial" w:eastAsia="Arial" w:hint="default"/>
          <w:spacing w:val="-2"/>
        </w:rPr>
        <w:t>25</w:t>
      </w:r>
      <w:r>
        <w:rPr>
          <w:spacing w:val="-2"/>
        </w:rPr>
        <w:t>日，本公司召开一届董事会第二十次会议审议通过《关于拟使用部分超</w:t>
      </w:r>
      <w:r>
        <w:rPr>
          <w:w w:val="100"/>
        </w:rPr>
        <w:t> </w:t>
      </w:r>
      <w:r>
        <w:rPr/>
        <w:t>募资金收购烟台子公司自然人股东延元起先生股权项目的议案》，同意使用超募资金</w:t>
      </w:r>
      <w:r>
        <w:rPr>
          <w:rFonts w:ascii="Arial" w:hAnsi="Arial" w:cs="Arial" w:eastAsia="Arial" w:hint="default"/>
        </w:rPr>
        <w:t>985</w:t>
      </w:r>
      <w:r>
        <w:rPr>
          <w:rFonts w:ascii="Arial" w:hAnsi="Arial" w:cs="Arial" w:eastAsia="Arial" w:hint="default"/>
          <w:spacing w:val="48"/>
        </w:rPr>
        <w:t> </w:t>
      </w:r>
      <w:r>
        <w:rPr>
          <w:rFonts w:ascii="Arial" w:hAnsi="Arial" w:cs="Arial" w:eastAsia="Arial" w:hint="default"/>
          <w:spacing w:val="48"/>
        </w:rPr>
      </w:r>
      <w:r>
        <w:rPr/>
        <w:t>万元收购烟台子公司自然人股东延元起先生</w:t>
      </w:r>
      <w:r>
        <w:rPr>
          <w:rFonts w:ascii="Arial" w:hAnsi="Arial" w:cs="Arial" w:eastAsia="Arial" w:hint="default"/>
        </w:rPr>
        <w:t>4.69%</w:t>
      </w:r>
      <w:r>
        <w:rPr/>
        <w:t>股权。详见证监会指定创业板信息披露</w:t>
      </w:r>
      <w:r>
        <w:rPr>
          <w:spacing w:val="-29"/>
        </w:rPr>
        <w:t> </w:t>
      </w:r>
      <w:r>
        <w:rPr>
          <w:spacing w:val="-29"/>
        </w:rPr>
      </w:r>
      <w:r>
        <w:rPr/>
        <w:t>网站。</w:t>
      </w:r>
    </w:p>
    <w:p>
      <w:pPr>
        <w:pStyle w:val="BodyText"/>
        <w:spacing w:line="369" w:lineRule="auto" w:before="61"/>
        <w:ind w:left="157" w:right="158" w:firstLine="439"/>
        <w:jc w:val="both"/>
      </w:pPr>
      <w:r>
        <w:rPr>
          <w:rFonts w:ascii="Arial" w:hAnsi="Arial" w:cs="Arial" w:eastAsia="Arial" w:hint="default"/>
          <w:spacing w:val="2"/>
        </w:rPr>
        <w:t>2010</w:t>
      </w:r>
      <w:r>
        <w:rPr>
          <w:spacing w:val="2"/>
        </w:rPr>
        <w:t>年</w:t>
      </w:r>
      <w:r>
        <w:rPr>
          <w:rFonts w:ascii="Arial" w:hAnsi="Arial" w:cs="Arial" w:eastAsia="Arial" w:hint="default"/>
          <w:spacing w:val="2"/>
        </w:rPr>
        <w:t>11</w:t>
      </w:r>
      <w:r>
        <w:rPr>
          <w:spacing w:val="2"/>
        </w:rPr>
        <w:t>月</w:t>
      </w:r>
      <w:r>
        <w:rPr>
          <w:rFonts w:ascii="Arial" w:hAnsi="Arial" w:cs="Arial" w:eastAsia="Arial" w:hint="default"/>
          <w:spacing w:val="2"/>
        </w:rPr>
        <w:t>10</w:t>
      </w:r>
      <w:r>
        <w:rPr>
          <w:spacing w:val="2"/>
        </w:rPr>
        <w:t>日，收到烟台市商务局关于同意烟台安诺其纺织材料有限公司股权转</w:t>
      </w:r>
      <w:r>
        <w:rPr>
          <w:w w:val="100"/>
        </w:rPr>
        <w:t> </w:t>
      </w:r>
      <w:r>
        <w:rPr/>
        <w:t>让、变更企业类型的批复文件（烟商务</w:t>
      </w:r>
      <w:r>
        <w:rPr>
          <w:rFonts w:ascii="Arial" w:hAnsi="Arial" w:cs="Arial" w:eastAsia="Arial" w:hint="default"/>
        </w:rPr>
        <w:t>[2010]402</w:t>
      </w:r>
      <w:r>
        <w:rPr/>
        <w:t>号）。</w:t>
      </w:r>
    </w:p>
    <w:p>
      <w:pPr>
        <w:pStyle w:val="BodyText"/>
        <w:spacing w:line="369" w:lineRule="auto" w:before="31"/>
        <w:ind w:left="157" w:right="160" w:firstLine="439"/>
        <w:jc w:val="both"/>
      </w:pPr>
      <w:r>
        <w:rPr>
          <w:rFonts w:ascii="Arial" w:hAnsi="Arial" w:cs="Arial" w:eastAsia="Arial" w:hint="default"/>
          <w:spacing w:val="-2"/>
        </w:rPr>
        <w:t>2010</w:t>
      </w:r>
      <w:r>
        <w:rPr>
          <w:spacing w:val="-2"/>
        </w:rPr>
        <w:t>年</w:t>
      </w:r>
      <w:r>
        <w:rPr>
          <w:rFonts w:ascii="Arial" w:hAnsi="Arial" w:cs="Arial" w:eastAsia="Arial" w:hint="default"/>
          <w:spacing w:val="-2"/>
        </w:rPr>
        <w:t>11</w:t>
      </w:r>
      <w:r>
        <w:rPr>
          <w:spacing w:val="-2"/>
        </w:rPr>
        <w:t>月</w:t>
      </w:r>
      <w:r>
        <w:rPr>
          <w:rFonts w:ascii="Arial" w:hAnsi="Arial" w:cs="Arial" w:eastAsia="Arial" w:hint="default"/>
          <w:spacing w:val="-2"/>
        </w:rPr>
        <w:t>29</w:t>
      </w:r>
      <w:r>
        <w:rPr>
          <w:spacing w:val="-2"/>
        </w:rPr>
        <w:t>日，烟台安诺其纺织材料有限公司工商变更备案完成，换发新的营业执</w:t>
      </w:r>
      <w:r>
        <w:rPr>
          <w:w w:val="100"/>
        </w:rPr>
        <w:t> </w:t>
      </w:r>
      <w:r>
        <w:rPr/>
        <w:t>照。</w:t>
      </w:r>
    </w:p>
    <w:p>
      <w:pPr>
        <w:pStyle w:val="BodyText"/>
        <w:spacing w:line="369" w:lineRule="auto" w:before="61"/>
        <w:ind w:left="157" w:right="160" w:firstLine="439"/>
        <w:jc w:val="both"/>
      </w:pPr>
      <w:r>
        <w:rPr>
          <w:rFonts w:ascii="Arial" w:hAnsi="Arial" w:cs="Arial" w:eastAsia="Arial" w:hint="default"/>
          <w:spacing w:val="-2"/>
        </w:rPr>
        <w:t>2010</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10</w:t>
      </w:r>
      <w:r>
        <w:rPr>
          <w:spacing w:val="-2"/>
        </w:rPr>
        <w:t>日，使用超募资资金向蓬莱地税局支付延元起先生代扣代缴的个人所得</w:t>
      </w:r>
      <w:r>
        <w:rPr>
          <w:w w:val="100"/>
        </w:rPr>
        <w:t> </w:t>
      </w:r>
      <w:r>
        <w:rPr/>
        <w:t>税款</w:t>
      </w:r>
      <w:r>
        <w:rPr>
          <w:rFonts w:ascii="Arial" w:hAnsi="Arial" w:cs="Arial" w:eastAsia="Arial" w:hint="default"/>
        </w:rPr>
        <w:t>69</w:t>
      </w:r>
      <w:r>
        <w:rPr/>
        <w:t>万元。</w:t>
      </w:r>
    </w:p>
    <w:p>
      <w:pPr>
        <w:pStyle w:val="BodyText"/>
        <w:spacing w:line="369" w:lineRule="auto" w:before="31"/>
        <w:ind w:left="157" w:right="158" w:firstLine="439"/>
        <w:jc w:val="both"/>
      </w:pPr>
      <w:r>
        <w:rPr>
          <w:rFonts w:ascii="Arial" w:hAnsi="Arial" w:cs="Arial" w:eastAsia="Arial" w:hint="default"/>
        </w:rPr>
        <w:t>2011</w:t>
      </w:r>
      <w:r>
        <w:rPr/>
        <w:t>年</w:t>
      </w:r>
      <w:r>
        <w:rPr>
          <w:rFonts w:ascii="Arial" w:hAnsi="Arial" w:cs="Arial" w:eastAsia="Arial" w:hint="default"/>
        </w:rPr>
        <w:t>3</w:t>
      </w:r>
      <w:r>
        <w:rPr/>
        <w:t>月</w:t>
      </w:r>
      <w:r>
        <w:rPr>
          <w:rFonts w:ascii="Arial" w:hAnsi="Arial" w:cs="Arial" w:eastAsia="Arial" w:hint="default"/>
        </w:rPr>
        <w:t>7</w:t>
      </w:r>
      <w:r>
        <w:rPr/>
        <w:t>日，经国家外汇管理局上海分局审核批准后，使用募集资金</w:t>
      </w:r>
      <w:r>
        <w:rPr>
          <w:rFonts w:ascii="Arial" w:hAnsi="Arial" w:cs="Arial" w:eastAsia="Arial" w:hint="default"/>
        </w:rPr>
        <w:t>916</w:t>
      </w:r>
      <w:r>
        <w:rPr/>
        <w:t>万元支付</w:t>
      </w:r>
      <w:r>
        <w:rPr>
          <w:w w:val="100"/>
        </w:rPr>
        <w:t> </w:t>
      </w:r>
      <w:r>
        <w:rPr/>
        <w:t>至延元起先生境外个人帐户。</w:t>
      </w:r>
    </w:p>
    <w:tbl>
      <w:tblPr>
        <w:tblW w:w="0" w:type="auto"/>
        <w:jc w:val="left"/>
        <w:tblInd w:w="114" w:type="dxa"/>
        <w:tblLayout w:type="fixed"/>
        <w:tblCellMar>
          <w:top w:w="0" w:type="dxa"/>
          <w:left w:w="0" w:type="dxa"/>
          <w:bottom w:w="0" w:type="dxa"/>
          <w:right w:w="0" w:type="dxa"/>
        </w:tblCellMar>
        <w:tblLook w:val="01E0"/>
      </w:tblPr>
      <w:tblGrid>
        <w:gridCol w:w="864"/>
        <w:gridCol w:w="770"/>
        <w:gridCol w:w="1001"/>
        <w:gridCol w:w="610"/>
        <w:gridCol w:w="725"/>
        <w:gridCol w:w="977"/>
        <w:gridCol w:w="1174"/>
        <w:gridCol w:w="713"/>
        <w:gridCol w:w="622"/>
        <w:gridCol w:w="622"/>
        <w:gridCol w:w="622"/>
      </w:tblGrid>
      <w:tr>
        <w:trPr>
          <w:trHeight w:val="325" w:hRule="exact"/>
        </w:trPr>
        <w:tc>
          <w:tcPr>
            <w:tcW w:w="864" w:type="dxa"/>
            <w:tcBorders>
              <w:top w:val="single" w:sz="12" w:space="0" w:color="000000"/>
              <w:left w:val="single" w:sz="12" w:space="0" w:color="000000"/>
              <w:bottom w:val="nil" w:sz="6" w:space="0" w:color="auto"/>
              <w:right w:val="single" w:sz="12" w:space="0" w:color="000000"/>
            </w:tcBorders>
            <w:shd w:val="clear" w:color="auto" w:fill="DCDCDC"/>
          </w:tcPr>
          <w:p>
            <w:pPr/>
          </w:p>
        </w:tc>
        <w:tc>
          <w:tcPr>
            <w:tcW w:w="770" w:type="dxa"/>
            <w:tcBorders>
              <w:top w:val="single" w:sz="12" w:space="0" w:color="000000"/>
              <w:left w:val="single" w:sz="12" w:space="0" w:color="000000"/>
              <w:bottom w:val="nil" w:sz="6" w:space="0" w:color="auto"/>
              <w:right w:val="single" w:sz="12" w:space="0" w:color="000000"/>
            </w:tcBorders>
            <w:shd w:val="clear" w:color="auto" w:fill="DCDCDC"/>
          </w:tcPr>
          <w:p>
            <w:pPr/>
          </w:p>
        </w:tc>
        <w:tc>
          <w:tcPr>
            <w:tcW w:w="1001" w:type="dxa"/>
            <w:tcBorders>
              <w:top w:val="single" w:sz="12" w:space="0" w:color="000000"/>
              <w:left w:val="single" w:sz="12" w:space="0" w:color="000000"/>
              <w:bottom w:val="nil" w:sz="6" w:space="0" w:color="auto"/>
              <w:right w:val="single" w:sz="12" w:space="0" w:color="000000"/>
            </w:tcBorders>
            <w:shd w:val="clear" w:color="auto" w:fill="DCDCDC"/>
          </w:tcPr>
          <w:p>
            <w:pPr/>
          </w:p>
        </w:tc>
        <w:tc>
          <w:tcPr>
            <w:tcW w:w="610" w:type="dxa"/>
            <w:tcBorders>
              <w:top w:val="single" w:sz="12" w:space="0" w:color="000000"/>
              <w:left w:val="single" w:sz="12" w:space="0" w:color="000000"/>
              <w:bottom w:val="nil" w:sz="6" w:space="0" w:color="auto"/>
              <w:right w:val="single" w:sz="12" w:space="0" w:color="000000"/>
            </w:tcBorders>
            <w:shd w:val="clear" w:color="auto" w:fill="DCDCDC"/>
          </w:tcPr>
          <w:p>
            <w:pPr/>
          </w:p>
        </w:tc>
        <w:tc>
          <w:tcPr>
            <w:tcW w:w="725" w:type="dxa"/>
            <w:tcBorders>
              <w:top w:val="single" w:sz="12" w:space="0" w:color="000000"/>
              <w:left w:val="single" w:sz="12" w:space="0" w:color="000000"/>
              <w:bottom w:val="nil" w:sz="6" w:space="0" w:color="auto"/>
              <w:right w:val="single" w:sz="12" w:space="0" w:color="000000"/>
            </w:tcBorders>
            <w:shd w:val="clear" w:color="auto" w:fill="DCDCDC"/>
          </w:tcPr>
          <w:p>
            <w:pPr/>
          </w:p>
        </w:tc>
        <w:tc>
          <w:tcPr>
            <w:tcW w:w="977" w:type="dxa"/>
            <w:tcBorders>
              <w:top w:val="single" w:sz="12" w:space="0" w:color="000000"/>
              <w:left w:val="single" w:sz="12" w:space="0" w:color="000000"/>
              <w:bottom w:val="nil" w:sz="6" w:space="0" w:color="auto"/>
              <w:right w:val="single" w:sz="12" w:space="0" w:color="000000"/>
            </w:tcBorders>
            <w:shd w:val="clear" w:color="auto" w:fill="DCDCDC"/>
          </w:tcPr>
          <w:p>
            <w:pPr>
              <w:pStyle w:val="TableParagraph"/>
              <w:spacing w:line="240" w:lineRule="auto" w:before="10"/>
              <w:ind w:right="22"/>
              <w:jc w:val="right"/>
              <w:rPr>
                <w:rFonts w:ascii="宋体" w:hAnsi="宋体" w:cs="宋体" w:eastAsia="宋体" w:hint="default"/>
                <w:sz w:val="18"/>
                <w:szCs w:val="18"/>
              </w:rPr>
            </w:pPr>
            <w:r>
              <w:rPr>
                <w:rFonts w:ascii="宋体" w:hAnsi="宋体" w:cs="宋体" w:eastAsia="宋体" w:hint="default"/>
                <w:w w:val="95"/>
                <w:sz w:val="18"/>
                <w:szCs w:val="18"/>
              </w:rPr>
              <w:t>自购买日起</w:t>
            </w:r>
            <w:r>
              <w:rPr>
                <w:rFonts w:ascii="宋体" w:hAnsi="宋体" w:cs="宋体" w:eastAsia="宋体" w:hint="default"/>
                <w:sz w:val="18"/>
                <w:szCs w:val="18"/>
              </w:rPr>
            </w:r>
          </w:p>
        </w:tc>
        <w:tc>
          <w:tcPr>
            <w:tcW w:w="1174" w:type="dxa"/>
            <w:tcBorders>
              <w:top w:val="single" w:sz="12" w:space="0" w:color="000000"/>
              <w:left w:val="single" w:sz="12" w:space="0" w:color="000000"/>
              <w:bottom w:val="nil" w:sz="6" w:space="0" w:color="auto"/>
              <w:right w:val="single" w:sz="12" w:space="0" w:color="000000"/>
            </w:tcBorders>
            <w:shd w:val="clear" w:color="auto" w:fill="DCDCDC"/>
          </w:tcPr>
          <w:p>
            <w:pPr/>
          </w:p>
        </w:tc>
        <w:tc>
          <w:tcPr>
            <w:tcW w:w="713" w:type="dxa"/>
            <w:tcBorders>
              <w:top w:val="single" w:sz="12" w:space="0" w:color="000000"/>
              <w:left w:val="single" w:sz="12" w:space="0" w:color="000000"/>
              <w:bottom w:val="nil" w:sz="6" w:space="0" w:color="auto"/>
              <w:right w:val="single" w:sz="12" w:space="0" w:color="000000"/>
            </w:tcBorders>
            <w:shd w:val="clear" w:color="auto" w:fill="DCDCDC"/>
          </w:tcPr>
          <w:p>
            <w:pPr/>
          </w:p>
        </w:tc>
        <w:tc>
          <w:tcPr>
            <w:tcW w:w="622" w:type="dxa"/>
            <w:tcBorders>
              <w:top w:val="single" w:sz="12" w:space="0" w:color="000000"/>
              <w:left w:val="single" w:sz="12" w:space="0" w:color="000000"/>
              <w:bottom w:val="nil" w:sz="6" w:space="0" w:color="auto"/>
              <w:right w:val="single" w:sz="12" w:space="0" w:color="000000"/>
            </w:tcBorders>
            <w:shd w:val="clear" w:color="auto" w:fill="DCDCDC"/>
          </w:tcPr>
          <w:p>
            <w:pPr/>
          </w:p>
        </w:tc>
        <w:tc>
          <w:tcPr>
            <w:tcW w:w="622" w:type="dxa"/>
            <w:tcBorders>
              <w:top w:val="single" w:sz="12" w:space="0" w:color="000000"/>
              <w:left w:val="single" w:sz="12" w:space="0" w:color="000000"/>
              <w:bottom w:val="nil" w:sz="6" w:space="0" w:color="auto"/>
              <w:right w:val="single" w:sz="12" w:space="0" w:color="000000"/>
            </w:tcBorders>
            <w:shd w:val="clear" w:color="auto" w:fill="DCDCDC"/>
          </w:tcPr>
          <w:p>
            <w:pPr/>
          </w:p>
        </w:tc>
        <w:tc>
          <w:tcPr>
            <w:tcW w:w="622" w:type="dxa"/>
            <w:tcBorders>
              <w:top w:val="single" w:sz="12" w:space="0" w:color="000000"/>
              <w:left w:val="single" w:sz="12" w:space="0" w:color="000000"/>
              <w:bottom w:val="nil" w:sz="6" w:space="0" w:color="auto"/>
              <w:right w:val="single" w:sz="12" w:space="0" w:color="000000"/>
            </w:tcBorders>
            <w:shd w:val="clear" w:color="auto" w:fill="DCDCDC"/>
          </w:tcPr>
          <w:p>
            <w:pPr/>
          </w:p>
        </w:tc>
      </w:tr>
      <w:tr>
        <w:trPr>
          <w:trHeight w:val="1873" w:hRule="exact"/>
        </w:trPr>
        <w:tc>
          <w:tcPr>
            <w:tcW w:w="864" w:type="dxa"/>
            <w:tcBorders>
              <w:top w:val="nil" w:sz="6" w:space="0" w:color="auto"/>
              <w:left w:val="single" w:sz="12" w:space="0" w:color="000000"/>
              <w:bottom w:val="nil" w:sz="6" w:space="0" w:color="auto"/>
              <w:right w:val="single" w:sz="12"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57" w:right="55"/>
              <w:jc w:val="center"/>
              <w:rPr>
                <w:rFonts w:ascii="宋体" w:hAnsi="宋体" w:cs="宋体" w:eastAsia="宋体" w:hint="default"/>
                <w:sz w:val="18"/>
                <w:szCs w:val="18"/>
              </w:rPr>
            </w:pPr>
            <w:r>
              <w:rPr>
                <w:rFonts w:ascii="宋体" w:hAnsi="宋体" w:cs="宋体" w:eastAsia="宋体" w:hint="default"/>
                <w:sz w:val="18"/>
                <w:szCs w:val="18"/>
              </w:rPr>
              <w:t>交易对方</w:t>
            </w:r>
            <w:r>
              <w:rPr>
                <w:rFonts w:ascii="宋体" w:hAnsi="宋体" w:cs="宋体" w:eastAsia="宋体" w:hint="default"/>
                <w:w w:val="99"/>
                <w:sz w:val="18"/>
                <w:szCs w:val="18"/>
              </w:rPr>
              <w:t> </w:t>
            </w:r>
            <w:r>
              <w:rPr>
                <w:rFonts w:ascii="宋体" w:hAnsi="宋体" w:cs="宋体" w:eastAsia="宋体" w:hint="default"/>
                <w:sz w:val="18"/>
                <w:szCs w:val="18"/>
              </w:rPr>
              <w:t>或最终控</w:t>
            </w:r>
            <w:r>
              <w:rPr>
                <w:rFonts w:ascii="宋体" w:hAnsi="宋体" w:cs="宋体" w:eastAsia="宋体" w:hint="default"/>
                <w:w w:val="99"/>
                <w:sz w:val="18"/>
                <w:szCs w:val="18"/>
              </w:rPr>
              <w:t> </w:t>
            </w:r>
            <w:r>
              <w:rPr>
                <w:rFonts w:ascii="宋体" w:hAnsi="宋体" w:cs="宋体" w:eastAsia="宋体" w:hint="default"/>
                <w:sz w:val="18"/>
                <w:szCs w:val="18"/>
              </w:rPr>
              <w:t>制方</w:t>
            </w:r>
          </w:p>
        </w:tc>
        <w:tc>
          <w:tcPr>
            <w:tcW w:w="770" w:type="dxa"/>
            <w:tcBorders>
              <w:top w:val="nil" w:sz="6" w:space="0" w:color="auto"/>
              <w:left w:val="single" w:sz="12" w:space="0" w:color="000000"/>
              <w:bottom w:val="nil" w:sz="6" w:space="0" w:color="auto"/>
              <w:right w:val="single" w:sz="12"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被收购</w:t>
            </w:r>
            <w:r>
              <w:rPr>
                <w:rFonts w:ascii="宋体" w:hAnsi="宋体" w:cs="宋体" w:eastAsia="宋体" w:hint="default"/>
                <w:w w:val="99"/>
                <w:sz w:val="18"/>
                <w:szCs w:val="18"/>
              </w:rPr>
              <w:t> </w:t>
            </w:r>
            <w:r>
              <w:rPr>
                <w:rFonts w:ascii="宋体" w:hAnsi="宋体" w:cs="宋体" w:eastAsia="宋体" w:hint="default"/>
                <w:sz w:val="18"/>
                <w:szCs w:val="18"/>
              </w:rPr>
              <w:t>或置入</w:t>
            </w:r>
            <w:r>
              <w:rPr>
                <w:rFonts w:ascii="宋体" w:hAnsi="宋体" w:cs="宋体" w:eastAsia="宋体" w:hint="default"/>
                <w:w w:val="99"/>
                <w:sz w:val="18"/>
                <w:szCs w:val="18"/>
              </w:rPr>
              <w:t> </w:t>
            </w:r>
            <w:r>
              <w:rPr>
                <w:rFonts w:ascii="宋体" w:hAnsi="宋体" w:cs="宋体" w:eastAsia="宋体" w:hint="default"/>
                <w:sz w:val="18"/>
                <w:szCs w:val="18"/>
              </w:rPr>
              <w:t>资产</w:t>
            </w:r>
          </w:p>
        </w:tc>
        <w:tc>
          <w:tcPr>
            <w:tcW w:w="1001" w:type="dxa"/>
            <w:tcBorders>
              <w:top w:val="nil" w:sz="6" w:space="0" w:color="auto"/>
              <w:left w:val="single" w:sz="12" w:space="0" w:color="000000"/>
              <w:bottom w:val="nil" w:sz="6" w:space="0" w:color="auto"/>
              <w:right w:val="single" w:sz="12"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610" w:type="dxa"/>
            <w:tcBorders>
              <w:top w:val="nil" w:sz="6" w:space="0" w:color="auto"/>
              <w:left w:val="single" w:sz="12" w:space="0" w:color="000000"/>
              <w:bottom w:val="nil" w:sz="6" w:space="0" w:color="auto"/>
              <w:right w:val="single" w:sz="12"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201" w:right="17" w:hanging="180"/>
              <w:jc w:val="left"/>
              <w:rPr>
                <w:rFonts w:ascii="宋体" w:hAnsi="宋体" w:cs="宋体" w:eastAsia="宋体" w:hint="default"/>
                <w:sz w:val="18"/>
                <w:szCs w:val="18"/>
              </w:rPr>
            </w:pPr>
            <w:r>
              <w:rPr>
                <w:rFonts w:ascii="宋体" w:hAnsi="宋体" w:cs="宋体" w:eastAsia="宋体" w:hint="default"/>
                <w:sz w:val="18"/>
                <w:szCs w:val="18"/>
              </w:rPr>
              <w:t>交易价</w:t>
            </w:r>
            <w:r>
              <w:rPr>
                <w:rFonts w:ascii="宋体" w:hAnsi="宋体" w:cs="宋体" w:eastAsia="宋体" w:hint="default"/>
                <w:w w:val="99"/>
                <w:sz w:val="18"/>
                <w:szCs w:val="18"/>
              </w:rPr>
              <w:t> </w:t>
            </w:r>
            <w:r>
              <w:rPr>
                <w:rFonts w:ascii="宋体" w:hAnsi="宋体" w:cs="宋体" w:eastAsia="宋体" w:hint="default"/>
                <w:sz w:val="18"/>
                <w:szCs w:val="18"/>
              </w:rPr>
              <w:t>格</w:t>
            </w:r>
          </w:p>
        </w:tc>
        <w:tc>
          <w:tcPr>
            <w:tcW w:w="725" w:type="dxa"/>
            <w:tcBorders>
              <w:top w:val="nil" w:sz="6" w:space="0" w:color="auto"/>
              <w:left w:val="single" w:sz="12" w:space="0" w:color="000000"/>
              <w:bottom w:val="nil" w:sz="6" w:space="0" w:color="auto"/>
              <w:right w:val="single" w:sz="12"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79" w:right="74"/>
              <w:jc w:val="both"/>
              <w:rPr>
                <w:rFonts w:ascii="宋体" w:hAnsi="宋体" w:cs="宋体" w:eastAsia="宋体" w:hint="default"/>
                <w:sz w:val="18"/>
                <w:szCs w:val="18"/>
              </w:rPr>
            </w:pPr>
            <w:r>
              <w:rPr>
                <w:rFonts w:ascii="宋体" w:hAnsi="宋体" w:cs="宋体" w:eastAsia="宋体" w:hint="default"/>
                <w:sz w:val="18"/>
                <w:szCs w:val="18"/>
              </w:rPr>
              <w:t>所确认</w:t>
            </w:r>
            <w:r>
              <w:rPr>
                <w:rFonts w:ascii="宋体" w:hAnsi="宋体" w:cs="宋体" w:eastAsia="宋体" w:hint="default"/>
                <w:w w:val="99"/>
                <w:sz w:val="18"/>
                <w:szCs w:val="18"/>
              </w:rPr>
              <w:t> </w:t>
            </w:r>
            <w:r>
              <w:rPr>
                <w:rFonts w:ascii="宋体" w:hAnsi="宋体" w:cs="宋体" w:eastAsia="宋体" w:hint="default"/>
                <w:sz w:val="18"/>
                <w:szCs w:val="18"/>
              </w:rPr>
              <w:t>的商誉</w:t>
            </w:r>
            <w:r>
              <w:rPr>
                <w:rFonts w:ascii="宋体" w:hAnsi="宋体" w:cs="宋体" w:eastAsia="宋体" w:hint="default"/>
                <w:w w:val="99"/>
                <w:sz w:val="18"/>
                <w:szCs w:val="18"/>
              </w:rPr>
              <w:t> </w:t>
            </w:r>
            <w:r>
              <w:rPr>
                <w:rFonts w:ascii="宋体" w:hAnsi="宋体" w:cs="宋体" w:eastAsia="宋体" w:hint="default"/>
                <w:sz w:val="18"/>
                <w:szCs w:val="18"/>
              </w:rPr>
              <w:t>金额</w:t>
            </w:r>
          </w:p>
        </w:tc>
        <w:tc>
          <w:tcPr>
            <w:tcW w:w="977" w:type="dxa"/>
            <w:tcBorders>
              <w:top w:val="nil" w:sz="6" w:space="0" w:color="auto"/>
              <w:left w:val="single" w:sz="12" w:space="0" w:color="000000"/>
              <w:bottom w:val="nil" w:sz="6" w:space="0" w:color="auto"/>
              <w:right w:val="single" w:sz="12" w:space="0" w:color="000000"/>
            </w:tcBorders>
            <w:shd w:val="clear" w:color="auto" w:fill="DCDCDC"/>
          </w:tcPr>
          <w:p>
            <w:pPr>
              <w:pStyle w:val="TableParagraph"/>
              <w:spacing w:line="316" w:lineRule="auto" w:before="11"/>
              <w:ind w:left="23" w:right="22"/>
              <w:jc w:val="both"/>
              <w:rPr>
                <w:rFonts w:ascii="宋体" w:hAnsi="宋体" w:cs="宋体" w:eastAsia="宋体" w:hint="default"/>
                <w:sz w:val="18"/>
                <w:szCs w:val="18"/>
              </w:rPr>
            </w:pPr>
            <w:r>
              <w:rPr>
                <w:rFonts w:ascii="宋体" w:hAnsi="宋体" w:cs="宋体" w:eastAsia="宋体" w:hint="default"/>
                <w:sz w:val="18"/>
                <w:szCs w:val="18"/>
              </w:rPr>
              <w:t>至报告期末</w:t>
            </w:r>
            <w:r>
              <w:rPr>
                <w:rFonts w:ascii="宋体" w:hAnsi="宋体" w:cs="宋体" w:eastAsia="宋体" w:hint="default"/>
                <w:w w:val="99"/>
                <w:sz w:val="18"/>
                <w:szCs w:val="18"/>
              </w:rPr>
              <w:t> </w:t>
            </w:r>
            <w:r>
              <w:rPr>
                <w:rFonts w:ascii="宋体" w:hAnsi="宋体" w:cs="宋体" w:eastAsia="宋体" w:hint="default"/>
                <w:sz w:val="18"/>
                <w:szCs w:val="18"/>
              </w:rPr>
              <w:t>为公司贡献</w:t>
            </w:r>
            <w:r>
              <w:rPr>
                <w:rFonts w:ascii="宋体" w:hAnsi="宋体" w:cs="宋体" w:eastAsia="宋体" w:hint="default"/>
                <w:w w:val="99"/>
                <w:sz w:val="18"/>
                <w:szCs w:val="18"/>
              </w:rPr>
              <w:t> </w:t>
            </w:r>
            <w:r>
              <w:rPr>
                <w:rFonts w:ascii="宋体" w:hAnsi="宋体" w:cs="宋体" w:eastAsia="宋体" w:hint="default"/>
                <w:sz w:val="18"/>
                <w:szCs w:val="18"/>
              </w:rPr>
              <w:t>的净利润</w:t>
            </w:r>
          </w:p>
          <w:p>
            <w:pPr>
              <w:pStyle w:val="TableParagraph"/>
              <w:spacing w:line="316" w:lineRule="auto" w:before="19"/>
              <w:ind w:left="23" w:right="22"/>
              <w:jc w:val="both"/>
              <w:rPr>
                <w:rFonts w:ascii="宋体" w:hAnsi="宋体" w:cs="宋体" w:eastAsia="宋体" w:hint="default"/>
                <w:sz w:val="18"/>
                <w:szCs w:val="18"/>
              </w:rPr>
            </w:pPr>
            <w:r>
              <w:rPr>
                <w:rFonts w:ascii="宋体" w:hAnsi="宋体" w:cs="宋体" w:eastAsia="宋体" w:hint="default"/>
                <w:sz w:val="18"/>
                <w:szCs w:val="18"/>
              </w:rPr>
              <w:t>（适用于非</w:t>
            </w:r>
            <w:r>
              <w:rPr>
                <w:rFonts w:ascii="宋体" w:hAnsi="宋体" w:cs="宋体" w:eastAsia="宋体" w:hint="default"/>
                <w:w w:val="99"/>
                <w:sz w:val="18"/>
                <w:szCs w:val="18"/>
              </w:rPr>
              <w:t> </w:t>
            </w:r>
            <w:r>
              <w:rPr>
                <w:rFonts w:ascii="宋体" w:hAnsi="宋体" w:cs="宋体" w:eastAsia="宋体" w:hint="default"/>
                <w:sz w:val="18"/>
                <w:szCs w:val="18"/>
              </w:rPr>
              <w:t>同一控制下</w:t>
            </w:r>
            <w:r>
              <w:rPr>
                <w:rFonts w:ascii="宋体" w:hAnsi="宋体" w:cs="宋体" w:eastAsia="宋体" w:hint="default"/>
                <w:w w:val="99"/>
                <w:sz w:val="18"/>
                <w:szCs w:val="18"/>
              </w:rPr>
              <w:t> </w:t>
            </w:r>
            <w:r>
              <w:rPr>
                <w:rFonts w:ascii="宋体" w:hAnsi="宋体" w:cs="宋体" w:eastAsia="宋体" w:hint="default"/>
                <w:sz w:val="18"/>
                <w:szCs w:val="18"/>
              </w:rPr>
              <w:t>的企业合</w:t>
            </w:r>
          </w:p>
        </w:tc>
        <w:tc>
          <w:tcPr>
            <w:tcW w:w="1174" w:type="dxa"/>
            <w:tcBorders>
              <w:top w:val="nil" w:sz="6" w:space="0" w:color="auto"/>
              <w:left w:val="single" w:sz="12" w:space="0" w:color="000000"/>
              <w:bottom w:val="nil" w:sz="6" w:space="0" w:color="auto"/>
              <w:right w:val="single" w:sz="12" w:space="0" w:color="000000"/>
            </w:tcBorders>
            <w:shd w:val="clear" w:color="auto" w:fill="DCDCDC"/>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33" w:right="29"/>
              <w:jc w:val="both"/>
              <w:rPr>
                <w:rFonts w:ascii="宋体" w:hAnsi="宋体" w:cs="宋体" w:eastAsia="宋体" w:hint="default"/>
                <w:sz w:val="18"/>
                <w:szCs w:val="18"/>
              </w:rPr>
            </w:pPr>
            <w:r>
              <w:rPr>
                <w:rFonts w:ascii="宋体" w:hAnsi="宋体" w:cs="宋体" w:eastAsia="宋体" w:hint="default"/>
                <w:sz w:val="18"/>
                <w:szCs w:val="18"/>
              </w:rPr>
              <w:t>本年初至本期</w:t>
            </w:r>
            <w:r>
              <w:rPr>
                <w:rFonts w:ascii="宋体" w:hAnsi="宋体" w:cs="宋体" w:eastAsia="宋体" w:hint="default"/>
                <w:w w:val="99"/>
                <w:sz w:val="18"/>
                <w:szCs w:val="18"/>
              </w:rPr>
              <w:t> </w:t>
            </w:r>
            <w:r>
              <w:rPr>
                <w:rFonts w:ascii="宋体" w:hAnsi="宋体" w:cs="宋体" w:eastAsia="宋体" w:hint="default"/>
                <w:sz w:val="18"/>
                <w:szCs w:val="18"/>
              </w:rPr>
              <w:t>末为公司贡献</w:t>
            </w:r>
            <w:r>
              <w:rPr>
                <w:rFonts w:ascii="宋体" w:hAnsi="宋体" w:cs="宋体" w:eastAsia="宋体" w:hint="default"/>
                <w:w w:val="99"/>
                <w:sz w:val="18"/>
                <w:szCs w:val="18"/>
              </w:rPr>
              <w:t> </w:t>
            </w:r>
            <w:r>
              <w:rPr>
                <w:rFonts w:ascii="宋体" w:hAnsi="宋体" w:cs="宋体" w:eastAsia="宋体" w:hint="default"/>
                <w:sz w:val="18"/>
                <w:szCs w:val="18"/>
              </w:rPr>
              <w:t>的净利润（适</w:t>
            </w:r>
            <w:r>
              <w:rPr>
                <w:rFonts w:ascii="宋体" w:hAnsi="宋体" w:cs="宋体" w:eastAsia="宋体" w:hint="default"/>
                <w:w w:val="99"/>
                <w:sz w:val="18"/>
                <w:szCs w:val="18"/>
              </w:rPr>
              <w:t> </w:t>
            </w:r>
            <w:r>
              <w:rPr>
                <w:rFonts w:ascii="宋体" w:hAnsi="宋体" w:cs="宋体" w:eastAsia="宋体" w:hint="default"/>
                <w:sz w:val="18"/>
                <w:szCs w:val="18"/>
              </w:rPr>
              <w:t>用于同一控制</w:t>
            </w:r>
            <w:r>
              <w:rPr>
                <w:rFonts w:ascii="宋体" w:hAnsi="宋体" w:cs="宋体" w:eastAsia="宋体" w:hint="default"/>
                <w:w w:val="99"/>
                <w:sz w:val="18"/>
                <w:szCs w:val="18"/>
              </w:rPr>
              <w:t> </w:t>
            </w:r>
            <w:r>
              <w:rPr>
                <w:rFonts w:ascii="宋体" w:hAnsi="宋体" w:cs="宋体" w:eastAsia="宋体" w:hint="default"/>
                <w:sz w:val="18"/>
                <w:szCs w:val="18"/>
              </w:rPr>
              <w:t>下企业合并）</w:t>
            </w:r>
          </w:p>
        </w:tc>
        <w:tc>
          <w:tcPr>
            <w:tcW w:w="713" w:type="dxa"/>
            <w:tcBorders>
              <w:top w:val="nil" w:sz="6" w:space="0" w:color="auto"/>
              <w:left w:val="single" w:sz="12" w:space="0" w:color="000000"/>
              <w:bottom w:val="nil" w:sz="6" w:space="0" w:color="auto"/>
              <w:right w:val="single" w:sz="12" w:space="0" w:color="000000"/>
            </w:tcBorders>
            <w:shd w:val="clear" w:color="auto" w:fill="DCDCDC"/>
          </w:tcPr>
          <w:p>
            <w:pPr>
              <w:pStyle w:val="TableParagraph"/>
              <w:spacing w:line="316" w:lineRule="auto" w:before="9"/>
              <w:ind w:left="14" w:right="10" w:hanging="3"/>
              <w:jc w:val="center"/>
              <w:rPr>
                <w:rFonts w:ascii="宋体" w:hAnsi="宋体" w:cs="宋体" w:eastAsia="宋体" w:hint="default"/>
                <w:sz w:val="18"/>
                <w:szCs w:val="18"/>
              </w:rPr>
            </w:pPr>
            <w:r>
              <w:rPr>
                <w:rFonts w:ascii="宋体" w:hAnsi="宋体" w:cs="宋体" w:eastAsia="宋体" w:hint="default"/>
                <w:sz w:val="18"/>
                <w:szCs w:val="18"/>
              </w:rPr>
              <w:t>是否为</w:t>
            </w:r>
            <w:r>
              <w:rPr>
                <w:rFonts w:ascii="宋体" w:hAnsi="宋体" w:cs="宋体" w:eastAsia="宋体" w:hint="default"/>
                <w:w w:val="99"/>
                <w:sz w:val="18"/>
                <w:szCs w:val="18"/>
              </w:rPr>
              <w:t> </w:t>
            </w:r>
            <w:r>
              <w:rPr>
                <w:rFonts w:ascii="宋体" w:hAnsi="宋体" w:cs="宋体" w:eastAsia="宋体" w:hint="default"/>
                <w:sz w:val="18"/>
                <w:szCs w:val="18"/>
              </w:rPr>
              <w:t>关联交</w:t>
            </w:r>
            <w:r>
              <w:rPr>
                <w:rFonts w:ascii="宋体" w:hAnsi="宋体" w:cs="宋体" w:eastAsia="宋体" w:hint="default"/>
                <w:w w:val="99"/>
                <w:sz w:val="18"/>
                <w:szCs w:val="18"/>
              </w:rPr>
              <w:t> </w:t>
            </w:r>
            <w:r>
              <w:rPr>
                <w:rFonts w:ascii="宋体" w:hAnsi="宋体" w:cs="宋体" w:eastAsia="宋体" w:hint="default"/>
                <w:sz w:val="18"/>
                <w:szCs w:val="18"/>
              </w:rPr>
              <w:t>易（如</w:t>
            </w:r>
            <w:r>
              <w:rPr>
                <w:rFonts w:ascii="宋体" w:hAnsi="宋体" w:cs="宋体" w:eastAsia="宋体" w:hint="default"/>
                <w:w w:val="99"/>
                <w:sz w:val="18"/>
                <w:szCs w:val="18"/>
              </w:rPr>
              <w:t> </w:t>
            </w:r>
            <w:r>
              <w:rPr>
                <w:rFonts w:ascii="宋体" w:hAnsi="宋体" w:cs="宋体" w:eastAsia="宋体" w:hint="default"/>
                <w:spacing w:val="-16"/>
                <w:sz w:val="18"/>
                <w:szCs w:val="18"/>
              </w:rPr>
              <w:t>是，说明</w:t>
            </w:r>
            <w:r>
              <w:rPr>
                <w:rFonts w:ascii="宋体" w:hAnsi="宋体" w:cs="宋体" w:eastAsia="宋体" w:hint="default"/>
                <w:w w:val="99"/>
                <w:sz w:val="18"/>
                <w:szCs w:val="18"/>
              </w:rPr>
              <w:t> </w:t>
            </w:r>
            <w:r>
              <w:rPr>
                <w:rFonts w:ascii="宋体" w:hAnsi="宋体" w:cs="宋体" w:eastAsia="宋体" w:hint="default"/>
                <w:sz w:val="18"/>
                <w:szCs w:val="18"/>
              </w:rPr>
              <w:t>定价原</w:t>
            </w:r>
            <w:r>
              <w:rPr>
                <w:rFonts w:ascii="宋体" w:hAnsi="宋体" w:cs="宋体" w:eastAsia="宋体" w:hint="default"/>
                <w:w w:val="99"/>
                <w:sz w:val="18"/>
                <w:szCs w:val="18"/>
              </w:rPr>
              <w:t> </w:t>
            </w:r>
            <w:r>
              <w:rPr>
                <w:rFonts w:ascii="宋体" w:hAnsi="宋体" w:cs="宋体" w:eastAsia="宋体" w:hint="default"/>
                <w:sz w:val="18"/>
                <w:szCs w:val="18"/>
              </w:rPr>
              <w:t>则）</w:t>
            </w:r>
          </w:p>
        </w:tc>
        <w:tc>
          <w:tcPr>
            <w:tcW w:w="622" w:type="dxa"/>
            <w:tcBorders>
              <w:top w:val="nil" w:sz="6" w:space="0" w:color="auto"/>
              <w:left w:val="single" w:sz="12" w:space="0" w:color="000000"/>
              <w:bottom w:val="nil" w:sz="6" w:space="0" w:color="auto"/>
              <w:right w:val="single" w:sz="12"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26" w:right="24"/>
              <w:jc w:val="left"/>
              <w:rPr>
                <w:rFonts w:ascii="宋体" w:hAnsi="宋体" w:cs="宋体" w:eastAsia="宋体" w:hint="default"/>
                <w:sz w:val="18"/>
                <w:szCs w:val="18"/>
              </w:rPr>
            </w:pPr>
            <w:r>
              <w:rPr>
                <w:rFonts w:ascii="宋体" w:hAnsi="宋体" w:cs="宋体" w:eastAsia="宋体" w:hint="default"/>
                <w:sz w:val="18"/>
                <w:szCs w:val="18"/>
              </w:rPr>
              <w:t>定价原</w:t>
            </w:r>
            <w:r>
              <w:rPr>
                <w:rFonts w:ascii="宋体" w:hAnsi="宋体" w:cs="宋体" w:eastAsia="宋体" w:hint="default"/>
                <w:w w:val="99"/>
                <w:sz w:val="18"/>
                <w:szCs w:val="18"/>
              </w:rPr>
              <w:t> </w:t>
            </w:r>
            <w:r>
              <w:rPr>
                <w:rFonts w:ascii="宋体" w:hAnsi="宋体" w:cs="宋体" w:eastAsia="宋体" w:hint="default"/>
                <w:sz w:val="18"/>
                <w:szCs w:val="18"/>
              </w:rPr>
              <w:t>则说明</w:t>
            </w:r>
          </w:p>
        </w:tc>
        <w:tc>
          <w:tcPr>
            <w:tcW w:w="622" w:type="dxa"/>
            <w:tcBorders>
              <w:top w:val="nil" w:sz="6" w:space="0" w:color="auto"/>
              <w:left w:val="single" w:sz="12" w:space="0" w:color="000000"/>
              <w:bottom w:val="nil" w:sz="6" w:space="0" w:color="auto"/>
              <w:right w:val="single" w:sz="12" w:space="0" w:color="000000"/>
            </w:tcBorders>
            <w:shd w:val="clear" w:color="auto" w:fill="DCDCDC"/>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26" w:right="24"/>
              <w:jc w:val="both"/>
              <w:rPr>
                <w:rFonts w:ascii="宋体" w:hAnsi="宋体" w:cs="宋体" w:eastAsia="宋体" w:hint="default"/>
                <w:sz w:val="18"/>
                <w:szCs w:val="18"/>
              </w:rPr>
            </w:pPr>
            <w:r>
              <w:rPr>
                <w:rFonts w:ascii="宋体" w:hAnsi="宋体" w:cs="宋体" w:eastAsia="宋体" w:hint="default"/>
                <w:sz w:val="18"/>
                <w:szCs w:val="18"/>
              </w:rPr>
              <w:t>所涉及</w:t>
            </w:r>
            <w:r>
              <w:rPr>
                <w:rFonts w:ascii="宋体" w:hAnsi="宋体" w:cs="宋体" w:eastAsia="宋体" w:hint="default"/>
                <w:w w:val="99"/>
                <w:sz w:val="18"/>
                <w:szCs w:val="18"/>
              </w:rPr>
              <w:t> </w:t>
            </w:r>
            <w:r>
              <w:rPr>
                <w:rFonts w:ascii="宋体" w:hAnsi="宋体" w:cs="宋体" w:eastAsia="宋体" w:hint="default"/>
                <w:sz w:val="18"/>
                <w:szCs w:val="18"/>
              </w:rPr>
              <w:t>的资产</w:t>
            </w:r>
            <w:r>
              <w:rPr>
                <w:rFonts w:ascii="宋体" w:hAnsi="宋体" w:cs="宋体" w:eastAsia="宋体" w:hint="default"/>
                <w:w w:val="99"/>
                <w:sz w:val="18"/>
                <w:szCs w:val="18"/>
              </w:rPr>
              <w:t> </w:t>
            </w:r>
            <w:r>
              <w:rPr>
                <w:rFonts w:ascii="宋体" w:hAnsi="宋体" w:cs="宋体" w:eastAsia="宋体" w:hint="default"/>
                <w:sz w:val="18"/>
                <w:szCs w:val="18"/>
              </w:rPr>
              <w:t>产权是</w:t>
            </w:r>
            <w:r>
              <w:rPr>
                <w:rFonts w:ascii="宋体" w:hAnsi="宋体" w:cs="宋体" w:eastAsia="宋体" w:hint="default"/>
                <w:w w:val="99"/>
                <w:sz w:val="18"/>
                <w:szCs w:val="18"/>
              </w:rPr>
              <w:t> </w:t>
            </w:r>
            <w:r>
              <w:rPr>
                <w:rFonts w:ascii="宋体" w:hAnsi="宋体" w:cs="宋体" w:eastAsia="宋体" w:hint="default"/>
                <w:sz w:val="18"/>
                <w:szCs w:val="18"/>
              </w:rPr>
              <w:t>否已全</w:t>
            </w:r>
            <w:r>
              <w:rPr>
                <w:rFonts w:ascii="宋体" w:hAnsi="宋体" w:cs="宋体" w:eastAsia="宋体" w:hint="default"/>
                <w:w w:val="99"/>
                <w:sz w:val="18"/>
                <w:szCs w:val="18"/>
              </w:rPr>
              <w:t> </w:t>
            </w:r>
            <w:r>
              <w:rPr>
                <w:rFonts w:ascii="宋体" w:hAnsi="宋体" w:cs="宋体" w:eastAsia="宋体" w:hint="default"/>
                <w:sz w:val="18"/>
                <w:szCs w:val="18"/>
              </w:rPr>
              <w:t>部过户</w:t>
            </w:r>
          </w:p>
        </w:tc>
        <w:tc>
          <w:tcPr>
            <w:tcW w:w="622" w:type="dxa"/>
            <w:tcBorders>
              <w:top w:val="nil" w:sz="6" w:space="0" w:color="auto"/>
              <w:left w:val="single" w:sz="12" w:space="0" w:color="000000"/>
              <w:bottom w:val="nil" w:sz="6" w:space="0" w:color="auto"/>
              <w:right w:val="single" w:sz="12" w:space="0" w:color="000000"/>
            </w:tcBorders>
            <w:shd w:val="clear" w:color="auto" w:fill="DCDCDC"/>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26" w:right="24"/>
              <w:jc w:val="both"/>
              <w:rPr>
                <w:rFonts w:ascii="宋体" w:hAnsi="宋体" w:cs="宋体" w:eastAsia="宋体" w:hint="default"/>
                <w:sz w:val="18"/>
                <w:szCs w:val="18"/>
              </w:rPr>
            </w:pPr>
            <w:r>
              <w:rPr>
                <w:rFonts w:ascii="宋体" w:hAnsi="宋体" w:cs="宋体" w:eastAsia="宋体" w:hint="default"/>
                <w:sz w:val="18"/>
                <w:szCs w:val="18"/>
              </w:rPr>
              <w:t>所涉及</w:t>
            </w:r>
            <w:r>
              <w:rPr>
                <w:rFonts w:ascii="宋体" w:hAnsi="宋体" w:cs="宋体" w:eastAsia="宋体" w:hint="default"/>
                <w:w w:val="99"/>
                <w:sz w:val="18"/>
                <w:szCs w:val="18"/>
              </w:rPr>
              <w:t> </w:t>
            </w:r>
            <w:r>
              <w:rPr>
                <w:rFonts w:ascii="宋体" w:hAnsi="宋体" w:cs="宋体" w:eastAsia="宋体" w:hint="default"/>
                <w:sz w:val="18"/>
                <w:szCs w:val="18"/>
              </w:rPr>
              <w:t>的债权</w:t>
            </w:r>
            <w:r>
              <w:rPr>
                <w:rFonts w:ascii="宋体" w:hAnsi="宋体" w:cs="宋体" w:eastAsia="宋体" w:hint="default"/>
                <w:w w:val="99"/>
                <w:sz w:val="18"/>
                <w:szCs w:val="18"/>
              </w:rPr>
              <w:t> </w:t>
            </w:r>
            <w:r>
              <w:rPr>
                <w:rFonts w:ascii="宋体" w:hAnsi="宋体" w:cs="宋体" w:eastAsia="宋体" w:hint="default"/>
                <w:sz w:val="18"/>
                <w:szCs w:val="18"/>
              </w:rPr>
              <w:t>债务是</w:t>
            </w:r>
            <w:r>
              <w:rPr>
                <w:rFonts w:ascii="宋体" w:hAnsi="宋体" w:cs="宋体" w:eastAsia="宋体" w:hint="default"/>
                <w:w w:val="99"/>
                <w:sz w:val="18"/>
                <w:szCs w:val="18"/>
              </w:rPr>
              <w:t> </w:t>
            </w:r>
            <w:r>
              <w:rPr>
                <w:rFonts w:ascii="宋体" w:hAnsi="宋体" w:cs="宋体" w:eastAsia="宋体" w:hint="default"/>
                <w:sz w:val="18"/>
                <w:szCs w:val="18"/>
              </w:rPr>
              <w:t>否已全</w:t>
            </w:r>
            <w:r>
              <w:rPr>
                <w:rFonts w:ascii="宋体" w:hAnsi="宋体" w:cs="宋体" w:eastAsia="宋体" w:hint="default"/>
                <w:w w:val="99"/>
                <w:sz w:val="18"/>
                <w:szCs w:val="18"/>
              </w:rPr>
              <w:t> </w:t>
            </w:r>
            <w:r>
              <w:rPr>
                <w:rFonts w:ascii="宋体" w:hAnsi="宋体" w:cs="宋体" w:eastAsia="宋体" w:hint="default"/>
                <w:sz w:val="18"/>
                <w:szCs w:val="18"/>
              </w:rPr>
              <w:t>部转移</w:t>
            </w:r>
          </w:p>
        </w:tc>
      </w:tr>
      <w:tr>
        <w:trPr>
          <w:trHeight w:val="326" w:hRule="exact"/>
        </w:trPr>
        <w:tc>
          <w:tcPr>
            <w:tcW w:w="864" w:type="dxa"/>
            <w:tcBorders>
              <w:top w:val="nil" w:sz="6" w:space="0" w:color="auto"/>
              <w:left w:val="single" w:sz="12" w:space="0" w:color="000000"/>
              <w:bottom w:val="single" w:sz="12" w:space="0" w:color="000000"/>
              <w:right w:val="single" w:sz="12" w:space="0" w:color="000000"/>
            </w:tcBorders>
            <w:shd w:val="clear" w:color="auto" w:fill="DCDCDC"/>
          </w:tcPr>
          <w:p>
            <w:pPr/>
          </w:p>
        </w:tc>
        <w:tc>
          <w:tcPr>
            <w:tcW w:w="770" w:type="dxa"/>
            <w:tcBorders>
              <w:top w:val="nil" w:sz="6" w:space="0" w:color="auto"/>
              <w:left w:val="single" w:sz="12" w:space="0" w:color="000000"/>
              <w:bottom w:val="single" w:sz="12" w:space="0" w:color="000000"/>
              <w:right w:val="single" w:sz="12" w:space="0" w:color="000000"/>
            </w:tcBorders>
            <w:shd w:val="clear" w:color="auto" w:fill="DCDCDC"/>
          </w:tcPr>
          <w:p>
            <w:pPr/>
          </w:p>
        </w:tc>
        <w:tc>
          <w:tcPr>
            <w:tcW w:w="1001" w:type="dxa"/>
            <w:tcBorders>
              <w:top w:val="nil" w:sz="6" w:space="0" w:color="auto"/>
              <w:left w:val="single" w:sz="12" w:space="0" w:color="000000"/>
              <w:bottom w:val="single" w:sz="12" w:space="0" w:color="000000"/>
              <w:right w:val="single" w:sz="12" w:space="0" w:color="000000"/>
            </w:tcBorders>
            <w:shd w:val="clear" w:color="auto" w:fill="DCDCDC"/>
          </w:tcPr>
          <w:p>
            <w:pPr/>
          </w:p>
        </w:tc>
        <w:tc>
          <w:tcPr>
            <w:tcW w:w="610" w:type="dxa"/>
            <w:tcBorders>
              <w:top w:val="nil" w:sz="6" w:space="0" w:color="auto"/>
              <w:left w:val="single" w:sz="12" w:space="0" w:color="000000"/>
              <w:bottom w:val="single" w:sz="12" w:space="0" w:color="000000"/>
              <w:right w:val="single" w:sz="12" w:space="0" w:color="000000"/>
            </w:tcBorders>
            <w:shd w:val="clear" w:color="auto" w:fill="DCDCDC"/>
          </w:tcPr>
          <w:p>
            <w:pPr/>
          </w:p>
        </w:tc>
        <w:tc>
          <w:tcPr>
            <w:tcW w:w="725" w:type="dxa"/>
            <w:tcBorders>
              <w:top w:val="nil" w:sz="6" w:space="0" w:color="auto"/>
              <w:left w:val="single" w:sz="12" w:space="0" w:color="000000"/>
              <w:bottom w:val="single" w:sz="12" w:space="0" w:color="000000"/>
              <w:right w:val="single" w:sz="12" w:space="0" w:color="000000"/>
            </w:tcBorders>
            <w:shd w:val="clear" w:color="auto" w:fill="DCDCDC"/>
          </w:tcPr>
          <w:p>
            <w:pPr/>
          </w:p>
        </w:tc>
        <w:tc>
          <w:tcPr>
            <w:tcW w:w="977" w:type="dxa"/>
            <w:tcBorders>
              <w:top w:val="nil" w:sz="6" w:space="0" w:color="auto"/>
              <w:left w:val="single" w:sz="12" w:space="0" w:color="000000"/>
              <w:bottom w:val="single" w:sz="12" w:space="0" w:color="000000"/>
              <w:right w:val="single" w:sz="12" w:space="0" w:color="000000"/>
            </w:tcBorders>
            <w:shd w:val="clear" w:color="auto" w:fill="DCDCDC"/>
          </w:tcPr>
          <w:p>
            <w:pPr>
              <w:pStyle w:val="TableParagraph"/>
              <w:spacing w:line="240" w:lineRule="auto" w:before="10"/>
              <w:ind w:left="295" w:right="0"/>
              <w:jc w:val="left"/>
              <w:rPr>
                <w:rFonts w:ascii="宋体" w:hAnsi="宋体" w:cs="宋体" w:eastAsia="宋体" w:hint="default"/>
                <w:sz w:val="18"/>
                <w:szCs w:val="18"/>
              </w:rPr>
            </w:pPr>
            <w:r>
              <w:rPr>
                <w:rFonts w:ascii="宋体" w:hAnsi="宋体" w:cs="宋体" w:eastAsia="宋体" w:hint="default"/>
                <w:sz w:val="18"/>
                <w:szCs w:val="18"/>
              </w:rPr>
              <w:t>并）</w:t>
            </w:r>
          </w:p>
        </w:tc>
        <w:tc>
          <w:tcPr>
            <w:tcW w:w="1174" w:type="dxa"/>
            <w:tcBorders>
              <w:top w:val="nil" w:sz="6" w:space="0" w:color="auto"/>
              <w:left w:val="single" w:sz="12" w:space="0" w:color="000000"/>
              <w:bottom w:val="single" w:sz="12" w:space="0" w:color="000000"/>
              <w:right w:val="single" w:sz="12" w:space="0" w:color="000000"/>
            </w:tcBorders>
            <w:shd w:val="clear" w:color="auto" w:fill="DCDCDC"/>
          </w:tcPr>
          <w:p>
            <w:pPr/>
          </w:p>
        </w:tc>
        <w:tc>
          <w:tcPr>
            <w:tcW w:w="713" w:type="dxa"/>
            <w:tcBorders>
              <w:top w:val="nil" w:sz="6" w:space="0" w:color="auto"/>
              <w:left w:val="single" w:sz="12" w:space="0" w:color="000000"/>
              <w:bottom w:val="single" w:sz="12" w:space="0" w:color="000000"/>
              <w:right w:val="single" w:sz="12" w:space="0" w:color="000000"/>
            </w:tcBorders>
            <w:shd w:val="clear" w:color="auto" w:fill="DCDCDC"/>
          </w:tcPr>
          <w:p>
            <w:pPr/>
          </w:p>
        </w:tc>
        <w:tc>
          <w:tcPr>
            <w:tcW w:w="622" w:type="dxa"/>
            <w:tcBorders>
              <w:top w:val="nil" w:sz="6" w:space="0" w:color="auto"/>
              <w:left w:val="single" w:sz="12" w:space="0" w:color="000000"/>
              <w:bottom w:val="single" w:sz="12" w:space="0" w:color="000000"/>
              <w:right w:val="single" w:sz="12" w:space="0" w:color="000000"/>
            </w:tcBorders>
            <w:shd w:val="clear" w:color="auto" w:fill="DCDCDC"/>
          </w:tcPr>
          <w:p>
            <w:pPr/>
          </w:p>
        </w:tc>
        <w:tc>
          <w:tcPr>
            <w:tcW w:w="622" w:type="dxa"/>
            <w:tcBorders>
              <w:top w:val="nil" w:sz="6" w:space="0" w:color="auto"/>
              <w:left w:val="single" w:sz="12" w:space="0" w:color="000000"/>
              <w:bottom w:val="single" w:sz="12" w:space="0" w:color="000000"/>
              <w:right w:val="single" w:sz="12" w:space="0" w:color="000000"/>
            </w:tcBorders>
            <w:shd w:val="clear" w:color="auto" w:fill="DCDCDC"/>
          </w:tcPr>
          <w:p>
            <w:pPr/>
          </w:p>
        </w:tc>
        <w:tc>
          <w:tcPr>
            <w:tcW w:w="622" w:type="dxa"/>
            <w:tcBorders>
              <w:top w:val="nil" w:sz="6" w:space="0" w:color="auto"/>
              <w:left w:val="single" w:sz="12" w:space="0" w:color="000000"/>
              <w:bottom w:val="single" w:sz="12" w:space="0" w:color="000000"/>
              <w:right w:val="single" w:sz="12" w:space="0" w:color="000000"/>
            </w:tcBorders>
            <w:shd w:val="clear" w:color="auto" w:fill="DCDCDC"/>
          </w:tcPr>
          <w:p>
            <w:pPr/>
          </w:p>
        </w:tc>
      </w:tr>
      <w:tr>
        <w:trPr>
          <w:trHeight w:val="327" w:hRule="exact"/>
        </w:trPr>
        <w:tc>
          <w:tcPr>
            <w:tcW w:w="864" w:type="dxa"/>
            <w:tcBorders>
              <w:top w:val="single" w:sz="12" w:space="0" w:color="000000"/>
              <w:left w:val="single" w:sz="12" w:space="0" w:color="000000"/>
              <w:bottom w:val="nil" w:sz="6" w:space="0" w:color="auto"/>
              <w:right w:val="single" w:sz="12" w:space="0" w:color="000000"/>
            </w:tcBorders>
          </w:tcPr>
          <w:p>
            <w:pPr/>
          </w:p>
        </w:tc>
        <w:tc>
          <w:tcPr>
            <w:tcW w:w="770" w:type="dxa"/>
            <w:tcBorders>
              <w:top w:val="single" w:sz="12" w:space="0" w:color="000000"/>
              <w:left w:val="single" w:sz="12" w:space="0" w:color="000000"/>
              <w:bottom w:val="nil" w:sz="6" w:space="0" w:color="auto"/>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烟台安</w:t>
            </w:r>
          </w:p>
        </w:tc>
        <w:tc>
          <w:tcPr>
            <w:tcW w:w="1001" w:type="dxa"/>
            <w:tcBorders>
              <w:top w:val="single" w:sz="12" w:space="0" w:color="000000"/>
              <w:left w:val="single" w:sz="12" w:space="0" w:color="000000"/>
              <w:bottom w:val="nil" w:sz="6" w:space="0" w:color="auto"/>
              <w:right w:val="single" w:sz="12" w:space="0" w:color="000000"/>
            </w:tcBorders>
          </w:tcPr>
          <w:p>
            <w:pPr/>
          </w:p>
        </w:tc>
        <w:tc>
          <w:tcPr>
            <w:tcW w:w="610" w:type="dxa"/>
            <w:tcBorders>
              <w:top w:val="single" w:sz="12" w:space="0" w:color="000000"/>
              <w:left w:val="single" w:sz="12" w:space="0" w:color="000000"/>
              <w:bottom w:val="nil" w:sz="6" w:space="0" w:color="auto"/>
              <w:right w:val="single" w:sz="12" w:space="0" w:color="000000"/>
            </w:tcBorders>
          </w:tcPr>
          <w:p>
            <w:pPr/>
          </w:p>
        </w:tc>
        <w:tc>
          <w:tcPr>
            <w:tcW w:w="725" w:type="dxa"/>
            <w:tcBorders>
              <w:top w:val="single" w:sz="12" w:space="0" w:color="000000"/>
              <w:left w:val="single" w:sz="12" w:space="0" w:color="000000"/>
              <w:bottom w:val="nil" w:sz="6" w:space="0" w:color="auto"/>
              <w:right w:val="single" w:sz="12" w:space="0" w:color="000000"/>
            </w:tcBorders>
          </w:tcPr>
          <w:p>
            <w:pPr/>
          </w:p>
        </w:tc>
        <w:tc>
          <w:tcPr>
            <w:tcW w:w="977" w:type="dxa"/>
            <w:tcBorders>
              <w:top w:val="single" w:sz="12" w:space="0" w:color="000000"/>
              <w:left w:val="single" w:sz="12" w:space="0" w:color="000000"/>
              <w:bottom w:val="nil" w:sz="6" w:space="0" w:color="auto"/>
              <w:right w:val="single" w:sz="12" w:space="0" w:color="000000"/>
            </w:tcBorders>
          </w:tcPr>
          <w:p>
            <w:pPr/>
          </w:p>
        </w:tc>
        <w:tc>
          <w:tcPr>
            <w:tcW w:w="1174" w:type="dxa"/>
            <w:tcBorders>
              <w:top w:val="single" w:sz="12" w:space="0" w:color="000000"/>
              <w:left w:val="single" w:sz="12" w:space="0" w:color="000000"/>
              <w:bottom w:val="nil" w:sz="6" w:space="0" w:color="auto"/>
              <w:right w:val="single" w:sz="12" w:space="0" w:color="000000"/>
            </w:tcBorders>
          </w:tcPr>
          <w:p>
            <w:pPr/>
          </w:p>
        </w:tc>
        <w:tc>
          <w:tcPr>
            <w:tcW w:w="713" w:type="dxa"/>
            <w:tcBorders>
              <w:top w:val="single" w:sz="12" w:space="0" w:color="000000"/>
              <w:left w:val="single" w:sz="12" w:space="0" w:color="000000"/>
              <w:bottom w:val="nil" w:sz="6" w:space="0" w:color="auto"/>
              <w:right w:val="single" w:sz="12" w:space="0" w:color="000000"/>
            </w:tcBorders>
          </w:tcPr>
          <w:p>
            <w:pPr/>
          </w:p>
        </w:tc>
        <w:tc>
          <w:tcPr>
            <w:tcW w:w="622" w:type="dxa"/>
            <w:tcBorders>
              <w:top w:val="single" w:sz="12" w:space="0" w:color="000000"/>
              <w:left w:val="single" w:sz="12" w:space="0" w:color="000000"/>
              <w:bottom w:val="nil" w:sz="6" w:space="0" w:color="auto"/>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以资产</w:t>
            </w:r>
          </w:p>
        </w:tc>
        <w:tc>
          <w:tcPr>
            <w:tcW w:w="622" w:type="dxa"/>
            <w:tcBorders>
              <w:top w:val="single" w:sz="12" w:space="0" w:color="000000"/>
              <w:left w:val="single" w:sz="12" w:space="0" w:color="000000"/>
              <w:bottom w:val="nil" w:sz="6" w:space="0" w:color="auto"/>
              <w:right w:val="single" w:sz="12" w:space="0" w:color="000000"/>
            </w:tcBorders>
          </w:tcPr>
          <w:p>
            <w:pPr/>
          </w:p>
        </w:tc>
        <w:tc>
          <w:tcPr>
            <w:tcW w:w="622" w:type="dxa"/>
            <w:tcBorders>
              <w:top w:val="single" w:sz="12" w:space="0" w:color="000000"/>
              <w:left w:val="single" w:sz="12" w:space="0" w:color="000000"/>
              <w:bottom w:val="nil" w:sz="6" w:space="0" w:color="auto"/>
              <w:right w:val="single" w:sz="12" w:space="0" w:color="000000"/>
            </w:tcBorders>
          </w:tcPr>
          <w:p>
            <w:pPr/>
          </w:p>
        </w:tc>
      </w:tr>
      <w:tr>
        <w:trPr>
          <w:trHeight w:val="311" w:hRule="exact"/>
        </w:trPr>
        <w:tc>
          <w:tcPr>
            <w:tcW w:w="864" w:type="dxa"/>
            <w:tcBorders>
              <w:top w:val="nil" w:sz="6" w:space="0" w:color="auto"/>
              <w:left w:val="single" w:sz="12" w:space="0" w:color="000000"/>
              <w:bottom w:val="nil" w:sz="6" w:space="0" w:color="auto"/>
              <w:right w:val="single" w:sz="12" w:space="0" w:color="000000"/>
            </w:tcBorders>
          </w:tcPr>
          <w:p>
            <w:pPr/>
          </w:p>
        </w:tc>
        <w:tc>
          <w:tcPr>
            <w:tcW w:w="770" w:type="dxa"/>
            <w:tcBorders>
              <w:top w:val="nil" w:sz="6" w:space="0" w:color="auto"/>
              <w:left w:val="single" w:sz="12" w:space="0" w:color="000000"/>
              <w:bottom w:val="nil" w:sz="6" w:space="0" w:color="auto"/>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诺其纺</w:t>
            </w:r>
          </w:p>
        </w:tc>
        <w:tc>
          <w:tcPr>
            <w:tcW w:w="1001" w:type="dxa"/>
            <w:tcBorders>
              <w:top w:val="nil" w:sz="6" w:space="0" w:color="auto"/>
              <w:left w:val="single" w:sz="12" w:space="0" w:color="000000"/>
              <w:bottom w:val="nil" w:sz="6" w:space="0" w:color="auto"/>
              <w:right w:val="single" w:sz="12" w:space="0" w:color="000000"/>
            </w:tcBorders>
          </w:tcPr>
          <w:p>
            <w:pPr/>
          </w:p>
        </w:tc>
        <w:tc>
          <w:tcPr>
            <w:tcW w:w="610" w:type="dxa"/>
            <w:tcBorders>
              <w:top w:val="nil" w:sz="6" w:space="0" w:color="auto"/>
              <w:left w:val="single" w:sz="12" w:space="0" w:color="000000"/>
              <w:bottom w:val="nil" w:sz="6" w:space="0" w:color="auto"/>
              <w:right w:val="single" w:sz="12" w:space="0" w:color="000000"/>
            </w:tcBorders>
          </w:tcPr>
          <w:p>
            <w:pPr/>
          </w:p>
        </w:tc>
        <w:tc>
          <w:tcPr>
            <w:tcW w:w="725" w:type="dxa"/>
            <w:tcBorders>
              <w:top w:val="nil" w:sz="6" w:space="0" w:color="auto"/>
              <w:left w:val="single" w:sz="12" w:space="0" w:color="000000"/>
              <w:bottom w:val="nil" w:sz="6" w:space="0" w:color="auto"/>
              <w:right w:val="single" w:sz="12" w:space="0" w:color="000000"/>
            </w:tcBorders>
          </w:tcPr>
          <w:p>
            <w:pPr/>
          </w:p>
        </w:tc>
        <w:tc>
          <w:tcPr>
            <w:tcW w:w="977" w:type="dxa"/>
            <w:tcBorders>
              <w:top w:val="nil" w:sz="6" w:space="0" w:color="auto"/>
              <w:left w:val="single" w:sz="12" w:space="0" w:color="000000"/>
              <w:bottom w:val="nil" w:sz="6" w:space="0" w:color="auto"/>
              <w:right w:val="single" w:sz="12" w:space="0" w:color="000000"/>
            </w:tcBorders>
          </w:tcPr>
          <w:p>
            <w:pPr/>
          </w:p>
        </w:tc>
        <w:tc>
          <w:tcPr>
            <w:tcW w:w="1174" w:type="dxa"/>
            <w:tcBorders>
              <w:top w:val="nil" w:sz="6" w:space="0" w:color="auto"/>
              <w:left w:val="single" w:sz="12" w:space="0" w:color="000000"/>
              <w:bottom w:val="nil" w:sz="6" w:space="0" w:color="auto"/>
              <w:right w:val="single" w:sz="12" w:space="0" w:color="000000"/>
            </w:tcBorders>
          </w:tcPr>
          <w:p>
            <w:pPr/>
          </w:p>
        </w:tc>
        <w:tc>
          <w:tcPr>
            <w:tcW w:w="713" w:type="dxa"/>
            <w:tcBorders>
              <w:top w:val="nil" w:sz="6" w:space="0" w:color="auto"/>
              <w:left w:val="single" w:sz="12" w:space="0" w:color="000000"/>
              <w:bottom w:val="nil" w:sz="6" w:space="0" w:color="auto"/>
              <w:right w:val="single" w:sz="12" w:space="0" w:color="000000"/>
            </w:tcBorders>
          </w:tcPr>
          <w:p>
            <w:pPr/>
          </w:p>
        </w:tc>
        <w:tc>
          <w:tcPr>
            <w:tcW w:w="622" w:type="dxa"/>
            <w:tcBorders>
              <w:top w:val="nil" w:sz="6" w:space="0" w:color="auto"/>
              <w:left w:val="single" w:sz="12" w:space="0" w:color="000000"/>
              <w:bottom w:val="nil" w:sz="6" w:space="0" w:color="auto"/>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基础法</w:t>
            </w:r>
          </w:p>
        </w:tc>
        <w:tc>
          <w:tcPr>
            <w:tcW w:w="622" w:type="dxa"/>
            <w:tcBorders>
              <w:top w:val="nil" w:sz="6" w:space="0" w:color="auto"/>
              <w:left w:val="single" w:sz="12" w:space="0" w:color="000000"/>
              <w:bottom w:val="nil" w:sz="6" w:space="0" w:color="auto"/>
              <w:right w:val="single" w:sz="12" w:space="0" w:color="000000"/>
            </w:tcBorders>
          </w:tcPr>
          <w:p>
            <w:pPr/>
          </w:p>
        </w:tc>
        <w:tc>
          <w:tcPr>
            <w:tcW w:w="622" w:type="dxa"/>
            <w:tcBorders>
              <w:top w:val="nil" w:sz="6" w:space="0" w:color="auto"/>
              <w:left w:val="single" w:sz="12" w:space="0" w:color="000000"/>
              <w:bottom w:val="nil" w:sz="6" w:space="0" w:color="auto"/>
              <w:right w:val="single" w:sz="12" w:space="0" w:color="000000"/>
            </w:tcBorders>
          </w:tcPr>
          <w:p>
            <w:pPr/>
          </w:p>
        </w:tc>
      </w:tr>
      <w:tr>
        <w:trPr>
          <w:trHeight w:val="628" w:hRule="exact"/>
        </w:trPr>
        <w:tc>
          <w:tcPr>
            <w:tcW w:w="864" w:type="dxa"/>
            <w:tcBorders>
              <w:top w:val="nil" w:sz="6" w:space="0" w:color="auto"/>
              <w:left w:val="single" w:sz="12" w:space="0" w:color="000000"/>
              <w:bottom w:val="nil" w:sz="6" w:space="0" w:color="auto"/>
              <w:right w:val="single" w:sz="1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延元起</w:t>
            </w:r>
          </w:p>
        </w:tc>
        <w:tc>
          <w:tcPr>
            <w:tcW w:w="770" w:type="dxa"/>
            <w:tcBorders>
              <w:top w:val="nil" w:sz="6" w:space="0" w:color="auto"/>
              <w:left w:val="single" w:sz="12" w:space="0" w:color="000000"/>
              <w:bottom w:val="nil" w:sz="6" w:space="0" w:color="auto"/>
              <w:right w:val="single" w:sz="12" w:space="0" w:color="000000"/>
            </w:tcBorders>
          </w:tcPr>
          <w:p>
            <w:pPr>
              <w:pStyle w:val="TableParagraph"/>
              <w:spacing w:line="316" w:lineRule="auto" w:before="11"/>
              <w:ind w:left="14" w:right="185"/>
              <w:jc w:val="left"/>
              <w:rPr>
                <w:rFonts w:ascii="宋体" w:hAnsi="宋体" w:cs="宋体" w:eastAsia="宋体" w:hint="default"/>
                <w:sz w:val="18"/>
                <w:szCs w:val="18"/>
              </w:rPr>
            </w:pPr>
            <w:r>
              <w:rPr>
                <w:rFonts w:ascii="宋体" w:hAnsi="宋体" w:cs="宋体" w:eastAsia="宋体" w:hint="default"/>
                <w:sz w:val="18"/>
                <w:szCs w:val="18"/>
              </w:rPr>
              <w:t>织材料</w:t>
            </w:r>
            <w:r>
              <w:rPr>
                <w:rFonts w:ascii="宋体" w:hAnsi="宋体" w:cs="宋体" w:eastAsia="宋体" w:hint="default"/>
                <w:w w:val="99"/>
                <w:sz w:val="18"/>
                <w:szCs w:val="18"/>
              </w:rPr>
              <w:t> </w:t>
            </w:r>
            <w:r>
              <w:rPr>
                <w:rFonts w:ascii="宋体" w:hAnsi="宋体" w:cs="宋体" w:eastAsia="宋体" w:hint="default"/>
                <w:sz w:val="18"/>
                <w:szCs w:val="18"/>
              </w:rPr>
              <w:t>有限公</w:t>
            </w:r>
          </w:p>
        </w:tc>
        <w:tc>
          <w:tcPr>
            <w:tcW w:w="1001" w:type="dxa"/>
            <w:tcBorders>
              <w:top w:val="nil" w:sz="6" w:space="0" w:color="auto"/>
              <w:left w:val="single" w:sz="12" w:space="0" w:color="000000"/>
              <w:bottom w:val="nil" w:sz="6" w:space="0" w:color="auto"/>
              <w:right w:val="single" w:sz="12" w:space="0" w:color="000000"/>
            </w:tcBorders>
          </w:tcPr>
          <w:p>
            <w:pPr>
              <w:pStyle w:val="TableParagraph"/>
              <w:spacing w:line="240" w:lineRule="auto" w:before="9"/>
              <w:ind w:left="14" w:right="0"/>
              <w:jc w:val="left"/>
              <w:rPr>
                <w:rFonts w:ascii="Arial" w:hAnsi="Arial" w:cs="Arial" w:eastAsia="Arial" w:hint="default"/>
                <w:sz w:val="18"/>
                <w:szCs w:val="18"/>
              </w:rPr>
            </w:pPr>
            <w:r>
              <w:rPr>
                <w:rFonts w:ascii="Arial" w:hAnsi="Arial" w:cs="Arial" w:eastAsia="Arial" w:hint="default"/>
                <w:sz w:val="18"/>
                <w:szCs w:val="18"/>
              </w:rPr>
              <w:t>2010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pacing w:val="-7"/>
                <w:sz w:val="18"/>
                <w:szCs w:val="18"/>
              </w:rPr>
              <w:t>11</w:t>
            </w:r>
          </w:p>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610" w:type="dxa"/>
            <w:tcBorders>
              <w:top w:val="nil" w:sz="6" w:space="0" w:color="auto"/>
              <w:left w:val="single" w:sz="12" w:space="0" w:color="000000"/>
              <w:bottom w:val="nil" w:sz="6" w:space="0" w:color="auto"/>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 w:right="0"/>
              <w:jc w:val="left"/>
              <w:rPr>
                <w:rFonts w:ascii="Arial" w:hAnsi="Arial" w:cs="Arial" w:eastAsia="Arial" w:hint="default"/>
                <w:sz w:val="18"/>
                <w:szCs w:val="18"/>
              </w:rPr>
            </w:pPr>
            <w:r>
              <w:rPr>
                <w:rFonts w:ascii="Arial"/>
                <w:sz w:val="18"/>
              </w:rPr>
              <w:t>985.00</w:t>
            </w:r>
          </w:p>
        </w:tc>
        <w:tc>
          <w:tcPr>
            <w:tcW w:w="725" w:type="dxa"/>
            <w:tcBorders>
              <w:top w:val="nil" w:sz="6" w:space="0" w:color="auto"/>
              <w:left w:val="single" w:sz="12" w:space="0" w:color="000000"/>
              <w:bottom w:val="nil" w:sz="6" w:space="0" w:color="auto"/>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1" w:right="0"/>
              <w:jc w:val="left"/>
              <w:rPr>
                <w:rFonts w:ascii="Arial" w:hAnsi="Arial" w:cs="Arial" w:eastAsia="Arial" w:hint="default"/>
                <w:sz w:val="18"/>
                <w:szCs w:val="18"/>
              </w:rPr>
            </w:pPr>
            <w:r>
              <w:rPr>
                <w:rFonts w:ascii="Arial"/>
                <w:sz w:val="18"/>
              </w:rPr>
              <w:t>0.00</w:t>
            </w:r>
          </w:p>
        </w:tc>
        <w:tc>
          <w:tcPr>
            <w:tcW w:w="977" w:type="dxa"/>
            <w:tcBorders>
              <w:top w:val="nil" w:sz="6" w:space="0" w:color="auto"/>
              <w:left w:val="single" w:sz="12" w:space="0" w:color="000000"/>
              <w:bottom w:val="nil" w:sz="6" w:space="0" w:color="auto"/>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
              <w:jc w:val="right"/>
              <w:rPr>
                <w:rFonts w:ascii="Arial" w:hAnsi="Arial" w:cs="Arial" w:eastAsia="Arial" w:hint="default"/>
                <w:sz w:val="18"/>
                <w:szCs w:val="18"/>
              </w:rPr>
            </w:pPr>
            <w:r>
              <w:rPr>
                <w:rFonts w:ascii="Arial"/>
                <w:spacing w:val="-1"/>
                <w:sz w:val="18"/>
              </w:rPr>
              <w:t>27,840.00</w:t>
            </w:r>
          </w:p>
        </w:tc>
        <w:tc>
          <w:tcPr>
            <w:tcW w:w="1174" w:type="dxa"/>
            <w:tcBorders>
              <w:top w:val="nil" w:sz="6" w:space="0" w:color="auto"/>
              <w:left w:val="single" w:sz="12" w:space="0" w:color="000000"/>
              <w:bottom w:val="nil" w:sz="6" w:space="0" w:color="auto"/>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
              <w:jc w:val="right"/>
              <w:rPr>
                <w:rFonts w:ascii="Arial" w:hAnsi="Arial" w:cs="Arial" w:eastAsia="Arial" w:hint="default"/>
                <w:sz w:val="18"/>
                <w:szCs w:val="18"/>
              </w:rPr>
            </w:pPr>
            <w:r>
              <w:rPr>
                <w:rFonts w:ascii="Arial"/>
                <w:w w:val="95"/>
                <w:sz w:val="18"/>
              </w:rPr>
              <w:t>0.00</w:t>
            </w:r>
            <w:r>
              <w:rPr>
                <w:rFonts w:ascii="Arial"/>
                <w:sz w:val="18"/>
              </w:rPr>
            </w:r>
          </w:p>
        </w:tc>
        <w:tc>
          <w:tcPr>
            <w:tcW w:w="713" w:type="dxa"/>
            <w:tcBorders>
              <w:top w:val="nil" w:sz="6" w:space="0" w:color="auto"/>
              <w:left w:val="single" w:sz="12" w:space="0" w:color="000000"/>
              <w:bottom w:val="nil" w:sz="6" w:space="0" w:color="auto"/>
              <w:right w:val="single" w:sz="1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c>
          <w:tcPr>
            <w:tcW w:w="622" w:type="dxa"/>
            <w:tcBorders>
              <w:top w:val="nil" w:sz="6" w:space="0" w:color="auto"/>
              <w:left w:val="single" w:sz="12" w:space="0" w:color="000000"/>
              <w:bottom w:val="nil" w:sz="6" w:space="0" w:color="auto"/>
              <w:right w:val="single" w:sz="12" w:space="0" w:color="000000"/>
            </w:tcBorders>
          </w:tcPr>
          <w:p>
            <w:pPr>
              <w:pStyle w:val="TableParagraph"/>
              <w:spacing w:line="316" w:lineRule="auto" w:before="11"/>
              <w:ind w:left="14" w:right="36"/>
              <w:jc w:val="left"/>
              <w:rPr>
                <w:rFonts w:ascii="宋体" w:hAnsi="宋体" w:cs="宋体" w:eastAsia="宋体" w:hint="default"/>
                <w:sz w:val="18"/>
                <w:szCs w:val="18"/>
              </w:rPr>
            </w:pPr>
            <w:r>
              <w:rPr>
                <w:rFonts w:ascii="宋体" w:hAnsi="宋体" w:cs="宋体" w:eastAsia="宋体" w:hint="default"/>
                <w:sz w:val="18"/>
                <w:szCs w:val="18"/>
              </w:rPr>
              <w:t>评估的</w:t>
            </w:r>
            <w:r>
              <w:rPr>
                <w:rFonts w:ascii="宋体" w:hAnsi="宋体" w:cs="宋体" w:eastAsia="宋体" w:hint="default"/>
                <w:w w:val="99"/>
                <w:sz w:val="18"/>
                <w:szCs w:val="18"/>
              </w:rPr>
              <w:t> </w:t>
            </w:r>
            <w:r>
              <w:rPr>
                <w:rFonts w:ascii="宋体" w:hAnsi="宋体" w:cs="宋体" w:eastAsia="宋体" w:hint="default"/>
                <w:sz w:val="18"/>
                <w:szCs w:val="18"/>
              </w:rPr>
              <w:t>净资产</w:t>
            </w:r>
          </w:p>
        </w:tc>
        <w:tc>
          <w:tcPr>
            <w:tcW w:w="622" w:type="dxa"/>
            <w:tcBorders>
              <w:top w:val="nil" w:sz="6" w:space="0" w:color="auto"/>
              <w:left w:val="single" w:sz="12" w:space="0" w:color="000000"/>
              <w:bottom w:val="nil" w:sz="6" w:space="0" w:color="auto"/>
              <w:right w:val="single" w:sz="1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w w:val="99"/>
                <w:sz w:val="18"/>
                <w:szCs w:val="18"/>
              </w:rPr>
              <w:t>是</w:t>
            </w:r>
            <w:r>
              <w:rPr>
                <w:rFonts w:ascii="宋体" w:hAnsi="宋体" w:cs="宋体" w:eastAsia="宋体" w:hint="default"/>
                <w:sz w:val="18"/>
                <w:szCs w:val="18"/>
              </w:rPr>
            </w:r>
          </w:p>
        </w:tc>
        <w:tc>
          <w:tcPr>
            <w:tcW w:w="622" w:type="dxa"/>
            <w:tcBorders>
              <w:top w:val="nil" w:sz="6" w:space="0" w:color="auto"/>
              <w:left w:val="single" w:sz="12" w:space="0" w:color="000000"/>
              <w:bottom w:val="nil" w:sz="6" w:space="0" w:color="auto"/>
              <w:right w:val="single" w:sz="1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w w:val="99"/>
                <w:sz w:val="18"/>
                <w:szCs w:val="18"/>
              </w:rPr>
              <w:t>是</w:t>
            </w:r>
            <w:r>
              <w:rPr>
                <w:rFonts w:ascii="宋体" w:hAnsi="宋体" w:cs="宋体" w:eastAsia="宋体" w:hint="default"/>
                <w:sz w:val="18"/>
                <w:szCs w:val="18"/>
              </w:rPr>
            </w:r>
          </w:p>
        </w:tc>
      </w:tr>
      <w:tr>
        <w:trPr>
          <w:trHeight w:val="313" w:hRule="exact"/>
        </w:trPr>
        <w:tc>
          <w:tcPr>
            <w:tcW w:w="864" w:type="dxa"/>
            <w:tcBorders>
              <w:top w:val="nil" w:sz="6" w:space="0" w:color="auto"/>
              <w:left w:val="single" w:sz="12" w:space="0" w:color="000000"/>
              <w:bottom w:val="nil" w:sz="6" w:space="0" w:color="auto"/>
              <w:right w:val="single" w:sz="12" w:space="0" w:color="000000"/>
            </w:tcBorders>
          </w:tcPr>
          <w:p>
            <w:pPr/>
          </w:p>
        </w:tc>
        <w:tc>
          <w:tcPr>
            <w:tcW w:w="770" w:type="dxa"/>
            <w:tcBorders>
              <w:top w:val="nil" w:sz="6" w:space="0" w:color="auto"/>
              <w:left w:val="single" w:sz="12" w:space="0" w:color="000000"/>
              <w:bottom w:val="nil" w:sz="6" w:space="0" w:color="auto"/>
              <w:right w:val="single" w:sz="12" w:space="0" w:color="000000"/>
            </w:tcBorders>
          </w:tcPr>
          <w:p>
            <w:pPr>
              <w:pStyle w:val="TableParagraph"/>
              <w:spacing w:line="240" w:lineRule="auto" w:before="7"/>
              <w:ind w:left="14" w:right="0"/>
              <w:jc w:val="left"/>
              <w:rPr>
                <w:rFonts w:ascii="Arial" w:hAnsi="Arial" w:cs="Arial" w:eastAsia="Arial" w:hint="default"/>
                <w:sz w:val="18"/>
                <w:szCs w:val="18"/>
              </w:rPr>
            </w:pPr>
            <w:r>
              <w:rPr>
                <w:rFonts w:ascii="宋体" w:hAnsi="宋体" w:cs="宋体" w:eastAsia="宋体" w:hint="default"/>
                <w:sz w:val="18"/>
                <w:szCs w:val="18"/>
              </w:rPr>
              <w:t>司</w:t>
            </w:r>
            <w:r>
              <w:rPr>
                <w:rFonts w:ascii="宋体" w:hAnsi="宋体" w:cs="宋体" w:eastAsia="宋体" w:hint="default"/>
                <w:spacing w:val="-67"/>
                <w:sz w:val="18"/>
                <w:szCs w:val="18"/>
              </w:rPr>
              <w:t> </w:t>
            </w:r>
            <w:r>
              <w:rPr>
                <w:rFonts w:ascii="Arial" w:hAnsi="Arial" w:cs="Arial" w:eastAsia="Arial" w:hint="default"/>
                <w:sz w:val="18"/>
                <w:szCs w:val="18"/>
              </w:rPr>
              <w:t>4.69%</w:t>
            </w:r>
          </w:p>
        </w:tc>
        <w:tc>
          <w:tcPr>
            <w:tcW w:w="1001" w:type="dxa"/>
            <w:tcBorders>
              <w:top w:val="nil" w:sz="6" w:space="0" w:color="auto"/>
              <w:left w:val="single" w:sz="12" w:space="0" w:color="000000"/>
              <w:bottom w:val="nil" w:sz="6" w:space="0" w:color="auto"/>
              <w:right w:val="single" w:sz="12" w:space="0" w:color="000000"/>
            </w:tcBorders>
          </w:tcPr>
          <w:p>
            <w:pPr/>
          </w:p>
        </w:tc>
        <w:tc>
          <w:tcPr>
            <w:tcW w:w="610" w:type="dxa"/>
            <w:tcBorders>
              <w:top w:val="nil" w:sz="6" w:space="0" w:color="auto"/>
              <w:left w:val="single" w:sz="12" w:space="0" w:color="000000"/>
              <w:bottom w:val="nil" w:sz="6" w:space="0" w:color="auto"/>
              <w:right w:val="single" w:sz="12" w:space="0" w:color="000000"/>
            </w:tcBorders>
          </w:tcPr>
          <w:p>
            <w:pPr/>
          </w:p>
        </w:tc>
        <w:tc>
          <w:tcPr>
            <w:tcW w:w="725" w:type="dxa"/>
            <w:tcBorders>
              <w:top w:val="nil" w:sz="6" w:space="0" w:color="auto"/>
              <w:left w:val="single" w:sz="12" w:space="0" w:color="000000"/>
              <w:bottom w:val="nil" w:sz="6" w:space="0" w:color="auto"/>
              <w:right w:val="single" w:sz="12" w:space="0" w:color="000000"/>
            </w:tcBorders>
          </w:tcPr>
          <w:p>
            <w:pPr/>
          </w:p>
        </w:tc>
        <w:tc>
          <w:tcPr>
            <w:tcW w:w="977" w:type="dxa"/>
            <w:tcBorders>
              <w:top w:val="nil" w:sz="6" w:space="0" w:color="auto"/>
              <w:left w:val="single" w:sz="12" w:space="0" w:color="000000"/>
              <w:bottom w:val="nil" w:sz="6" w:space="0" w:color="auto"/>
              <w:right w:val="single" w:sz="12" w:space="0" w:color="000000"/>
            </w:tcBorders>
          </w:tcPr>
          <w:p>
            <w:pPr/>
          </w:p>
        </w:tc>
        <w:tc>
          <w:tcPr>
            <w:tcW w:w="1174" w:type="dxa"/>
            <w:tcBorders>
              <w:top w:val="nil" w:sz="6" w:space="0" w:color="auto"/>
              <w:left w:val="single" w:sz="12" w:space="0" w:color="000000"/>
              <w:bottom w:val="nil" w:sz="6" w:space="0" w:color="auto"/>
              <w:right w:val="single" w:sz="12" w:space="0" w:color="000000"/>
            </w:tcBorders>
          </w:tcPr>
          <w:p>
            <w:pPr/>
          </w:p>
        </w:tc>
        <w:tc>
          <w:tcPr>
            <w:tcW w:w="713" w:type="dxa"/>
            <w:tcBorders>
              <w:top w:val="nil" w:sz="6" w:space="0" w:color="auto"/>
              <w:left w:val="single" w:sz="12" w:space="0" w:color="000000"/>
              <w:bottom w:val="nil" w:sz="6" w:space="0" w:color="auto"/>
              <w:right w:val="single" w:sz="12" w:space="0" w:color="000000"/>
            </w:tcBorders>
          </w:tcPr>
          <w:p>
            <w:pPr/>
          </w:p>
        </w:tc>
        <w:tc>
          <w:tcPr>
            <w:tcW w:w="622" w:type="dxa"/>
            <w:tcBorders>
              <w:top w:val="nil" w:sz="6" w:space="0" w:color="auto"/>
              <w:left w:val="single" w:sz="12" w:space="0" w:color="000000"/>
              <w:bottom w:val="nil" w:sz="6" w:space="0" w:color="auto"/>
              <w:right w:val="single" w:sz="12" w:space="0" w:color="000000"/>
            </w:tcBorders>
          </w:tcPr>
          <w:p>
            <w:pPr>
              <w:pStyle w:val="TableParagraph"/>
              <w:spacing w:line="240" w:lineRule="auto" w:before="7"/>
              <w:ind w:left="14" w:right="0"/>
              <w:jc w:val="left"/>
              <w:rPr>
                <w:rFonts w:ascii="宋体" w:hAnsi="宋体" w:cs="宋体" w:eastAsia="宋体" w:hint="default"/>
                <w:sz w:val="18"/>
                <w:szCs w:val="18"/>
              </w:rPr>
            </w:pPr>
            <w:r>
              <w:rPr>
                <w:rFonts w:ascii="宋体" w:hAnsi="宋体" w:cs="宋体" w:eastAsia="宋体" w:hint="default"/>
                <w:sz w:val="18"/>
                <w:szCs w:val="18"/>
              </w:rPr>
              <w:t>为定价</w:t>
            </w:r>
          </w:p>
        </w:tc>
        <w:tc>
          <w:tcPr>
            <w:tcW w:w="622" w:type="dxa"/>
            <w:tcBorders>
              <w:top w:val="nil" w:sz="6" w:space="0" w:color="auto"/>
              <w:left w:val="single" w:sz="12" w:space="0" w:color="000000"/>
              <w:bottom w:val="nil" w:sz="6" w:space="0" w:color="auto"/>
              <w:right w:val="single" w:sz="12" w:space="0" w:color="000000"/>
            </w:tcBorders>
          </w:tcPr>
          <w:p>
            <w:pPr/>
          </w:p>
        </w:tc>
        <w:tc>
          <w:tcPr>
            <w:tcW w:w="622" w:type="dxa"/>
            <w:tcBorders>
              <w:top w:val="nil" w:sz="6" w:space="0" w:color="auto"/>
              <w:left w:val="single" w:sz="12" w:space="0" w:color="000000"/>
              <w:bottom w:val="nil" w:sz="6" w:space="0" w:color="auto"/>
              <w:right w:val="single" w:sz="12" w:space="0" w:color="000000"/>
            </w:tcBorders>
          </w:tcPr>
          <w:p>
            <w:pPr/>
          </w:p>
        </w:tc>
      </w:tr>
      <w:tr>
        <w:trPr>
          <w:trHeight w:val="322" w:hRule="exact"/>
        </w:trPr>
        <w:tc>
          <w:tcPr>
            <w:tcW w:w="864" w:type="dxa"/>
            <w:tcBorders>
              <w:top w:val="nil" w:sz="6" w:space="0" w:color="auto"/>
              <w:left w:val="single" w:sz="12" w:space="0" w:color="000000"/>
              <w:bottom w:val="single" w:sz="12" w:space="0" w:color="000000"/>
              <w:right w:val="single" w:sz="12" w:space="0" w:color="000000"/>
            </w:tcBorders>
          </w:tcPr>
          <w:p>
            <w:pPr/>
          </w:p>
        </w:tc>
        <w:tc>
          <w:tcPr>
            <w:tcW w:w="770" w:type="dxa"/>
            <w:tcBorders>
              <w:top w:val="nil" w:sz="6" w:space="0" w:color="auto"/>
              <w:left w:val="single" w:sz="12" w:space="0" w:color="000000"/>
              <w:bottom w:val="single" w:sz="12" w:space="0" w:color="000000"/>
              <w:right w:val="single" w:sz="12" w:space="0" w:color="000000"/>
            </w:tcBorders>
          </w:tcPr>
          <w:p>
            <w:pPr>
              <w:pStyle w:val="TableParagraph"/>
              <w:spacing w:line="240" w:lineRule="auto" w:before="6"/>
              <w:ind w:left="14"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1001" w:type="dxa"/>
            <w:tcBorders>
              <w:top w:val="nil" w:sz="6" w:space="0" w:color="auto"/>
              <w:left w:val="single" w:sz="12" w:space="0" w:color="000000"/>
              <w:bottom w:val="single" w:sz="12" w:space="0" w:color="000000"/>
              <w:right w:val="single" w:sz="12" w:space="0" w:color="000000"/>
            </w:tcBorders>
          </w:tcPr>
          <w:p>
            <w:pPr/>
          </w:p>
        </w:tc>
        <w:tc>
          <w:tcPr>
            <w:tcW w:w="610" w:type="dxa"/>
            <w:tcBorders>
              <w:top w:val="nil" w:sz="6" w:space="0" w:color="auto"/>
              <w:left w:val="single" w:sz="12" w:space="0" w:color="000000"/>
              <w:bottom w:val="single" w:sz="12" w:space="0" w:color="000000"/>
              <w:right w:val="single" w:sz="12" w:space="0" w:color="000000"/>
            </w:tcBorders>
          </w:tcPr>
          <w:p>
            <w:pPr/>
          </w:p>
        </w:tc>
        <w:tc>
          <w:tcPr>
            <w:tcW w:w="725" w:type="dxa"/>
            <w:tcBorders>
              <w:top w:val="nil" w:sz="6" w:space="0" w:color="auto"/>
              <w:left w:val="single" w:sz="12" w:space="0" w:color="000000"/>
              <w:bottom w:val="single" w:sz="12" w:space="0" w:color="000000"/>
              <w:right w:val="single" w:sz="12" w:space="0" w:color="000000"/>
            </w:tcBorders>
          </w:tcPr>
          <w:p>
            <w:pPr/>
          </w:p>
        </w:tc>
        <w:tc>
          <w:tcPr>
            <w:tcW w:w="977" w:type="dxa"/>
            <w:tcBorders>
              <w:top w:val="nil" w:sz="6" w:space="0" w:color="auto"/>
              <w:left w:val="single" w:sz="12" w:space="0" w:color="000000"/>
              <w:bottom w:val="single" w:sz="12" w:space="0" w:color="000000"/>
              <w:right w:val="single" w:sz="12" w:space="0" w:color="000000"/>
            </w:tcBorders>
          </w:tcPr>
          <w:p>
            <w:pPr/>
          </w:p>
        </w:tc>
        <w:tc>
          <w:tcPr>
            <w:tcW w:w="1174" w:type="dxa"/>
            <w:tcBorders>
              <w:top w:val="nil" w:sz="6" w:space="0" w:color="auto"/>
              <w:left w:val="single" w:sz="12" w:space="0" w:color="000000"/>
              <w:bottom w:val="single" w:sz="12" w:space="0" w:color="000000"/>
              <w:right w:val="single" w:sz="12" w:space="0" w:color="000000"/>
            </w:tcBorders>
          </w:tcPr>
          <w:p>
            <w:pPr/>
          </w:p>
        </w:tc>
        <w:tc>
          <w:tcPr>
            <w:tcW w:w="713" w:type="dxa"/>
            <w:tcBorders>
              <w:top w:val="nil" w:sz="6" w:space="0" w:color="auto"/>
              <w:left w:val="single" w:sz="12" w:space="0" w:color="000000"/>
              <w:bottom w:val="single" w:sz="12" w:space="0" w:color="000000"/>
              <w:right w:val="single" w:sz="12" w:space="0" w:color="000000"/>
            </w:tcBorders>
          </w:tcPr>
          <w:p>
            <w:pPr/>
          </w:p>
        </w:tc>
        <w:tc>
          <w:tcPr>
            <w:tcW w:w="622" w:type="dxa"/>
            <w:tcBorders>
              <w:top w:val="nil" w:sz="6" w:space="0" w:color="auto"/>
              <w:left w:val="single" w:sz="12" w:space="0" w:color="000000"/>
              <w:bottom w:val="single" w:sz="12" w:space="0" w:color="000000"/>
              <w:right w:val="single" w:sz="12" w:space="0" w:color="000000"/>
            </w:tcBorders>
          </w:tcPr>
          <w:p>
            <w:pPr>
              <w:pStyle w:val="TableParagraph"/>
              <w:spacing w:line="240" w:lineRule="auto" w:before="6"/>
              <w:ind w:left="14" w:right="0"/>
              <w:jc w:val="left"/>
              <w:rPr>
                <w:rFonts w:ascii="宋体" w:hAnsi="宋体" w:cs="宋体" w:eastAsia="宋体" w:hint="default"/>
                <w:sz w:val="18"/>
                <w:szCs w:val="18"/>
              </w:rPr>
            </w:pPr>
            <w:r>
              <w:rPr>
                <w:rFonts w:ascii="宋体" w:hAnsi="宋体" w:cs="宋体" w:eastAsia="宋体" w:hint="default"/>
                <w:sz w:val="18"/>
                <w:szCs w:val="18"/>
              </w:rPr>
              <w:t>基础</w:t>
            </w:r>
          </w:p>
        </w:tc>
        <w:tc>
          <w:tcPr>
            <w:tcW w:w="622" w:type="dxa"/>
            <w:tcBorders>
              <w:top w:val="nil" w:sz="6" w:space="0" w:color="auto"/>
              <w:left w:val="single" w:sz="12" w:space="0" w:color="000000"/>
              <w:bottom w:val="single" w:sz="12" w:space="0" w:color="000000"/>
              <w:right w:val="single" w:sz="12" w:space="0" w:color="000000"/>
            </w:tcBorders>
          </w:tcPr>
          <w:p>
            <w:pPr/>
          </w:p>
        </w:tc>
        <w:tc>
          <w:tcPr>
            <w:tcW w:w="622" w:type="dxa"/>
            <w:tcBorders>
              <w:top w:val="nil" w:sz="6" w:space="0" w:color="auto"/>
              <w:left w:val="single" w:sz="12" w:space="0" w:color="000000"/>
              <w:bottom w:val="single" w:sz="12" w:space="0" w:color="000000"/>
              <w:right w:val="single" w:sz="12" w:space="0" w:color="000000"/>
            </w:tcBorders>
          </w:tcPr>
          <w:p>
            <w:pPr/>
          </w:p>
        </w:tc>
      </w:tr>
    </w:tbl>
    <w:p>
      <w:pPr>
        <w:spacing w:after="0"/>
        <w:sectPr>
          <w:pgSz w:w="11900" w:h="16840"/>
          <w:pgMar w:header="877" w:footer="981" w:top="1100" w:bottom="1180" w:left="1640" w:right="1300"/>
        </w:sectPr>
      </w:pPr>
    </w:p>
    <w:p>
      <w:pPr>
        <w:spacing w:line="240" w:lineRule="auto" w:before="0"/>
        <w:rPr>
          <w:rFonts w:ascii="宋体" w:hAnsi="宋体" w:cs="宋体" w:eastAsia="宋体" w:hint="default"/>
          <w:sz w:val="20"/>
          <w:szCs w:val="20"/>
        </w:rPr>
      </w:pPr>
    </w:p>
    <w:p>
      <w:pPr>
        <w:pStyle w:val="Heading3"/>
        <w:spacing w:line="240" w:lineRule="auto" w:before="145"/>
        <w:ind w:left="157" w:right="0"/>
        <w:jc w:val="left"/>
      </w:pPr>
      <w:r>
        <w:rPr/>
        <w:t>四、股权激励计划事项</w:t>
      </w:r>
    </w:p>
    <w:p>
      <w:pPr>
        <w:pStyle w:val="BodyText"/>
        <w:spacing w:line="240" w:lineRule="auto" w:before="227"/>
        <w:ind w:left="596" w:right="0"/>
        <w:jc w:val="left"/>
      </w:pPr>
      <w:r>
        <w:rPr/>
        <w:t>报告期内，公司无股权激励事项。</w:t>
      </w:r>
    </w:p>
    <w:p>
      <w:pPr>
        <w:spacing w:line="240" w:lineRule="auto" w:before="1"/>
        <w:rPr>
          <w:rFonts w:ascii="宋体" w:hAnsi="宋体" w:cs="宋体" w:eastAsia="宋体" w:hint="default"/>
          <w:sz w:val="16"/>
          <w:szCs w:val="16"/>
        </w:rPr>
      </w:pPr>
    </w:p>
    <w:p>
      <w:pPr>
        <w:pStyle w:val="Heading3"/>
        <w:spacing w:line="240" w:lineRule="auto"/>
        <w:ind w:left="157" w:right="0"/>
        <w:jc w:val="left"/>
      </w:pPr>
      <w:r>
        <w:rPr/>
        <w:t>五、重大关联交易事项</w:t>
      </w:r>
    </w:p>
    <w:p>
      <w:pPr>
        <w:pStyle w:val="BodyText"/>
        <w:spacing w:line="240" w:lineRule="auto" w:before="227"/>
        <w:ind w:left="596" w:right="0"/>
        <w:jc w:val="left"/>
      </w:pPr>
      <w:r>
        <w:rPr/>
        <w:t>报告期内，无重大关联交易事项。</w:t>
      </w:r>
    </w:p>
    <w:p>
      <w:pPr>
        <w:spacing w:line="240" w:lineRule="auto" w:before="1"/>
        <w:rPr>
          <w:rFonts w:ascii="宋体" w:hAnsi="宋体" w:cs="宋体" w:eastAsia="宋体" w:hint="default"/>
          <w:sz w:val="16"/>
          <w:szCs w:val="16"/>
        </w:rPr>
      </w:pPr>
    </w:p>
    <w:p>
      <w:pPr>
        <w:pStyle w:val="Heading3"/>
        <w:spacing w:line="240" w:lineRule="auto"/>
        <w:ind w:left="719" w:right="0"/>
        <w:jc w:val="left"/>
      </w:pPr>
      <w:r>
        <w:rPr/>
        <w:t>（一）与日常经营相关的关联交易</w:t>
      </w:r>
    </w:p>
    <w:p>
      <w:pPr>
        <w:spacing w:line="240" w:lineRule="auto" w:before="4"/>
        <w:rPr>
          <w:rFonts w:ascii="宋体" w:hAnsi="宋体" w:cs="宋体" w:eastAsia="宋体"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2532"/>
        <w:gridCol w:w="1541"/>
        <w:gridCol w:w="1543"/>
        <w:gridCol w:w="1541"/>
        <w:gridCol w:w="1541"/>
      </w:tblGrid>
      <w:tr>
        <w:trPr>
          <w:trHeight w:val="326" w:hRule="exact"/>
        </w:trPr>
        <w:tc>
          <w:tcPr>
            <w:tcW w:w="2532" w:type="dxa"/>
            <w:vMerge w:val="restart"/>
            <w:tcBorders>
              <w:top w:val="single" w:sz="12" w:space="0" w:color="000000"/>
              <w:left w:val="single" w:sz="12" w:space="0" w:color="000000"/>
              <w:right w:val="single" w:sz="12" w:space="0" w:color="000000"/>
            </w:tcBorders>
            <w:shd w:val="clear" w:color="auto" w:fill="DCDCDC"/>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3084" w:type="dxa"/>
            <w:gridSpan w:val="2"/>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31" w:lineRule="exact"/>
              <w:ind w:left="357" w:right="0"/>
              <w:jc w:val="left"/>
              <w:rPr>
                <w:rFonts w:ascii="宋体" w:hAnsi="宋体" w:cs="宋体" w:eastAsia="宋体" w:hint="default"/>
                <w:sz w:val="18"/>
                <w:szCs w:val="18"/>
              </w:rPr>
            </w:pPr>
            <w:r>
              <w:rPr>
                <w:rFonts w:ascii="宋体" w:hAnsi="宋体" w:cs="宋体" w:eastAsia="宋体" w:hint="default"/>
                <w:sz w:val="18"/>
                <w:szCs w:val="18"/>
              </w:rPr>
              <w:t>向关联方销售产品和提供劳务</w:t>
            </w:r>
          </w:p>
        </w:tc>
        <w:tc>
          <w:tcPr>
            <w:tcW w:w="3082" w:type="dxa"/>
            <w:gridSpan w:val="2"/>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31" w:lineRule="exact"/>
              <w:ind w:left="355" w:right="0"/>
              <w:jc w:val="left"/>
              <w:rPr>
                <w:rFonts w:ascii="宋体" w:hAnsi="宋体" w:cs="宋体" w:eastAsia="宋体" w:hint="default"/>
                <w:sz w:val="18"/>
                <w:szCs w:val="18"/>
              </w:rPr>
            </w:pPr>
            <w:r>
              <w:rPr>
                <w:rFonts w:ascii="宋体" w:hAnsi="宋体" w:cs="宋体" w:eastAsia="宋体" w:hint="default"/>
                <w:sz w:val="18"/>
                <w:szCs w:val="18"/>
              </w:rPr>
              <w:t>向关联方采购产品和接受劳务</w:t>
            </w:r>
          </w:p>
        </w:tc>
      </w:tr>
      <w:tr>
        <w:trPr>
          <w:trHeight w:val="654" w:hRule="exact"/>
        </w:trPr>
        <w:tc>
          <w:tcPr>
            <w:tcW w:w="2532" w:type="dxa"/>
            <w:vMerge/>
            <w:tcBorders>
              <w:left w:val="single" w:sz="12" w:space="0" w:color="000000"/>
              <w:bottom w:val="single" w:sz="12" w:space="0" w:color="000000"/>
              <w:right w:val="single" w:sz="12" w:space="0" w:color="000000"/>
            </w:tcBorders>
            <w:shd w:val="clear" w:color="auto" w:fill="DCDCDC"/>
          </w:tcPr>
          <w:p>
            <w:pPr/>
          </w:p>
        </w:tc>
        <w:tc>
          <w:tcPr>
            <w:tcW w:w="1541"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交易金额</w:t>
            </w:r>
          </w:p>
        </w:tc>
        <w:tc>
          <w:tcPr>
            <w:tcW w:w="1543"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316" w:lineRule="auto" w:before="9"/>
              <w:ind w:left="575" w:right="36" w:hanging="540"/>
              <w:jc w:val="left"/>
              <w:rPr>
                <w:rFonts w:ascii="宋体" w:hAnsi="宋体" w:cs="宋体" w:eastAsia="宋体" w:hint="default"/>
                <w:sz w:val="18"/>
                <w:szCs w:val="18"/>
              </w:rPr>
            </w:pPr>
            <w:r>
              <w:rPr>
                <w:rFonts w:ascii="宋体" w:hAnsi="宋体" w:cs="宋体" w:eastAsia="宋体" w:hint="default"/>
                <w:sz w:val="18"/>
                <w:szCs w:val="18"/>
              </w:rPr>
              <w:t>占同类交易金额的</w:t>
            </w:r>
            <w:r>
              <w:rPr>
                <w:rFonts w:ascii="宋体" w:hAnsi="宋体" w:cs="宋体" w:eastAsia="宋体" w:hint="default"/>
                <w:w w:val="99"/>
                <w:sz w:val="18"/>
                <w:szCs w:val="18"/>
              </w:rPr>
              <w:t> </w:t>
            </w:r>
            <w:r>
              <w:rPr>
                <w:rFonts w:ascii="宋体" w:hAnsi="宋体" w:cs="宋体" w:eastAsia="宋体" w:hint="default"/>
                <w:sz w:val="18"/>
                <w:szCs w:val="18"/>
              </w:rPr>
              <w:t>比例</w:t>
            </w:r>
          </w:p>
        </w:tc>
        <w:tc>
          <w:tcPr>
            <w:tcW w:w="1541"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交易金额</w:t>
            </w:r>
          </w:p>
        </w:tc>
        <w:tc>
          <w:tcPr>
            <w:tcW w:w="1541"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316" w:lineRule="auto" w:before="9"/>
              <w:ind w:left="573" w:right="36" w:hanging="540"/>
              <w:jc w:val="left"/>
              <w:rPr>
                <w:rFonts w:ascii="宋体" w:hAnsi="宋体" w:cs="宋体" w:eastAsia="宋体" w:hint="default"/>
                <w:sz w:val="18"/>
                <w:szCs w:val="18"/>
              </w:rPr>
            </w:pPr>
            <w:r>
              <w:rPr>
                <w:rFonts w:ascii="宋体" w:hAnsi="宋体" w:cs="宋体" w:eastAsia="宋体" w:hint="default"/>
                <w:sz w:val="18"/>
                <w:szCs w:val="18"/>
              </w:rPr>
              <w:t>占同类交易金额的</w:t>
            </w:r>
            <w:r>
              <w:rPr>
                <w:rFonts w:ascii="宋体" w:hAnsi="宋体" w:cs="宋体" w:eastAsia="宋体" w:hint="default"/>
                <w:w w:val="99"/>
                <w:sz w:val="18"/>
                <w:szCs w:val="18"/>
              </w:rPr>
              <w:t> </w:t>
            </w:r>
            <w:r>
              <w:rPr>
                <w:rFonts w:ascii="宋体" w:hAnsi="宋体" w:cs="宋体" w:eastAsia="宋体" w:hint="default"/>
                <w:sz w:val="18"/>
                <w:szCs w:val="18"/>
              </w:rPr>
              <w:t>比例</w:t>
            </w:r>
          </w:p>
        </w:tc>
      </w:tr>
      <w:tr>
        <w:trPr>
          <w:trHeight w:val="341" w:hRule="exact"/>
        </w:trPr>
        <w:tc>
          <w:tcPr>
            <w:tcW w:w="253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上海禾诺生物科技有限公司</w:t>
            </w:r>
          </w:p>
        </w:tc>
        <w:tc>
          <w:tcPr>
            <w:tcW w:w="15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w w:val="95"/>
                <w:sz w:val="18"/>
              </w:rPr>
              <w:t>22.26</w:t>
            </w:r>
            <w:r>
              <w:rPr>
                <w:rFonts w:ascii="Arial"/>
                <w:sz w:val="18"/>
              </w:rPr>
            </w:r>
          </w:p>
        </w:tc>
        <w:tc>
          <w:tcPr>
            <w:tcW w:w="15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100.00%</w:t>
            </w:r>
          </w:p>
        </w:tc>
        <w:tc>
          <w:tcPr>
            <w:tcW w:w="15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5"/>
                <w:sz w:val="18"/>
              </w:rPr>
              <w:t>0.00</w:t>
            </w:r>
            <w:r>
              <w:rPr>
                <w:rFonts w:ascii="Arial"/>
                <w:sz w:val="18"/>
              </w:rPr>
            </w:r>
          </w:p>
        </w:tc>
        <w:tc>
          <w:tcPr>
            <w:tcW w:w="15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5"/>
                <w:sz w:val="18"/>
              </w:rPr>
              <w:t>0.00%</w:t>
            </w:r>
            <w:r>
              <w:rPr>
                <w:rFonts w:ascii="Arial"/>
                <w:sz w:val="18"/>
              </w:rPr>
            </w:r>
          </w:p>
        </w:tc>
      </w:tr>
      <w:tr>
        <w:trPr>
          <w:trHeight w:val="343" w:hRule="exact"/>
        </w:trPr>
        <w:tc>
          <w:tcPr>
            <w:tcW w:w="2532" w:type="dxa"/>
            <w:tcBorders>
              <w:top w:val="single" w:sz="12" w:space="0" w:color="000000"/>
              <w:left w:val="single" w:sz="12" w:space="0" w:color="000000"/>
              <w:bottom w:val="single" w:sz="13"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张烈寅</w:t>
            </w:r>
          </w:p>
        </w:tc>
        <w:tc>
          <w:tcPr>
            <w:tcW w:w="15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w w:val="95"/>
                <w:sz w:val="18"/>
              </w:rPr>
              <w:t>0.00</w:t>
            </w:r>
            <w:r>
              <w:rPr>
                <w:rFonts w:ascii="Arial"/>
                <w:sz w:val="18"/>
              </w:rPr>
            </w:r>
          </w:p>
        </w:tc>
        <w:tc>
          <w:tcPr>
            <w:tcW w:w="15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5"/>
                <w:sz w:val="18"/>
              </w:rPr>
              <w:t>0.00%</w:t>
            </w:r>
            <w:r>
              <w:rPr>
                <w:rFonts w:ascii="Arial"/>
                <w:sz w:val="18"/>
              </w:rPr>
            </w:r>
          </w:p>
        </w:tc>
        <w:tc>
          <w:tcPr>
            <w:tcW w:w="15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5"/>
                <w:sz w:val="18"/>
              </w:rPr>
              <w:t>12.00</w:t>
            </w:r>
            <w:r>
              <w:rPr>
                <w:rFonts w:ascii="Arial"/>
                <w:sz w:val="18"/>
              </w:rPr>
            </w:r>
          </w:p>
        </w:tc>
        <w:tc>
          <w:tcPr>
            <w:tcW w:w="15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70.19%</w:t>
            </w:r>
          </w:p>
        </w:tc>
      </w:tr>
      <w:tr>
        <w:trPr>
          <w:trHeight w:val="341" w:hRule="exact"/>
        </w:trPr>
        <w:tc>
          <w:tcPr>
            <w:tcW w:w="2532"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w w:val="95"/>
                <w:sz w:val="18"/>
              </w:rPr>
              <w:t>22.26</w:t>
            </w:r>
            <w:r>
              <w:rPr>
                <w:rFonts w:ascii="Arial"/>
                <w:sz w:val="18"/>
              </w:rPr>
            </w:r>
          </w:p>
        </w:tc>
        <w:tc>
          <w:tcPr>
            <w:tcW w:w="15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100.00%</w:t>
            </w:r>
          </w:p>
        </w:tc>
        <w:tc>
          <w:tcPr>
            <w:tcW w:w="15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5"/>
                <w:sz w:val="18"/>
              </w:rPr>
              <w:t>12.00</w:t>
            </w:r>
            <w:r>
              <w:rPr>
                <w:rFonts w:ascii="Arial"/>
                <w:sz w:val="18"/>
              </w:rPr>
            </w:r>
          </w:p>
        </w:tc>
        <w:tc>
          <w:tcPr>
            <w:tcW w:w="15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70.19%</w:t>
            </w:r>
          </w:p>
        </w:tc>
      </w:tr>
    </w:tbl>
    <w:p>
      <w:pPr>
        <w:pStyle w:val="BodyText"/>
        <w:spacing w:line="240" w:lineRule="auto" w:before="57"/>
        <w:ind w:left="596" w:right="0"/>
        <w:jc w:val="left"/>
      </w:pPr>
      <w:r>
        <w:rPr/>
        <w:t>注：</w:t>
      </w:r>
      <w:r>
        <w:rPr>
          <w:rFonts w:ascii="Arial" w:hAnsi="Arial" w:cs="Arial" w:eastAsia="Arial" w:hint="default"/>
        </w:rPr>
        <w:t>1</w:t>
      </w:r>
      <w:r>
        <w:rPr/>
        <w:t>、公司房产出租给上海禾诺生物科技有限公司使用。</w:t>
      </w:r>
    </w:p>
    <w:p>
      <w:pPr>
        <w:pStyle w:val="BodyText"/>
        <w:spacing w:line="240" w:lineRule="auto" w:before="164"/>
        <w:ind w:left="1038" w:right="0"/>
        <w:jc w:val="left"/>
      </w:pPr>
      <w:r>
        <w:rPr>
          <w:rFonts w:ascii="Arial" w:hAnsi="Arial" w:cs="Arial" w:eastAsia="Arial" w:hint="default"/>
        </w:rPr>
        <w:t>2</w:t>
      </w:r>
      <w:r>
        <w:rPr/>
        <w:t>、张烈寅将其在青岛的房产出租给我公司，作为青岛办事处的办公地。</w:t>
      </w:r>
    </w:p>
    <w:p>
      <w:pPr>
        <w:pStyle w:val="Heading3"/>
        <w:spacing w:line="240" w:lineRule="auto" w:before="195"/>
        <w:ind w:left="719" w:right="0"/>
        <w:jc w:val="left"/>
      </w:pPr>
      <w:r>
        <w:rPr/>
        <w:t>（二）关联债权债务往来</w:t>
      </w:r>
    </w:p>
    <w:p>
      <w:pPr>
        <w:spacing w:line="240" w:lineRule="auto" w:before="3"/>
        <w:rPr>
          <w:rFonts w:ascii="宋体" w:hAnsi="宋体" w:cs="宋体" w:eastAsia="宋体"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2532"/>
        <w:gridCol w:w="1541"/>
        <w:gridCol w:w="1543"/>
        <w:gridCol w:w="1541"/>
        <w:gridCol w:w="1541"/>
      </w:tblGrid>
      <w:tr>
        <w:trPr>
          <w:trHeight w:val="340" w:hRule="exact"/>
        </w:trPr>
        <w:tc>
          <w:tcPr>
            <w:tcW w:w="2532" w:type="dxa"/>
            <w:vMerge w:val="restart"/>
            <w:tcBorders>
              <w:top w:val="single" w:sz="12" w:space="0" w:color="000000"/>
              <w:left w:val="single" w:sz="12" w:space="0" w:color="000000"/>
              <w:right w:val="single" w:sz="12" w:space="0" w:color="000000"/>
            </w:tcBorders>
            <w:shd w:val="clear" w:color="auto" w:fill="DCDCDC"/>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3084" w:type="dxa"/>
            <w:gridSpan w:val="2"/>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9"/>
              <w:ind w:left="806" w:right="0"/>
              <w:jc w:val="left"/>
              <w:rPr>
                <w:rFonts w:ascii="宋体" w:hAnsi="宋体" w:cs="宋体" w:eastAsia="宋体" w:hint="default"/>
                <w:sz w:val="18"/>
                <w:szCs w:val="18"/>
              </w:rPr>
            </w:pPr>
            <w:r>
              <w:rPr>
                <w:rFonts w:ascii="宋体" w:hAnsi="宋体" w:cs="宋体" w:eastAsia="宋体" w:hint="default"/>
                <w:sz w:val="18"/>
                <w:szCs w:val="18"/>
              </w:rPr>
              <w:t>向关联方提供资金</w:t>
            </w:r>
          </w:p>
        </w:tc>
        <w:tc>
          <w:tcPr>
            <w:tcW w:w="3082" w:type="dxa"/>
            <w:gridSpan w:val="2"/>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9"/>
              <w:ind w:left="623" w:right="0"/>
              <w:jc w:val="left"/>
              <w:rPr>
                <w:rFonts w:ascii="宋体" w:hAnsi="宋体" w:cs="宋体" w:eastAsia="宋体" w:hint="default"/>
                <w:sz w:val="18"/>
                <w:szCs w:val="18"/>
              </w:rPr>
            </w:pPr>
            <w:r>
              <w:rPr>
                <w:rFonts w:ascii="宋体" w:hAnsi="宋体" w:cs="宋体" w:eastAsia="宋体" w:hint="default"/>
                <w:sz w:val="18"/>
                <w:szCs w:val="18"/>
              </w:rPr>
              <w:t>关联方向公司提供资金</w:t>
            </w:r>
          </w:p>
        </w:tc>
      </w:tr>
      <w:tr>
        <w:trPr>
          <w:trHeight w:val="342" w:hRule="exact"/>
        </w:trPr>
        <w:tc>
          <w:tcPr>
            <w:tcW w:w="2532" w:type="dxa"/>
            <w:vMerge/>
            <w:tcBorders>
              <w:left w:val="single" w:sz="12" w:space="0" w:color="000000"/>
              <w:bottom w:val="single" w:sz="12" w:space="0" w:color="000000"/>
              <w:right w:val="single" w:sz="12" w:space="0" w:color="000000"/>
            </w:tcBorders>
            <w:shd w:val="clear" w:color="auto" w:fill="DCDCDC"/>
          </w:tcPr>
          <w:p>
            <w:pPr/>
          </w:p>
        </w:tc>
        <w:tc>
          <w:tcPr>
            <w:tcW w:w="1541"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9"/>
              <w:ind w:left="487" w:right="0"/>
              <w:jc w:val="left"/>
              <w:rPr>
                <w:rFonts w:ascii="宋体" w:hAnsi="宋体" w:cs="宋体" w:eastAsia="宋体" w:hint="default"/>
                <w:sz w:val="18"/>
                <w:szCs w:val="18"/>
              </w:rPr>
            </w:pPr>
            <w:r>
              <w:rPr>
                <w:rFonts w:ascii="宋体" w:hAnsi="宋体" w:cs="宋体" w:eastAsia="宋体" w:hint="default"/>
                <w:sz w:val="18"/>
                <w:szCs w:val="18"/>
              </w:rPr>
              <w:t>发生额</w:t>
            </w:r>
          </w:p>
        </w:tc>
        <w:tc>
          <w:tcPr>
            <w:tcW w:w="1543"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1541"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9"/>
              <w:ind w:left="484" w:right="0"/>
              <w:jc w:val="left"/>
              <w:rPr>
                <w:rFonts w:ascii="宋体" w:hAnsi="宋体" w:cs="宋体" w:eastAsia="宋体" w:hint="default"/>
                <w:sz w:val="18"/>
                <w:szCs w:val="18"/>
              </w:rPr>
            </w:pPr>
            <w:r>
              <w:rPr>
                <w:rFonts w:ascii="宋体" w:hAnsi="宋体" w:cs="宋体" w:eastAsia="宋体" w:hint="default"/>
                <w:sz w:val="18"/>
                <w:szCs w:val="18"/>
              </w:rPr>
              <w:t>发生额</w:t>
            </w:r>
          </w:p>
        </w:tc>
        <w:tc>
          <w:tcPr>
            <w:tcW w:w="1541"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9"/>
              <w:ind w:right="2"/>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341" w:hRule="exact"/>
        </w:trPr>
        <w:tc>
          <w:tcPr>
            <w:tcW w:w="253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上海禾诺生物科技有限公司</w:t>
            </w:r>
          </w:p>
        </w:tc>
        <w:tc>
          <w:tcPr>
            <w:tcW w:w="15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w w:val="95"/>
                <w:sz w:val="18"/>
              </w:rPr>
              <w:t>22.26</w:t>
            </w:r>
            <w:r>
              <w:rPr>
                <w:rFonts w:ascii="Arial"/>
                <w:sz w:val="18"/>
              </w:rPr>
            </w:r>
          </w:p>
        </w:tc>
        <w:tc>
          <w:tcPr>
            <w:tcW w:w="15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5"/>
                <w:sz w:val="18"/>
              </w:rPr>
              <w:t>0.00</w:t>
            </w:r>
            <w:r>
              <w:rPr>
                <w:rFonts w:ascii="Arial"/>
                <w:sz w:val="18"/>
              </w:rPr>
            </w:r>
          </w:p>
        </w:tc>
        <w:tc>
          <w:tcPr>
            <w:tcW w:w="15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5"/>
                <w:sz w:val="18"/>
              </w:rPr>
              <w:t>0.00</w:t>
            </w:r>
            <w:r>
              <w:rPr>
                <w:rFonts w:ascii="Arial"/>
                <w:sz w:val="18"/>
              </w:rPr>
            </w:r>
          </w:p>
        </w:tc>
        <w:tc>
          <w:tcPr>
            <w:tcW w:w="15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5"/>
                <w:sz w:val="18"/>
              </w:rPr>
              <w:t>0.00</w:t>
            </w:r>
            <w:r>
              <w:rPr>
                <w:rFonts w:ascii="Arial"/>
                <w:sz w:val="18"/>
              </w:rPr>
            </w:r>
          </w:p>
        </w:tc>
      </w:tr>
      <w:tr>
        <w:trPr>
          <w:trHeight w:val="343" w:hRule="exact"/>
        </w:trPr>
        <w:tc>
          <w:tcPr>
            <w:tcW w:w="2532" w:type="dxa"/>
            <w:tcBorders>
              <w:top w:val="single" w:sz="12" w:space="0" w:color="000000"/>
              <w:left w:val="single" w:sz="12" w:space="0" w:color="000000"/>
              <w:bottom w:val="single" w:sz="13"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张烈寅</w:t>
            </w:r>
          </w:p>
        </w:tc>
        <w:tc>
          <w:tcPr>
            <w:tcW w:w="15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w w:val="95"/>
                <w:sz w:val="18"/>
              </w:rPr>
              <w:t>0.00</w:t>
            </w:r>
            <w:r>
              <w:rPr>
                <w:rFonts w:ascii="Arial"/>
                <w:sz w:val="18"/>
              </w:rPr>
            </w:r>
          </w:p>
        </w:tc>
        <w:tc>
          <w:tcPr>
            <w:tcW w:w="15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5"/>
                <w:sz w:val="18"/>
              </w:rPr>
              <w:t>0.00</w:t>
            </w:r>
            <w:r>
              <w:rPr>
                <w:rFonts w:ascii="Arial"/>
                <w:sz w:val="18"/>
              </w:rPr>
            </w:r>
          </w:p>
        </w:tc>
        <w:tc>
          <w:tcPr>
            <w:tcW w:w="15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5"/>
                <w:sz w:val="18"/>
              </w:rPr>
              <w:t>12.00</w:t>
            </w:r>
            <w:r>
              <w:rPr>
                <w:rFonts w:ascii="Arial"/>
                <w:sz w:val="18"/>
              </w:rPr>
            </w:r>
          </w:p>
        </w:tc>
        <w:tc>
          <w:tcPr>
            <w:tcW w:w="15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5"/>
                <w:sz w:val="18"/>
              </w:rPr>
              <w:t>0.00</w:t>
            </w:r>
            <w:r>
              <w:rPr>
                <w:rFonts w:ascii="Arial"/>
                <w:sz w:val="18"/>
              </w:rPr>
            </w:r>
          </w:p>
        </w:tc>
      </w:tr>
      <w:tr>
        <w:trPr>
          <w:trHeight w:val="341" w:hRule="exact"/>
        </w:trPr>
        <w:tc>
          <w:tcPr>
            <w:tcW w:w="2532"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w w:val="95"/>
                <w:sz w:val="18"/>
              </w:rPr>
              <w:t>22.26</w:t>
            </w:r>
            <w:r>
              <w:rPr>
                <w:rFonts w:ascii="Arial"/>
                <w:sz w:val="18"/>
              </w:rPr>
            </w:r>
          </w:p>
        </w:tc>
        <w:tc>
          <w:tcPr>
            <w:tcW w:w="15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5"/>
                <w:sz w:val="18"/>
              </w:rPr>
              <w:t>0.00</w:t>
            </w:r>
            <w:r>
              <w:rPr>
                <w:rFonts w:ascii="Arial"/>
                <w:sz w:val="18"/>
              </w:rPr>
            </w:r>
          </w:p>
        </w:tc>
        <w:tc>
          <w:tcPr>
            <w:tcW w:w="15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5"/>
                <w:sz w:val="18"/>
              </w:rPr>
              <w:t>12.00</w:t>
            </w:r>
            <w:r>
              <w:rPr>
                <w:rFonts w:ascii="Arial"/>
                <w:sz w:val="18"/>
              </w:rPr>
            </w:r>
          </w:p>
        </w:tc>
        <w:tc>
          <w:tcPr>
            <w:tcW w:w="15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5"/>
                <w:sz w:val="18"/>
              </w:rPr>
              <w:t>0.00</w:t>
            </w:r>
            <w:r>
              <w:rPr>
                <w:rFonts w:ascii="Arial"/>
                <w:sz w:val="18"/>
              </w:rPr>
            </w:r>
          </w:p>
        </w:tc>
      </w:tr>
    </w:tbl>
    <w:p>
      <w:pPr>
        <w:pStyle w:val="BodyText"/>
        <w:spacing w:line="240" w:lineRule="auto" w:before="57"/>
        <w:ind w:left="596" w:right="0"/>
        <w:jc w:val="left"/>
      </w:pPr>
      <w:r>
        <w:rPr/>
        <w:t>注：</w:t>
      </w:r>
      <w:r>
        <w:rPr>
          <w:rFonts w:ascii="Arial" w:hAnsi="Arial" w:cs="Arial" w:eastAsia="Arial" w:hint="default"/>
        </w:rPr>
        <w:t>1</w:t>
      </w:r>
      <w:r>
        <w:rPr/>
        <w:t>、公司将房产出租给上海禾诺生物科技有限公司使用。</w:t>
      </w:r>
    </w:p>
    <w:p>
      <w:pPr>
        <w:pStyle w:val="BodyText"/>
        <w:spacing w:line="240" w:lineRule="auto" w:before="164"/>
        <w:ind w:left="1038" w:right="0"/>
        <w:jc w:val="left"/>
      </w:pPr>
      <w:r>
        <w:rPr>
          <w:rFonts w:ascii="Arial" w:hAnsi="Arial" w:cs="Arial" w:eastAsia="Arial" w:hint="default"/>
        </w:rPr>
        <w:t>2</w:t>
      </w:r>
      <w:r>
        <w:rPr/>
        <w:t>、张烈寅将其在青岛的房产出租给我公司，作为青岛办事处的办公地。</w:t>
      </w:r>
    </w:p>
    <w:p>
      <w:pPr>
        <w:pStyle w:val="Heading3"/>
        <w:spacing w:line="240" w:lineRule="auto" w:before="195"/>
        <w:ind w:left="157" w:right="0"/>
        <w:jc w:val="left"/>
      </w:pPr>
      <w:r>
        <w:rPr/>
        <w:t>六、报告期内公司关联方资金占用情况</w:t>
      </w:r>
    </w:p>
    <w:p>
      <w:pPr>
        <w:pStyle w:val="BodyText"/>
        <w:spacing w:line="240" w:lineRule="auto" w:before="227"/>
        <w:ind w:left="596" w:right="0"/>
        <w:jc w:val="left"/>
      </w:pPr>
      <w:r>
        <w:rPr/>
        <w:t>报告期内公司不存在控股股东及其它关联方非经营性占用公司资金的情况。</w:t>
      </w:r>
    </w:p>
    <w:p>
      <w:pPr>
        <w:spacing w:line="240" w:lineRule="auto" w:before="1"/>
        <w:rPr>
          <w:rFonts w:ascii="宋体" w:hAnsi="宋体" w:cs="宋体" w:eastAsia="宋体" w:hint="default"/>
          <w:sz w:val="16"/>
          <w:szCs w:val="16"/>
        </w:rPr>
      </w:pPr>
    </w:p>
    <w:p>
      <w:pPr>
        <w:pStyle w:val="Heading3"/>
        <w:spacing w:line="408" w:lineRule="auto"/>
        <w:ind w:left="157" w:right="0"/>
        <w:jc w:val="left"/>
      </w:pPr>
      <w:r>
        <w:rPr/>
        <w:t>七、报告期内，公司无重大合同</w:t>
      </w:r>
      <w:r>
        <w:rPr>
          <w:spacing w:val="-128"/>
        </w:rPr>
        <w:t> </w:t>
      </w:r>
      <w:r>
        <w:rPr>
          <w:spacing w:val="-128"/>
        </w:rPr>
      </w:r>
      <w:r>
        <w:rPr/>
        <w:t>八、报告期内，公司重大承诺事项的履行情况：</w:t>
      </w:r>
    </w:p>
    <w:p>
      <w:pPr>
        <w:pStyle w:val="BodyText"/>
        <w:spacing w:line="391" w:lineRule="auto" w:before="31"/>
        <w:ind w:left="157" w:right="155" w:firstLine="439"/>
        <w:jc w:val="both"/>
      </w:pPr>
      <w:r>
        <w:rPr/>
        <w:t>（一）实际控制人纪立军、张烈寅夫妇承诺目前或将来不从事任何与本公司主营业务</w:t>
      </w:r>
      <w:r>
        <w:rPr>
          <w:w w:val="100"/>
        </w:rPr>
        <w:t> </w:t>
      </w:r>
      <w:r>
        <w:rPr/>
        <w:t>相同或相似的业务或活动。经公司核查，报告期内，实际控制人纪立军、张烈寅夫妇能够</w:t>
      </w:r>
      <w:r>
        <w:rPr>
          <w:spacing w:val="-57"/>
        </w:rPr>
        <w:t> </w:t>
      </w:r>
      <w:r>
        <w:rPr>
          <w:spacing w:val="-57"/>
        </w:rPr>
      </w:r>
      <w:r>
        <w:rPr/>
        <w:t>履行承诺。</w:t>
      </w:r>
    </w:p>
    <w:p>
      <w:pPr>
        <w:pStyle w:val="BodyText"/>
        <w:spacing w:line="391" w:lineRule="auto" w:before="41"/>
        <w:ind w:left="157" w:right="155" w:firstLine="439"/>
        <w:jc w:val="both"/>
      </w:pPr>
      <w:r>
        <w:rPr/>
        <w:t>（二）实际控制人纪立军、张烈寅夫妇承诺对于公司因上市之前享受税收优惠而可能</w:t>
      </w:r>
      <w:r>
        <w:rPr>
          <w:w w:val="100"/>
        </w:rPr>
        <w:t> </w:t>
      </w:r>
      <w:r>
        <w:rPr/>
        <w:t>被税务机关追缴所减免的税款，及因其而产生的其他任何相关款项，或者需要承担任何与</w:t>
      </w:r>
    </w:p>
    <w:p>
      <w:pPr>
        <w:spacing w:after="0" w:line="391" w:lineRule="auto"/>
        <w:jc w:val="both"/>
        <w:sectPr>
          <w:pgSz w:w="11900" w:h="16840"/>
          <w:pgMar w:header="877" w:footer="981" w:top="1100" w:bottom="1180" w:left="1640" w:right="1300"/>
        </w:sectPr>
      </w:pPr>
    </w:p>
    <w:p>
      <w:pPr>
        <w:spacing w:line="240" w:lineRule="auto" w:before="4"/>
        <w:rPr>
          <w:rFonts w:ascii="宋体" w:hAnsi="宋体" w:cs="宋体" w:eastAsia="宋体" w:hint="default"/>
          <w:sz w:val="26"/>
          <w:szCs w:val="26"/>
        </w:rPr>
      </w:pPr>
    </w:p>
    <w:p>
      <w:pPr>
        <w:pStyle w:val="BodyText"/>
        <w:spacing w:line="391" w:lineRule="auto"/>
        <w:ind w:right="33"/>
        <w:jc w:val="left"/>
      </w:pPr>
      <w:r>
        <w:rPr/>
        <w:t>上述税款有关的责任，均一律由实际控制人承担。经公司核查，报告期内，公司未发生因</w:t>
      </w:r>
      <w:r>
        <w:rPr>
          <w:spacing w:val="-57"/>
        </w:rPr>
        <w:t> </w:t>
      </w:r>
      <w:r>
        <w:rPr>
          <w:spacing w:val="-57"/>
        </w:rPr>
      </w:r>
      <w:r>
        <w:rPr/>
        <w:t>上市之前享受税收优惠而可能被税务机关追缴所减免的税款的情形。</w:t>
      </w:r>
    </w:p>
    <w:p>
      <w:pPr>
        <w:pStyle w:val="BodyText"/>
        <w:spacing w:line="391" w:lineRule="auto" w:before="41"/>
        <w:ind w:right="215" w:firstLine="439"/>
        <w:jc w:val="both"/>
      </w:pPr>
      <w:r>
        <w:rPr/>
        <w:t>（三）实际控制人纪立军、张烈寅夫妇承诺针对东营安诺其在申请办理建设项目所需</w:t>
      </w:r>
      <w:r>
        <w:rPr>
          <w:w w:val="100"/>
        </w:rPr>
        <w:t> </w:t>
      </w:r>
      <w:r>
        <w:rPr/>
        <w:t>相关许可证照的过程中实际开始募投项目施工建设的情况，若日后东营安诺其因为该事项</w:t>
      </w:r>
      <w:r>
        <w:rPr>
          <w:spacing w:val="-57"/>
        </w:rPr>
        <w:t> </w:t>
      </w:r>
      <w:r>
        <w:rPr>
          <w:spacing w:val="-57"/>
        </w:rPr>
      </w:r>
      <w:r>
        <w:rPr/>
        <w:t>遭受任何经济损失，或者需要承担任何与上述提前施工有关的责任，均一律由实际控制人</w:t>
      </w:r>
      <w:r>
        <w:rPr>
          <w:spacing w:val="-57"/>
        </w:rPr>
        <w:t> </w:t>
      </w:r>
      <w:r>
        <w:rPr>
          <w:spacing w:val="-57"/>
        </w:rPr>
      </w:r>
      <w:r>
        <w:rPr/>
        <w:t>以现金方式对东营安诺其予以补偿。经公司核查，报告期内，东营安诺其不存在因该事项</w:t>
      </w:r>
      <w:r>
        <w:rPr>
          <w:spacing w:val="-57"/>
        </w:rPr>
        <w:t> </w:t>
      </w:r>
      <w:r>
        <w:rPr>
          <w:spacing w:val="-57"/>
        </w:rPr>
      </w:r>
      <w:r>
        <w:rPr/>
        <w:t>而遭受经济损失的情况发生。</w:t>
      </w:r>
    </w:p>
    <w:p>
      <w:pPr>
        <w:pStyle w:val="BodyText"/>
        <w:spacing w:line="369" w:lineRule="auto" w:before="41"/>
        <w:ind w:right="218" w:firstLine="439"/>
        <w:jc w:val="both"/>
      </w:pPr>
      <w:r>
        <w:rPr>
          <w:spacing w:val="-3"/>
        </w:rPr>
        <w:t>（四）实际控制人纪立军、张烈寅夫妇于</w:t>
      </w:r>
      <w:r>
        <w:rPr>
          <w:rFonts w:ascii="Arial" w:hAnsi="Arial" w:cs="Arial" w:eastAsia="Arial" w:hint="default"/>
          <w:spacing w:val="-3"/>
        </w:rPr>
        <w:t>2010 </w:t>
      </w:r>
      <w:r>
        <w:rPr/>
        <w:t>年</w:t>
      </w:r>
      <w:r>
        <w:rPr>
          <w:rFonts w:ascii="Arial" w:hAnsi="Arial" w:cs="Arial" w:eastAsia="Arial" w:hint="default"/>
        </w:rPr>
        <w:t>3 </w:t>
      </w:r>
      <w:r>
        <w:rPr/>
        <w:t>月</w:t>
      </w:r>
      <w:r>
        <w:rPr>
          <w:rFonts w:ascii="Arial" w:hAnsi="Arial" w:cs="Arial" w:eastAsia="Arial" w:hint="default"/>
        </w:rPr>
        <w:t>15</w:t>
      </w:r>
      <w:r>
        <w:rPr>
          <w:rFonts w:ascii="Arial" w:hAnsi="Arial" w:cs="Arial" w:eastAsia="Arial" w:hint="default"/>
          <w:spacing w:val="55"/>
        </w:rPr>
        <w:t> </w:t>
      </w:r>
      <w:r>
        <w:rPr/>
        <w:t>日承诺安诺其科技和安诺其</w:t>
      </w:r>
      <w:r>
        <w:rPr>
          <w:w w:val="100"/>
        </w:rPr>
        <w:t> </w:t>
      </w:r>
      <w:r>
        <w:rPr/>
        <w:t>控股均拟于</w:t>
      </w:r>
      <w:r>
        <w:rPr>
          <w:rFonts w:ascii="Arial" w:hAnsi="Arial" w:cs="Arial" w:eastAsia="Arial" w:hint="default"/>
        </w:rPr>
        <w:t>3</w:t>
      </w:r>
      <w:r>
        <w:rPr/>
        <w:t>个月内召开股东会并开始办理相关注销登记手续，预计将于</w:t>
      </w:r>
      <w:r>
        <w:rPr>
          <w:rFonts w:ascii="Arial" w:hAnsi="Arial" w:cs="Arial" w:eastAsia="Arial" w:hint="default"/>
        </w:rPr>
        <w:t>6</w:t>
      </w:r>
      <w:r>
        <w:rPr/>
        <w:t>个月内完成</w:t>
      </w:r>
      <w:r>
        <w:rPr>
          <w:rFonts w:ascii="Arial" w:hAnsi="Arial" w:cs="Arial" w:eastAsia="Arial" w:hint="default"/>
        </w:rPr>
        <w:t>2</w:t>
      </w:r>
      <w:r>
        <w:rPr>
          <w:rFonts w:ascii="Arial" w:hAnsi="Arial" w:cs="Arial" w:eastAsia="Arial" w:hint="default"/>
          <w:spacing w:val="1"/>
        </w:rPr>
        <w:t> </w:t>
      </w:r>
      <w:r>
        <w:rPr/>
        <w:t>家</w:t>
      </w:r>
      <w:r>
        <w:rPr>
          <w:w w:val="100"/>
        </w:rPr>
        <w:t> </w:t>
      </w:r>
      <w:r>
        <w:rPr/>
        <w:t>公司的注销登记。经公司核查，报告期内，两家公司已完成注销。</w:t>
      </w:r>
    </w:p>
    <w:p>
      <w:pPr>
        <w:pStyle w:val="BodyText"/>
        <w:spacing w:line="379" w:lineRule="auto" w:before="61"/>
        <w:ind w:right="215" w:firstLine="439"/>
        <w:jc w:val="both"/>
      </w:pPr>
      <w:r>
        <w:rPr/>
        <w:t>（五）实际控制人纪立军、张烈寅夫妇承诺自公司股票上市之日起</w:t>
      </w:r>
      <w:r>
        <w:rPr>
          <w:rFonts w:ascii="Arial" w:hAnsi="Arial" w:cs="Arial" w:eastAsia="Arial" w:hint="default"/>
        </w:rPr>
        <w:t>36</w:t>
      </w:r>
      <w:r>
        <w:rPr/>
        <w:t>个月内，本人不</w:t>
      </w:r>
      <w:r>
        <w:rPr>
          <w:w w:val="100"/>
        </w:rPr>
        <w:t> </w:t>
      </w:r>
      <w:r>
        <w:rPr/>
        <w:t>转让或者委托他人管理本人直接或间接持有的公司股份，也不由公司回购该部分股份。经</w:t>
      </w:r>
      <w:r>
        <w:rPr>
          <w:spacing w:val="-57"/>
        </w:rPr>
        <w:t> </w:t>
      </w:r>
      <w:r>
        <w:rPr>
          <w:spacing w:val="-57"/>
        </w:rPr>
      </w:r>
      <w:r>
        <w:rPr/>
        <w:t>公司核查，报告期内，实际控制人纪立军、张烈寅夫妇能够恪守承诺。</w:t>
      </w:r>
    </w:p>
    <w:p>
      <w:pPr>
        <w:pStyle w:val="BodyText"/>
        <w:spacing w:line="384" w:lineRule="auto" w:before="52"/>
        <w:ind w:right="215" w:firstLine="439"/>
        <w:jc w:val="both"/>
      </w:pPr>
      <w:r>
        <w:rPr/>
        <w:t>（六）公司股东臧少玉、缪融、文欣、王宏道、耿毅英、张连根、石磊、宋诗泉、孙</w:t>
      </w:r>
      <w:r>
        <w:rPr>
          <w:w w:val="100"/>
        </w:rPr>
        <w:t> </w:t>
      </w:r>
      <w:r>
        <w:rPr/>
        <w:t>永胜、王靖天、黄皖平、王敬敏、杜国君、闫鹏琼、鲍卫华、魏旭红、吴冬、吴永康、迟</w:t>
      </w:r>
      <w:r>
        <w:rPr>
          <w:spacing w:val="-57"/>
        </w:rPr>
        <w:t> </w:t>
      </w:r>
      <w:r>
        <w:rPr>
          <w:spacing w:val="-57"/>
        </w:rPr>
      </w:r>
      <w:r>
        <w:rPr>
          <w:spacing w:val="-5"/>
        </w:rPr>
        <w:t>立宗、刘春德和邓海东等</w:t>
      </w:r>
      <w:r>
        <w:rPr>
          <w:rFonts w:ascii="Arial" w:hAnsi="Arial" w:cs="Arial" w:eastAsia="Arial" w:hint="default"/>
          <w:spacing w:val="-5"/>
        </w:rPr>
        <w:t>21</w:t>
      </w:r>
      <w:r>
        <w:rPr>
          <w:rFonts w:ascii="Arial" w:hAnsi="Arial" w:cs="Arial" w:eastAsia="Arial" w:hint="default"/>
          <w:spacing w:val="26"/>
        </w:rPr>
        <w:t> </w:t>
      </w:r>
      <w:r>
        <w:rPr>
          <w:spacing w:val="-3"/>
        </w:rPr>
        <w:t>位自然人股东承诺自公司股票上市之日起</w:t>
      </w:r>
      <w:r>
        <w:rPr>
          <w:rFonts w:ascii="Arial" w:hAnsi="Arial" w:cs="Arial" w:eastAsia="Arial" w:hint="default"/>
          <w:spacing w:val="-3"/>
        </w:rPr>
        <w:t>12</w:t>
      </w:r>
      <w:r>
        <w:rPr>
          <w:spacing w:val="-3"/>
        </w:rPr>
        <w:t>个月内，本人不转</w:t>
      </w:r>
      <w:r>
        <w:rPr>
          <w:spacing w:val="-105"/>
        </w:rPr>
        <w:t> </w:t>
      </w:r>
      <w:r>
        <w:rPr>
          <w:spacing w:val="-105"/>
        </w:rPr>
      </w:r>
      <w:r>
        <w:rPr/>
        <w:t>让或者委托他人管理本人直接或间接持有的公司股份，也不由公司回购该部分股份。经公</w:t>
      </w:r>
      <w:r>
        <w:rPr>
          <w:spacing w:val="-57"/>
        </w:rPr>
        <w:t> </w:t>
      </w:r>
      <w:r>
        <w:rPr>
          <w:spacing w:val="-57"/>
        </w:rPr>
      </w:r>
      <w:r>
        <w:rPr/>
        <w:t>司核查，报告期内，上述公司股东能够恪守承诺。</w:t>
      </w:r>
    </w:p>
    <w:p>
      <w:pPr>
        <w:pStyle w:val="BodyText"/>
        <w:spacing w:line="379" w:lineRule="auto" w:before="48"/>
        <w:ind w:right="215" w:firstLine="439"/>
        <w:jc w:val="both"/>
      </w:pPr>
      <w:r>
        <w:rPr>
          <w:spacing w:val="-3"/>
        </w:rPr>
        <w:t>（七）公司股东上海嘉兆投资管理有限公司承诺自公司股票上市之日起</w:t>
      </w:r>
      <w:r>
        <w:rPr>
          <w:rFonts w:ascii="Arial" w:hAnsi="Arial" w:cs="Arial" w:eastAsia="Arial" w:hint="default"/>
          <w:spacing w:val="-3"/>
        </w:rPr>
        <w:t>12</w:t>
      </w:r>
      <w:r>
        <w:rPr>
          <w:rFonts w:ascii="Arial" w:hAnsi="Arial" w:cs="Arial" w:eastAsia="Arial" w:hint="default"/>
          <w:spacing w:val="37"/>
        </w:rPr>
        <w:t> </w:t>
      </w:r>
      <w:r>
        <w:rPr>
          <w:spacing w:val="-8"/>
        </w:rPr>
        <w:t>个月内，本</w:t>
      </w:r>
      <w:r>
        <w:rPr>
          <w:w w:val="100"/>
        </w:rPr>
        <w:t> </w:t>
      </w:r>
      <w:r>
        <w:rPr/>
        <w:t>公司不转让或者委托他人管理本公司直接或间接持有的安诺其股份，也不由安诺其公司回</w:t>
      </w:r>
      <w:r>
        <w:rPr>
          <w:spacing w:val="-57"/>
        </w:rPr>
        <w:t> </w:t>
      </w:r>
      <w:r>
        <w:rPr>
          <w:spacing w:val="-57"/>
        </w:rPr>
      </w:r>
      <w:r>
        <w:rPr/>
        <w:t>购该部分股份。经公司核查，报告期内，股东上海嘉兆投资管理有限公司能够恪守承诺。</w:t>
      </w:r>
    </w:p>
    <w:p>
      <w:pPr>
        <w:pStyle w:val="BodyText"/>
        <w:spacing w:line="379" w:lineRule="auto" w:before="52"/>
        <w:ind w:right="33" w:firstLine="439"/>
        <w:jc w:val="left"/>
      </w:pPr>
      <w:r>
        <w:rPr>
          <w:spacing w:val="-3"/>
        </w:rPr>
        <w:t>（八）作为本公司股东的董事、监事和高级管理人员纪立军、臧少玉、缪融、王宏道、</w:t>
      </w:r>
      <w:r>
        <w:rPr>
          <w:w w:val="100"/>
        </w:rPr>
        <w:t> </w:t>
      </w:r>
      <w:r>
        <w:rPr/>
        <w:t>耿毅英、马立群、王敬敏、孙永胜、文欣和石磊承诺自公司股票上市之日起的</w:t>
      </w:r>
      <w:r>
        <w:rPr>
          <w:rFonts w:ascii="Arial" w:hAnsi="Arial" w:cs="Arial" w:eastAsia="Arial" w:hint="default"/>
        </w:rPr>
        <w:t>12</w:t>
      </w:r>
      <w:r>
        <w:rPr/>
        <w:t>个月内，</w:t>
      </w:r>
      <w:r>
        <w:rPr>
          <w:spacing w:val="-81"/>
        </w:rPr>
        <w:t> </w:t>
      </w:r>
      <w:r>
        <w:rPr/>
        <w:t>本人不转让或者委托他人管理本人直接或者间接持有的公司股份，也不由公司回购该部分</w:t>
      </w:r>
      <w:r>
        <w:rPr>
          <w:spacing w:val="-57"/>
        </w:rPr>
        <w:t> </w:t>
      </w:r>
      <w:r>
        <w:rPr>
          <w:spacing w:val="-57"/>
        </w:rPr>
      </w:r>
      <w:r>
        <w:rPr/>
        <w:t>股份；除前述锁定期外，在本人任职期间每年转让的股份不超过本人直接或者间接持有的</w:t>
      </w:r>
      <w:r>
        <w:rPr>
          <w:spacing w:val="-57"/>
        </w:rPr>
        <w:t> </w:t>
      </w:r>
      <w:r>
        <w:rPr>
          <w:spacing w:val="-57"/>
        </w:rPr>
      </w:r>
      <w:r>
        <w:rPr>
          <w:spacing w:val="-3"/>
        </w:rPr>
        <w:t>公司股份总数的</w:t>
      </w:r>
      <w:r>
        <w:rPr>
          <w:rFonts w:ascii="Arial" w:hAnsi="Arial" w:cs="Arial" w:eastAsia="Arial" w:hint="default"/>
          <w:spacing w:val="-3"/>
        </w:rPr>
        <w:t>25%</w:t>
      </w:r>
      <w:r>
        <w:rPr>
          <w:spacing w:val="-3"/>
        </w:rPr>
        <w:t>；离职</w:t>
      </w:r>
      <w:r>
        <w:rPr>
          <w:rFonts w:ascii="Arial" w:hAnsi="Arial" w:cs="Arial" w:eastAsia="Arial" w:hint="default"/>
          <w:spacing w:val="-3"/>
        </w:rPr>
        <w:t>6</w:t>
      </w:r>
      <w:r>
        <w:rPr>
          <w:spacing w:val="-3"/>
        </w:rPr>
        <w:t>个月后的</w:t>
      </w:r>
      <w:r>
        <w:rPr>
          <w:rFonts w:ascii="Arial" w:hAnsi="Arial" w:cs="Arial" w:eastAsia="Arial" w:hint="default"/>
          <w:spacing w:val="-3"/>
        </w:rPr>
        <w:t>12</w:t>
      </w:r>
      <w:r>
        <w:rPr>
          <w:spacing w:val="-3"/>
        </w:rPr>
        <w:t>个月内，通过交易所挂牌出售公司股票占本人所持</w:t>
      </w:r>
      <w:r>
        <w:rPr>
          <w:spacing w:val="-84"/>
        </w:rPr>
        <w:t> </w:t>
      </w:r>
      <w:r>
        <w:rPr>
          <w:spacing w:val="-84"/>
        </w:rPr>
      </w:r>
      <w:r>
        <w:rPr/>
        <w:t>有的安诺其股票总数的比例不超过</w:t>
      </w:r>
      <w:r>
        <w:rPr>
          <w:rFonts w:ascii="Arial" w:hAnsi="Arial" w:cs="Arial" w:eastAsia="Arial" w:hint="default"/>
        </w:rPr>
        <w:t>50%</w:t>
      </w:r>
      <w:r>
        <w:rPr/>
        <w:t>。经公司核查，报告期内，上述董事、监事和高级</w:t>
      </w:r>
      <w:r>
        <w:rPr>
          <w:spacing w:val="-61"/>
        </w:rPr>
        <w:t> </w:t>
      </w:r>
      <w:r>
        <w:rPr>
          <w:spacing w:val="-61"/>
        </w:rPr>
      </w:r>
      <w:r>
        <w:rPr/>
        <w:t>管理人员能够恪守承诺。</w:t>
      </w:r>
    </w:p>
    <w:p>
      <w:pPr>
        <w:pStyle w:val="Heading3"/>
        <w:spacing w:line="240" w:lineRule="auto" w:before="83"/>
        <w:ind w:right="33"/>
        <w:jc w:val="left"/>
      </w:pPr>
      <w:r>
        <w:rPr/>
        <w:t>九、解聘、聘任会计师事务所情况</w:t>
      </w:r>
    </w:p>
    <w:p>
      <w:pPr>
        <w:spacing w:after="0" w:line="240" w:lineRule="auto"/>
        <w:jc w:val="left"/>
        <w:sectPr>
          <w:pgSz w:w="11900" w:h="16840"/>
          <w:pgMar w:header="877" w:footer="981" w:top="1100" w:bottom="1180" w:left="1660" w:right="1240"/>
        </w:sectPr>
      </w:pPr>
    </w:p>
    <w:p>
      <w:pPr>
        <w:spacing w:line="240" w:lineRule="auto" w:before="4"/>
        <w:rPr>
          <w:rFonts w:ascii="宋体" w:hAnsi="宋体" w:cs="宋体" w:eastAsia="宋体" w:hint="default"/>
          <w:sz w:val="26"/>
          <w:szCs w:val="26"/>
        </w:rPr>
      </w:pPr>
    </w:p>
    <w:p>
      <w:pPr>
        <w:pStyle w:val="BodyText"/>
        <w:spacing w:line="369" w:lineRule="auto"/>
        <w:ind w:left="177" w:right="198" w:firstLine="439"/>
        <w:jc w:val="both"/>
      </w:pPr>
      <w:r>
        <w:rPr>
          <w:spacing w:val="-1"/>
        </w:rPr>
        <w:t>上海众华沪银会计师事务所有限公司（以下简称“众华沪银”）自</w:t>
      </w:r>
      <w:r>
        <w:rPr>
          <w:rFonts w:ascii="Arial" w:hAnsi="Arial" w:cs="Arial" w:eastAsia="Arial" w:hint="default"/>
          <w:spacing w:val="-1"/>
        </w:rPr>
        <w:t>2007</w:t>
      </w:r>
      <w:r>
        <w:rPr>
          <w:spacing w:val="-1"/>
        </w:rPr>
        <w:t>年来为公司提</w:t>
      </w:r>
      <w:r>
        <w:rPr>
          <w:w w:val="100"/>
        </w:rPr>
        <w:t> </w:t>
      </w:r>
      <w:r>
        <w:rPr>
          <w:spacing w:val="-1"/>
        </w:rPr>
        <w:t>供审计服务，在公司</w:t>
      </w:r>
      <w:r>
        <w:rPr>
          <w:rFonts w:ascii="Arial" w:hAnsi="Arial" w:cs="Arial" w:eastAsia="Arial" w:hint="default"/>
          <w:spacing w:val="-1"/>
        </w:rPr>
        <w:t>2009</w:t>
      </w:r>
      <w:r>
        <w:rPr>
          <w:spacing w:val="-1"/>
        </w:rPr>
        <w:t>年度审计工作中遵照独立执业准则，履行职责，客观、公正的完</w:t>
      </w:r>
      <w:r>
        <w:rPr>
          <w:spacing w:val="-67"/>
        </w:rPr>
        <w:t> </w:t>
      </w:r>
      <w:r>
        <w:rPr>
          <w:spacing w:val="-67"/>
        </w:rPr>
      </w:r>
      <w:r>
        <w:rPr>
          <w:spacing w:val="-3"/>
        </w:rPr>
        <w:t>成了公司审计工作，经公司</w:t>
      </w:r>
      <w:r>
        <w:rPr>
          <w:rFonts w:ascii="Arial" w:hAnsi="Arial" w:cs="Arial" w:eastAsia="Arial" w:hint="default"/>
          <w:spacing w:val="-3"/>
        </w:rPr>
        <w:t>2010</w:t>
      </w:r>
      <w:r>
        <w:rPr>
          <w:spacing w:val="-3"/>
        </w:rPr>
        <w:t>年</w:t>
      </w:r>
      <w:r>
        <w:rPr>
          <w:rFonts w:ascii="Arial" w:hAnsi="Arial" w:cs="Arial" w:eastAsia="Arial" w:hint="default"/>
          <w:spacing w:val="-3"/>
        </w:rPr>
        <w:t>2</w:t>
      </w:r>
      <w:r>
        <w:rPr>
          <w:spacing w:val="-3"/>
        </w:rPr>
        <w:t>月</w:t>
      </w:r>
      <w:r>
        <w:rPr>
          <w:rFonts w:ascii="Arial" w:hAnsi="Arial" w:cs="Arial" w:eastAsia="Arial" w:hint="default"/>
          <w:spacing w:val="-3"/>
        </w:rPr>
        <w:t>5</w:t>
      </w:r>
      <w:r>
        <w:rPr>
          <w:spacing w:val="-3"/>
        </w:rPr>
        <w:t>日召开的</w:t>
      </w:r>
      <w:r>
        <w:rPr>
          <w:rFonts w:ascii="Arial" w:hAnsi="Arial" w:cs="Arial" w:eastAsia="Arial" w:hint="default"/>
          <w:spacing w:val="-3"/>
        </w:rPr>
        <w:t>2009</w:t>
      </w:r>
      <w:r>
        <w:rPr>
          <w:spacing w:val="-3"/>
        </w:rPr>
        <w:t>年年度股东大会审议通过，继续聘任</w:t>
      </w:r>
      <w:r>
        <w:rPr>
          <w:spacing w:val="-57"/>
        </w:rPr>
        <w:t> </w:t>
      </w:r>
      <w:r>
        <w:rPr>
          <w:spacing w:val="-57"/>
        </w:rPr>
      </w:r>
      <w:r>
        <w:rPr>
          <w:spacing w:val="-2"/>
        </w:rPr>
        <w:t>众华沪银会计师事务所有限公司为公司</w:t>
      </w:r>
      <w:r>
        <w:rPr>
          <w:rFonts w:ascii="Arial" w:hAnsi="Arial" w:cs="Arial" w:eastAsia="Arial" w:hint="default"/>
          <w:spacing w:val="-2"/>
        </w:rPr>
        <w:t>2010</w:t>
      </w:r>
      <w:r>
        <w:rPr>
          <w:spacing w:val="-2"/>
        </w:rPr>
        <w:t>年度财务审计机构，聘期自</w:t>
      </w:r>
      <w:r>
        <w:rPr>
          <w:rFonts w:ascii="Arial" w:hAnsi="Arial" w:cs="Arial" w:eastAsia="Arial" w:hint="default"/>
          <w:spacing w:val="-2"/>
        </w:rPr>
        <w:t>2009</w:t>
      </w:r>
      <w:r>
        <w:rPr>
          <w:spacing w:val="-2"/>
        </w:rPr>
        <w:t>年度股东大会</w:t>
      </w:r>
      <w:r>
        <w:rPr>
          <w:spacing w:val="-76"/>
        </w:rPr>
        <w:t> </w:t>
      </w:r>
      <w:r>
        <w:rPr>
          <w:spacing w:val="-76"/>
        </w:rPr>
      </w:r>
      <w:r>
        <w:rPr/>
        <w:t>至</w:t>
      </w:r>
      <w:r>
        <w:rPr>
          <w:rFonts w:ascii="Arial" w:hAnsi="Arial" w:cs="Arial" w:eastAsia="Arial" w:hint="default"/>
        </w:rPr>
        <w:t>2010</w:t>
      </w:r>
      <w:r>
        <w:rPr/>
        <w:t>年度股东大会。</w:t>
      </w:r>
    </w:p>
    <w:p>
      <w:pPr>
        <w:pStyle w:val="Heading3"/>
        <w:spacing w:line="240" w:lineRule="auto" w:before="62"/>
        <w:ind w:left="177" w:right="0"/>
        <w:jc w:val="left"/>
      </w:pPr>
      <w:r>
        <w:rPr/>
        <w:t>十、报告期内公司公告索引</w:t>
      </w:r>
    </w:p>
    <w:p>
      <w:pPr>
        <w:spacing w:line="240" w:lineRule="auto" w:before="2"/>
        <w:rPr>
          <w:rFonts w:ascii="宋体" w:hAnsi="宋体" w:cs="宋体" w:eastAsia="宋体"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830"/>
        <w:gridCol w:w="1260"/>
        <w:gridCol w:w="1260"/>
        <w:gridCol w:w="3960"/>
        <w:gridCol w:w="1440"/>
      </w:tblGrid>
      <w:tr>
        <w:trPr>
          <w:trHeight w:val="497" w:hRule="exact"/>
        </w:trPr>
        <w:tc>
          <w:tcPr>
            <w:tcW w:w="8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2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2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254" w:right="0"/>
              <w:jc w:val="left"/>
              <w:rPr>
                <w:rFonts w:ascii="宋体" w:hAnsi="宋体" w:cs="宋体" w:eastAsia="宋体" w:hint="default"/>
                <w:sz w:val="18"/>
                <w:szCs w:val="18"/>
              </w:rPr>
            </w:pPr>
            <w:r>
              <w:rPr>
                <w:rFonts w:ascii="宋体" w:hAnsi="宋体" w:cs="宋体" w:eastAsia="宋体" w:hint="default"/>
                <w:sz w:val="18"/>
                <w:szCs w:val="18"/>
              </w:rPr>
              <w:t>公告编号</w:t>
            </w:r>
          </w:p>
        </w:tc>
        <w:tc>
          <w:tcPr>
            <w:tcW w:w="39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公告内容</w:t>
            </w:r>
          </w:p>
        </w:tc>
        <w:tc>
          <w:tcPr>
            <w:tcW w:w="14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披露媒体</w:t>
            </w:r>
          </w:p>
        </w:tc>
      </w:tr>
      <w:tr>
        <w:trPr>
          <w:trHeight w:val="499" w:hRule="exact"/>
        </w:trPr>
        <w:tc>
          <w:tcPr>
            <w:tcW w:w="8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w w:val="99"/>
                <w:sz w:val="18"/>
              </w:rPr>
              <w:t>1</w:t>
            </w:r>
            <w:r>
              <w:rPr>
                <w:rFonts w:ascii="Arial"/>
                <w:sz w:val="18"/>
              </w:rPr>
            </w:r>
          </w:p>
        </w:tc>
        <w:tc>
          <w:tcPr>
            <w:tcW w:w="12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202"/>
              <w:jc w:val="right"/>
              <w:rPr>
                <w:rFonts w:ascii="Arial" w:hAnsi="Arial" w:cs="Arial" w:eastAsia="Arial" w:hint="default"/>
                <w:sz w:val="18"/>
                <w:szCs w:val="18"/>
              </w:rPr>
            </w:pPr>
            <w:r>
              <w:rPr>
                <w:rFonts w:ascii="Arial"/>
                <w:spacing w:val="-1"/>
                <w:sz w:val="18"/>
              </w:rPr>
              <w:t>2010-4-30</w:t>
            </w:r>
          </w:p>
        </w:tc>
        <w:tc>
          <w:tcPr>
            <w:tcW w:w="12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left="232" w:right="0"/>
              <w:jc w:val="left"/>
              <w:rPr>
                <w:rFonts w:ascii="Arial" w:hAnsi="Arial" w:cs="Arial" w:eastAsia="Arial" w:hint="default"/>
                <w:sz w:val="18"/>
                <w:szCs w:val="18"/>
              </w:rPr>
            </w:pPr>
            <w:r>
              <w:rPr>
                <w:rFonts w:ascii="Arial"/>
                <w:sz w:val="18"/>
              </w:rPr>
              <w:t>2010-001</w:t>
            </w:r>
          </w:p>
        </w:tc>
        <w:tc>
          <w:tcPr>
            <w:tcW w:w="39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9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Arial" w:hAnsi="Arial" w:cs="Arial" w:eastAsia="Arial" w:hint="default"/>
                <w:sz w:val="18"/>
                <w:szCs w:val="18"/>
              </w:rPr>
              <w:t>2010</w:t>
            </w:r>
            <w:r>
              <w:rPr>
                <w:rFonts w:ascii="宋体" w:hAnsi="宋体" w:cs="宋体" w:eastAsia="宋体" w:hint="default"/>
                <w:sz w:val="18"/>
                <w:szCs w:val="18"/>
              </w:rPr>
              <w:t>年第一季度报告正文》</w:t>
            </w:r>
          </w:p>
        </w:tc>
        <w:tc>
          <w:tcPr>
            <w:tcW w:w="14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97" w:hRule="exact"/>
        </w:trPr>
        <w:tc>
          <w:tcPr>
            <w:tcW w:w="8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w w:val="99"/>
                <w:sz w:val="18"/>
              </w:rPr>
              <w:t>2</w:t>
            </w:r>
            <w:r>
              <w:rPr>
                <w:rFonts w:ascii="Arial"/>
                <w:sz w:val="18"/>
              </w:rPr>
            </w:r>
          </w:p>
        </w:tc>
        <w:tc>
          <w:tcPr>
            <w:tcW w:w="12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202"/>
              <w:jc w:val="right"/>
              <w:rPr>
                <w:rFonts w:ascii="Arial" w:hAnsi="Arial" w:cs="Arial" w:eastAsia="Arial" w:hint="default"/>
                <w:sz w:val="18"/>
                <w:szCs w:val="18"/>
              </w:rPr>
            </w:pPr>
            <w:r>
              <w:rPr>
                <w:rFonts w:ascii="Arial"/>
                <w:spacing w:val="-1"/>
                <w:sz w:val="18"/>
              </w:rPr>
              <w:t>2010-5-18</w:t>
            </w:r>
          </w:p>
        </w:tc>
        <w:tc>
          <w:tcPr>
            <w:tcW w:w="12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left="232" w:right="0"/>
              <w:jc w:val="left"/>
              <w:rPr>
                <w:rFonts w:ascii="Arial" w:hAnsi="Arial" w:cs="Arial" w:eastAsia="Arial" w:hint="default"/>
                <w:sz w:val="18"/>
                <w:szCs w:val="18"/>
              </w:rPr>
            </w:pPr>
            <w:r>
              <w:rPr>
                <w:rFonts w:ascii="Arial"/>
                <w:sz w:val="18"/>
              </w:rPr>
              <w:t>2010-002</w:t>
            </w:r>
          </w:p>
        </w:tc>
        <w:tc>
          <w:tcPr>
            <w:tcW w:w="39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93" w:right="0"/>
              <w:jc w:val="left"/>
              <w:rPr>
                <w:rFonts w:ascii="宋体" w:hAnsi="宋体" w:cs="宋体" w:eastAsia="宋体" w:hint="default"/>
                <w:sz w:val="18"/>
                <w:szCs w:val="18"/>
              </w:rPr>
            </w:pPr>
            <w:r>
              <w:rPr>
                <w:rFonts w:ascii="宋体" w:hAnsi="宋体" w:cs="宋体" w:eastAsia="宋体" w:hint="default"/>
                <w:sz w:val="18"/>
                <w:szCs w:val="18"/>
              </w:rPr>
              <w:t>《第一届董事会第十六次会议决议公告》</w:t>
            </w:r>
          </w:p>
        </w:tc>
        <w:tc>
          <w:tcPr>
            <w:tcW w:w="14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99" w:hRule="exact"/>
        </w:trPr>
        <w:tc>
          <w:tcPr>
            <w:tcW w:w="8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w w:val="99"/>
                <w:sz w:val="18"/>
              </w:rPr>
              <w:t>3</w:t>
            </w:r>
            <w:r>
              <w:rPr>
                <w:rFonts w:ascii="Arial"/>
                <w:sz w:val="18"/>
              </w:rPr>
            </w:r>
          </w:p>
        </w:tc>
        <w:tc>
          <w:tcPr>
            <w:tcW w:w="12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202"/>
              <w:jc w:val="right"/>
              <w:rPr>
                <w:rFonts w:ascii="Arial" w:hAnsi="Arial" w:cs="Arial" w:eastAsia="Arial" w:hint="default"/>
                <w:sz w:val="18"/>
                <w:szCs w:val="18"/>
              </w:rPr>
            </w:pPr>
            <w:r>
              <w:rPr>
                <w:rFonts w:ascii="Arial"/>
                <w:spacing w:val="-1"/>
                <w:sz w:val="18"/>
              </w:rPr>
              <w:t>2010-5-18</w:t>
            </w:r>
          </w:p>
        </w:tc>
        <w:tc>
          <w:tcPr>
            <w:tcW w:w="12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left="232" w:right="0"/>
              <w:jc w:val="left"/>
              <w:rPr>
                <w:rFonts w:ascii="Arial" w:hAnsi="Arial" w:cs="Arial" w:eastAsia="Arial" w:hint="default"/>
                <w:sz w:val="18"/>
                <w:szCs w:val="18"/>
              </w:rPr>
            </w:pPr>
            <w:r>
              <w:rPr>
                <w:rFonts w:ascii="Arial"/>
                <w:sz w:val="18"/>
              </w:rPr>
              <w:t>2010-003</w:t>
            </w:r>
          </w:p>
        </w:tc>
        <w:tc>
          <w:tcPr>
            <w:tcW w:w="39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93" w:right="0"/>
              <w:jc w:val="left"/>
              <w:rPr>
                <w:rFonts w:ascii="宋体" w:hAnsi="宋体" w:cs="宋体" w:eastAsia="宋体" w:hint="default"/>
                <w:sz w:val="18"/>
                <w:szCs w:val="18"/>
              </w:rPr>
            </w:pPr>
            <w:r>
              <w:rPr>
                <w:rFonts w:ascii="宋体" w:hAnsi="宋体" w:cs="宋体" w:eastAsia="宋体" w:hint="default"/>
                <w:sz w:val="18"/>
                <w:szCs w:val="18"/>
              </w:rPr>
              <w:t>《第一届监事会第六次会议决议公告》</w:t>
            </w:r>
          </w:p>
        </w:tc>
        <w:tc>
          <w:tcPr>
            <w:tcW w:w="14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97" w:hRule="exact"/>
        </w:trPr>
        <w:tc>
          <w:tcPr>
            <w:tcW w:w="8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w w:val="99"/>
                <w:sz w:val="18"/>
              </w:rPr>
              <w:t>4</w:t>
            </w:r>
            <w:r>
              <w:rPr>
                <w:rFonts w:ascii="Arial"/>
                <w:sz w:val="18"/>
              </w:rPr>
            </w:r>
          </w:p>
        </w:tc>
        <w:tc>
          <w:tcPr>
            <w:tcW w:w="12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202"/>
              <w:jc w:val="right"/>
              <w:rPr>
                <w:rFonts w:ascii="Arial" w:hAnsi="Arial" w:cs="Arial" w:eastAsia="Arial" w:hint="default"/>
                <w:sz w:val="18"/>
                <w:szCs w:val="18"/>
              </w:rPr>
            </w:pPr>
            <w:r>
              <w:rPr>
                <w:rFonts w:ascii="Arial"/>
                <w:spacing w:val="-1"/>
                <w:sz w:val="18"/>
              </w:rPr>
              <w:t>2010-5-18</w:t>
            </w:r>
          </w:p>
        </w:tc>
        <w:tc>
          <w:tcPr>
            <w:tcW w:w="12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left="232" w:right="0"/>
              <w:jc w:val="left"/>
              <w:rPr>
                <w:rFonts w:ascii="Arial" w:hAnsi="Arial" w:cs="Arial" w:eastAsia="Arial" w:hint="default"/>
                <w:sz w:val="18"/>
                <w:szCs w:val="18"/>
              </w:rPr>
            </w:pPr>
            <w:r>
              <w:rPr>
                <w:rFonts w:ascii="Arial"/>
                <w:sz w:val="18"/>
              </w:rPr>
              <w:t>2010-004</w:t>
            </w:r>
          </w:p>
        </w:tc>
        <w:tc>
          <w:tcPr>
            <w:tcW w:w="39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93" w:right="0"/>
              <w:jc w:val="left"/>
              <w:rPr>
                <w:rFonts w:ascii="宋体" w:hAnsi="宋体" w:cs="宋体" w:eastAsia="宋体" w:hint="default"/>
                <w:sz w:val="18"/>
                <w:szCs w:val="18"/>
              </w:rPr>
            </w:pPr>
            <w:r>
              <w:rPr>
                <w:rFonts w:ascii="宋体" w:hAnsi="宋体" w:cs="宋体" w:eastAsia="宋体" w:hint="default"/>
                <w:sz w:val="18"/>
                <w:szCs w:val="18"/>
              </w:rPr>
              <w:t>《关于签订募集资金三方监管协议的公告》</w:t>
            </w:r>
          </w:p>
        </w:tc>
        <w:tc>
          <w:tcPr>
            <w:tcW w:w="14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967" w:hRule="exact"/>
        </w:trPr>
        <w:tc>
          <w:tcPr>
            <w:tcW w:w="8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Arial" w:hAnsi="Arial" w:cs="Arial" w:eastAsia="Arial" w:hint="default"/>
                <w:sz w:val="18"/>
                <w:szCs w:val="18"/>
              </w:rPr>
            </w:pPr>
            <w:r>
              <w:rPr>
                <w:rFonts w:ascii="Arial"/>
                <w:w w:val="99"/>
                <w:sz w:val="18"/>
              </w:rPr>
              <w:t>5</w:t>
            </w:r>
            <w:r>
              <w:rPr>
                <w:rFonts w:ascii="Arial"/>
                <w:sz w:val="18"/>
              </w:rPr>
            </w:r>
          </w:p>
        </w:tc>
        <w:tc>
          <w:tcPr>
            <w:tcW w:w="12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2"/>
              <w:jc w:val="right"/>
              <w:rPr>
                <w:rFonts w:ascii="Arial" w:hAnsi="Arial" w:cs="Arial" w:eastAsia="Arial" w:hint="default"/>
                <w:sz w:val="18"/>
                <w:szCs w:val="18"/>
              </w:rPr>
            </w:pPr>
            <w:r>
              <w:rPr>
                <w:rFonts w:ascii="Arial"/>
                <w:spacing w:val="-1"/>
                <w:sz w:val="18"/>
              </w:rPr>
              <w:t>2010-5-18</w:t>
            </w:r>
          </w:p>
        </w:tc>
        <w:tc>
          <w:tcPr>
            <w:tcW w:w="12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2" w:right="0"/>
              <w:jc w:val="left"/>
              <w:rPr>
                <w:rFonts w:ascii="Arial" w:hAnsi="Arial" w:cs="Arial" w:eastAsia="Arial" w:hint="default"/>
                <w:sz w:val="18"/>
                <w:szCs w:val="18"/>
              </w:rPr>
            </w:pPr>
            <w:r>
              <w:rPr>
                <w:rFonts w:ascii="Arial"/>
                <w:sz w:val="18"/>
              </w:rPr>
              <w:t>2010-005</w:t>
            </w:r>
          </w:p>
        </w:tc>
        <w:tc>
          <w:tcPr>
            <w:tcW w:w="39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93" w:right="0"/>
              <w:jc w:val="left"/>
              <w:rPr>
                <w:rFonts w:ascii="宋体" w:hAnsi="宋体" w:cs="宋体" w:eastAsia="宋体" w:hint="default"/>
                <w:sz w:val="18"/>
                <w:szCs w:val="18"/>
              </w:rPr>
            </w:pPr>
            <w:r>
              <w:rPr>
                <w:rFonts w:ascii="宋体" w:hAnsi="宋体" w:cs="宋体" w:eastAsia="宋体" w:hint="default"/>
                <w:spacing w:val="6"/>
                <w:sz w:val="18"/>
                <w:szCs w:val="18"/>
              </w:rPr>
              <w:t>《关于用募集资金置换预先投入募集资金投资</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项目的自筹资金的公告》</w:t>
            </w:r>
          </w:p>
        </w:tc>
        <w:tc>
          <w:tcPr>
            <w:tcW w:w="14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97" w:hRule="exact"/>
        </w:trPr>
        <w:tc>
          <w:tcPr>
            <w:tcW w:w="8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w w:val="99"/>
                <w:sz w:val="18"/>
              </w:rPr>
              <w:t>6</w:t>
            </w:r>
            <w:r>
              <w:rPr>
                <w:rFonts w:ascii="Arial"/>
                <w:sz w:val="18"/>
              </w:rPr>
            </w:r>
          </w:p>
        </w:tc>
        <w:tc>
          <w:tcPr>
            <w:tcW w:w="12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202"/>
              <w:jc w:val="right"/>
              <w:rPr>
                <w:rFonts w:ascii="Arial" w:hAnsi="Arial" w:cs="Arial" w:eastAsia="Arial" w:hint="default"/>
                <w:sz w:val="18"/>
                <w:szCs w:val="18"/>
              </w:rPr>
            </w:pPr>
            <w:r>
              <w:rPr>
                <w:rFonts w:ascii="Arial"/>
                <w:spacing w:val="-1"/>
                <w:sz w:val="18"/>
              </w:rPr>
              <w:t>2010-5-18</w:t>
            </w:r>
          </w:p>
        </w:tc>
        <w:tc>
          <w:tcPr>
            <w:tcW w:w="12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left="232" w:right="0"/>
              <w:jc w:val="left"/>
              <w:rPr>
                <w:rFonts w:ascii="Arial" w:hAnsi="Arial" w:cs="Arial" w:eastAsia="Arial" w:hint="default"/>
                <w:sz w:val="18"/>
                <w:szCs w:val="18"/>
              </w:rPr>
            </w:pPr>
            <w:r>
              <w:rPr>
                <w:rFonts w:ascii="Arial"/>
                <w:sz w:val="18"/>
              </w:rPr>
              <w:t>2010-006</w:t>
            </w:r>
          </w:p>
        </w:tc>
        <w:tc>
          <w:tcPr>
            <w:tcW w:w="39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93" w:right="0"/>
              <w:jc w:val="left"/>
              <w:rPr>
                <w:rFonts w:ascii="宋体" w:hAnsi="宋体" w:cs="宋体" w:eastAsia="宋体" w:hint="default"/>
                <w:sz w:val="18"/>
                <w:szCs w:val="18"/>
              </w:rPr>
            </w:pPr>
            <w:r>
              <w:rPr>
                <w:rFonts w:ascii="宋体" w:hAnsi="宋体" w:cs="宋体" w:eastAsia="宋体" w:hint="default"/>
                <w:sz w:val="18"/>
                <w:szCs w:val="18"/>
              </w:rPr>
              <w:t>《关于使用部分超募资金偿还银行贷款的公告》</w:t>
            </w:r>
          </w:p>
        </w:tc>
        <w:tc>
          <w:tcPr>
            <w:tcW w:w="14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99" w:hRule="exact"/>
        </w:trPr>
        <w:tc>
          <w:tcPr>
            <w:tcW w:w="8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w w:val="99"/>
                <w:sz w:val="18"/>
              </w:rPr>
              <w:t>7</w:t>
            </w:r>
            <w:r>
              <w:rPr>
                <w:rFonts w:ascii="Arial"/>
                <w:sz w:val="18"/>
              </w:rPr>
            </w:r>
          </w:p>
        </w:tc>
        <w:tc>
          <w:tcPr>
            <w:tcW w:w="12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253"/>
              <w:jc w:val="right"/>
              <w:rPr>
                <w:rFonts w:ascii="Arial" w:hAnsi="Arial" w:cs="Arial" w:eastAsia="Arial" w:hint="default"/>
                <w:sz w:val="18"/>
                <w:szCs w:val="18"/>
              </w:rPr>
            </w:pPr>
            <w:r>
              <w:rPr>
                <w:rFonts w:ascii="Arial"/>
                <w:spacing w:val="-1"/>
                <w:sz w:val="18"/>
              </w:rPr>
              <w:t>2010-6-4</w:t>
            </w:r>
          </w:p>
        </w:tc>
        <w:tc>
          <w:tcPr>
            <w:tcW w:w="12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left="232" w:right="0"/>
              <w:jc w:val="left"/>
              <w:rPr>
                <w:rFonts w:ascii="Arial" w:hAnsi="Arial" w:cs="Arial" w:eastAsia="Arial" w:hint="default"/>
                <w:sz w:val="18"/>
                <w:szCs w:val="18"/>
              </w:rPr>
            </w:pPr>
            <w:r>
              <w:rPr>
                <w:rFonts w:ascii="Arial"/>
                <w:sz w:val="18"/>
              </w:rPr>
              <w:t>2010-007</w:t>
            </w:r>
          </w:p>
        </w:tc>
        <w:tc>
          <w:tcPr>
            <w:tcW w:w="39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93" w:right="0"/>
              <w:jc w:val="left"/>
              <w:rPr>
                <w:rFonts w:ascii="宋体" w:hAnsi="宋体" w:cs="宋体" w:eastAsia="宋体" w:hint="default"/>
                <w:sz w:val="18"/>
                <w:szCs w:val="18"/>
              </w:rPr>
            </w:pPr>
            <w:r>
              <w:rPr>
                <w:rFonts w:ascii="宋体" w:hAnsi="宋体" w:cs="宋体" w:eastAsia="宋体" w:hint="default"/>
                <w:sz w:val="18"/>
                <w:szCs w:val="18"/>
              </w:rPr>
              <w:t>《关于部分募集资金以存单方式存放的公告》</w:t>
            </w:r>
          </w:p>
        </w:tc>
        <w:tc>
          <w:tcPr>
            <w:tcW w:w="14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97" w:hRule="exact"/>
        </w:trPr>
        <w:tc>
          <w:tcPr>
            <w:tcW w:w="8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w w:val="99"/>
                <w:sz w:val="18"/>
              </w:rPr>
              <w:t>8</w:t>
            </w:r>
            <w:r>
              <w:rPr>
                <w:rFonts w:ascii="Arial"/>
                <w:sz w:val="18"/>
              </w:rPr>
            </w:r>
          </w:p>
        </w:tc>
        <w:tc>
          <w:tcPr>
            <w:tcW w:w="12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202"/>
              <w:jc w:val="right"/>
              <w:rPr>
                <w:rFonts w:ascii="Arial" w:hAnsi="Arial" w:cs="Arial" w:eastAsia="Arial" w:hint="default"/>
                <w:sz w:val="18"/>
                <w:szCs w:val="18"/>
              </w:rPr>
            </w:pPr>
            <w:r>
              <w:rPr>
                <w:rFonts w:ascii="Arial"/>
                <w:spacing w:val="-1"/>
                <w:sz w:val="18"/>
              </w:rPr>
              <w:t>2010-6-26</w:t>
            </w:r>
          </w:p>
        </w:tc>
        <w:tc>
          <w:tcPr>
            <w:tcW w:w="12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left="232" w:right="0"/>
              <w:jc w:val="left"/>
              <w:rPr>
                <w:rFonts w:ascii="Arial" w:hAnsi="Arial" w:cs="Arial" w:eastAsia="Arial" w:hint="default"/>
                <w:sz w:val="18"/>
                <w:szCs w:val="18"/>
              </w:rPr>
            </w:pPr>
            <w:r>
              <w:rPr>
                <w:rFonts w:ascii="Arial"/>
                <w:sz w:val="18"/>
              </w:rPr>
              <w:t>2010-008</w:t>
            </w:r>
          </w:p>
        </w:tc>
        <w:tc>
          <w:tcPr>
            <w:tcW w:w="39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93" w:right="0"/>
              <w:jc w:val="left"/>
              <w:rPr>
                <w:rFonts w:ascii="宋体" w:hAnsi="宋体" w:cs="宋体" w:eastAsia="宋体" w:hint="default"/>
                <w:sz w:val="18"/>
                <w:szCs w:val="18"/>
              </w:rPr>
            </w:pPr>
            <w:r>
              <w:rPr>
                <w:rFonts w:ascii="宋体" w:hAnsi="宋体" w:cs="宋体" w:eastAsia="宋体" w:hint="default"/>
                <w:sz w:val="18"/>
                <w:szCs w:val="18"/>
              </w:rPr>
              <w:t>《第一届董事会第十七次会议决议公告》</w:t>
            </w:r>
          </w:p>
        </w:tc>
        <w:tc>
          <w:tcPr>
            <w:tcW w:w="14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99" w:hRule="exact"/>
        </w:trPr>
        <w:tc>
          <w:tcPr>
            <w:tcW w:w="8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w w:val="99"/>
                <w:sz w:val="18"/>
              </w:rPr>
              <w:t>9</w:t>
            </w:r>
            <w:r>
              <w:rPr>
                <w:rFonts w:ascii="Arial"/>
                <w:sz w:val="18"/>
              </w:rPr>
            </w:r>
          </w:p>
        </w:tc>
        <w:tc>
          <w:tcPr>
            <w:tcW w:w="12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202"/>
              <w:jc w:val="right"/>
              <w:rPr>
                <w:rFonts w:ascii="Arial" w:hAnsi="Arial" w:cs="Arial" w:eastAsia="Arial" w:hint="default"/>
                <w:sz w:val="18"/>
                <w:szCs w:val="18"/>
              </w:rPr>
            </w:pPr>
            <w:r>
              <w:rPr>
                <w:rFonts w:ascii="Arial"/>
                <w:spacing w:val="-1"/>
                <w:sz w:val="18"/>
              </w:rPr>
              <w:t>2010-6-26</w:t>
            </w:r>
          </w:p>
        </w:tc>
        <w:tc>
          <w:tcPr>
            <w:tcW w:w="12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left="232" w:right="0"/>
              <w:jc w:val="left"/>
              <w:rPr>
                <w:rFonts w:ascii="Arial" w:hAnsi="Arial" w:cs="Arial" w:eastAsia="Arial" w:hint="default"/>
                <w:sz w:val="18"/>
                <w:szCs w:val="18"/>
              </w:rPr>
            </w:pPr>
            <w:r>
              <w:rPr>
                <w:rFonts w:ascii="Arial"/>
                <w:sz w:val="18"/>
              </w:rPr>
              <w:t>2010-009</w:t>
            </w:r>
          </w:p>
        </w:tc>
        <w:tc>
          <w:tcPr>
            <w:tcW w:w="39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9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Arial" w:hAnsi="Arial" w:cs="Arial" w:eastAsia="Arial" w:hint="default"/>
                <w:sz w:val="18"/>
                <w:szCs w:val="18"/>
              </w:rPr>
              <w:t>2010</w:t>
            </w:r>
            <w:r>
              <w:rPr>
                <w:rFonts w:ascii="宋体" w:hAnsi="宋体" w:cs="宋体" w:eastAsia="宋体" w:hint="default"/>
                <w:sz w:val="18"/>
                <w:szCs w:val="18"/>
              </w:rPr>
              <w:t>年第二次临时股东大会通知》</w:t>
            </w:r>
          </w:p>
        </w:tc>
        <w:tc>
          <w:tcPr>
            <w:tcW w:w="14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97" w:hRule="exact"/>
        </w:trPr>
        <w:tc>
          <w:tcPr>
            <w:tcW w:w="8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sz w:val="18"/>
              </w:rPr>
              <w:t>10</w:t>
            </w:r>
          </w:p>
        </w:tc>
        <w:tc>
          <w:tcPr>
            <w:tcW w:w="12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202"/>
              <w:jc w:val="right"/>
              <w:rPr>
                <w:rFonts w:ascii="Arial" w:hAnsi="Arial" w:cs="Arial" w:eastAsia="Arial" w:hint="default"/>
                <w:sz w:val="18"/>
                <w:szCs w:val="18"/>
              </w:rPr>
            </w:pPr>
            <w:r>
              <w:rPr>
                <w:rFonts w:ascii="Arial"/>
                <w:spacing w:val="-1"/>
                <w:sz w:val="18"/>
              </w:rPr>
              <w:t>2010-7-13</w:t>
            </w:r>
          </w:p>
        </w:tc>
        <w:tc>
          <w:tcPr>
            <w:tcW w:w="12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left="232" w:right="0"/>
              <w:jc w:val="left"/>
              <w:rPr>
                <w:rFonts w:ascii="Arial" w:hAnsi="Arial" w:cs="Arial" w:eastAsia="Arial" w:hint="default"/>
                <w:sz w:val="18"/>
                <w:szCs w:val="18"/>
              </w:rPr>
            </w:pPr>
            <w:r>
              <w:rPr>
                <w:rFonts w:ascii="Arial"/>
                <w:sz w:val="18"/>
              </w:rPr>
              <w:t>2010-010</w:t>
            </w:r>
          </w:p>
        </w:tc>
        <w:tc>
          <w:tcPr>
            <w:tcW w:w="39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9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Arial" w:hAnsi="Arial" w:cs="Arial" w:eastAsia="Arial" w:hint="default"/>
                <w:sz w:val="18"/>
                <w:szCs w:val="18"/>
              </w:rPr>
              <w:t>2010</w:t>
            </w:r>
            <w:r>
              <w:rPr>
                <w:rFonts w:ascii="宋体" w:hAnsi="宋体" w:cs="宋体" w:eastAsia="宋体" w:hint="default"/>
                <w:sz w:val="18"/>
                <w:szCs w:val="18"/>
              </w:rPr>
              <w:t>年第二次临时股东大会决议公告》</w:t>
            </w:r>
          </w:p>
        </w:tc>
        <w:tc>
          <w:tcPr>
            <w:tcW w:w="14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99" w:hRule="exact"/>
        </w:trPr>
        <w:tc>
          <w:tcPr>
            <w:tcW w:w="8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spacing w:val="-7"/>
                <w:sz w:val="18"/>
              </w:rPr>
              <w:t>11</w:t>
            </w:r>
          </w:p>
        </w:tc>
        <w:tc>
          <w:tcPr>
            <w:tcW w:w="12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202"/>
              <w:jc w:val="right"/>
              <w:rPr>
                <w:rFonts w:ascii="Arial" w:hAnsi="Arial" w:cs="Arial" w:eastAsia="Arial" w:hint="default"/>
                <w:sz w:val="18"/>
                <w:szCs w:val="18"/>
              </w:rPr>
            </w:pPr>
            <w:r>
              <w:rPr>
                <w:rFonts w:ascii="Arial"/>
                <w:spacing w:val="-1"/>
                <w:sz w:val="18"/>
              </w:rPr>
              <w:t>2010-7-20</w:t>
            </w:r>
          </w:p>
        </w:tc>
        <w:tc>
          <w:tcPr>
            <w:tcW w:w="12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left="239" w:right="0"/>
              <w:jc w:val="left"/>
              <w:rPr>
                <w:rFonts w:ascii="Arial" w:hAnsi="Arial" w:cs="Arial" w:eastAsia="Arial" w:hint="default"/>
                <w:sz w:val="18"/>
                <w:szCs w:val="18"/>
              </w:rPr>
            </w:pPr>
            <w:r>
              <w:rPr>
                <w:rFonts w:ascii="Arial"/>
                <w:spacing w:val="-3"/>
                <w:sz w:val="18"/>
              </w:rPr>
              <w:t>2010-011</w:t>
            </w:r>
          </w:p>
        </w:tc>
        <w:tc>
          <w:tcPr>
            <w:tcW w:w="39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93" w:right="0"/>
              <w:jc w:val="left"/>
              <w:rPr>
                <w:rFonts w:ascii="宋体" w:hAnsi="宋体" w:cs="宋体" w:eastAsia="宋体" w:hint="default"/>
                <w:sz w:val="18"/>
                <w:szCs w:val="18"/>
              </w:rPr>
            </w:pPr>
            <w:r>
              <w:rPr>
                <w:rFonts w:ascii="宋体" w:hAnsi="宋体" w:cs="宋体" w:eastAsia="宋体" w:hint="default"/>
                <w:sz w:val="18"/>
                <w:szCs w:val="18"/>
              </w:rPr>
              <w:t>《关于网下配售股份上市流通的提示性公告》</w:t>
            </w:r>
          </w:p>
        </w:tc>
        <w:tc>
          <w:tcPr>
            <w:tcW w:w="14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97" w:hRule="exact"/>
        </w:trPr>
        <w:tc>
          <w:tcPr>
            <w:tcW w:w="8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sz w:val="18"/>
              </w:rPr>
              <w:t>12</w:t>
            </w:r>
          </w:p>
        </w:tc>
        <w:tc>
          <w:tcPr>
            <w:tcW w:w="12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202"/>
              <w:jc w:val="right"/>
              <w:rPr>
                <w:rFonts w:ascii="Arial" w:hAnsi="Arial" w:cs="Arial" w:eastAsia="Arial" w:hint="default"/>
                <w:sz w:val="18"/>
                <w:szCs w:val="18"/>
              </w:rPr>
            </w:pPr>
            <w:r>
              <w:rPr>
                <w:rFonts w:ascii="Arial"/>
                <w:spacing w:val="-1"/>
                <w:sz w:val="18"/>
              </w:rPr>
              <w:t>2010-7-28</w:t>
            </w:r>
          </w:p>
        </w:tc>
        <w:tc>
          <w:tcPr>
            <w:tcW w:w="12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left="232" w:right="0"/>
              <w:jc w:val="left"/>
              <w:rPr>
                <w:rFonts w:ascii="Arial" w:hAnsi="Arial" w:cs="Arial" w:eastAsia="Arial" w:hint="default"/>
                <w:sz w:val="18"/>
                <w:szCs w:val="18"/>
              </w:rPr>
            </w:pPr>
            <w:r>
              <w:rPr>
                <w:rFonts w:ascii="Arial"/>
                <w:sz w:val="18"/>
              </w:rPr>
              <w:t>2010-012</w:t>
            </w:r>
          </w:p>
        </w:tc>
        <w:tc>
          <w:tcPr>
            <w:tcW w:w="39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93" w:right="0"/>
              <w:jc w:val="left"/>
              <w:rPr>
                <w:rFonts w:ascii="宋体" w:hAnsi="宋体" w:cs="宋体" w:eastAsia="宋体" w:hint="default"/>
                <w:sz w:val="18"/>
                <w:szCs w:val="18"/>
              </w:rPr>
            </w:pPr>
            <w:r>
              <w:rPr>
                <w:rFonts w:ascii="宋体" w:hAnsi="宋体" w:cs="宋体" w:eastAsia="宋体" w:hint="default"/>
                <w:sz w:val="18"/>
                <w:szCs w:val="18"/>
              </w:rPr>
              <w:t>《公司完成工商变更登记的公告》</w:t>
            </w:r>
          </w:p>
        </w:tc>
        <w:tc>
          <w:tcPr>
            <w:tcW w:w="14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99" w:hRule="exact"/>
        </w:trPr>
        <w:tc>
          <w:tcPr>
            <w:tcW w:w="8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sz w:val="18"/>
              </w:rPr>
              <w:t>13</w:t>
            </w:r>
          </w:p>
        </w:tc>
        <w:tc>
          <w:tcPr>
            <w:tcW w:w="12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202"/>
              <w:jc w:val="right"/>
              <w:rPr>
                <w:rFonts w:ascii="Arial" w:hAnsi="Arial" w:cs="Arial" w:eastAsia="Arial" w:hint="default"/>
                <w:sz w:val="18"/>
                <w:szCs w:val="18"/>
              </w:rPr>
            </w:pPr>
            <w:r>
              <w:rPr>
                <w:rFonts w:ascii="Arial"/>
                <w:spacing w:val="-1"/>
                <w:sz w:val="18"/>
              </w:rPr>
              <w:t>2010-8-21</w:t>
            </w:r>
          </w:p>
        </w:tc>
        <w:tc>
          <w:tcPr>
            <w:tcW w:w="12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left="232" w:right="0"/>
              <w:jc w:val="left"/>
              <w:rPr>
                <w:rFonts w:ascii="Arial" w:hAnsi="Arial" w:cs="Arial" w:eastAsia="Arial" w:hint="default"/>
                <w:sz w:val="18"/>
                <w:szCs w:val="18"/>
              </w:rPr>
            </w:pPr>
            <w:r>
              <w:rPr>
                <w:rFonts w:ascii="Arial"/>
                <w:sz w:val="18"/>
              </w:rPr>
              <w:t>2010-013</w:t>
            </w:r>
          </w:p>
        </w:tc>
        <w:tc>
          <w:tcPr>
            <w:tcW w:w="39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93" w:right="0"/>
              <w:jc w:val="left"/>
              <w:rPr>
                <w:rFonts w:ascii="宋体" w:hAnsi="宋体" w:cs="宋体" w:eastAsia="宋体" w:hint="default"/>
                <w:sz w:val="18"/>
                <w:szCs w:val="18"/>
              </w:rPr>
            </w:pPr>
            <w:r>
              <w:rPr>
                <w:rFonts w:ascii="宋体" w:hAnsi="宋体" w:cs="宋体" w:eastAsia="宋体" w:hint="default"/>
                <w:sz w:val="18"/>
                <w:szCs w:val="18"/>
              </w:rPr>
              <w:t>《第一届董事会第十八次会议决议公告》</w:t>
            </w:r>
          </w:p>
        </w:tc>
        <w:tc>
          <w:tcPr>
            <w:tcW w:w="14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97" w:hRule="exact"/>
        </w:trPr>
        <w:tc>
          <w:tcPr>
            <w:tcW w:w="8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sz w:val="18"/>
              </w:rPr>
              <w:t>14</w:t>
            </w:r>
          </w:p>
        </w:tc>
        <w:tc>
          <w:tcPr>
            <w:tcW w:w="12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202"/>
              <w:jc w:val="right"/>
              <w:rPr>
                <w:rFonts w:ascii="Arial" w:hAnsi="Arial" w:cs="Arial" w:eastAsia="Arial" w:hint="default"/>
                <w:sz w:val="18"/>
                <w:szCs w:val="18"/>
              </w:rPr>
            </w:pPr>
            <w:r>
              <w:rPr>
                <w:rFonts w:ascii="Arial"/>
                <w:spacing w:val="-1"/>
                <w:sz w:val="18"/>
              </w:rPr>
              <w:t>2010-8-21</w:t>
            </w:r>
          </w:p>
        </w:tc>
        <w:tc>
          <w:tcPr>
            <w:tcW w:w="12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left="232" w:right="0"/>
              <w:jc w:val="left"/>
              <w:rPr>
                <w:rFonts w:ascii="Arial" w:hAnsi="Arial" w:cs="Arial" w:eastAsia="Arial" w:hint="default"/>
                <w:sz w:val="18"/>
                <w:szCs w:val="18"/>
              </w:rPr>
            </w:pPr>
            <w:r>
              <w:rPr>
                <w:rFonts w:ascii="Arial"/>
                <w:sz w:val="18"/>
              </w:rPr>
              <w:t>2010-014</w:t>
            </w:r>
          </w:p>
        </w:tc>
        <w:tc>
          <w:tcPr>
            <w:tcW w:w="39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93" w:right="0"/>
              <w:jc w:val="left"/>
              <w:rPr>
                <w:rFonts w:ascii="宋体" w:hAnsi="宋体" w:cs="宋体" w:eastAsia="宋体" w:hint="default"/>
                <w:sz w:val="18"/>
                <w:szCs w:val="18"/>
              </w:rPr>
            </w:pPr>
            <w:r>
              <w:rPr>
                <w:rFonts w:ascii="宋体" w:hAnsi="宋体" w:cs="宋体" w:eastAsia="宋体" w:hint="default"/>
                <w:sz w:val="18"/>
                <w:szCs w:val="18"/>
              </w:rPr>
              <w:t>《第一届监事会第七次会议决议公告》</w:t>
            </w:r>
          </w:p>
        </w:tc>
        <w:tc>
          <w:tcPr>
            <w:tcW w:w="14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99" w:hRule="exact"/>
        </w:trPr>
        <w:tc>
          <w:tcPr>
            <w:tcW w:w="8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sz w:val="18"/>
              </w:rPr>
              <w:t>15</w:t>
            </w:r>
          </w:p>
        </w:tc>
        <w:tc>
          <w:tcPr>
            <w:tcW w:w="12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202"/>
              <w:jc w:val="right"/>
              <w:rPr>
                <w:rFonts w:ascii="Arial" w:hAnsi="Arial" w:cs="Arial" w:eastAsia="Arial" w:hint="default"/>
                <w:sz w:val="18"/>
                <w:szCs w:val="18"/>
              </w:rPr>
            </w:pPr>
            <w:r>
              <w:rPr>
                <w:rFonts w:ascii="Arial"/>
                <w:spacing w:val="-1"/>
                <w:sz w:val="18"/>
              </w:rPr>
              <w:t>2010-8-21</w:t>
            </w:r>
          </w:p>
        </w:tc>
        <w:tc>
          <w:tcPr>
            <w:tcW w:w="12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left="232" w:right="0"/>
              <w:jc w:val="left"/>
              <w:rPr>
                <w:rFonts w:ascii="Arial" w:hAnsi="Arial" w:cs="Arial" w:eastAsia="Arial" w:hint="default"/>
                <w:sz w:val="18"/>
                <w:szCs w:val="18"/>
              </w:rPr>
            </w:pPr>
            <w:r>
              <w:rPr>
                <w:rFonts w:ascii="Arial"/>
                <w:sz w:val="18"/>
              </w:rPr>
              <w:t>2010-015</w:t>
            </w:r>
          </w:p>
        </w:tc>
        <w:tc>
          <w:tcPr>
            <w:tcW w:w="39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9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Arial" w:hAnsi="Arial" w:cs="Arial" w:eastAsia="Arial" w:hint="default"/>
                <w:sz w:val="18"/>
                <w:szCs w:val="18"/>
              </w:rPr>
              <w:t>2010</w:t>
            </w:r>
            <w:r>
              <w:rPr>
                <w:rFonts w:ascii="宋体" w:hAnsi="宋体" w:cs="宋体" w:eastAsia="宋体" w:hint="default"/>
                <w:sz w:val="18"/>
                <w:szCs w:val="18"/>
              </w:rPr>
              <w:t>年半年度报告摘要》</w:t>
            </w:r>
          </w:p>
        </w:tc>
        <w:tc>
          <w:tcPr>
            <w:tcW w:w="14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97" w:hRule="exact"/>
        </w:trPr>
        <w:tc>
          <w:tcPr>
            <w:tcW w:w="8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sz w:val="18"/>
              </w:rPr>
              <w:t>16</w:t>
            </w:r>
          </w:p>
        </w:tc>
        <w:tc>
          <w:tcPr>
            <w:tcW w:w="12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209"/>
              <w:jc w:val="right"/>
              <w:rPr>
                <w:rFonts w:ascii="Arial" w:hAnsi="Arial" w:cs="Arial" w:eastAsia="Arial" w:hint="default"/>
                <w:sz w:val="18"/>
                <w:szCs w:val="18"/>
              </w:rPr>
            </w:pPr>
            <w:r>
              <w:rPr>
                <w:rFonts w:ascii="Arial"/>
                <w:spacing w:val="-2"/>
                <w:sz w:val="18"/>
              </w:rPr>
              <w:t>2010-9-11</w:t>
            </w:r>
          </w:p>
        </w:tc>
        <w:tc>
          <w:tcPr>
            <w:tcW w:w="12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left="232" w:right="0"/>
              <w:jc w:val="left"/>
              <w:rPr>
                <w:rFonts w:ascii="Arial" w:hAnsi="Arial" w:cs="Arial" w:eastAsia="Arial" w:hint="default"/>
                <w:sz w:val="18"/>
                <w:szCs w:val="18"/>
              </w:rPr>
            </w:pPr>
            <w:r>
              <w:rPr>
                <w:rFonts w:ascii="Arial"/>
                <w:sz w:val="18"/>
              </w:rPr>
              <w:t>2010-016</w:t>
            </w:r>
          </w:p>
        </w:tc>
        <w:tc>
          <w:tcPr>
            <w:tcW w:w="39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93" w:right="0"/>
              <w:jc w:val="left"/>
              <w:rPr>
                <w:rFonts w:ascii="宋体" w:hAnsi="宋体" w:cs="宋体" w:eastAsia="宋体" w:hint="default"/>
                <w:sz w:val="18"/>
                <w:szCs w:val="18"/>
              </w:rPr>
            </w:pPr>
            <w:r>
              <w:rPr>
                <w:rFonts w:ascii="宋体" w:hAnsi="宋体" w:cs="宋体" w:eastAsia="宋体" w:hint="default"/>
                <w:sz w:val="18"/>
                <w:szCs w:val="18"/>
              </w:rPr>
              <w:t>《第一届董事会第十九次会议决议公告》</w:t>
            </w:r>
          </w:p>
        </w:tc>
        <w:tc>
          <w:tcPr>
            <w:tcW w:w="14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99" w:hRule="exact"/>
        </w:trPr>
        <w:tc>
          <w:tcPr>
            <w:tcW w:w="8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sz w:val="18"/>
              </w:rPr>
              <w:t>17</w:t>
            </w:r>
          </w:p>
        </w:tc>
        <w:tc>
          <w:tcPr>
            <w:tcW w:w="12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152"/>
              <w:jc w:val="right"/>
              <w:rPr>
                <w:rFonts w:ascii="Arial" w:hAnsi="Arial" w:cs="Arial" w:eastAsia="Arial" w:hint="default"/>
                <w:sz w:val="18"/>
                <w:szCs w:val="18"/>
              </w:rPr>
            </w:pPr>
            <w:r>
              <w:rPr>
                <w:rFonts w:ascii="Arial"/>
                <w:spacing w:val="-1"/>
                <w:sz w:val="18"/>
              </w:rPr>
              <w:t>2010-10-12</w:t>
            </w:r>
          </w:p>
        </w:tc>
        <w:tc>
          <w:tcPr>
            <w:tcW w:w="12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left="232" w:right="0"/>
              <w:jc w:val="left"/>
              <w:rPr>
                <w:rFonts w:ascii="Arial" w:hAnsi="Arial" w:cs="Arial" w:eastAsia="Arial" w:hint="default"/>
                <w:sz w:val="18"/>
                <w:szCs w:val="18"/>
              </w:rPr>
            </w:pPr>
            <w:r>
              <w:rPr>
                <w:rFonts w:ascii="Arial"/>
                <w:sz w:val="18"/>
              </w:rPr>
              <w:t>2010-017</w:t>
            </w:r>
          </w:p>
        </w:tc>
        <w:tc>
          <w:tcPr>
            <w:tcW w:w="39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93" w:right="0"/>
              <w:jc w:val="left"/>
              <w:rPr>
                <w:rFonts w:ascii="宋体" w:hAnsi="宋体" w:cs="宋体" w:eastAsia="宋体" w:hint="default"/>
                <w:sz w:val="18"/>
                <w:szCs w:val="18"/>
              </w:rPr>
            </w:pPr>
            <w:r>
              <w:rPr>
                <w:rFonts w:ascii="宋体" w:hAnsi="宋体" w:cs="宋体" w:eastAsia="宋体" w:hint="default"/>
                <w:sz w:val="18"/>
                <w:szCs w:val="18"/>
              </w:rPr>
              <w:t>《关于获得政府补助公告》</w:t>
            </w:r>
          </w:p>
        </w:tc>
        <w:tc>
          <w:tcPr>
            <w:tcW w:w="14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97" w:hRule="exact"/>
        </w:trPr>
        <w:tc>
          <w:tcPr>
            <w:tcW w:w="8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sz w:val="18"/>
              </w:rPr>
              <w:t>18</w:t>
            </w:r>
          </w:p>
        </w:tc>
        <w:tc>
          <w:tcPr>
            <w:tcW w:w="12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152"/>
              <w:jc w:val="right"/>
              <w:rPr>
                <w:rFonts w:ascii="Arial" w:hAnsi="Arial" w:cs="Arial" w:eastAsia="Arial" w:hint="default"/>
                <w:sz w:val="18"/>
                <w:szCs w:val="18"/>
              </w:rPr>
            </w:pPr>
            <w:r>
              <w:rPr>
                <w:rFonts w:ascii="Arial"/>
                <w:spacing w:val="-1"/>
                <w:sz w:val="18"/>
              </w:rPr>
              <w:t>2010-10-27</w:t>
            </w:r>
          </w:p>
        </w:tc>
        <w:tc>
          <w:tcPr>
            <w:tcW w:w="12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left="232" w:right="0"/>
              <w:jc w:val="left"/>
              <w:rPr>
                <w:rFonts w:ascii="Arial" w:hAnsi="Arial" w:cs="Arial" w:eastAsia="Arial" w:hint="default"/>
                <w:sz w:val="18"/>
                <w:szCs w:val="18"/>
              </w:rPr>
            </w:pPr>
            <w:r>
              <w:rPr>
                <w:rFonts w:ascii="Arial"/>
                <w:sz w:val="18"/>
              </w:rPr>
              <w:t>2010-018</w:t>
            </w:r>
          </w:p>
        </w:tc>
        <w:tc>
          <w:tcPr>
            <w:tcW w:w="39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9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Arial" w:hAnsi="Arial" w:cs="Arial" w:eastAsia="Arial" w:hint="default"/>
                <w:sz w:val="18"/>
                <w:szCs w:val="18"/>
              </w:rPr>
              <w:t>2010</w:t>
            </w:r>
            <w:r>
              <w:rPr>
                <w:rFonts w:ascii="宋体" w:hAnsi="宋体" w:cs="宋体" w:eastAsia="宋体" w:hint="default"/>
                <w:sz w:val="18"/>
                <w:szCs w:val="18"/>
              </w:rPr>
              <w:t>年第三季度季度报告正文》</w:t>
            </w:r>
          </w:p>
        </w:tc>
        <w:tc>
          <w:tcPr>
            <w:tcW w:w="14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99" w:hRule="exact"/>
        </w:trPr>
        <w:tc>
          <w:tcPr>
            <w:tcW w:w="8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sz w:val="18"/>
              </w:rPr>
              <w:t>19</w:t>
            </w:r>
          </w:p>
        </w:tc>
        <w:tc>
          <w:tcPr>
            <w:tcW w:w="12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152"/>
              <w:jc w:val="right"/>
              <w:rPr>
                <w:rFonts w:ascii="Arial" w:hAnsi="Arial" w:cs="Arial" w:eastAsia="Arial" w:hint="default"/>
                <w:sz w:val="18"/>
                <w:szCs w:val="18"/>
              </w:rPr>
            </w:pPr>
            <w:r>
              <w:rPr>
                <w:rFonts w:ascii="Arial"/>
                <w:spacing w:val="-1"/>
                <w:sz w:val="18"/>
              </w:rPr>
              <w:t>2010-10-27</w:t>
            </w:r>
          </w:p>
        </w:tc>
        <w:tc>
          <w:tcPr>
            <w:tcW w:w="12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left="232" w:right="0"/>
              <w:jc w:val="left"/>
              <w:rPr>
                <w:rFonts w:ascii="Arial" w:hAnsi="Arial" w:cs="Arial" w:eastAsia="Arial" w:hint="default"/>
                <w:sz w:val="18"/>
                <w:szCs w:val="18"/>
              </w:rPr>
            </w:pPr>
            <w:r>
              <w:rPr>
                <w:rFonts w:ascii="Arial"/>
                <w:sz w:val="18"/>
              </w:rPr>
              <w:t>2010-019</w:t>
            </w:r>
          </w:p>
        </w:tc>
        <w:tc>
          <w:tcPr>
            <w:tcW w:w="39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93" w:right="0"/>
              <w:jc w:val="left"/>
              <w:rPr>
                <w:rFonts w:ascii="宋体" w:hAnsi="宋体" w:cs="宋体" w:eastAsia="宋体" w:hint="default"/>
                <w:sz w:val="18"/>
                <w:szCs w:val="18"/>
              </w:rPr>
            </w:pPr>
            <w:r>
              <w:rPr>
                <w:rFonts w:ascii="宋体" w:hAnsi="宋体" w:cs="宋体" w:eastAsia="宋体" w:hint="default"/>
                <w:sz w:val="18"/>
                <w:szCs w:val="18"/>
              </w:rPr>
              <w:t>《第一届董事会第二十次会议决议公告》</w:t>
            </w:r>
          </w:p>
        </w:tc>
        <w:tc>
          <w:tcPr>
            <w:tcW w:w="14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97" w:hRule="exact"/>
        </w:trPr>
        <w:tc>
          <w:tcPr>
            <w:tcW w:w="8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sz w:val="18"/>
              </w:rPr>
              <w:t>20</w:t>
            </w:r>
          </w:p>
        </w:tc>
        <w:tc>
          <w:tcPr>
            <w:tcW w:w="12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152"/>
              <w:jc w:val="right"/>
              <w:rPr>
                <w:rFonts w:ascii="Arial" w:hAnsi="Arial" w:cs="Arial" w:eastAsia="Arial" w:hint="default"/>
                <w:sz w:val="18"/>
                <w:szCs w:val="18"/>
              </w:rPr>
            </w:pPr>
            <w:r>
              <w:rPr>
                <w:rFonts w:ascii="Arial"/>
                <w:spacing w:val="-1"/>
                <w:sz w:val="18"/>
              </w:rPr>
              <w:t>2010-10-27</w:t>
            </w:r>
          </w:p>
        </w:tc>
        <w:tc>
          <w:tcPr>
            <w:tcW w:w="12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left="232" w:right="0"/>
              <w:jc w:val="left"/>
              <w:rPr>
                <w:rFonts w:ascii="Arial" w:hAnsi="Arial" w:cs="Arial" w:eastAsia="Arial" w:hint="default"/>
                <w:sz w:val="18"/>
                <w:szCs w:val="18"/>
              </w:rPr>
            </w:pPr>
            <w:r>
              <w:rPr>
                <w:rFonts w:ascii="Arial"/>
                <w:sz w:val="18"/>
              </w:rPr>
              <w:t>2010-020</w:t>
            </w:r>
          </w:p>
        </w:tc>
        <w:tc>
          <w:tcPr>
            <w:tcW w:w="39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93" w:right="0"/>
              <w:jc w:val="left"/>
              <w:rPr>
                <w:rFonts w:ascii="宋体" w:hAnsi="宋体" w:cs="宋体" w:eastAsia="宋体" w:hint="default"/>
                <w:sz w:val="18"/>
                <w:szCs w:val="18"/>
              </w:rPr>
            </w:pPr>
            <w:r>
              <w:rPr>
                <w:rFonts w:ascii="宋体" w:hAnsi="宋体" w:cs="宋体" w:eastAsia="宋体" w:hint="default"/>
                <w:sz w:val="18"/>
                <w:szCs w:val="18"/>
              </w:rPr>
              <w:t>《第一届监事会第八次会议决议公告》</w:t>
            </w:r>
          </w:p>
        </w:tc>
        <w:tc>
          <w:tcPr>
            <w:tcW w:w="14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center"/>
        <w:rPr>
          <w:rFonts w:ascii="宋体" w:hAnsi="宋体" w:cs="宋体" w:eastAsia="宋体" w:hint="default"/>
          <w:sz w:val="18"/>
          <w:szCs w:val="18"/>
        </w:rPr>
        <w:sectPr>
          <w:pgSz w:w="11900" w:h="16840"/>
          <w:pgMar w:header="877" w:footer="981" w:top="1100" w:bottom="1180" w:left="1620" w:right="1260"/>
        </w:sectPr>
      </w:pPr>
    </w:p>
    <w:p>
      <w:pPr>
        <w:spacing w:line="240" w:lineRule="auto" w:before="8"/>
        <w:rPr>
          <w:rFonts w:ascii="宋体" w:hAnsi="宋体" w:cs="宋体" w:eastAsia="宋体" w:hint="default"/>
          <w:sz w:val="24"/>
          <w:szCs w:val="24"/>
        </w:rPr>
      </w:pPr>
    </w:p>
    <w:tbl>
      <w:tblPr>
        <w:tblW w:w="0" w:type="auto"/>
        <w:jc w:val="left"/>
        <w:tblInd w:w="167" w:type="dxa"/>
        <w:tblLayout w:type="fixed"/>
        <w:tblCellMar>
          <w:top w:w="0" w:type="dxa"/>
          <w:left w:w="0" w:type="dxa"/>
          <w:bottom w:w="0" w:type="dxa"/>
          <w:right w:w="0" w:type="dxa"/>
        </w:tblCellMar>
        <w:tblLook w:val="01E0"/>
      </w:tblPr>
      <w:tblGrid>
        <w:gridCol w:w="830"/>
        <w:gridCol w:w="1260"/>
        <w:gridCol w:w="1260"/>
        <w:gridCol w:w="3960"/>
        <w:gridCol w:w="1440"/>
      </w:tblGrid>
      <w:tr>
        <w:trPr>
          <w:trHeight w:val="965" w:hRule="exact"/>
        </w:trPr>
        <w:tc>
          <w:tcPr>
            <w:tcW w:w="8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Arial" w:hAnsi="Arial" w:cs="Arial" w:eastAsia="Arial" w:hint="default"/>
                <w:sz w:val="18"/>
                <w:szCs w:val="18"/>
              </w:rPr>
            </w:pPr>
            <w:r>
              <w:rPr>
                <w:rFonts w:ascii="Arial"/>
                <w:sz w:val="18"/>
              </w:rPr>
              <w:t>21</w:t>
            </w:r>
          </w:p>
        </w:tc>
        <w:tc>
          <w:tcPr>
            <w:tcW w:w="12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3" w:right="0"/>
              <w:jc w:val="left"/>
              <w:rPr>
                <w:rFonts w:ascii="Arial" w:hAnsi="Arial" w:cs="Arial" w:eastAsia="Arial" w:hint="default"/>
                <w:sz w:val="18"/>
                <w:szCs w:val="18"/>
              </w:rPr>
            </w:pPr>
            <w:r>
              <w:rPr>
                <w:rFonts w:ascii="Arial"/>
                <w:sz w:val="18"/>
              </w:rPr>
              <w:t>2010-10-27</w:t>
            </w:r>
          </w:p>
        </w:tc>
        <w:tc>
          <w:tcPr>
            <w:tcW w:w="12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Arial" w:hAnsi="Arial" w:cs="Arial" w:eastAsia="Arial" w:hint="default"/>
                <w:sz w:val="18"/>
                <w:szCs w:val="18"/>
              </w:rPr>
            </w:pPr>
            <w:r>
              <w:rPr>
                <w:rFonts w:ascii="Arial"/>
                <w:sz w:val="18"/>
              </w:rPr>
              <w:t>2010-021</w:t>
            </w:r>
          </w:p>
        </w:tc>
        <w:tc>
          <w:tcPr>
            <w:tcW w:w="39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93" w:right="0"/>
              <w:jc w:val="left"/>
              <w:rPr>
                <w:rFonts w:ascii="宋体" w:hAnsi="宋体" w:cs="宋体" w:eastAsia="宋体" w:hint="default"/>
                <w:sz w:val="18"/>
                <w:szCs w:val="18"/>
              </w:rPr>
            </w:pPr>
            <w:r>
              <w:rPr>
                <w:rFonts w:ascii="宋体" w:hAnsi="宋体" w:cs="宋体" w:eastAsia="宋体" w:hint="default"/>
                <w:spacing w:val="6"/>
                <w:sz w:val="18"/>
                <w:szCs w:val="18"/>
              </w:rPr>
              <w:t>《公司关于使用部分超募资金收购烟台子公司</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自然人股东延元起先生股权的公告》</w:t>
            </w:r>
          </w:p>
        </w:tc>
        <w:tc>
          <w:tcPr>
            <w:tcW w:w="14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w w:val="95"/>
                <w:sz w:val="18"/>
                <w:szCs w:val="18"/>
              </w:rPr>
              <w:t>巨潮资讯网</w:t>
            </w:r>
            <w:r>
              <w:rPr>
                <w:rFonts w:ascii="宋体" w:hAnsi="宋体" w:cs="宋体" w:eastAsia="宋体" w:hint="default"/>
                <w:sz w:val="18"/>
                <w:szCs w:val="18"/>
              </w:rPr>
            </w:r>
          </w:p>
        </w:tc>
      </w:tr>
      <w:tr>
        <w:trPr>
          <w:trHeight w:val="497" w:hRule="exact"/>
        </w:trPr>
        <w:tc>
          <w:tcPr>
            <w:tcW w:w="8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sz w:val="18"/>
              </w:rPr>
              <w:t>22</w:t>
            </w:r>
          </w:p>
        </w:tc>
        <w:tc>
          <w:tcPr>
            <w:tcW w:w="12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left="211" w:right="0"/>
              <w:jc w:val="left"/>
              <w:rPr>
                <w:rFonts w:ascii="Arial" w:hAnsi="Arial" w:cs="Arial" w:eastAsia="Arial" w:hint="default"/>
                <w:sz w:val="18"/>
                <w:szCs w:val="18"/>
              </w:rPr>
            </w:pPr>
            <w:r>
              <w:rPr>
                <w:rFonts w:ascii="Arial"/>
                <w:sz w:val="18"/>
              </w:rPr>
              <w:t>2010-11-2</w:t>
            </w:r>
          </w:p>
        </w:tc>
        <w:tc>
          <w:tcPr>
            <w:tcW w:w="12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1"/>
              <w:jc w:val="center"/>
              <w:rPr>
                <w:rFonts w:ascii="Arial" w:hAnsi="Arial" w:cs="Arial" w:eastAsia="Arial" w:hint="default"/>
                <w:sz w:val="18"/>
                <w:szCs w:val="18"/>
              </w:rPr>
            </w:pPr>
            <w:r>
              <w:rPr>
                <w:rFonts w:ascii="Arial"/>
                <w:sz w:val="18"/>
              </w:rPr>
              <w:t>2010-022</w:t>
            </w:r>
          </w:p>
        </w:tc>
        <w:tc>
          <w:tcPr>
            <w:tcW w:w="39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93" w:right="0"/>
              <w:jc w:val="left"/>
              <w:rPr>
                <w:rFonts w:ascii="宋体" w:hAnsi="宋体" w:cs="宋体" w:eastAsia="宋体" w:hint="default"/>
                <w:sz w:val="18"/>
                <w:szCs w:val="18"/>
              </w:rPr>
            </w:pPr>
            <w:r>
              <w:rPr>
                <w:rFonts w:ascii="宋体" w:hAnsi="宋体" w:cs="宋体" w:eastAsia="宋体" w:hint="default"/>
                <w:sz w:val="18"/>
                <w:szCs w:val="18"/>
              </w:rPr>
              <w:t>《公司关于财务总监辞职的公告》</w:t>
            </w:r>
          </w:p>
        </w:tc>
        <w:tc>
          <w:tcPr>
            <w:tcW w:w="14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254"/>
              <w:jc w:val="right"/>
              <w:rPr>
                <w:rFonts w:ascii="宋体" w:hAnsi="宋体" w:cs="宋体" w:eastAsia="宋体" w:hint="default"/>
                <w:sz w:val="18"/>
                <w:szCs w:val="18"/>
              </w:rPr>
            </w:pPr>
            <w:r>
              <w:rPr>
                <w:rFonts w:ascii="宋体" w:hAnsi="宋体" w:cs="宋体" w:eastAsia="宋体" w:hint="default"/>
                <w:w w:val="95"/>
                <w:sz w:val="18"/>
                <w:szCs w:val="18"/>
              </w:rPr>
              <w:t>巨潮资讯网</w:t>
            </w:r>
            <w:r>
              <w:rPr>
                <w:rFonts w:ascii="宋体" w:hAnsi="宋体" w:cs="宋体" w:eastAsia="宋体" w:hint="default"/>
                <w:sz w:val="18"/>
                <w:szCs w:val="18"/>
              </w:rPr>
            </w:r>
          </w:p>
        </w:tc>
      </w:tr>
    </w:tbl>
    <w:p>
      <w:pPr>
        <w:spacing w:line="240" w:lineRule="auto" w:before="8"/>
        <w:rPr>
          <w:rFonts w:ascii="宋体" w:hAnsi="宋体" w:cs="宋体" w:eastAsia="宋体" w:hint="default"/>
          <w:sz w:val="5"/>
          <w:szCs w:val="5"/>
        </w:rPr>
      </w:pPr>
    </w:p>
    <w:p>
      <w:pPr>
        <w:pStyle w:val="Heading3"/>
        <w:spacing w:line="240" w:lineRule="auto" w:before="14"/>
        <w:ind w:left="237" w:right="125"/>
        <w:jc w:val="left"/>
      </w:pPr>
      <w:r>
        <w:rPr/>
        <w:t>十一、报告期接待调研及采访相关情况</w:t>
      </w:r>
    </w:p>
    <w:p>
      <w:pPr>
        <w:spacing w:line="240" w:lineRule="auto" w:before="2"/>
        <w:rPr>
          <w:rFonts w:ascii="宋体" w:hAnsi="宋体" w:cs="宋体" w:eastAsia="宋体" w:hint="default"/>
          <w:sz w:val="13"/>
          <w:szCs w:val="13"/>
        </w:rPr>
      </w:pPr>
    </w:p>
    <w:tbl>
      <w:tblPr>
        <w:tblW w:w="0" w:type="auto"/>
        <w:jc w:val="left"/>
        <w:tblInd w:w="115" w:type="dxa"/>
        <w:tblLayout w:type="fixed"/>
        <w:tblCellMar>
          <w:top w:w="0" w:type="dxa"/>
          <w:left w:w="0" w:type="dxa"/>
          <w:bottom w:w="0" w:type="dxa"/>
          <w:right w:w="0" w:type="dxa"/>
        </w:tblCellMar>
        <w:tblLook w:val="01E0"/>
      </w:tblPr>
      <w:tblGrid>
        <w:gridCol w:w="1334"/>
        <w:gridCol w:w="1190"/>
        <w:gridCol w:w="1214"/>
        <w:gridCol w:w="3389"/>
        <w:gridCol w:w="1723"/>
      </w:tblGrid>
      <w:tr>
        <w:trPr>
          <w:trHeight w:val="499" w:hRule="exact"/>
        </w:trPr>
        <w:tc>
          <w:tcPr>
            <w:tcW w:w="13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1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接待地点</w:t>
            </w:r>
          </w:p>
        </w:tc>
        <w:tc>
          <w:tcPr>
            <w:tcW w:w="12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338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172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谈论主要内容</w:t>
            </w:r>
          </w:p>
        </w:tc>
      </w:tr>
      <w:tr>
        <w:trPr>
          <w:trHeight w:val="497" w:hRule="exact"/>
        </w:trPr>
        <w:tc>
          <w:tcPr>
            <w:tcW w:w="1334" w:type="dxa"/>
            <w:vMerge w:val="restart"/>
            <w:tcBorders>
              <w:top w:val="single" w:sz="12" w:space="0" w:color="000000"/>
              <w:left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47" w:right="0"/>
              <w:jc w:val="left"/>
              <w:rPr>
                <w:rFonts w:ascii="Arial" w:hAnsi="Arial" w:cs="Arial" w:eastAsia="Arial" w:hint="default"/>
                <w:sz w:val="18"/>
                <w:szCs w:val="18"/>
              </w:rPr>
            </w:pPr>
            <w:r>
              <w:rPr>
                <w:rFonts w:ascii="Arial"/>
                <w:sz w:val="18"/>
              </w:rPr>
              <w:t>2010-6-11</w:t>
            </w:r>
          </w:p>
        </w:tc>
        <w:tc>
          <w:tcPr>
            <w:tcW w:w="1190" w:type="dxa"/>
            <w:vMerge w:val="restart"/>
            <w:tcBorders>
              <w:top w:val="single" w:sz="12" w:space="0" w:color="000000"/>
              <w:left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129"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214" w:type="dxa"/>
            <w:vMerge w:val="restart"/>
            <w:tcBorders>
              <w:top w:val="single" w:sz="12" w:space="0" w:color="000000"/>
              <w:left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23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338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93" w:right="0"/>
              <w:jc w:val="left"/>
              <w:rPr>
                <w:rFonts w:ascii="宋体" w:hAnsi="宋体" w:cs="宋体" w:eastAsia="宋体" w:hint="default"/>
                <w:sz w:val="18"/>
                <w:szCs w:val="18"/>
              </w:rPr>
            </w:pPr>
            <w:r>
              <w:rPr>
                <w:rFonts w:ascii="宋体" w:hAnsi="宋体" w:cs="宋体" w:eastAsia="宋体" w:hint="default"/>
                <w:sz w:val="18"/>
                <w:szCs w:val="18"/>
              </w:rPr>
              <w:t>宏源证券 祖广平</w:t>
            </w:r>
          </w:p>
        </w:tc>
        <w:tc>
          <w:tcPr>
            <w:tcW w:w="1723" w:type="dxa"/>
            <w:vMerge w:val="restart"/>
            <w:tcBorders>
              <w:top w:val="single" w:sz="12" w:space="0" w:color="000000"/>
              <w:left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55"/>
              <w:ind w:left="575" w:right="125" w:hanging="449"/>
              <w:jc w:val="left"/>
              <w:rPr>
                <w:rFonts w:ascii="宋体" w:hAnsi="宋体" w:cs="宋体" w:eastAsia="宋体" w:hint="default"/>
                <w:sz w:val="18"/>
                <w:szCs w:val="18"/>
              </w:rPr>
            </w:pPr>
            <w:r>
              <w:rPr>
                <w:rFonts w:ascii="宋体" w:hAnsi="宋体" w:cs="宋体" w:eastAsia="宋体" w:hint="default"/>
                <w:sz w:val="18"/>
                <w:szCs w:val="18"/>
              </w:rPr>
              <w:t>公司经营情况及行</w:t>
            </w:r>
            <w:r>
              <w:rPr>
                <w:rFonts w:ascii="宋体" w:hAnsi="宋体" w:cs="宋体" w:eastAsia="宋体" w:hint="default"/>
                <w:w w:val="99"/>
                <w:sz w:val="18"/>
                <w:szCs w:val="18"/>
              </w:rPr>
              <w:t> </w:t>
            </w:r>
            <w:r>
              <w:rPr>
                <w:rFonts w:ascii="宋体" w:hAnsi="宋体" w:cs="宋体" w:eastAsia="宋体" w:hint="default"/>
                <w:sz w:val="18"/>
                <w:szCs w:val="18"/>
              </w:rPr>
              <w:t>业情况</w:t>
            </w:r>
          </w:p>
        </w:tc>
      </w:tr>
      <w:tr>
        <w:trPr>
          <w:trHeight w:val="499" w:hRule="exact"/>
        </w:trPr>
        <w:tc>
          <w:tcPr>
            <w:tcW w:w="1334" w:type="dxa"/>
            <w:vMerge/>
            <w:tcBorders>
              <w:left w:val="single" w:sz="12" w:space="0" w:color="000000"/>
              <w:right w:val="single" w:sz="12" w:space="0" w:color="000000"/>
            </w:tcBorders>
          </w:tcPr>
          <w:p>
            <w:pPr/>
          </w:p>
        </w:tc>
        <w:tc>
          <w:tcPr>
            <w:tcW w:w="1190" w:type="dxa"/>
            <w:vMerge/>
            <w:tcBorders>
              <w:left w:val="single" w:sz="12" w:space="0" w:color="000000"/>
              <w:right w:val="single" w:sz="12" w:space="0" w:color="000000"/>
            </w:tcBorders>
          </w:tcPr>
          <w:p>
            <w:pPr/>
          </w:p>
        </w:tc>
        <w:tc>
          <w:tcPr>
            <w:tcW w:w="1214" w:type="dxa"/>
            <w:vMerge/>
            <w:tcBorders>
              <w:left w:val="single" w:sz="12" w:space="0" w:color="000000"/>
              <w:right w:val="single" w:sz="12" w:space="0" w:color="000000"/>
            </w:tcBorders>
          </w:tcPr>
          <w:p>
            <w:pPr/>
          </w:p>
        </w:tc>
        <w:tc>
          <w:tcPr>
            <w:tcW w:w="338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93" w:right="0"/>
              <w:jc w:val="left"/>
              <w:rPr>
                <w:rFonts w:ascii="宋体" w:hAnsi="宋体" w:cs="宋体" w:eastAsia="宋体" w:hint="default"/>
                <w:sz w:val="18"/>
                <w:szCs w:val="18"/>
              </w:rPr>
            </w:pPr>
            <w:r>
              <w:rPr>
                <w:rFonts w:ascii="宋体" w:hAnsi="宋体" w:cs="宋体" w:eastAsia="宋体" w:hint="default"/>
                <w:sz w:val="18"/>
                <w:szCs w:val="18"/>
              </w:rPr>
              <w:t>银华基金 李旻</w:t>
            </w:r>
          </w:p>
        </w:tc>
        <w:tc>
          <w:tcPr>
            <w:tcW w:w="1723" w:type="dxa"/>
            <w:vMerge/>
            <w:tcBorders>
              <w:left w:val="single" w:sz="12" w:space="0" w:color="000000"/>
              <w:right w:val="single" w:sz="12" w:space="0" w:color="000000"/>
            </w:tcBorders>
          </w:tcPr>
          <w:p>
            <w:pPr/>
          </w:p>
        </w:tc>
      </w:tr>
      <w:tr>
        <w:trPr>
          <w:trHeight w:val="497" w:hRule="exact"/>
        </w:trPr>
        <w:tc>
          <w:tcPr>
            <w:tcW w:w="1334" w:type="dxa"/>
            <w:vMerge/>
            <w:tcBorders>
              <w:left w:val="single" w:sz="12" w:space="0" w:color="000000"/>
              <w:right w:val="single" w:sz="12" w:space="0" w:color="000000"/>
            </w:tcBorders>
          </w:tcPr>
          <w:p>
            <w:pPr/>
          </w:p>
        </w:tc>
        <w:tc>
          <w:tcPr>
            <w:tcW w:w="1190" w:type="dxa"/>
            <w:vMerge/>
            <w:tcBorders>
              <w:left w:val="single" w:sz="12" w:space="0" w:color="000000"/>
              <w:right w:val="single" w:sz="12" w:space="0" w:color="000000"/>
            </w:tcBorders>
          </w:tcPr>
          <w:p>
            <w:pPr/>
          </w:p>
        </w:tc>
        <w:tc>
          <w:tcPr>
            <w:tcW w:w="1214" w:type="dxa"/>
            <w:vMerge/>
            <w:tcBorders>
              <w:left w:val="single" w:sz="12" w:space="0" w:color="000000"/>
              <w:right w:val="single" w:sz="12" w:space="0" w:color="000000"/>
            </w:tcBorders>
          </w:tcPr>
          <w:p>
            <w:pPr/>
          </w:p>
        </w:tc>
        <w:tc>
          <w:tcPr>
            <w:tcW w:w="338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93" w:right="0"/>
              <w:jc w:val="left"/>
              <w:rPr>
                <w:rFonts w:ascii="宋体" w:hAnsi="宋体" w:cs="宋体" w:eastAsia="宋体" w:hint="default"/>
                <w:sz w:val="18"/>
                <w:szCs w:val="18"/>
              </w:rPr>
            </w:pPr>
            <w:r>
              <w:rPr>
                <w:rFonts w:ascii="宋体" w:hAnsi="宋体" w:cs="宋体" w:eastAsia="宋体" w:hint="default"/>
                <w:sz w:val="18"/>
                <w:szCs w:val="18"/>
              </w:rPr>
              <w:t>东方证券 杨云</w:t>
            </w:r>
          </w:p>
        </w:tc>
        <w:tc>
          <w:tcPr>
            <w:tcW w:w="1723" w:type="dxa"/>
            <w:vMerge/>
            <w:tcBorders>
              <w:left w:val="single" w:sz="12" w:space="0" w:color="000000"/>
              <w:right w:val="single" w:sz="12" w:space="0" w:color="000000"/>
            </w:tcBorders>
          </w:tcPr>
          <w:p>
            <w:pPr/>
          </w:p>
        </w:tc>
      </w:tr>
      <w:tr>
        <w:trPr>
          <w:trHeight w:val="499" w:hRule="exact"/>
        </w:trPr>
        <w:tc>
          <w:tcPr>
            <w:tcW w:w="1334" w:type="dxa"/>
            <w:vMerge/>
            <w:tcBorders>
              <w:left w:val="single" w:sz="12" w:space="0" w:color="000000"/>
              <w:right w:val="single" w:sz="12" w:space="0" w:color="000000"/>
            </w:tcBorders>
          </w:tcPr>
          <w:p>
            <w:pPr/>
          </w:p>
        </w:tc>
        <w:tc>
          <w:tcPr>
            <w:tcW w:w="1190" w:type="dxa"/>
            <w:vMerge/>
            <w:tcBorders>
              <w:left w:val="single" w:sz="12" w:space="0" w:color="000000"/>
              <w:right w:val="single" w:sz="12" w:space="0" w:color="000000"/>
            </w:tcBorders>
          </w:tcPr>
          <w:p>
            <w:pPr/>
          </w:p>
        </w:tc>
        <w:tc>
          <w:tcPr>
            <w:tcW w:w="1214" w:type="dxa"/>
            <w:vMerge/>
            <w:tcBorders>
              <w:left w:val="single" w:sz="12" w:space="0" w:color="000000"/>
              <w:right w:val="single" w:sz="12" w:space="0" w:color="000000"/>
            </w:tcBorders>
          </w:tcPr>
          <w:p>
            <w:pPr/>
          </w:p>
        </w:tc>
        <w:tc>
          <w:tcPr>
            <w:tcW w:w="338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93" w:right="0"/>
              <w:jc w:val="left"/>
              <w:rPr>
                <w:rFonts w:ascii="宋体" w:hAnsi="宋体" w:cs="宋体" w:eastAsia="宋体" w:hint="default"/>
                <w:sz w:val="18"/>
                <w:szCs w:val="18"/>
              </w:rPr>
            </w:pPr>
            <w:r>
              <w:rPr>
                <w:rFonts w:ascii="宋体" w:hAnsi="宋体" w:cs="宋体" w:eastAsia="宋体" w:hint="default"/>
                <w:sz w:val="18"/>
                <w:szCs w:val="18"/>
              </w:rPr>
              <w:t>长盛基金 董哲</w:t>
            </w:r>
          </w:p>
        </w:tc>
        <w:tc>
          <w:tcPr>
            <w:tcW w:w="1723" w:type="dxa"/>
            <w:vMerge/>
            <w:tcBorders>
              <w:left w:val="single" w:sz="12" w:space="0" w:color="000000"/>
              <w:right w:val="single" w:sz="12" w:space="0" w:color="000000"/>
            </w:tcBorders>
          </w:tcPr>
          <w:p>
            <w:pPr/>
          </w:p>
        </w:tc>
      </w:tr>
      <w:tr>
        <w:trPr>
          <w:trHeight w:val="497" w:hRule="exact"/>
        </w:trPr>
        <w:tc>
          <w:tcPr>
            <w:tcW w:w="1334" w:type="dxa"/>
            <w:vMerge/>
            <w:tcBorders>
              <w:left w:val="single" w:sz="12" w:space="0" w:color="000000"/>
              <w:right w:val="single" w:sz="12" w:space="0" w:color="000000"/>
            </w:tcBorders>
          </w:tcPr>
          <w:p>
            <w:pPr/>
          </w:p>
        </w:tc>
        <w:tc>
          <w:tcPr>
            <w:tcW w:w="1190" w:type="dxa"/>
            <w:vMerge/>
            <w:tcBorders>
              <w:left w:val="single" w:sz="12" w:space="0" w:color="000000"/>
              <w:right w:val="single" w:sz="12" w:space="0" w:color="000000"/>
            </w:tcBorders>
          </w:tcPr>
          <w:p>
            <w:pPr/>
          </w:p>
        </w:tc>
        <w:tc>
          <w:tcPr>
            <w:tcW w:w="1214" w:type="dxa"/>
            <w:vMerge/>
            <w:tcBorders>
              <w:left w:val="single" w:sz="12" w:space="0" w:color="000000"/>
              <w:right w:val="single" w:sz="12" w:space="0" w:color="000000"/>
            </w:tcBorders>
          </w:tcPr>
          <w:p>
            <w:pPr/>
          </w:p>
        </w:tc>
        <w:tc>
          <w:tcPr>
            <w:tcW w:w="338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93" w:right="0"/>
              <w:jc w:val="left"/>
              <w:rPr>
                <w:rFonts w:ascii="宋体" w:hAnsi="宋体" w:cs="宋体" w:eastAsia="宋体" w:hint="default"/>
                <w:sz w:val="18"/>
                <w:szCs w:val="18"/>
              </w:rPr>
            </w:pPr>
            <w:r>
              <w:rPr>
                <w:rFonts w:ascii="宋体" w:hAnsi="宋体" w:cs="宋体" w:eastAsia="宋体" w:hint="default"/>
                <w:sz w:val="18"/>
                <w:szCs w:val="18"/>
              </w:rPr>
              <w:t>泽熙投资 史振伟</w:t>
            </w:r>
          </w:p>
        </w:tc>
        <w:tc>
          <w:tcPr>
            <w:tcW w:w="1723" w:type="dxa"/>
            <w:vMerge/>
            <w:tcBorders>
              <w:left w:val="single" w:sz="12" w:space="0" w:color="000000"/>
              <w:right w:val="single" w:sz="12" w:space="0" w:color="000000"/>
            </w:tcBorders>
          </w:tcPr>
          <w:p>
            <w:pPr/>
          </w:p>
        </w:tc>
      </w:tr>
      <w:tr>
        <w:trPr>
          <w:trHeight w:val="499" w:hRule="exact"/>
        </w:trPr>
        <w:tc>
          <w:tcPr>
            <w:tcW w:w="1334" w:type="dxa"/>
            <w:vMerge/>
            <w:tcBorders>
              <w:left w:val="single" w:sz="12" w:space="0" w:color="000000"/>
              <w:right w:val="single" w:sz="12" w:space="0" w:color="000000"/>
            </w:tcBorders>
          </w:tcPr>
          <w:p>
            <w:pPr/>
          </w:p>
        </w:tc>
        <w:tc>
          <w:tcPr>
            <w:tcW w:w="1190" w:type="dxa"/>
            <w:vMerge/>
            <w:tcBorders>
              <w:left w:val="single" w:sz="12" w:space="0" w:color="000000"/>
              <w:right w:val="single" w:sz="12" w:space="0" w:color="000000"/>
            </w:tcBorders>
          </w:tcPr>
          <w:p>
            <w:pPr/>
          </w:p>
        </w:tc>
        <w:tc>
          <w:tcPr>
            <w:tcW w:w="1214" w:type="dxa"/>
            <w:vMerge/>
            <w:tcBorders>
              <w:left w:val="single" w:sz="12" w:space="0" w:color="000000"/>
              <w:right w:val="single" w:sz="12" w:space="0" w:color="000000"/>
            </w:tcBorders>
          </w:tcPr>
          <w:p>
            <w:pPr/>
          </w:p>
        </w:tc>
        <w:tc>
          <w:tcPr>
            <w:tcW w:w="338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93" w:right="0"/>
              <w:jc w:val="left"/>
              <w:rPr>
                <w:rFonts w:ascii="宋体" w:hAnsi="宋体" w:cs="宋体" w:eastAsia="宋体" w:hint="default"/>
                <w:sz w:val="18"/>
                <w:szCs w:val="18"/>
              </w:rPr>
            </w:pPr>
            <w:r>
              <w:rPr>
                <w:rFonts w:ascii="宋体" w:hAnsi="宋体" w:cs="宋体" w:eastAsia="宋体" w:hint="default"/>
                <w:sz w:val="18"/>
                <w:szCs w:val="18"/>
              </w:rPr>
              <w:t>德邦证券 付用增</w:t>
            </w:r>
          </w:p>
        </w:tc>
        <w:tc>
          <w:tcPr>
            <w:tcW w:w="1723" w:type="dxa"/>
            <w:vMerge/>
            <w:tcBorders>
              <w:left w:val="single" w:sz="12" w:space="0" w:color="000000"/>
              <w:right w:val="single" w:sz="12" w:space="0" w:color="000000"/>
            </w:tcBorders>
          </w:tcPr>
          <w:p>
            <w:pPr/>
          </w:p>
        </w:tc>
      </w:tr>
      <w:tr>
        <w:trPr>
          <w:trHeight w:val="497" w:hRule="exact"/>
        </w:trPr>
        <w:tc>
          <w:tcPr>
            <w:tcW w:w="1334" w:type="dxa"/>
            <w:vMerge/>
            <w:tcBorders>
              <w:left w:val="single" w:sz="12" w:space="0" w:color="000000"/>
              <w:bottom w:val="single" w:sz="12" w:space="0" w:color="000000"/>
              <w:right w:val="single" w:sz="12" w:space="0" w:color="000000"/>
            </w:tcBorders>
          </w:tcPr>
          <w:p>
            <w:pPr/>
          </w:p>
        </w:tc>
        <w:tc>
          <w:tcPr>
            <w:tcW w:w="1190" w:type="dxa"/>
            <w:vMerge/>
            <w:tcBorders>
              <w:left w:val="single" w:sz="12" w:space="0" w:color="000000"/>
              <w:bottom w:val="single" w:sz="12" w:space="0" w:color="000000"/>
              <w:right w:val="single" w:sz="12" w:space="0" w:color="000000"/>
            </w:tcBorders>
          </w:tcPr>
          <w:p>
            <w:pPr/>
          </w:p>
        </w:tc>
        <w:tc>
          <w:tcPr>
            <w:tcW w:w="1214" w:type="dxa"/>
            <w:vMerge/>
            <w:tcBorders>
              <w:left w:val="single" w:sz="12" w:space="0" w:color="000000"/>
              <w:bottom w:val="single" w:sz="12" w:space="0" w:color="000000"/>
              <w:right w:val="single" w:sz="12" w:space="0" w:color="000000"/>
            </w:tcBorders>
          </w:tcPr>
          <w:p>
            <w:pPr/>
          </w:p>
        </w:tc>
        <w:tc>
          <w:tcPr>
            <w:tcW w:w="338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93" w:right="0"/>
              <w:jc w:val="left"/>
              <w:rPr>
                <w:rFonts w:ascii="宋体" w:hAnsi="宋体" w:cs="宋体" w:eastAsia="宋体" w:hint="default"/>
                <w:sz w:val="18"/>
                <w:szCs w:val="18"/>
              </w:rPr>
            </w:pPr>
            <w:r>
              <w:rPr>
                <w:rFonts w:ascii="宋体" w:hAnsi="宋体" w:cs="宋体" w:eastAsia="宋体" w:hint="default"/>
                <w:sz w:val="18"/>
                <w:szCs w:val="18"/>
              </w:rPr>
              <w:t>西部证券 郝旭东</w:t>
            </w:r>
          </w:p>
        </w:tc>
        <w:tc>
          <w:tcPr>
            <w:tcW w:w="1723" w:type="dxa"/>
            <w:vMerge/>
            <w:tcBorders>
              <w:left w:val="single" w:sz="12" w:space="0" w:color="000000"/>
              <w:bottom w:val="single" w:sz="12" w:space="0" w:color="000000"/>
              <w:right w:val="single" w:sz="12" w:space="0" w:color="000000"/>
            </w:tcBorders>
          </w:tcPr>
          <w:p>
            <w:pPr/>
          </w:p>
        </w:tc>
      </w:tr>
      <w:tr>
        <w:trPr>
          <w:trHeight w:val="499" w:hRule="exact"/>
        </w:trPr>
        <w:tc>
          <w:tcPr>
            <w:tcW w:w="1334" w:type="dxa"/>
            <w:vMerge w:val="restart"/>
            <w:tcBorders>
              <w:top w:val="single" w:sz="12" w:space="0" w:color="000000"/>
              <w:left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39" w:right="0"/>
              <w:jc w:val="left"/>
              <w:rPr>
                <w:rFonts w:ascii="Arial" w:hAnsi="Arial" w:cs="Arial" w:eastAsia="Arial" w:hint="default"/>
                <w:sz w:val="18"/>
                <w:szCs w:val="18"/>
              </w:rPr>
            </w:pPr>
            <w:r>
              <w:rPr>
                <w:rFonts w:ascii="Arial"/>
                <w:sz w:val="18"/>
              </w:rPr>
              <w:t>2010-8-27</w:t>
            </w:r>
          </w:p>
        </w:tc>
        <w:tc>
          <w:tcPr>
            <w:tcW w:w="1190" w:type="dxa"/>
            <w:vMerge w:val="restart"/>
            <w:tcBorders>
              <w:top w:val="single" w:sz="12" w:space="0" w:color="000000"/>
              <w:left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129"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214" w:type="dxa"/>
            <w:vMerge w:val="restart"/>
            <w:tcBorders>
              <w:top w:val="single" w:sz="12" w:space="0" w:color="000000"/>
              <w:left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23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338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93" w:right="0"/>
              <w:jc w:val="left"/>
              <w:rPr>
                <w:rFonts w:ascii="宋体" w:hAnsi="宋体" w:cs="宋体" w:eastAsia="宋体" w:hint="default"/>
                <w:sz w:val="18"/>
                <w:szCs w:val="18"/>
              </w:rPr>
            </w:pPr>
            <w:r>
              <w:rPr>
                <w:rFonts w:ascii="宋体" w:hAnsi="宋体" w:cs="宋体" w:eastAsia="宋体" w:hint="default"/>
                <w:sz w:val="18"/>
                <w:szCs w:val="18"/>
              </w:rPr>
              <w:t>招商证券 廖振华</w:t>
            </w:r>
          </w:p>
        </w:tc>
        <w:tc>
          <w:tcPr>
            <w:tcW w:w="1723" w:type="dxa"/>
            <w:vMerge w:val="restart"/>
            <w:tcBorders>
              <w:top w:val="single" w:sz="12" w:space="0" w:color="000000"/>
              <w:left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55"/>
              <w:ind w:left="575" w:right="125" w:hanging="449"/>
              <w:jc w:val="left"/>
              <w:rPr>
                <w:rFonts w:ascii="宋体" w:hAnsi="宋体" w:cs="宋体" w:eastAsia="宋体" w:hint="default"/>
                <w:sz w:val="18"/>
                <w:szCs w:val="18"/>
              </w:rPr>
            </w:pPr>
            <w:r>
              <w:rPr>
                <w:rFonts w:ascii="宋体" w:hAnsi="宋体" w:cs="宋体" w:eastAsia="宋体" w:hint="default"/>
                <w:sz w:val="18"/>
                <w:szCs w:val="18"/>
              </w:rPr>
              <w:t>公司经营情况及行</w:t>
            </w:r>
            <w:r>
              <w:rPr>
                <w:rFonts w:ascii="宋体" w:hAnsi="宋体" w:cs="宋体" w:eastAsia="宋体" w:hint="default"/>
                <w:w w:val="99"/>
                <w:sz w:val="18"/>
                <w:szCs w:val="18"/>
              </w:rPr>
              <w:t> </w:t>
            </w:r>
            <w:r>
              <w:rPr>
                <w:rFonts w:ascii="宋体" w:hAnsi="宋体" w:cs="宋体" w:eastAsia="宋体" w:hint="default"/>
                <w:sz w:val="18"/>
                <w:szCs w:val="18"/>
              </w:rPr>
              <w:t>业情况</w:t>
            </w:r>
          </w:p>
        </w:tc>
      </w:tr>
      <w:tr>
        <w:trPr>
          <w:trHeight w:val="497" w:hRule="exact"/>
        </w:trPr>
        <w:tc>
          <w:tcPr>
            <w:tcW w:w="1334" w:type="dxa"/>
            <w:vMerge/>
            <w:tcBorders>
              <w:left w:val="single" w:sz="12" w:space="0" w:color="000000"/>
              <w:right w:val="single" w:sz="12" w:space="0" w:color="000000"/>
            </w:tcBorders>
          </w:tcPr>
          <w:p>
            <w:pPr/>
          </w:p>
        </w:tc>
        <w:tc>
          <w:tcPr>
            <w:tcW w:w="1190" w:type="dxa"/>
            <w:vMerge/>
            <w:tcBorders>
              <w:left w:val="single" w:sz="12" w:space="0" w:color="000000"/>
              <w:right w:val="single" w:sz="12" w:space="0" w:color="000000"/>
            </w:tcBorders>
          </w:tcPr>
          <w:p>
            <w:pPr/>
          </w:p>
        </w:tc>
        <w:tc>
          <w:tcPr>
            <w:tcW w:w="1214" w:type="dxa"/>
            <w:vMerge/>
            <w:tcBorders>
              <w:left w:val="single" w:sz="12" w:space="0" w:color="000000"/>
              <w:right w:val="single" w:sz="12" w:space="0" w:color="000000"/>
            </w:tcBorders>
          </w:tcPr>
          <w:p>
            <w:pPr/>
          </w:p>
        </w:tc>
        <w:tc>
          <w:tcPr>
            <w:tcW w:w="338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93" w:right="0"/>
              <w:jc w:val="left"/>
              <w:rPr>
                <w:rFonts w:ascii="宋体" w:hAnsi="宋体" w:cs="宋体" w:eastAsia="宋体" w:hint="default"/>
                <w:sz w:val="18"/>
                <w:szCs w:val="18"/>
              </w:rPr>
            </w:pPr>
            <w:r>
              <w:rPr>
                <w:rFonts w:ascii="宋体" w:hAnsi="宋体" w:cs="宋体" w:eastAsia="宋体" w:hint="default"/>
                <w:sz w:val="18"/>
                <w:szCs w:val="18"/>
              </w:rPr>
              <w:t>华商基金 孙祺</w:t>
            </w:r>
          </w:p>
        </w:tc>
        <w:tc>
          <w:tcPr>
            <w:tcW w:w="1723" w:type="dxa"/>
            <w:vMerge/>
            <w:tcBorders>
              <w:left w:val="single" w:sz="12" w:space="0" w:color="000000"/>
              <w:right w:val="single" w:sz="12" w:space="0" w:color="000000"/>
            </w:tcBorders>
          </w:tcPr>
          <w:p>
            <w:pPr/>
          </w:p>
        </w:tc>
      </w:tr>
      <w:tr>
        <w:trPr>
          <w:trHeight w:val="499" w:hRule="exact"/>
        </w:trPr>
        <w:tc>
          <w:tcPr>
            <w:tcW w:w="1334" w:type="dxa"/>
            <w:vMerge/>
            <w:tcBorders>
              <w:left w:val="single" w:sz="12" w:space="0" w:color="000000"/>
              <w:right w:val="single" w:sz="12" w:space="0" w:color="000000"/>
            </w:tcBorders>
          </w:tcPr>
          <w:p>
            <w:pPr/>
          </w:p>
        </w:tc>
        <w:tc>
          <w:tcPr>
            <w:tcW w:w="1190" w:type="dxa"/>
            <w:vMerge/>
            <w:tcBorders>
              <w:left w:val="single" w:sz="12" w:space="0" w:color="000000"/>
              <w:right w:val="single" w:sz="12" w:space="0" w:color="000000"/>
            </w:tcBorders>
          </w:tcPr>
          <w:p>
            <w:pPr/>
          </w:p>
        </w:tc>
        <w:tc>
          <w:tcPr>
            <w:tcW w:w="1214" w:type="dxa"/>
            <w:vMerge/>
            <w:tcBorders>
              <w:left w:val="single" w:sz="12" w:space="0" w:color="000000"/>
              <w:right w:val="single" w:sz="12" w:space="0" w:color="000000"/>
            </w:tcBorders>
          </w:tcPr>
          <w:p>
            <w:pPr/>
          </w:p>
        </w:tc>
        <w:tc>
          <w:tcPr>
            <w:tcW w:w="338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93" w:right="0"/>
              <w:jc w:val="left"/>
              <w:rPr>
                <w:rFonts w:ascii="宋体" w:hAnsi="宋体" w:cs="宋体" w:eastAsia="宋体" w:hint="default"/>
                <w:sz w:val="18"/>
                <w:szCs w:val="18"/>
              </w:rPr>
            </w:pPr>
            <w:r>
              <w:rPr>
                <w:rFonts w:ascii="宋体" w:hAnsi="宋体" w:cs="宋体" w:eastAsia="宋体" w:hint="default"/>
                <w:sz w:val="18"/>
                <w:szCs w:val="18"/>
              </w:rPr>
              <w:t>摩根士丹利华鑫基金</w:t>
            </w:r>
            <w:r>
              <w:rPr>
                <w:rFonts w:ascii="宋体" w:hAnsi="宋体" w:cs="宋体" w:eastAsia="宋体" w:hint="default"/>
                <w:spacing w:val="-1"/>
                <w:sz w:val="18"/>
                <w:szCs w:val="18"/>
              </w:rPr>
              <w:t> </w:t>
            </w:r>
            <w:r>
              <w:rPr>
                <w:rFonts w:ascii="宋体" w:hAnsi="宋体" w:cs="宋体" w:eastAsia="宋体" w:hint="default"/>
                <w:sz w:val="18"/>
                <w:szCs w:val="18"/>
              </w:rPr>
              <w:t>张岩</w:t>
            </w:r>
          </w:p>
        </w:tc>
        <w:tc>
          <w:tcPr>
            <w:tcW w:w="1723" w:type="dxa"/>
            <w:vMerge/>
            <w:tcBorders>
              <w:left w:val="single" w:sz="12" w:space="0" w:color="000000"/>
              <w:right w:val="single" w:sz="12" w:space="0" w:color="000000"/>
            </w:tcBorders>
          </w:tcPr>
          <w:p>
            <w:pPr/>
          </w:p>
        </w:tc>
      </w:tr>
      <w:tr>
        <w:trPr>
          <w:trHeight w:val="497" w:hRule="exact"/>
        </w:trPr>
        <w:tc>
          <w:tcPr>
            <w:tcW w:w="1334" w:type="dxa"/>
            <w:vMerge/>
            <w:tcBorders>
              <w:left w:val="single" w:sz="12" w:space="0" w:color="000000"/>
              <w:right w:val="single" w:sz="12" w:space="0" w:color="000000"/>
            </w:tcBorders>
          </w:tcPr>
          <w:p>
            <w:pPr/>
          </w:p>
        </w:tc>
        <w:tc>
          <w:tcPr>
            <w:tcW w:w="1190" w:type="dxa"/>
            <w:vMerge/>
            <w:tcBorders>
              <w:left w:val="single" w:sz="12" w:space="0" w:color="000000"/>
              <w:right w:val="single" w:sz="12" w:space="0" w:color="000000"/>
            </w:tcBorders>
          </w:tcPr>
          <w:p>
            <w:pPr/>
          </w:p>
        </w:tc>
        <w:tc>
          <w:tcPr>
            <w:tcW w:w="1214" w:type="dxa"/>
            <w:vMerge/>
            <w:tcBorders>
              <w:left w:val="single" w:sz="12" w:space="0" w:color="000000"/>
              <w:right w:val="single" w:sz="12" w:space="0" w:color="000000"/>
            </w:tcBorders>
          </w:tcPr>
          <w:p>
            <w:pPr/>
          </w:p>
        </w:tc>
        <w:tc>
          <w:tcPr>
            <w:tcW w:w="338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93" w:right="0"/>
              <w:jc w:val="left"/>
              <w:rPr>
                <w:rFonts w:ascii="宋体" w:hAnsi="宋体" w:cs="宋体" w:eastAsia="宋体" w:hint="default"/>
                <w:sz w:val="18"/>
                <w:szCs w:val="18"/>
              </w:rPr>
            </w:pPr>
            <w:r>
              <w:rPr>
                <w:rFonts w:ascii="宋体" w:hAnsi="宋体" w:cs="宋体" w:eastAsia="宋体" w:hint="default"/>
                <w:sz w:val="18"/>
                <w:szCs w:val="18"/>
              </w:rPr>
              <w:t>长信基金 高兵</w:t>
            </w:r>
          </w:p>
        </w:tc>
        <w:tc>
          <w:tcPr>
            <w:tcW w:w="1723" w:type="dxa"/>
            <w:vMerge/>
            <w:tcBorders>
              <w:left w:val="single" w:sz="12" w:space="0" w:color="000000"/>
              <w:right w:val="single" w:sz="12" w:space="0" w:color="000000"/>
            </w:tcBorders>
          </w:tcPr>
          <w:p>
            <w:pPr/>
          </w:p>
        </w:tc>
      </w:tr>
      <w:tr>
        <w:trPr>
          <w:trHeight w:val="499" w:hRule="exact"/>
        </w:trPr>
        <w:tc>
          <w:tcPr>
            <w:tcW w:w="1334" w:type="dxa"/>
            <w:vMerge/>
            <w:tcBorders>
              <w:left w:val="single" w:sz="12" w:space="0" w:color="000000"/>
              <w:right w:val="single" w:sz="12" w:space="0" w:color="000000"/>
            </w:tcBorders>
          </w:tcPr>
          <w:p>
            <w:pPr/>
          </w:p>
        </w:tc>
        <w:tc>
          <w:tcPr>
            <w:tcW w:w="1190" w:type="dxa"/>
            <w:vMerge/>
            <w:tcBorders>
              <w:left w:val="single" w:sz="12" w:space="0" w:color="000000"/>
              <w:right w:val="single" w:sz="12" w:space="0" w:color="000000"/>
            </w:tcBorders>
          </w:tcPr>
          <w:p>
            <w:pPr/>
          </w:p>
        </w:tc>
        <w:tc>
          <w:tcPr>
            <w:tcW w:w="1214" w:type="dxa"/>
            <w:vMerge/>
            <w:tcBorders>
              <w:left w:val="single" w:sz="12" w:space="0" w:color="000000"/>
              <w:right w:val="single" w:sz="12" w:space="0" w:color="000000"/>
            </w:tcBorders>
          </w:tcPr>
          <w:p>
            <w:pPr/>
          </w:p>
        </w:tc>
        <w:tc>
          <w:tcPr>
            <w:tcW w:w="338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93" w:right="0"/>
              <w:jc w:val="left"/>
              <w:rPr>
                <w:rFonts w:ascii="宋体" w:hAnsi="宋体" w:cs="宋体" w:eastAsia="宋体" w:hint="default"/>
                <w:sz w:val="18"/>
                <w:szCs w:val="18"/>
              </w:rPr>
            </w:pPr>
            <w:r>
              <w:rPr>
                <w:rFonts w:ascii="宋体" w:hAnsi="宋体" w:cs="宋体" w:eastAsia="宋体" w:hint="default"/>
                <w:sz w:val="18"/>
                <w:szCs w:val="18"/>
              </w:rPr>
              <w:t>银河基金 陆震</w:t>
            </w:r>
          </w:p>
        </w:tc>
        <w:tc>
          <w:tcPr>
            <w:tcW w:w="1723" w:type="dxa"/>
            <w:vMerge/>
            <w:tcBorders>
              <w:left w:val="single" w:sz="12" w:space="0" w:color="000000"/>
              <w:right w:val="single" w:sz="12" w:space="0" w:color="000000"/>
            </w:tcBorders>
          </w:tcPr>
          <w:p>
            <w:pPr/>
          </w:p>
        </w:tc>
      </w:tr>
      <w:tr>
        <w:trPr>
          <w:trHeight w:val="497" w:hRule="exact"/>
        </w:trPr>
        <w:tc>
          <w:tcPr>
            <w:tcW w:w="1334" w:type="dxa"/>
            <w:vMerge/>
            <w:tcBorders>
              <w:left w:val="single" w:sz="12" w:space="0" w:color="000000"/>
              <w:right w:val="single" w:sz="12" w:space="0" w:color="000000"/>
            </w:tcBorders>
          </w:tcPr>
          <w:p>
            <w:pPr/>
          </w:p>
        </w:tc>
        <w:tc>
          <w:tcPr>
            <w:tcW w:w="1190" w:type="dxa"/>
            <w:vMerge/>
            <w:tcBorders>
              <w:left w:val="single" w:sz="12" w:space="0" w:color="000000"/>
              <w:right w:val="single" w:sz="12" w:space="0" w:color="000000"/>
            </w:tcBorders>
          </w:tcPr>
          <w:p>
            <w:pPr/>
          </w:p>
        </w:tc>
        <w:tc>
          <w:tcPr>
            <w:tcW w:w="1214" w:type="dxa"/>
            <w:vMerge/>
            <w:tcBorders>
              <w:left w:val="single" w:sz="12" w:space="0" w:color="000000"/>
              <w:right w:val="single" w:sz="12" w:space="0" w:color="000000"/>
            </w:tcBorders>
          </w:tcPr>
          <w:p>
            <w:pPr/>
          </w:p>
        </w:tc>
        <w:tc>
          <w:tcPr>
            <w:tcW w:w="338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93" w:right="0"/>
              <w:jc w:val="left"/>
              <w:rPr>
                <w:rFonts w:ascii="宋体" w:hAnsi="宋体" w:cs="宋体" w:eastAsia="宋体" w:hint="default"/>
                <w:sz w:val="18"/>
                <w:szCs w:val="18"/>
              </w:rPr>
            </w:pPr>
            <w:r>
              <w:rPr>
                <w:rFonts w:ascii="宋体" w:hAnsi="宋体" w:cs="宋体" w:eastAsia="宋体" w:hint="default"/>
                <w:sz w:val="18"/>
                <w:szCs w:val="18"/>
              </w:rPr>
              <w:t>东吴基金 茅玉峰</w:t>
            </w:r>
          </w:p>
        </w:tc>
        <w:tc>
          <w:tcPr>
            <w:tcW w:w="1723" w:type="dxa"/>
            <w:vMerge/>
            <w:tcBorders>
              <w:left w:val="single" w:sz="12" w:space="0" w:color="000000"/>
              <w:right w:val="single" w:sz="12" w:space="0" w:color="000000"/>
            </w:tcBorders>
          </w:tcPr>
          <w:p>
            <w:pPr/>
          </w:p>
        </w:tc>
      </w:tr>
      <w:tr>
        <w:trPr>
          <w:trHeight w:val="499" w:hRule="exact"/>
        </w:trPr>
        <w:tc>
          <w:tcPr>
            <w:tcW w:w="1334" w:type="dxa"/>
            <w:vMerge/>
            <w:tcBorders>
              <w:left w:val="single" w:sz="12" w:space="0" w:color="000000"/>
              <w:bottom w:val="single" w:sz="12" w:space="0" w:color="000000"/>
              <w:right w:val="single" w:sz="12" w:space="0" w:color="000000"/>
            </w:tcBorders>
          </w:tcPr>
          <w:p>
            <w:pPr/>
          </w:p>
        </w:tc>
        <w:tc>
          <w:tcPr>
            <w:tcW w:w="1190" w:type="dxa"/>
            <w:vMerge/>
            <w:tcBorders>
              <w:left w:val="single" w:sz="12" w:space="0" w:color="000000"/>
              <w:bottom w:val="single" w:sz="12" w:space="0" w:color="000000"/>
              <w:right w:val="single" w:sz="12" w:space="0" w:color="000000"/>
            </w:tcBorders>
          </w:tcPr>
          <w:p>
            <w:pPr/>
          </w:p>
        </w:tc>
        <w:tc>
          <w:tcPr>
            <w:tcW w:w="1214" w:type="dxa"/>
            <w:vMerge/>
            <w:tcBorders>
              <w:left w:val="single" w:sz="12" w:space="0" w:color="000000"/>
              <w:bottom w:val="single" w:sz="12" w:space="0" w:color="000000"/>
              <w:right w:val="single" w:sz="12" w:space="0" w:color="000000"/>
            </w:tcBorders>
          </w:tcPr>
          <w:p>
            <w:pPr/>
          </w:p>
        </w:tc>
        <w:tc>
          <w:tcPr>
            <w:tcW w:w="338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93" w:right="0"/>
              <w:jc w:val="left"/>
              <w:rPr>
                <w:rFonts w:ascii="宋体" w:hAnsi="宋体" w:cs="宋体" w:eastAsia="宋体" w:hint="default"/>
                <w:sz w:val="18"/>
                <w:szCs w:val="18"/>
              </w:rPr>
            </w:pPr>
            <w:r>
              <w:rPr>
                <w:rFonts w:ascii="宋体" w:hAnsi="宋体" w:cs="宋体" w:eastAsia="宋体" w:hint="default"/>
                <w:sz w:val="18"/>
                <w:szCs w:val="18"/>
              </w:rPr>
              <w:t>国联证券 王席鑫</w:t>
            </w:r>
            <w:r>
              <w:rPr>
                <w:rFonts w:ascii="宋体" w:hAnsi="宋体" w:cs="宋体" w:eastAsia="宋体" w:hint="default"/>
                <w:spacing w:val="1"/>
                <w:sz w:val="18"/>
                <w:szCs w:val="18"/>
              </w:rPr>
              <w:t> </w:t>
            </w:r>
            <w:r>
              <w:rPr>
                <w:rFonts w:ascii="宋体" w:hAnsi="宋体" w:cs="宋体" w:eastAsia="宋体" w:hint="default"/>
                <w:sz w:val="18"/>
                <w:szCs w:val="18"/>
              </w:rPr>
              <w:t>苏淼</w:t>
            </w:r>
          </w:p>
        </w:tc>
        <w:tc>
          <w:tcPr>
            <w:tcW w:w="1723" w:type="dxa"/>
            <w:vMerge/>
            <w:tcBorders>
              <w:left w:val="single" w:sz="12" w:space="0" w:color="000000"/>
              <w:bottom w:val="single" w:sz="12" w:space="0" w:color="000000"/>
              <w:right w:val="single" w:sz="12" w:space="0" w:color="000000"/>
            </w:tcBorders>
          </w:tcPr>
          <w:p>
            <w:pPr/>
          </w:p>
        </w:tc>
      </w:tr>
      <w:tr>
        <w:trPr>
          <w:trHeight w:val="965" w:hRule="exact"/>
        </w:trPr>
        <w:tc>
          <w:tcPr>
            <w:tcW w:w="13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Arial" w:hAnsi="Arial" w:cs="Arial" w:eastAsia="Arial" w:hint="default"/>
                <w:sz w:val="18"/>
                <w:szCs w:val="18"/>
              </w:rPr>
            </w:pPr>
            <w:r>
              <w:rPr>
                <w:rFonts w:ascii="Arial"/>
                <w:sz w:val="18"/>
              </w:rPr>
              <w:t>2010-9-6</w:t>
            </w:r>
          </w:p>
        </w:tc>
        <w:tc>
          <w:tcPr>
            <w:tcW w:w="11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2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338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南方基金 陈伟</w:t>
            </w:r>
          </w:p>
        </w:tc>
        <w:tc>
          <w:tcPr>
            <w:tcW w:w="172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公司经营情况及行</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业情况</w:t>
            </w:r>
          </w:p>
        </w:tc>
      </w:tr>
      <w:tr>
        <w:trPr>
          <w:trHeight w:val="499" w:hRule="exact"/>
        </w:trPr>
        <w:tc>
          <w:tcPr>
            <w:tcW w:w="1334" w:type="dxa"/>
            <w:vMerge w:val="restart"/>
            <w:tcBorders>
              <w:top w:val="single" w:sz="12" w:space="0" w:color="000000"/>
              <w:left w:val="single" w:sz="12" w:space="0" w:color="000000"/>
              <w:right w:val="single" w:sz="12" w:space="0" w:color="000000"/>
            </w:tcBorders>
          </w:tcPr>
          <w:p>
            <w:pPr>
              <w:pStyle w:val="TableParagraph"/>
              <w:spacing w:line="240" w:lineRule="auto" w:before="131"/>
              <w:ind w:left="239" w:right="0"/>
              <w:jc w:val="left"/>
              <w:rPr>
                <w:rFonts w:ascii="Arial" w:hAnsi="Arial" w:cs="Arial" w:eastAsia="Arial" w:hint="default"/>
                <w:sz w:val="18"/>
                <w:szCs w:val="18"/>
              </w:rPr>
            </w:pPr>
            <w:r>
              <w:rPr>
                <w:rFonts w:ascii="Arial"/>
                <w:sz w:val="18"/>
              </w:rPr>
              <w:t>2010-12-2</w:t>
            </w:r>
          </w:p>
        </w:tc>
        <w:tc>
          <w:tcPr>
            <w:tcW w:w="1190" w:type="dxa"/>
            <w:vMerge w:val="restart"/>
            <w:tcBorders>
              <w:top w:val="single" w:sz="12" w:space="0" w:color="000000"/>
              <w:left w:val="single" w:sz="12" w:space="0" w:color="000000"/>
              <w:right w:val="single" w:sz="12" w:space="0" w:color="000000"/>
            </w:tcBorders>
          </w:tcPr>
          <w:p>
            <w:pPr>
              <w:pStyle w:val="TableParagraph"/>
              <w:spacing w:line="240" w:lineRule="auto" w:before="89"/>
              <w:ind w:left="129"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214" w:type="dxa"/>
            <w:vMerge w:val="restart"/>
            <w:tcBorders>
              <w:top w:val="single" w:sz="12" w:space="0" w:color="000000"/>
              <w:left w:val="single" w:sz="12" w:space="0" w:color="000000"/>
              <w:right w:val="single" w:sz="12" w:space="0" w:color="000000"/>
            </w:tcBorders>
          </w:tcPr>
          <w:p>
            <w:pPr>
              <w:pStyle w:val="TableParagraph"/>
              <w:spacing w:line="240" w:lineRule="auto" w:before="89"/>
              <w:ind w:left="23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338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93" w:right="0"/>
              <w:jc w:val="left"/>
              <w:rPr>
                <w:rFonts w:ascii="宋体" w:hAnsi="宋体" w:cs="宋体" w:eastAsia="宋体" w:hint="default"/>
                <w:sz w:val="18"/>
                <w:szCs w:val="18"/>
              </w:rPr>
            </w:pPr>
            <w:r>
              <w:rPr>
                <w:rFonts w:ascii="宋体" w:hAnsi="宋体" w:cs="宋体" w:eastAsia="宋体" w:hint="default"/>
                <w:sz w:val="18"/>
                <w:szCs w:val="18"/>
              </w:rPr>
              <w:t>杭州锦月控股 林甜甜</w:t>
            </w:r>
          </w:p>
        </w:tc>
        <w:tc>
          <w:tcPr>
            <w:tcW w:w="1723" w:type="dxa"/>
            <w:vMerge w:val="restart"/>
            <w:tcBorders>
              <w:top w:val="single" w:sz="12" w:space="0" w:color="000000"/>
              <w:left w:val="single" w:sz="12" w:space="0" w:color="000000"/>
              <w:right w:val="single" w:sz="12" w:space="0" w:color="000000"/>
            </w:tcBorders>
          </w:tcPr>
          <w:p>
            <w:pPr>
              <w:pStyle w:val="TableParagraph"/>
              <w:spacing w:line="477" w:lineRule="auto" w:before="89"/>
              <w:ind w:left="575" w:right="125" w:hanging="449"/>
              <w:jc w:val="left"/>
              <w:rPr>
                <w:rFonts w:ascii="宋体" w:hAnsi="宋体" w:cs="宋体" w:eastAsia="宋体" w:hint="default"/>
                <w:sz w:val="18"/>
                <w:szCs w:val="18"/>
              </w:rPr>
            </w:pPr>
            <w:r>
              <w:rPr>
                <w:rFonts w:ascii="宋体" w:hAnsi="宋体" w:cs="宋体" w:eastAsia="宋体" w:hint="default"/>
                <w:sz w:val="18"/>
                <w:szCs w:val="18"/>
              </w:rPr>
              <w:t>公司经营情况及行</w:t>
            </w:r>
            <w:r>
              <w:rPr>
                <w:rFonts w:ascii="宋体" w:hAnsi="宋体" w:cs="宋体" w:eastAsia="宋体" w:hint="default"/>
                <w:w w:val="99"/>
                <w:sz w:val="18"/>
                <w:szCs w:val="18"/>
              </w:rPr>
              <w:t> </w:t>
            </w:r>
            <w:r>
              <w:rPr>
                <w:rFonts w:ascii="宋体" w:hAnsi="宋体" w:cs="宋体" w:eastAsia="宋体" w:hint="default"/>
                <w:sz w:val="18"/>
                <w:szCs w:val="18"/>
              </w:rPr>
              <w:t>业情况</w:t>
            </w:r>
          </w:p>
        </w:tc>
      </w:tr>
      <w:tr>
        <w:trPr>
          <w:trHeight w:val="497" w:hRule="exact"/>
        </w:trPr>
        <w:tc>
          <w:tcPr>
            <w:tcW w:w="1334" w:type="dxa"/>
            <w:vMerge/>
            <w:tcBorders>
              <w:left w:val="single" w:sz="12" w:space="0" w:color="000000"/>
              <w:right w:val="single" w:sz="12" w:space="0" w:color="000000"/>
            </w:tcBorders>
          </w:tcPr>
          <w:p>
            <w:pPr/>
          </w:p>
        </w:tc>
        <w:tc>
          <w:tcPr>
            <w:tcW w:w="1190" w:type="dxa"/>
            <w:vMerge/>
            <w:tcBorders>
              <w:left w:val="single" w:sz="12" w:space="0" w:color="000000"/>
              <w:right w:val="single" w:sz="12" w:space="0" w:color="000000"/>
            </w:tcBorders>
          </w:tcPr>
          <w:p>
            <w:pPr/>
          </w:p>
        </w:tc>
        <w:tc>
          <w:tcPr>
            <w:tcW w:w="1214" w:type="dxa"/>
            <w:vMerge/>
            <w:tcBorders>
              <w:left w:val="single" w:sz="12" w:space="0" w:color="000000"/>
              <w:right w:val="single" w:sz="12" w:space="0" w:color="000000"/>
            </w:tcBorders>
          </w:tcPr>
          <w:p>
            <w:pPr/>
          </w:p>
        </w:tc>
        <w:tc>
          <w:tcPr>
            <w:tcW w:w="338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93" w:right="0"/>
              <w:jc w:val="left"/>
              <w:rPr>
                <w:rFonts w:ascii="宋体" w:hAnsi="宋体" w:cs="宋体" w:eastAsia="宋体" w:hint="default"/>
                <w:sz w:val="18"/>
                <w:szCs w:val="18"/>
              </w:rPr>
            </w:pPr>
            <w:r>
              <w:rPr>
                <w:rFonts w:ascii="宋体" w:hAnsi="宋体" w:cs="宋体" w:eastAsia="宋体" w:hint="default"/>
                <w:sz w:val="18"/>
                <w:szCs w:val="18"/>
              </w:rPr>
              <w:t>国联证券 苏淼</w:t>
            </w:r>
          </w:p>
        </w:tc>
        <w:tc>
          <w:tcPr>
            <w:tcW w:w="1723" w:type="dxa"/>
            <w:vMerge/>
            <w:tcBorders>
              <w:left w:val="single" w:sz="12" w:space="0" w:color="000000"/>
              <w:right w:val="single" w:sz="12" w:space="0" w:color="000000"/>
            </w:tcBorders>
          </w:tcPr>
          <w:p>
            <w:pPr/>
          </w:p>
        </w:tc>
      </w:tr>
      <w:tr>
        <w:trPr>
          <w:trHeight w:val="499" w:hRule="exact"/>
        </w:trPr>
        <w:tc>
          <w:tcPr>
            <w:tcW w:w="1334" w:type="dxa"/>
            <w:vMerge/>
            <w:tcBorders>
              <w:left w:val="single" w:sz="12" w:space="0" w:color="000000"/>
              <w:right w:val="single" w:sz="12" w:space="0" w:color="000000"/>
            </w:tcBorders>
          </w:tcPr>
          <w:p>
            <w:pPr/>
          </w:p>
        </w:tc>
        <w:tc>
          <w:tcPr>
            <w:tcW w:w="1190" w:type="dxa"/>
            <w:vMerge/>
            <w:tcBorders>
              <w:left w:val="single" w:sz="12" w:space="0" w:color="000000"/>
              <w:right w:val="single" w:sz="12" w:space="0" w:color="000000"/>
            </w:tcBorders>
          </w:tcPr>
          <w:p>
            <w:pPr/>
          </w:p>
        </w:tc>
        <w:tc>
          <w:tcPr>
            <w:tcW w:w="1214" w:type="dxa"/>
            <w:vMerge/>
            <w:tcBorders>
              <w:left w:val="single" w:sz="12" w:space="0" w:color="000000"/>
              <w:right w:val="single" w:sz="12" w:space="0" w:color="000000"/>
            </w:tcBorders>
          </w:tcPr>
          <w:p>
            <w:pPr/>
          </w:p>
        </w:tc>
        <w:tc>
          <w:tcPr>
            <w:tcW w:w="338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93" w:right="0"/>
              <w:jc w:val="left"/>
              <w:rPr>
                <w:rFonts w:ascii="宋体" w:hAnsi="宋体" w:cs="宋体" w:eastAsia="宋体" w:hint="default"/>
                <w:sz w:val="18"/>
                <w:szCs w:val="18"/>
              </w:rPr>
            </w:pPr>
            <w:r>
              <w:rPr>
                <w:rFonts w:ascii="宋体" w:hAnsi="宋体" w:cs="宋体" w:eastAsia="宋体" w:hint="default"/>
                <w:sz w:val="18"/>
                <w:szCs w:val="18"/>
              </w:rPr>
              <w:t>小海豚投资 徐栋</w:t>
            </w:r>
          </w:p>
        </w:tc>
        <w:tc>
          <w:tcPr>
            <w:tcW w:w="1723" w:type="dxa"/>
            <w:vMerge/>
            <w:tcBorders>
              <w:left w:val="single" w:sz="12" w:space="0" w:color="000000"/>
              <w:right w:val="single" w:sz="12" w:space="0" w:color="000000"/>
            </w:tcBorders>
          </w:tcPr>
          <w:p>
            <w:pPr/>
          </w:p>
        </w:tc>
      </w:tr>
      <w:tr>
        <w:trPr>
          <w:trHeight w:val="497" w:hRule="exact"/>
        </w:trPr>
        <w:tc>
          <w:tcPr>
            <w:tcW w:w="1334" w:type="dxa"/>
            <w:vMerge/>
            <w:tcBorders>
              <w:left w:val="single" w:sz="12" w:space="0" w:color="000000"/>
              <w:right w:val="single" w:sz="12" w:space="0" w:color="000000"/>
            </w:tcBorders>
          </w:tcPr>
          <w:p>
            <w:pPr/>
          </w:p>
        </w:tc>
        <w:tc>
          <w:tcPr>
            <w:tcW w:w="1190" w:type="dxa"/>
            <w:vMerge/>
            <w:tcBorders>
              <w:left w:val="single" w:sz="12" w:space="0" w:color="000000"/>
              <w:right w:val="single" w:sz="12" w:space="0" w:color="000000"/>
            </w:tcBorders>
          </w:tcPr>
          <w:p>
            <w:pPr/>
          </w:p>
        </w:tc>
        <w:tc>
          <w:tcPr>
            <w:tcW w:w="1214" w:type="dxa"/>
            <w:vMerge/>
            <w:tcBorders>
              <w:left w:val="single" w:sz="12" w:space="0" w:color="000000"/>
              <w:right w:val="single" w:sz="12" w:space="0" w:color="000000"/>
            </w:tcBorders>
          </w:tcPr>
          <w:p>
            <w:pPr/>
          </w:p>
        </w:tc>
        <w:tc>
          <w:tcPr>
            <w:tcW w:w="338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93" w:right="0"/>
              <w:jc w:val="left"/>
              <w:rPr>
                <w:rFonts w:ascii="宋体" w:hAnsi="宋体" w:cs="宋体" w:eastAsia="宋体" w:hint="default"/>
                <w:sz w:val="18"/>
                <w:szCs w:val="18"/>
              </w:rPr>
            </w:pPr>
            <w:r>
              <w:rPr>
                <w:rFonts w:ascii="宋体" w:hAnsi="宋体" w:cs="宋体" w:eastAsia="宋体" w:hint="default"/>
                <w:sz w:val="18"/>
                <w:szCs w:val="18"/>
              </w:rPr>
              <w:t>金元证券 杨杰</w:t>
            </w:r>
          </w:p>
        </w:tc>
        <w:tc>
          <w:tcPr>
            <w:tcW w:w="1723" w:type="dxa"/>
            <w:vMerge/>
            <w:tcBorders>
              <w:left w:val="single" w:sz="12" w:space="0" w:color="000000"/>
              <w:right w:val="single" w:sz="12" w:space="0" w:color="000000"/>
            </w:tcBorders>
          </w:tcPr>
          <w:p>
            <w:pPr/>
          </w:p>
        </w:tc>
      </w:tr>
      <w:tr>
        <w:trPr>
          <w:trHeight w:val="499" w:hRule="exact"/>
        </w:trPr>
        <w:tc>
          <w:tcPr>
            <w:tcW w:w="1334" w:type="dxa"/>
            <w:vMerge/>
            <w:tcBorders>
              <w:left w:val="single" w:sz="12" w:space="0" w:color="000000"/>
              <w:right w:val="single" w:sz="12" w:space="0" w:color="000000"/>
            </w:tcBorders>
          </w:tcPr>
          <w:p>
            <w:pPr/>
          </w:p>
        </w:tc>
        <w:tc>
          <w:tcPr>
            <w:tcW w:w="1190" w:type="dxa"/>
            <w:vMerge/>
            <w:tcBorders>
              <w:left w:val="single" w:sz="12" w:space="0" w:color="000000"/>
              <w:right w:val="single" w:sz="12" w:space="0" w:color="000000"/>
            </w:tcBorders>
          </w:tcPr>
          <w:p>
            <w:pPr/>
          </w:p>
        </w:tc>
        <w:tc>
          <w:tcPr>
            <w:tcW w:w="1214" w:type="dxa"/>
            <w:vMerge/>
            <w:tcBorders>
              <w:left w:val="single" w:sz="12" w:space="0" w:color="000000"/>
              <w:right w:val="single" w:sz="12" w:space="0" w:color="000000"/>
            </w:tcBorders>
          </w:tcPr>
          <w:p>
            <w:pPr/>
          </w:p>
        </w:tc>
        <w:tc>
          <w:tcPr>
            <w:tcW w:w="338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93" w:right="0"/>
              <w:jc w:val="left"/>
              <w:rPr>
                <w:rFonts w:ascii="宋体" w:hAnsi="宋体" w:cs="宋体" w:eastAsia="宋体" w:hint="default"/>
                <w:sz w:val="18"/>
                <w:szCs w:val="18"/>
              </w:rPr>
            </w:pPr>
            <w:r>
              <w:rPr>
                <w:rFonts w:ascii="宋体" w:hAnsi="宋体" w:cs="宋体" w:eastAsia="宋体" w:hint="default"/>
                <w:sz w:val="18"/>
                <w:szCs w:val="18"/>
              </w:rPr>
              <w:t>港澳资讯 潘学诗</w:t>
            </w:r>
          </w:p>
        </w:tc>
        <w:tc>
          <w:tcPr>
            <w:tcW w:w="1723" w:type="dxa"/>
            <w:vMerge/>
            <w:tcBorders>
              <w:left w:val="single" w:sz="12" w:space="0" w:color="000000"/>
              <w:right w:val="single" w:sz="12" w:space="0" w:color="000000"/>
            </w:tcBorders>
          </w:tcPr>
          <w:p>
            <w:pPr/>
          </w:p>
        </w:tc>
      </w:tr>
      <w:tr>
        <w:trPr>
          <w:trHeight w:val="497" w:hRule="exact"/>
        </w:trPr>
        <w:tc>
          <w:tcPr>
            <w:tcW w:w="1334" w:type="dxa"/>
            <w:vMerge/>
            <w:tcBorders>
              <w:left w:val="single" w:sz="12" w:space="0" w:color="000000"/>
              <w:bottom w:val="single" w:sz="12" w:space="0" w:color="000000"/>
              <w:right w:val="single" w:sz="12" w:space="0" w:color="000000"/>
            </w:tcBorders>
          </w:tcPr>
          <w:p>
            <w:pPr/>
          </w:p>
        </w:tc>
        <w:tc>
          <w:tcPr>
            <w:tcW w:w="1190" w:type="dxa"/>
            <w:vMerge/>
            <w:tcBorders>
              <w:left w:val="single" w:sz="12" w:space="0" w:color="000000"/>
              <w:bottom w:val="single" w:sz="12" w:space="0" w:color="000000"/>
              <w:right w:val="single" w:sz="12" w:space="0" w:color="000000"/>
            </w:tcBorders>
          </w:tcPr>
          <w:p>
            <w:pPr/>
          </w:p>
        </w:tc>
        <w:tc>
          <w:tcPr>
            <w:tcW w:w="1214" w:type="dxa"/>
            <w:vMerge/>
            <w:tcBorders>
              <w:left w:val="single" w:sz="12" w:space="0" w:color="000000"/>
              <w:bottom w:val="single" w:sz="12" w:space="0" w:color="000000"/>
              <w:right w:val="single" w:sz="12" w:space="0" w:color="000000"/>
            </w:tcBorders>
          </w:tcPr>
          <w:p>
            <w:pPr/>
          </w:p>
        </w:tc>
        <w:tc>
          <w:tcPr>
            <w:tcW w:w="338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93" w:right="0"/>
              <w:jc w:val="left"/>
              <w:rPr>
                <w:rFonts w:ascii="宋体" w:hAnsi="宋体" w:cs="宋体" w:eastAsia="宋体" w:hint="default"/>
                <w:sz w:val="18"/>
                <w:szCs w:val="18"/>
              </w:rPr>
            </w:pPr>
            <w:r>
              <w:rPr>
                <w:rFonts w:ascii="宋体" w:hAnsi="宋体" w:cs="宋体" w:eastAsia="宋体" w:hint="default"/>
                <w:sz w:val="18"/>
                <w:szCs w:val="18"/>
              </w:rPr>
              <w:t>上海千晟投资有限公司</w:t>
            </w:r>
            <w:r>
              <w:rPr>
                <w:rFonts w:ascii="宋体" w:hAnsi="宋体" w:cs="宋体" w:eastAsia="宋体" w:hint="default"/>
                <w:spacing w:val="-1"/>
                <w:sz w:val="18"/>
                <w:szCs w:val="18"/>
              </w:rPr>
              <w:t> </w:t>
            </w:r>
            <w:r>
              <w:rPr>
                <w:rFonts w:ascii="宋体" w:hAnsi="宋体" w:cs="宋体" w:eastAsia="宋体" w:hint="default"/>
                <w:sz w:val="18"/>
                <w:szCs w:val="18"/>
              </w:rPr>
              <w:t>陈裕稽</w:t>
            </w:r>
          </w:p>
        </w:tc>
        <w:tc>
          <w:tcPr>
            <w:tcW w:w="1723" w:type="dxa"/>
            <w:vMerge/>
            <w:tcBorders>
              <w:left w:val="single" w:sz="12" w:space="0" w:color="000000"/>
              <w:bottom w:val="single" w:sz="12" w:space="0" w:color="000000"/>
              <w:right w:val="single" w:sz="12" w:space="0" w:color="000000"/>
            </w:tcBorders>
          </w:tcPr>
          <w:p>
            <w:pPr/>
          </w:p>
        </w:tc>
      </w:tr>
    </w:tbl>
    <w:p>
      <w:pPr>
        <w:spacing w:after="0"/>
        <w:sectPr>
          <w:pgSz w:w="11900" w:h="16840"/>
          <w:pgMar w:header="877" w:footer="981" w:top="1100" w:bottom="1180" w:left="1560" w:right="1220"/>
        </w:sectPr>
      </w:pPr>
    </w:p>
    <w:p>
      <w:pPr>
        <w:spacing w:line="240" w:lineRule="auto" w:before="11"/>
        <w:rPr>
          <w:rFonts w:ascii="Times New Roman" w:hAnsi="Times New Roman" w:cs="Times New Roman" w:eastAsia="Times New Roman" w:hint="default"/>
          <w:sz w:val="27"/>
          <w:szCs w:val="27"/>
        </w:rPr>
      </w:pPr>
    </w:p>
    <w:tbl>
      <w:tblPr>
        <w:tblW w:w="0" w:type="auto"/>
        <w:jc w:val="left"/>
        <w:tblInd w:w="115" w:type="dxa"/>
        <w:tblLayout w:type="fixed"/>
        <w:tblCellMar>
          <w:top w:w="0" w:type="dxa"/>
          <w:left w:w="0" w:type="dxa"/>
          <w:bottom w:w="0" w:type="dxa"/>
          <w:right w:w="0" w:type="dxa"/>
        </w:tblCellMar>
        <w:tblLook w:val="01E0"/>
      </w:tblPr>
      <w:tblGrid>
        <w:gridCol w:w="1334"/>
        <w:gridCol w:w="1190"/>
        <w:gridCol w:w="1214"/>
        <w:gridCol w:w="3389"/>
        <w:gridCol w:w="1723"/>
      </w:tblGrid>
      <w:tr>
        <w:trPr>
          <w:trHeight w:val="497" w:hRule="exact"/>
        </w:trPr>
        <w:tc>
          <w:tcPr>
            <w:tcW w:w="1334" w:type="dxa"/>
            <w:vMerge w:val="restart"/>
            <w:tcBorders>
              <w:top w:val="single" w:sz="12" w:space="0" w:color="000000"/>
              <w:left w:val="single" w:sz="12" w:space="0" w:color="000000"/>
              <w:right w:val="single" w:sz="12" w:space="0" w:color="000000"/>
            </w:tcBorders>
          </w:tcPr>
          <w:p>
            <w:pPr/>
          </w:p>
        </w:tc>
        <w:tc>
          <w:tcPr>
            <w:tcW w:w="1190" w:type="dxa"/>
            <w:vMerge w:val="restart"/>
            <w:tcBorders>
              <w:top w:val="single" w:sz="12" w:space="0" w:color="000000"/>
              <w:left w:val="single" w:sz="12" w:space="0" w:color="000000"/>
              <w:right w:val="single" w:sz="12" w:space="0" w:color="000000"/>
            </w:tcBorders>
          </w:tcPr>
          <w:p>
            <w:pPr/>
          </w:p>
        </w:tc>
        <w:tc>
          <w:tcPr>
            <w:tcW w:w="1214" w:type="dxa"/>
            <w:vMerge w:val="restart"/>
            <w:tcBorders>
              <w:top w:val="single" w:sz="12" w:space="0" w:color="000000"/>
              <w:left w:val="single" w:sz="12" w:space="0" w:color="000000"/>
              <w:right w:val="single" w:sz="12" w:space="0" w:color="000000"/>
            </w:tcBorders>
          </w:tcPr>
          <w:p>
            <w:pPr/>
          </w:p>
        </w:tc>
        <w:tc>
          <w:tcPr>
            <w:tcW w:w="338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93" w:right="0"/>
              <w:jc w:val="left"/>
              <w:rPr>
                <w:rFonts w:ascii="宋体" w:hAnsi="宋体" w:cs="宋体" w:eastAsia="宋体" w:hint="default"/>
                <w:sz w:val="18"/>
                <w:szCs w:val="18"/>
              </w:rPr>
            </w:pPr>
            <w:r>
              <w:rPr>
                <w:rFonts w:ascii="宋体" w:hAnsi="宋体" w:cs="宋体" w:eastAsia="宋体" w:hint="default"/>
                <w:sz w:val="18"/>
                <w:szCs w:val="18"/>
              </w:rPr>
              <w:t>玖逸投资 赵启欣</w:t>
            </w:r>
          </w:p>
        </w:tc>
        <w:tc>
          <w:tcPr>
            <w:tcW w:w="1723" w:type="dxa"/>
            <w:vMerge w:val="restart"/>
            <w:tcBorders>
              <w:top w:val="single" w:sz="12" w:space="0" w:color="000000"/>
              <w:left w:val="single" w:sz="12" w:space="0" w:color="000000"/>
              <w:right w:val="single" w:sz="12" w:space="0" w:color="000000"/>
            </w:tcBorders>
          </w:tcPr>
          <w:p>
            <w:pPr/>
          </w:p>
        </w:tc>
      </w:tr>
      <w:tr>
        <w:trPr>
          <w:trHeight w:val="499" w:hRule="exact"/>
        </w:trPr>
        <w:tc>
          <w:tcPr>
            <w:tcW w:w="1334" w:type="dxa"/>
            <w:vMerge/>
            <w:tcBorders>
              <w:left w:val="single" w:sz="12" w:space="0" w:color="000000"/>
              <w:right w:val="single" w:sz="12" w:space="0" w:color="000000"/>
            </w:tcBorders>
          </w:tcPr>
          <w:p>
            <w:pPr/>
          </w:p>
        </w:tc>
        <w:tc>
          <w:tcPr>
            <w:tcW w:w="1190" w:type="dxa"/>
            <w:vMerge/>
            <w:tcBorders>
              <w:left w:val="single" w:sz="12" w:space="0" w:color="000000"/>
              <w:right w:val="single" w:sz="12" w:space="0" w:color="000000"/>
            </w:tcBorders>
          </w:tcPr>
          <w:p>
            <w:pPr/>
          </w:p>
        </w:tc>
        <w:tc>
          <w:tcPr>
            <w:tcW w:w="1214" w:type="dxa"/>
            <w:vMerge/>
            <w:tcBorders>
              <w:left w:val="single" w:sz="12" w:space="0" w:color="000000"/>
              <w:right w:val="single" w:sz="12" w:space="0" w:color="000000"/>
            </w:tcBorders>
          </w:tcPr>
          <w:p>
            <w:pPr/>
          </w:p>
        </w:tc>
        <w:tc>
          <w:tcPr>
            <w:tcW w:w="338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93" w:right="0"/>
              <w:jc w:val="left"/>
              <w:rPr>
                <w:rFonts w:ascii="宋体" w:hAnsi="宋体" w:cs="宋体" w:eastAsia="宋体" w:hint="default"/>
                <w:sz w:val="18"/>
                <w:szCs w:val="18"/>
              </w:rPr>
            </w:pPr>
            <w:r>
              <w:rPr>
                <w:rFonts w:ascii="宋体" w:hAnsi="宋体" w:cs="宋体" w:eastAsia="宋体" w:hint="default"/>
                <w:sz w:val="18"/>
                <w:szCs w:val="18"/>
              </w:rPr>
              <w:t>宏源证券 祖广平</w:t>
            </w:r>
          </w:p>
        </w:tc>
        <w:tc>
          <w:tcPr>
            <w:tcW w:w="1723" w:type="dxa"/>
            <w:vMerge/>
            <w:tcBorders>
              <w:left w:val="single" w:sz="12" w:space="0" w:color="000000"/>
              <w:right w:val="single" w:sz="12" w:space="0" w:color="000000"/>
            </w:tcBorders>
          </w:tcPr>
          <w:p>
            <w:pPr/>
          </w:p>
        </w:tc>
      </w:tr>
      <w:tr>
        <w:trPr>
          <w:trHeight w:val="497" w:hRule="exact"/>
        </w:trPr>
        <w:tc>
          <w:tcPr>
            <w:tcW w:w="1334" w:type="dxa"/>
            <w:vMerge/>
            <w:tcBorders>
              <w:left w:val="single" w:sz="12" w:space="0" w:color="000000"/>
              <w:right w:val="single" w:sz="12" w:space="0" w:color="000000"/>
            </w:tcBorders>
          </w:tcPr>
          <w:p>
            <w:pPr/>
          </w:p>
        </w:tc>
        <w:tc>
          <w:tcPr>
            <w:tcW w:w="1190" w:type="dxa"/>
            <w:vMerge/>
            <w:tcBorders>
              <w:left w:val="single" w:sz="12" w:space="0" w:color="000000"/>
              <w:right w:val="single" w:sz="12" w:space="0" w:color="000000"/>
            </w:tcBorders>
          </w:tcPr>
          <w:p>
            <w:pPr/>
          </w:p>
        </w:tc>
        <w:tc>
          <w:tcPr>
            <w:tcW w:w="1214" w:type="dxa"/>
            <w:vMerge/>
            <w:tcBorders>
              <w:left w:val="single" w:sz="12" w:space="0" w:color="000000"/>
              <w:right w:val="single" w:sz="12" w:space="0" w:color="000000"/>
            </w:tcBorders>
          </w:tcPr>
          <w:p>
            <w:pPr/>
          </w:p>
        </w:tc>
        <w:tc>
          <w:tcPr>
            <w:tcW w:w="338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93" w:right="0"/>
              <w:jc w:val="left"/>
              <w:rPr>
                <w:rFonts w:ascii="宋体" w:hAnsi="宋体" w:cs="宋体" w:eastAsia="宋体" w:hint="default"/>
                <w:sz w:val="18"/>
                <w:szCs w:val="18"/>
              </w:rPr>
            </w:pPr>
            <w:r>
              <w:rPr>
                <w:rFonts w:ascii="宋体" w:hAnsi="宋体" w:cs="宋体" w:eastAsia="宋体" w:hint="default"/>
                <w:sz w:val="18"/>
                <w:szCs w:val="18"/>
              </w:rPr>
              <w:t>睿信投资 袁飞</w:t>
            </w:r>
          </w:p>
        </w:tc>
        <w:tc>
          <w:tcPr>
            <w:tcW w:w="1723" w:type="dxa"/>
            <w:vMerge/>
            <w:tcBorders>
              <w:left w:val="single" w:sz="12" w:space="0" w:color="000000"/>
              <w:right w:val="single" w:sz="12" w:space="0" w:color="000000"/>
            </w:tcBorders>
          </w:tcPr>
          <w:p>
            <w:pPr/>
          </w:p>
        </w:tc>
      </w:tr>
      <w:tr>
        <w:trPr>
          <w:trHeight w:val="499" w:hRule="exact"/>
        </w:trPr>
        <w:tc>
          <w:tcPr>
            <w:tcW w:w="1334" w:type="dxa"/>
            <w:vMerge/>
            <w:tcBorders>
              <w:left w:val="single" w:sz="12" w:space="0" w:color="000000"/>
              <w:right w:val="single" w:sz="12" w:space="0" w:color="000000"/>
            </w:tcBorders>
          </w:tcPr>
          <w:p>
            <w:pPr/>
          </w:p>
        </w:tc>
        <w:tc>
          <w:tcPr>
            <w:tcW w:w="1190" w:type="dxa"/>
            <w:vMerge/>
            <w:tcBorders>
              <w:left w:val="single" w:sz="12" w:space="0" w:color="000000"/>
              <w:right w:val="single" w:sz="12" w:space="0" w:color="000000"/>
            </w:tcBorders>
          </w:tcPr>
          <w:p>
            <w:pPr/>
          </w:p>
        </w:tc>
        <w:tc>
          <w:tcPr>
            <w:tcW w:w="1214" w:type="dxa"/>
            <w:vMerge/>
            <w:tcBorders>
              <w:left w:val="single" w:sz="12" w:space="0" w:color="000000"/>
              <w:right w:val="single" w:sz="12" w:space="0" w:color="000000"/>
            </w:tcBorders>
          </w:tcPr>
          <w:p>
            <w:pPr/>
          </w:p>
        </w:tc>
        <w:tc>
          <w:tcPr>
            <w:tcW w:w="338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93" w:right="0"/>
              <w:jc w:val="left"/>
              <w:rPr>
                <w:rFonts w:ascii="宋体" w:hAnsi="宋体" w:cs="宋体" w:eastAsia="宋体" w:hint="default"/>
                <w:sz w:val="18"/>
                <w:szCs w:val="18"/>
              </w:rPr>
            </w:pPr>
            <w:r>
              <w:rPr>
                <w:rFonts w:ascii="宋体" w:hAnsi="宋体" w:cs="宋体" w:eastAsia="宋体" w:hint="default"/>
                <w:sz w:val="18"/>
                <w:szCs w:val="18"/>
              </w:rPr>
              <w:t>中航证券 卢全治</w:t>
            </w:r>
          </w:p>
        </w:tc>
        <w:tc>
          <w:tcPr>
            <w:tcW w:w="1723" w:type="dxa"/>
            <w:vMerge/>
            <w:tcBorders>
              <w:left w:val="single" w:sz="12" w:space="0" w:color="000000"/>
              <w:right w:val="single" w:sz="12" w:space="0" w:color="000000"/>
            </w:tcBorders>
          </w:tcPr>
          <w:p>
            <w:pPr/>
          </w:p>
        </w:tc>
      </w:tr>
      <w:tr>
        <w:trPr>
          <w:trHeight w:val="497" w:hRule="exact"/>
        </w:trPr>
        <w:tc>
          <w:tcPr>
            <w:tcW w:w="1334" w:type="dxa"/>
            <w:vMerge/>
            <w:tcBorders>
              <w:left w:val="single" w:sz="12" w:space="0" w:color="000000"/>
              <w:bottom w:val="single" w:sz="12" w:space="0" w:color="000000"/>
              <w:right w:val="single" w:sz="12" w:space="0" w:color="000000"/>
            </w:tcBorders>
          </w:tcPr>
          <w:p>
            <w:pPr/>
          </w:p>
        </w:tc>
        <w:tc>
          <w:tcPr>
            <w:tcW w:w="1190" w:type="dxa"/>
            <w:vMerge/>
            <w:tcBorders>
              <w:left w:val="single" w:sz="12" w:space="0" w:color="000000"/>
              <w:bottom w:val="single" w:sz="12" w:space="0" w:color="000000"/>
              <w:right w:val="single" w:sz="12" w:space="0" w:color="000000"/>
            </w:tcBorders>
          </w:tcPr>
          <w:p>
            <w:pPr/>
          </w:p>
        </w:tc>
        <w:tc>
          <w:tcPr>
            <w:tcW w:w="1214" w:type="dxa"/>
            <w:vMerge/>
            <w:tcBorders>
              <w:left w:val="single" w:sz="12" w:space="0" w:color="000000"/>
              <w:bottom w:val="single" w:sz="12" w:space="0" w:color="000000"/>
              <w:right w:val="single" w:sz="12" w:space="0" w:color="000000"/>
            </w:tcBorders>
          </w:tcPr>
          <w:p>
            <w:pPr/>
          </w:p>
        </w:tc>
        <w:tc>
          <w:tcPr>
            <w:tcW w:w="338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93" w:right="0"/>
              <w:jc w:val="left"/>
              <w:rPr>
                <w:rFonts w:ascii="宋体" w:hAnsi="宋体" w:cs="宋体" w:eastAsia="宋体" w:hint="default"/>
                <w:sz w:val="18"/>
                <w:szCs w:val="18"/>
              </w:rPr>
            </w:pPr>
            <w:r>
              <w:rPr>
                <w:rFonts w:ascii="宋体" w:hAnsi="宋体" w:cs="宋体" w:eastAsia="宋体" w:hint="default"/>
                <w:sz w:val="18"/>
                <w:szCs w:val="18"/>
              </w:rPr>
              <w:t>上海混沌道然资产管理有限公司</w:t>
            </w:r>
            <w:r>
              <w:rPr>
                <w:rFonts w:ascii="宋体" w:hAnsi="宋体" w:cs="宋体" w:eastAsia="宋体" w:hint="default"/>
                <w:spacing w:val="-1"/>
                <w:sz w:val="18"/>
                <w:szCs w:val="18"/>
              </w:rPr>
              <w:t> </w:t>
            </w:r>
            <w:r>
              <w:rPr>
                <w:rFonts w:ascii="宋体" w:hAnsi="宋体" w:cs="宋体" w:eastAsia="宋体" w:hint="default"/>
                <w:sz w:val="18"/>
                <w:szCs w:val="18"/>
              </w:rPr>
              <w:t>高飞</w:t>
            </w:r>
          </w:p>
        </w:tc>
        <w:tc>
          <w:tcPr>
            <w:tcW w:w="1723" w:type="dxa"/>
            <w:vMerge/>
            <w:tcBorders>
              <w:left w:val="single" w:sz="12" w:space="0" w:color="000000"/>
              <w:bottom w:val="single" w:sz="12" w:space="0" w:color="000000"/>
              <w:right w:val="single" w:sz="12" w:space="0" w:color="000000"/>
            </w:tcBorders>
          </w:tcPr>
          <w:p>
            <w:pPr/>
          </w:p>
        </w:tc>
      </w:tr>
    </w:tbl>
    <w:p>
      <w:pPr>
        <w:spacing w:after="0"/>
        <w:sectPr>
          <w:pgSz w:w="11900" w:h="16840"/>
          <w:pgMar w:header="877" w:footer="981" w:top="1100" w:bottom="1180" w:left="1560" w:right="1220"/>
        </w:sectPr>
      </w:pPr>
    </w:p>
    <w:p>
      <w:pPr>
        <w:spacing w:line="240" w:lineRule="auto" w:before="0"/>
        <w:rPr>
          <w:rFonts w:ascii="Times New Roman" w:hAnsi="Times New Roman" w:cs="Times New Roman" w:eastAsia="Times New Roman" w:hint="default"/>
          <w:sz w:val="20"/>
          <w:szCs w:val="20"/>
        </w:rPr>
      </w:pPr>
    </w:p>
    <w:p>
      <w:pPr>
        <w:pStyle w:val="Heading1"/>
        <w:tabs>
          <w:tab w:pos="3877" w:val="left" w:leader="none"/>
        </w:tabs>
        <w:spacing w:line="240" w:lineRule="auto" w:before="112"/>
        <w:ind w:left="2437" w:right="0"/>
        <w:jc w:val="left"/>
      </w:pPr>
      <w:bookmarkStart w:name="_TOC_250005" w:id="5"/>
      <w:r>
        <w:rPr>
          <w:w w:val="95"/>
        </w:rPr>
        <w:t>第五节</w:t>
        <w:tab/>
      </w:r>
      <w:bookmarkEnd w:id="5"/>
      <w:r>
        <w:rPr/>
        <w:t>股本变动及股东情况</w:t>
      </w:r>
    </w:p>
    <w:p>
      <w:pPr>
        <w:pStyle w:val="Heading3"/>
        <w:spacing w:line="240" w:lineRule="auto" w:before="217"/>
        <w:ind w:left="457" w:right="0"/>
        <w:jc w:val="left"/>
      </w:pPr>
      <w:r>
        <w:rPr/>
        <w:t>一、股本变动情况</w:t>
      </w:r>
    </w:p>
    <w:p>
      <w:pPr>
        <w:spacing w:line="240" w:lineRule="auto" w:before="9"/>
        <w:rPr>
          <w:rFonts w:ascii="宋体" w:hAnsi="宋体" w:cs="宋体" w:eastAsia="宋体" w:hint="default"/>
          <w:sz w:val="19"/>
          <w:szCs w:val="19"/>
        </w:rPr>
      </w:pPr>
    </w:p>
    <w:p>
      <w:pPr>
        <w:pStyle w:val="Heading3"/>
        <w:spacing w:line="240" w:lineRule="auto"/>
        <w:ind w:left="457" w:right="0"/>
        <w:jc w:val="left"/>
      </w:pPr>
      <w:r>
        <w:rPr/>
        <w:t>（一）股份变动情况表</w:t>
      </w:r>
    </w:p>
    <w:p>
      <w:pPr>
        <w:spacing w:line="240" w:lineRule="auto" w:before="5"/>
        <w:rPr>
          <w:rFonts w:ascii="宋体" w:hAnsi="宋体" w:cs="宋体" w:eastAsia="宋体" w:hint="default"/>
          <w:sz w:val="9"/>
          <w:szCs w:val="9"/>
        </w:rPr>
      </w:pPr>
    </w:p>
    <w:p>
      <w:pPr>
        <w:spacing w:before="36"/>
        <w:ind w:left="0" w:right="460"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12"/>
        <w:rPr>
          <w:rFonts w:ascii="宋体" w:hAnsi="宋体" w:cs="宋体" w:eastAsia="宋体" w:hint="default"/>
          <w:sz w:val="3"/>
          <w:szCs w:val="3"/>
        </w:rPr>
      </w:pPr>
    </w:p>
    <w:tbl>
      <w:tblPr>
        <w:tblW w:w="0" w:type="auto"/>
        <w:jc w:val="left"/>
        <w:tblInd w:w="174" w:type="dxa"/>
        <w:tblLayout w:type="fixed"/>
        <w:tblCellMar>
          <w:top w:w="0" w:type="dxa"/>
          <w:left w:w="0" w:type="dxa"/>
          <w:bottom w:w="0" w:type="dxa"/>
          <w:right w:w="0" w:type="dxa"/>
        </w:tblCellMar>
        <w:tblLook w:val="01E0"/>
      </w:tblPr>
      <w:tblGrid>
        <w:gridCol w:w="1723"/>
        <w:gridCol w:w="965"/>
        <w:gridCol w:w="768"/>
        <w:gridCol w:w="958"/>
        <w:gridCol w:w="470"/>
        <w:gridCol w:w="602"/>
        <w:gridCol w:w="917"/>
        <w:gridCol w:w="958"/>
        <w:gridCol w:w="1056"/>
        <w:gridCol w:w="768"/>
      </w:tblGrid>
      <w:tr>
        <w:trPr>
          <w:trHeight w:val="340" w:hRule="exact"/>
        </w:trPr>
        <w:tc>
          <w:tcPr>
            <w:tcW w:w="1723" w:type="dxa"/>
            <w:vMerge w:val="restart"/>
            <w:tcBorders>
              <w:top w:val="single" w:sz="12" w:space="0" w:color="000000"/>
              <w:left w:val="single" w:sz="12" w:space="0" w:color="000000"/>
              <w:right w:val="single" w:sz="12" w:space="0" w:color="000000"/>
            </w:tcBorders>
            <w:shd w:val="clear" w:color="auto" w:fill="DCDCDC"/>
          </w:tcPr>
          <w:p>
            <w:pPr/>
          </w:p>
        </w:tc>
        <w:tc>
          <w:tcPr>
            <w:tcW w:w="1733" w:type="dxa"/>
            <w:gridSpan w:val="2"/>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9"/>
              <w:ind w:left="403"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05" w:type="dxa"/>
            <w:gridSpan w:val="5"/>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9"/>
              <w:ind w:left="1043"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824" w:type="dxa"/>
            <w:gridSpan w:val="2"/>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9"/>
              <w:ind w:left="44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654" w:hRule="exact"/>
        </w:trPr>
        <w:tc>
          <w:tcPr>
            <w:tcW w:w="1723" w:type="dxa"/>
            <w:vMerge/>
            <w:tcBorders>
              <w:left w:val="single" w:sz="12" w:space="0" w:color="000000"/>
              <w:bottom w:val="single" w:sz="12" w:space="0" w:color="000000"/>
              <w:right w:val="single" w:sz="12" w:space="0" w:color="000000"/>
            </w:tcBorders>
            <w:shd w:val="clear" w:color="auto" w:fill="DCDCDC"/>
          </w:tcPr>
          <w:p>
            <w:pPr/>
          </w:p>
        </w:tc>
        <w:tc>
          <w:tcPr>
            <w:tcW w:w="965"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68"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958"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470"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602"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316" w:lineRule="auto" w:before="9"/>
              <w:ind w:left="105" w:right="14" w:hanging="89"/>
              <w:jc w:val="left"/>
              <w:rPr>
                <w:rFonts w:ascii="宋体" w:hAnsi="宋体" w:cs="宋体" w:eastAsia="宋体" w:hint="default"/>
                <w:sz w:val="18"/>
                <w:szCs w:val="18"/>
              </w:rPr>
            </w:pPr>
            <w:r>
              <w:rPr>
                <w:rFonts w:ascii="宋体" w:hAnsi="宋体" w:cs="宋体" w:eastAsia="宋体" w:hint="default"/>
                <w:sz w:val="18"/>
                <w:szCs w:val="18"/>
              </w:rPr>
              <w:t>公积金</w:t>
            </w:r>
            <w:r>
              <w:rPr>
                <w:rFonts w:ascii="宋体" w:hAnsi="宋体" w:cs="宋体" w:eastAsia="宋体" w:hint="default"/>
                <w:w w:val="99"/>
                <w:sz w:val="18"/>
                <w:szCs w:val="18"/>
              </w:rPr>
              <w:t> </w:t>
            </w:r>
            <w:r>
              <w:rPr>
                <w:rFonts w:ascii="宋体" w:hAnsi="宋体" w:cs="宋体" w:eastAsia="宋体" w:hint="default"/>
                <w:sz w:val="18"/>
                <w:szCs w:val="18"/>
              </w:rPr>
              <w:t>转股</w:t>
            </w:r>
          </w:p>
        </w:tc>
        <w:tc>
          <w:tcPr>
            <w:tcW w:w="917"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其他</w:t>
            </w:r>
          </w:p>
        </w:tc>
        <w:tc>
          <w:tcPr>
            <w:tcW w:w="958"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56"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68"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41" w:hRule="exact"/>
        </w:trPr>
        <w:tc>
          <w:tcPr>
            <w:tcW w:w="1723"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65" w:type="dxa"/>
            <w:tcBorders>
              <w:top w:val="single" w:sz="12" w:space="0" w:color="000000"/>
              <w:left w:val="single" w:sz="17"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80,000,000</w:t>
            </w:r>
          </w:p>
        </w:tc>
        <w:tc>
          <w:tcPr>
            <w:tcW w:w="7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 w:right="0"/>
              <w:jc w:val="center"/>
              <w:rPr>
                <w:rFonts w:ascii="Arial" w:hAnsi="Arial" w:cs="Arial" w:eastAsia="Arial" w:hint="default"/>
                <w:sz w:val="18"/>
                <w:szCs w:val="18"/>
              </w:rPr>
            </w:pPr>
            <w:r>
              <w:rPr>
                <w:rFonts w:ascii="Arial"/>
                <w:sz w:val="18"/>
              </w:rPr>
              <w:t>100.00%</w:t>
            </w:r>
          </w:p>
        </w:tc>
        <w:tc>
          <w:tcPr>
            <w:tcW w:w="9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5,400,000</w:t>
            </w:r>
          </w:p>
        </w:tc>
        <w:tc>
          <w:tcPr>
            <w:tcW w:w="470" w:type="dxa"/>
            <w:tcBorders>
              <w:top w:val="single" w:sz="12" w:space="0" w:color="000000"/>
              <w:left w:val="single" w:sz="12" w:space="0" w:color="000000"/>
              <w:bottom w:val="single" w:sz="12" w:space="0" w:color="000000"/>
              <w:right w:val="single" w:sz="12" w:space="0" w:color="000000"/>
            </w:tcBorders>
          </w:tcPr>
          <w:p>
            <w:pPr/>
          </w:p>
        </w:tc>
        <w:tc>
          <w:tcPr>
            <w:tcW w:w="602" w:type="dxa"/>
            <w:tcBorders>
              <w:top w:val="single" w:sz="12" w:space="0" w:color="000000"/>
              <w:left w:val="single" w:sz="12" w:space="0" w:color="000000"/>
              <w:bottom w:val="single" w:sz="12" w:space="0" w:color="000000"/>
              <w:right w:val="single" w:sz="12" w:space="0" w:color="000000"/>
            </w:tcBorders>
          </w:tcPr>
          <w:p>
            <w:pPr/>
          </w:p>
        </w:tc>
        <w:tc>
          <w:tcPr>
            <w:tcW w:w="91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-5,400,000</w:t>
            </w:r>
          </w:p>
        </w:tc>
        <w:tc>
          <w:tcPr>
            <w:tcW w:w="9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w w:val="99"/>
                <w:sz w:val="18"/>
              </w:rPr>
              <w:t>0</w:t>
            </w:r>
            <w:r>
              <w:rPr>
                <w:rFonts w:ascii="Arial"/>
                <w:sz w:val="18"/>
              </w:rPr>
            </w:r>
          </w:p>
        </w:tc>
        <w:tc>
          <w:tcPr>
            <w:tcW w:w="105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00" w:right="0"/>
              <w:jc w:val="center"/>
              <w:rPr>
                <w:rFonts w:ascii="Arial" w:hAnsi="Arial" w:cs="Arial" w:eastAsia="Arial" w:hint="default"/>
                <w:sz w:val="18"/>
                <w:szCs w:val="18"/>
              </w:rPr>
            </w:pPr>
            <w:r>
              <w:rPr>
                <w:rFonts w:ascii="Arial"/>
                <w:sz w:val="18"/>
              </w:rPr>
              <w:t>80,000,000</w:t>
            </w:r>
          </w:p>
        </w:tc>
        <w:tc>
          <w:tcPr>
            <w:tcW w:w="7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74.77%</w:t>
            </w:r>
          </w:p>
        </w:tc>
      </w:tr>
      <w:tr>
        <w:trPr>
          <w:trHeight w:val="343" w:hRule="exact"/>
        </w:trPr>
        <w:tc>
          <w:tcPr>
            <w:tcW w:w="1723"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10"/>
              <w:ind w:left="7"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、国家持股</w:t>
            </w:r>
          </w:p>
        </w:tc>
        <w:tc>
          <w:tcPr>
            <w:tcW w:w="965" w:type="dxa"/>
            <w:tcBorders>
              <w:top w:val="single" w:sz="12" w:space="0" w:color="000000"/>
              <w:left w:val="single" w:sz="17" w:space="0" w:color="000000"/>
              <w:bottom w:val="single" w:sz="12" w:space="0" w:color="000000"/>
              <w:right w:val="single" w:sz="12" w:space="0" w:color="000000"/>
            </w:tcBorders>
          </w:tcPr>
          <w:p>
            <w:pPr/>
          </w:p>
        </w:tc>
        <w:tc>
          <w:tcPr>
            <w:tcW w:w="768" w:type="dxa"/>
            <w:tcBorders>
              <w:top w:val="single" w:sz="12" w:space="0" w:color="000000"/>
              <w:left w:val="single" w:sz="12" w:space="0" w:color="000000"/>
              <w:bottom w:val="single" w:sz="12" w:space="0" w:color="000000"/>
              <w:right w:val="single" w:sz="12" w:space="0" w:color="000000"/>
            </w:tcBorders>
          </w:tcPr>
          <w:p>
            <w:pPr/>
          </w:p>
        </w:tc>
        <w:tc>
          <w:tcPr>
            <w:tcW w:w="958" w:type="dxa"/>
            <w:tcBorders>
              <w:top w:val="single" w:sz="12" w:space="0" w:color="000000"/>
              <w:left w:val="single" w:sz="12" w:space="0" w:color="000000"/>
              <w:bottom w:val="single" w:sz="12" w:space="0" w:color="000000"/>
              <w:right w:val="single" w:sz="12" w:space="0" w:color="000000"/>
            </w:tcBorders>
          </w:tcPr>
          <w:p>
            <w:pPr/>
          </w:p>
        </w:tc>
        <w:tc>
          <w:tcPr>
            <w:tcW w:w="470" w:type="dxa"/>
            <w:tcBorders>
              <w:top w:val="single" w:sz="12" w:space="0" w:color="000000"/>
              <w:left w:val="single" w:sz="12" w:space="0" w:color="000000"/>
              <w:bottom w:val="single" w:sz="12" w:space="0" w:color="000000"/>
              <w:right w:val="single" w:sz="12" w:space="0" w:color="000000"/>
            </w:tcBorders>
          </w:tcPr>
          <w:p>
            <w:pPr/>
          </w:p>
        </w:tc>
        <w:tc>
          <w:tcPr>
            <w:tcW w:w="602" w:type="dxa"/>
            <w:tcBorders>
              <w:top w:val="single" w:sz="12" w:space="0" w:color="000000"/>
              <w:left w:val="single" w:sz="12" w:space="0" w:color="000000"/>
              <w:bottom w:val="single" w:sz="12" w:space="0" w:color="000000"/>
              <w:right w:val="single" w:sz="12" w:space="0" w:color="000000"/>
            </w:tcBorders>
          </w:tcPr>
          <w:p>
            <w:pPr/>
          </w:p>
        </w:tc>
        <w:tc>
          <w:tcPr>
            <w:tcW w:w="917" w:type="dxa"/>
            <w:tcBorders>
              <w:top w:val="single" w:sz="12" w:space="0" w:color="000000"/>
              <w:left w:val="single" w:sz="12" w:space="0" w:color="000000"/>
              <w:bottom w:val="single" w:sz="12" w:space="0" w:color="000000"/>
              <w:right w:val="single" w:sz="12" w:space="0" w:color="000000"/>
            </w:tcBorders>
          </w:tcPr>
          <w:p>
            <w:pPr/>
          </w:p>
        </w:tc>
        <w:tc>
          <w:tcPr>
            <w:tcW w:w="958" w:type="dxa"/>
            <w:tcBorders>
              <w:top w:val="single" w:sz="12" w:space="0" w:color="000000"/>
              <w:left w:val="single" w:sz="12" w:space="0" w:color="000000"/>
              <w:bottom w:val="single" w:sz="12" w:space="0" w:color="000000"/>
              <w:right w:val="single" w:sz="12" w:space="0" w:color="000000"/>
            </w:tcBorders>
          </w:tcPr>
          <w:p>
            <w:pPr/>
          </w:p>
        </w:tc>
        <w:tc>
          <w:tcPr>
            <w:tcW w:w="1056" w:type="dxa"/>
            <w:tcBorders>
              <w:top w:val="single" w:sz="12" w:space="0" w:color="000000"/>
              <w:left w:val="single" w:sz="12" w:space="0" w:color="000000"/>
              <w:bottom w:val="single" w:sz="12" w:space="0" w:color="000000"/>
              <w:right w:val="single" w:sz="12" w:space="0" w:color="000000"/>
            </w:tcBorders>
          </w:tcPr>
          <w:p>
            <w:pPr/>
          </w:p>
        </w:tc>
        <w:tc>
          <w:tcPr>
            <w:tcW w:w="768"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1723"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10"/>
              <w:ind w:left="7"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、国有法人持股</w:t>
            </w:r>
          </w:p>
        </w:tc>
        <w:tc>
          <w:tcPr>
            <w:tcW w:w="965" w:type="dxa"/>
            <w:tcBorders>
              <w:top w:val="single" w:sz="12" w:space="0" w:color="000000"/>
              <w:left w:val="single" w:sz="17" w:space="0" w:color="000000"/>
              <w:bottom w:val="single" w:sz="12" w:space="0" w:color="000000"/>
              <w:right w:val="single" w:sz="12" w:space="0" w:color="000000"/>
            </w:tcBorders>
          </w:tcPr>
          <w:p>
            <w:pPr/>
          </w:p>
        </w:tc>
        <w:tc>
          <w:tcPr>
            <w:tcW w:w="768" w:type="dxa"/>
            <w:tcBorders>
              <w:top w:val="single" w:sz="12" w:space="0" w:color="000000"/>
              <w:left w:val="single" w:sz="12" w:space="0" w:color="000000"/>
              <w:bottom w:val="single" w:sz="12" w:space="0" w:color="000000"/>
              <w:right w:val="single" w:sz="12" w:space="0" w:color="000000"/>
            </w:tcBorders>
          </w:tcPr>
          <w:p>
            <w:pPr/>
          </w:p>
        </w:tc>
        <w:tc>
          <w:tcPr>
            <w:tcW w:w="958" w:type="dxa"/>
            <w:tcBorders>
              <w:top w:val="single" w:sz="12" w:space="0" w:color="000000"/>
              <w:left w:val="single" w:sz="12" w:space="0" w:color="000000"/>
              <w:bottom w:val="single" w:sz="12" w:space="0" w:color="000000"/>
              <w:right w:val="single" w:sz="12" w:space="0" w:color="000000"/>
            </w:tcBorders>
          </w:tcPr>
          <w:p>
            <w:pPr/>
          </w:p>
        </w:tc>
        <w:tc>
          <w:tcPr>
            <w:tcW w:w="470" w:type="dxa"/>
            <w:tcBorders>
              <w:top w:val="single" w:sz="12" w:space="0" w:color="000000"/>
              <w:left w:val="single" w:sz="12" w:space="0" w:color="000000"/>
              <w:bottom w:val="single" w:sz="12" w:space="0" w:color="000000"/>
              <w:right w:val="single" w:sz="12" w:space="0" w:color="000000"/>
            </w:tcBorders>
          </w:tcPr>
          <w:p>
            <w:pPr/>
          </w:p>
        </w:tc>
        <w:tc>
          <w:tcPr>
            <w:tcW w:w="602" w:type="dxa"/>
            <w:tcBorders>
              <w:top w:val="single" w:sz="12" w:space="0" w:color="000000"/>
              <w:left w:val="single" w:sz="12" w:space="0" w:color="000000"/>
              <w:bottom w:val="single" w:sz="12" w:space="0" w:color="000000"/>
              <w:right w:val="single" w:sz="12" w:space="0" w:color="000000"/>
            </w:tcBorders>
          </w:tcPr>
          <w:p>
            <w:pPr/>
          </w:p>
        </w:tc>
        <w:tc>
          <w:tcPr>
            <w:tcW w:w="917" w:type="dxa"/>
            <w:tcBorders>
              <w:top w:val="single" w:sz="12" w:space="0" w:color="000000"/>
              <w:left w:val="single" w:sz="12" w:space="0" w:color="000000"/>
              <w:bottom w:val="single" w:sz="12" w:space="0" w:color="000000"/>
              <w:right w:val="single" w:sz="12" w:space="0" w:color="000000"/>
            </w:tcBorders>
          </w:tcPr>
          <w:p>
            <w:pPr/>
          </w:p>
        </w:tc>
        <w:tc>
          <w:tcPr>
            <w:tcW w:w="958" w:type="dxa"/>
            <w:tcBorders>
              <w:top w:val="single" w:sz="12" w:space="0" w:color="000000"/>
              <w:left w:val="single" w:sz="12" w:space="0" w:color="000000"/>
              <w:bottom w:val="single" w:sz="12" w:space="0" w:color="000000"/>
              <w:right w:val="single" w:sz="12" w:space="0" w:color="000000"/>
            </w:tcBorders>
          </w:tcPr>
          <w:p>
            <w:pPr/>
          </w:p>
        </w:tc>
        <w:tc>
          <w:tcPr>
            <w:tcW w:w="1056" w:type="dxa"/>
            <w:tcBorders>
              <w:top w:val="single" w:sz="12" w:space="0" w:color="000000"/>
              <w:left w:val="single" w:sz="12" w:space="0" w:color="000000"/>
              <w:bottom w:val="single" w:sz="12" w:space="0" w:color="000000"/>
              <w:right w:val="single" w:sz="12" w:space="0" w:color="000000"/>
            </w:tcBorders>
          </w:tcPr>
          <w:p>
            <w:pPr/>
          </w:p>
        </w:tc>
        <w:tc>
          <w:tcPr>
            <w:tcW w:w="768"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1723"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10"/>
              <w:ind w:left="7"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、其他内资持股</w:t>
            </w:r>
          </w:p>
        </w:tc>
        <w:tc>
          <w:tcPr>
            <w:tcW w:w="965" w:type="dxa"/>
            <w:tcBorders>
              <w:top w:val="single" w:sz="12" w:space="0" w:color="000000"/>
              <w:left w:val="single" w:sz="17"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80,000,000</w:t>
            </w:r>
          </w:p>
        </w:tc>
        <w:tc>
          <w:tcPr>
            <w:tcW w:w="7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 w:right="0"/>
              <w:jc w:val="center"/>
              <w:rPr>
                <w:rFonts w:ascii="Arial" w:hAnsi="Arial" w:cs="Arial" w:eastAsia="Arial" w:hint="default"/>
                <w:sz w:val="18"/>
                <w:szCs w:val="18"/>
              </w:rPr>
            </w:pPr>
            <w:r>
              <w:rPr>
                <w:rFonts w:ascii="Arial"/>
                <w:sz w:val="18"/>
              </w:rPr>
              <w:t>100.00%</w:t>
            </w:r>
          </w:p>
        </w:tc>
        <w:tc>
          <w:tcPr>
            <w:tcW w:w="9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5,400,000</w:t>
            </w:r>
          </w:p>
        </w:tc>
        <w:tc>
          <w:tcPr>
            <w:tcW w:w="470" w:type="dxa"/>
            <w:tcBorders>
              <w:top w:val="single" w:sz="12" w:space="0" w:color="000000"/>
              <w:left w:val="single" w:sz="12" w:space="0" w:color="000000"/>
              <w:bottom w:val="single" w:sz="12" w:space="0" w:color="000000"/>
              <w:right w:val="single" w:sz="12" w:space="0" w:color="000000"/>
            </w:tcBorders>
          </w:tcPr>
          <w:p>
            <w:pPr/>
          </w:p>
        </w:tc>
        <w:tc>
          <w:tcPr>
            <w:tcW w:w="602" w:type="dxa"/>
            <w:tcBorders>
              <w:top w:val="single" w:sz="12" w:space="0" w:color="000000"/>
              <w:left w:val="single" w:sz="12" w:space="0" w:color="000000"/>
              <w:bottom w:val="single" w:sz="12" w:space="0" w:color="000000"/>
              <w:right w:val="single" w:sz="12" w:space="0" w:color="000000"/>
            </w:tcBorders>
          </w:tcPr>
          <w:p>
            <w:pPr/>
          </w:p>
        </w:tc>
        <w:tc>
          <w:tcPr>
            <w:tcW w:w="91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-5,400,000</w:t>
            </w:r>
          </w:p>
        </w:tc>
        <w:tc>
          <w:tcPr>
            <w:tcW w:w="9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w w:val="99"/>
                <w:sz w:val="18"/>
              </w:rPr>
              <w:t>0</w:t>
            </w:r>
            <w:r>
              <w:rPr>
                <w:rFonts w:ascii="Arial"/>
                <w:sz w:val="18"/>
              </w:rPr>
            </w:r>
          </w:p>
        </w:tc>
        <w:tc>
          <w:tcPr>
            <w:tcW w:w="105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00" w:right="0"/>
              <w:jc w:val="center"/>
              <w:rPr>
                <w:rFonts w:ascii="Arial" w:hAnsi="Arial" w:cs="Arial" w:eastAsia="Arial" w:hint="default"/>
                <w:sz w:val="18"/>
                <w:szCs w:val="18"/>
              </w:rPr>
            </w:pPr>
            <w:r>
              <w:rPr>
                <w:rFonts w:ascii="Arial"/>
                <w:sz w:val="18"/>
              </w:rPr>
              <w:t>80,000,000</w:t>
            </w:r>
          </w:p>
        </w:tc>
        <w:tc>
          <w:tcPr>
            <w:tcW w:w="7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74.77%</w:t>
            </w:r>
          </w:p>
        </w:tc>
      </w:tr>
      <w:tr>
        <w:trPr>
          <w:trHeight w:val="653" w:hRule="exact"/>
        </w:trPr>
        <w:tc>
          <w:tcPr>
            <w:tcW w:w="1723"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316" w:lineRule="auto" w:before="10"/>
              <w:ind w:left="7" w:right="2" w:firstLine="91"/>
              <w:jc w:val="left"/>
              <w:rPr>
                <w:rFonts w:ascii="宋体" w:hAnsi="宋体" w:cs="宋体" w:eastAsia="宋体" w:hint="default"/>
                <w:sz w:val="18"/>
                <w:szCs w:val="18"/>
              </w:rPr>
            </w:pPr>
            <w:r>
              <w:rPr>
                <w:rFonts w:ascii="宋体" w:hAnsi="宋体" w:cs="宋体" w:eastAsia="宋体" w:hint="default"/>
                <w:spacing w:val="-4"/>
                <w:sz w:val="18"/>
                <w:szCs w:val="18"/>
              </w:rPr>
              <w:t>其中：境内非国有法</w:t>
            </w:r>
            <w:r>
              <w:rPr>
                <w:rFonts w:ascii="宋体" w:hAnsi="宋体" w:cs="宋体" w:eastAsia="宋体" w:hint="default"/>
                <w:w w:val="99"/>
                <w:sz w:val="18"/>
                <w:szCs w:val="18"/>
              </w:rPr>
              <w:t> </w:t>
            </w:r>
            <w:r>
              <w:rPr>
                <w:rFonts w:ascii="宋体" w:hAnsi="宋体" w:cs="宋体" w:eastAsia="宋体" w:hint="default"/>
                <w:sz w:val="18"/>
                <w:szCs w:val="18"/>
              </w:rPr>
              <w:t>人持股</w:t>
            </w:r>
          </w:p>
        </w:tc>
        <w:tc>
          <w:tcPr>
            <w:tcW w:w="965" w:type="dxa"/>
            <w:tcBorders>
              <w:top w:val="single" w:sz="12" w:space="0" w:color="000000"/>
              <w:left w:val="single" w:sz="17"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Arial" w:hAnsi="Arial" w:cs="Arial" w:eastAsia="Arial" w:hint="default"/>
                <w:sz w:val="18"/>
                <w:szCs w:val="18"/>
              </w:rPr>
            </w:pPr>
            <w:r>
              <w:rPr>
                <w:rFonts w:ascii="Arial"/>
                <w:spacing w:val="-1"/>
                <w:sz w:val="18"/>
              </w:rPr>
              <w:t>3,030,667</w:t>
            </w:r>
          </w:p>
        </w:tc>
        <w:tc>
          <w:tcPr>
            <w:tcW w:w="7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center"/>
              <w:rPr>
                <w:rFonts w:ascii="Arial" w:hAnsi="Arial" w:cs="Arial" w:eastAsia="Arial" w:hint="default"/>
                <w:sz w:val="18"/>
                <w:szCs w:val="18"/>
              </w:rPr>
            </w:pPr>
            <w:r>
              <w:rPr>
                <w:rFonts w:ascii="Arial"/>
                <w:sz w:val="18"/>
              </w:rPr>
              <w:t>3.79%</w:t>
            </w:r>
          </w:p>
        </w:tc>
        <w:tc>
          <w:tcPr>
            <w:tcW w:w="9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Arial" w:hAnsi="Arial" w:cs="Arial" w:eastAsia="Arial" w:hint="default"/>
                <w:sz w:val="18"/>
                <w:szCs w:val="18"/>
              </w:rPr>
            </w:pPr>
            <w:r>
              <w:rPr>
                <w:rFonts w:ascii="Arial"/>
                <w:spacing w:val="-1"/>
                <w:sz w:val="18"/>
              </w:rPr>
              <w:t>4,076,752</w:t>
            </w:r>
          </w:p>
        </w:tc>
        <w:tc>
          <w:tcPr>
            <w:tcW w:w="470" w:type="dxa"/>
            <w:tcBorders>
              <w:top w:val="single" w:sz="12" w:space="0" w:color="000000"/>
              <w:left w:val="single" w:sz="12" w:space="0" w:color="000000"/>
              <w:bottom w:val="single" w:sz="12" w:space="0" w:color="000000"/>
              <w:right w:val="single" w:sz="12" w:space="0" w:color="000000"/>
            </w:tcBorders>
          </w:tcPr>
          <w:p>
            <w:pPr/>
          </w:p>
        </w:tc>
        <w:tc>
          <w:tcPr>
            <w:tcW w:w="602" w:type="dxa"/>
            <w:tcBorders>
              <w:top w:val="single" w:sz="12" w:space="0" w:color="000000"/>
              <w:left w:val="single" w:sz="12" w:space="0" w:color="000000"/>
              <w:bottom w:val="single" w:sz="12" w:space="0" w:color="000000"/>
              <w:right w:val="single" w:sz="12" w:space="0" w:color="000000"/>
            </w:tcBorders>
          </w:tcPr>
          <w:p>
            <w:pPr/>
          </w:p>
        </w:tc>
        <w:tc>
          <w:tcPr>
            <w:tcW w:w="91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-4,076,752</w:t>
            </w:r>
          </w:p>
        </w:tc>
        <w:tc>
          <w:tcPr>
            <w:tcW w:w="9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
              <w:jc w:val="right"/>
              <w:rPr>
                <w:rFonts w:ascii="Arial" w:hAnsi="Arial" w:cs="Arial" w:eastAsia="Arial" w:hint="default"/>
                <w:sz w:val="18"/>
                <w:szCs w:val="18"/>
              </w:rPr>
            </w:pPr>
            <w:r>
              <w:rPr>
                <w:rFonts w:ascii="Arial"/>
                <w:w w:val="99"/>
                <w:sz w:val="18"/>
              </w:rPr>
              <w:t>0</w:t>
            </w:r>
            <w:r>
              <w:rPr>
                <w:rFonts w:ascii="Arial"/>
                <w:sz w:val="18"/>
              </w:rPr>
            </w:r>
          </w:p>
        </w:tc>
        <w:tc>
          <w:tcPr>
            <w:tcW w:w="105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center"/>
              <w:rPr>
                <w:rFonts w:ascii="Arial" w:hAnsi="Arial" w:cs="Arial" w:eastAsia="Arial" w:hint="default"/>
                <w:sz w:val="18"/>
                <w:szCs w:val="18"/>
              </w:rPr>
            </w:pPr>
            <w:r>
              <w:rPr>
                <w:rFonts w:ascii="Arial"/>
                <w:sz w:val="18"/>
              </w:rPr>
              <w:t>3,030,667</w:t>
            </w:r>
          </w:p>
        </w:tc>
        <w:tc>
          <w:tcPr>
            <w:tcW w:w="7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Arial" w:hAnsi="Arial" w:cs="Arial" w:eastAsia="Arial" w:hint="default"/>
                <w:sz w:val="18"/>
                <w:szCs w:val="18"/>
              </w:rPr>
            </w:pPr>
            <w:r>
              <w:rPr>
                <w:rFonts w:ascii="Arial"/>
                <w:w w:val="95"/>
                <w:sz w:val="18"/>
              </w:rPr>
              <w:t>2.83%</w:t>
            </w:r>
            <w:r>
              <w:rPr>
                <w:rFonts w:ascii="Arial"/>
                <w:sz w:val="18"/>
              </w:rPr>
            </w:r>
          </w:p>
        </w:tc>
      </w:tr>
      <w:tr>
        <w:trPr>
          <w:trHeight w:val="655" w:hRule="exact"/>
        </w:trPr>
        <w:tc>
          <w:tcPr>
            <w:tcW w:w="1723"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10"/>
              <w:ind w:left="460" w:right="0"/>
              <w:jc w:val="left"/>
              <w:rPr>
                <w:rFonts w:ascii="宋体" w:hAnsi="宋体" w:cs="宋体" w:eastAsia="宋体" w:hint="default"/>
                <w:sz w:val="18"/>
                <w:szCs w:val="18"/>
              </w:rPr>
            </w:pPr>
            <w:r>
              <w:rPr>
                <w:rFonts w:ascii="宋体" w:hAnsi="宋体" w:cs="宋体" w:eastAsia="宋体" w:hint="default"/>
                <w:sz w:val="18"/>
                <w:szCs w:val="18"/>
              </w:rPr>
              <w:t>境内自然人持</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w w:val="99"/>
                <w:sz w:val="18"/>
                <w:szCs w:val="18"/>
              </w:rPr>
              <w:t>股</w:t>
            </w:r>
            <w:r>
              <w:rPr>
                <w:rFonts w:ascii="宋体" w:hAnsi="宋体" w:cs="宋体" w:eastAsia="宋体" w:hint="default"/>
                <w:sz w:val="18"/>
                <w:szCs w:val="18"/>
              </w:rPr>
            </w:r>
          </w:p>
        </w:tc>
        <w:tc>
          <w:tcPr>
            <w:tcW w:w="965" w:type="dxa"/>
            <w:tcBorders>
              <w:top w:val="single" w:sz="12" w:space="0" w:color="000000"/>
              <w:left w:val="single" w:sz="17"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Arial" w:hAnsi="Arial" w:cs="Arial" w:eastAsia="Arial" w:hint="default"/>
                <w:sz w:val="18"/>
                <w:szCs w:val="18"/>
              </w:rPr>
            </w:pPr>
            <w:r>
              <w:rPr>
                <w:rFonts w:ascii="Arial"/>
                <w:spacing w:val="-1"/>
                <w:sz w:val="18"/>
              </w:rPr>
              <w:t>76,969,333</w:t>
            </w:r>
          </w:p>
        </w:tc>
        <w:tc>
          <w:tcPr>
            <w:tcW w:w="7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7" w:right="0"/>
              <w:jc w:val="center"/>
              <w:rPr>
                <w:rFonts w:ascii="Arial" w:hAnsi="Arial" w:cs="Arial" w:eastAsia="Arial" w:hint="default"/>
                <w:sz w:val="18"/>
                <w:szCs w:val="18"/>
              </w:rPr>
            </w:pPr>
            <w:r>
              <w:rPr>
                <w:rFonts w:ascii="Arial"/>
                <w:sz w:val="18"/>
              </w:rPr>
              <w:t>96.21%</w:t>
            </w:r>
          </w:p>
        </w:tc>
        <w:tc>
          <w:tcPr>
            <w:tcW w:w="9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Arial" w:hAnsi="Arial" w:cs="Arial" w:eastAsia="Arial" w:hint="default"/>
                <w:sz w:val="18"/>
                <w:szCs w:val="18"/>
              </w:rPr>
            </w:pPr>
            <w:r>
              <w:rPr>
                <w:rFonts w:ascii="Arial"/>
                <w:spacing w:val="-1"/>
                <w:sz w:val="18"/>
              </w:rPr>
              <w:t>1,323,248</w:t>
            </w:r>
          </w:p>
        </w:tc>
        <w:tc>
          <w:tcPr>
            <w:tcW w:w="470" w:type="dxa"/>
            <w:tcBorders>
              <w:top w:val="single" w:sz="12" w:space="0" w:color="000000"/>
              <w:left w:val="single" w:sz="12" w:space="0" w:color="000000"/>
              <w:bottom w:val="single" w:sz="12" w:space="0" w:color="000000"/>
              <w:right w:val="single" w:sz="12" w:space="0" w:color="000000"/>
            </w:tcBorders>
          </w:tcPr>
          <w:p>
            <w:pPr/>
          </w:p>
        </w:tc>
        <w:tc>
          <w:tcPr>
            <w:tcW w:w="602" w:type="dxa"/>
            <w:tcBorders>
              <w:top w:val="single" w:sz="12" w:space="0" w:color="000000"/>
              <w:left w:val="single" w:sz="12" w:space="0" w:color="000000"/>
              <w:bottom w:val="single" w:sz="12" w:space="0" w:color="000000"/>
              <w:right w:val="single" w:sz="12" w:space="0" w:color="000000"/>
            </w:tcBorders>
          </w:tcPr>
          <w:p>
            <w:pPr/>
          </w:p>
        </w:tc>
        <w:tc>
          <w:tcPr>
            <w:tcW w:w="91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-1,323,248</w:t>
            </w:r>
          </w:p>
        </w:tc>
        <w:tc>
          <w:tcPr>
            <w:tcW w:w="9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
              <w:jc w:val="right"/>
              <w:rPr>
                <w:rFonts w:ascii="Arial" w:hAnsi="Arial" w:cs="Arial" w:eastAsia="Arial" w:hint="default"/>
                <w:sz w:val="18"/>
                <w:szCs w:val="18"/>
              </w:rPr>
            </w:pPr>
            <w:r>
              <w:rPr>
                <w:rFonts w:ascii="Arial"/>
                <w:w w:val="99"/>
                <w:sz w:val="18"/>
              </w:rPr>
              <w:t>0</w:t>
            </w:r>
            <w:r>
              <w:rPr>
                <w:rFonts w:ascii="Arial"/>
                <w:sz w:val="18"/>
              </w:rPr>
            </w:r>
          </w:p>
        </w:tc>
        <w:tc>
          <w:tcPr>
            <w:tcW w:w="105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center"/>
              <w:rPr>
                <w:rFonts w:ascii="Arial" w:hAnsi="Arial" w:cs="Arial" w:eastAsia="Arial" w:hint="default"/>
                <w:sz w:val="18"/>
                <w:szCs w:val="18"/>
              </w:rPr>
            </w:pPr>
            <w:r>
              <w:rPr>
                <w:rFonts w:ascii="Arial"/>
                <w:sz w:val="18"/>
              </w:rPr>
              <w:t>76,969,333</w:t>
            </w:r>
          </w:p>
        </w:tc>
        <w:tc>
          <w:tcPr>
            <w:tcW w:w="7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Arial" w:hAnsi="Arial" w:cs="Arial" w:eastAsia="Arial" w:hint="default"/>
                <w:sz w:val="18"/>
                <w:szCs w:val="18"/>
              </w:rPr>
            </w:pPr>
            <w:r>
              <w:rPr>
                <w:rFonts w:ascii="Arial"/>
                <w:spacing w:val="-1"/>
                <w:sz w:val="18"/>
              </w:rPr>
              <w:t>71.93%</w:t>
            </w:r>
          </w:p>
        </w:tc>
      </w:tr>
      <w:tr>
        <w:trPr>
          <w:trHeight w:val="341" w:hRule="exact"/>
        </w:trPr>
        <w:tc>
          <w:tcPr>
            <w:tcW w:w="1723"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10"/>
              <w:ind w:left="7"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、外资持股</w:t>
            </w:r>
          </w:p>
        </w:tc>
        <w:tc>
          <w:tcPr>
            <w:tcW w:w="965" w:type="dxa"/>
            <w:tcBorders>
              <w:top w:val="single" w:sz="12" w:space="0" w:color="000000"/>
              <w:left w:val="single" w:sz="17" w:space="0" w:color="000000"/>
              <w:bottom w:val="single" w:sz="12" w:space="0" w:color="000000"/>
              <w:right w:val="single" w:sz="12" w:space="0" w:color="000000"/>
            </w:tcBorders>
          </w:tcPr>
          <w:p>
            <w:pPr/>
          </w:p>
        </w:tc>
        <w:tc>
          <w:tcPr>
            <w:tcW w:w="768" w:type="dxa"/>
            <w:tcBorders>
              <w:top w:val="single" w:sz="12" w:space="0" w:color="000000"/>
              <w:left w:val="single" w:sz="12" w:space="0" w:color="000000"/>
              <w:bottom w:val="single" w:sz="12" w:space="0" w:color="000000"/>
              <w:right w:val="single" w:sz="12" w:space="0" w:color="000000"/>
            </w:tcBorders>
          </w:tcPr>
          <w:p>
            <w:pPr/>
          </w:p>
        </w:tc>
        <w:tc>
          <w:tcPr>
            <w:tcW w:w="958" w:type="dxa"/>
            <w:tcBorders>
              <w:top w:val="single" w:sz="12" w:space="0" w:color="000000"/>
              <w:left w:val="single" w:sz="12" w:space="0" w:color="000000"/>
              <w:bottom w:val="single" w:sz="12" w:space="0" w:color="000000"/>
              <w:right w:val="single" w:sz="12" w:space="0" w:color="000000"/>
            </w:tcBorders>
          </w:tcPr>
          <w:p>
            <w:pPr/>
          </w:p>
        </w:tc>
        <w:tc>
          <w:tcPr>
            <w:tcW w:w="470" w:type="dxa"/>
            <w:tcBorders>
              <w:top w:val="single" w:sz="12" w:space="0" w:color="000000"/>
              <w:left w:val="single" w:sz="12" w:space="0" w:color="000000"/>
              <w:bottom w:val="single" w:sz="12" w:space="0" w:color="000000"/>
              <w:right w:val="single" w:sz="12" w:space="0" w:color="000000"/>
            </w:tcBorders>
          </w:tcPr>
          <w:p>
            <w:pPr/>
          </w:p>
        </w:tc>
        <w:tc>
          <w:tcPr>
            <w:tcW w:w="602" w:type="dxa"/>
            <w:tcBorders>
              <w:top w:val="single" w:sz="12" w:space="0" w:color="000000"/>
              <w:left w:val="single" w:sz="12" w:space="0" w:color="000000"/>
              <w:bottom w:val="single" w:sz="12" w:space="0" w:color="000000"/>
              <w:right w:val="single" w:sz="12" w:space="0" w:color="000000"/>
            </w:tcBorders>
          </w:tcPr>
          <w:p>
            <w:pPr/>
          </w:p>
        </w:tc>
        <w:tc>
          <w:tcPr>
            <w:tcW w:w="917" w:type="dxa"/>
            <w:tcBorders>
              <w:top w:val="single" w:sz="12" w:space="0" w:color="000000"/>
              <w:left w:val="single" w:sz="12" w:space="0" w:color="000000"/>
              <w:bottom w:val="single" w:sz="12" w:space="0" w:color="000000"/>
              <w:right w:val="single" w:sz="12" w:space="0" w:color="000000"/>
            </w:tcBorders>
          </w:tcPr>
          <w:p>
            <w:pPr/>
          </w:p>
        </w:tc>
        <w:tc>
          <w:tcPr>
            <w:tcW w:w="958" w:type="dxa"/>
            <w:tcBorders>
              <w:top w:val="single" w:sz="12" w:space="0" w:color="000000"/>
              <w:left w:val="single" w:sz="12" w:space="0" w:color="000000"/>
              <w:bottom w:val="single" w:sz="12" w:space="0" w:color="000000"/>
              <w:right w:val="single" w:sz="12" w:space="0" w:color="000000"/>
            </w:tcBorders>
          </w:tcPr>
          <w:p>
            <w:pPr/>
          </w:p>
        </w:tc>
        <w:tc>
          <w:tcPr>
            <w:tcW w:w="1056" w:type="dxa"/>
            <w:tcBorders>
              <w:top w:val="single" w:sz="12" w:space="0" w:color="000000"/>
              <w:left w:val="single" w:sz="12" w:space="0" w:color="000000"/>
              <w:bottom w:val="single" w:sz="12" w:space="0" w:color="000000"/>
              <w:right w:val="single" w:sz="12" w:space="0" w:color="000000"/>
            </w:tcBorders>
          </w:tcPr>
          <w:p>
            <w:pPr/>
          </w:p>
        </w:tc>
        <w:tc>
          <w:tcPr>
            <w:tcW w:w="768"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1723"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pacing w:val="-4"/>
                <w:sz w:val="18"/>
                <w:szCs w:val="18"/>
              </w:rPr>
              <w:t>其中：境外法人持股</w:t>
            </w:r>
          </w:p>
        </w:tc>
        <w:tc>
          <w:tcPr>
            <w:tcW w:w="965" w:type="dxa"/>
            <w:tcBorders>
              <w:top w:val="single" w:sz="12" w:space="0" w:color="000000"/>
              <w:left w:val="single" w:sz="17" w:space="0" w:color="000000"/>
              <w:bottom w:val="single" w:sz="12" w:space="0" w:color="000000"/>
              <w:right w:val="single" w:sz="12" w:space="0" w:color="000000"/>
            </w:tcBorders>
          </w:tcPr>
          <w:p>
            <w:pPr/>
          </w:p>
        </w:tc>
        <w:tc>
          <w:tcPr>
            <w:tcW w:w="768" w:type="dxa"/>
            <w:tcBorders>
              <w:top w:val="single" w:sz="12" w:space="0" w:color="000000"/>
              <w:left w:val="single" w:sz="12" w:space="0" w:color="000000"/>
              <w:bottom w:val="single" w:sz="12" w:space="0" w:color="000000"/>
              <w:right w:val="single" w:sz="12" w:space="0" w:color="000000"/>
            </w:tcBorders>
          </w:tcPr>
          <w:p>
            <w:pPr/>
          </w:p>
        </w:tc>
        <w:tc>
          <w:tcPr>
            <w:tcW w:w="958" w:type="dxa"/>
            <w:tcBorders>
              <w:top w:val="single" w:sz="12" w:space="0" w:color="000000"/>
              <w:left w:val="single" w:sz="12" w:space="0" w:color="000000"/>
              <w:bottom w:val="single" w:sz="12" w:space="0" w:color="000000"/>
              <w:right w:val="single" w:sz="12" w:space="0" w:color="000000"/>
            </w:tcBorders>
          </w:tcPr>
          <w:p>
            <w:pPr/>
          </w:p>
        </w:tc>
        <w:tc>
          <w:tcPr>
            <w:tcW w:w="470" w:type="dxa"/>
            <w:tcBorders>
              <w:top w:val="single" w:sz="12" w:space="0" w:color="000000"/>
              <w:left w:val="single" w:sz="12" w:space="0" w:color="000000"/>
              <w:bottom w:val="single" w:sz="12" w:space="0" w:color="000000"/>
              <w:right w:val="single" w:sz="12" w:space="0" w:color="000000"/>
            </w:tcBorders>
          </w:tcPr>
          <w:p>
            <w:pPr/>
          </w:p>
        </w:tc>
        <w:tc>
          <w:tcPr>
            <w:tcW w:w="602" w:type="dxa"/>
            <w:tcBorders>
              <w:top w:val="single" w:sz="12" w:space="0" w:color="000000"/>
              <w:left w:val="single" w:sz="12" w:space="0" w:color="000000"/>
              <w:bottom w:val="single" w:sz="12" w:space="0" w:color="000000"/>
              <w:right w:val="single" w:sz="12" w:space="0" w:color="000000"/>
            </w:tcBorders>
          </w:tcPr>
          <w:p>
            <w:pPr/>
          </w:p>
        </w:tc>
        <w:tc>
          <w:tcPr>
            <w:tcW w:w="917" w:type="dxa"/>
            <w:tcBorders>
              <w:top w:val="single" w:sz="12" w:space="0" w:color="000000"/>
              <w:left w:val="single" w:sz="12" w:space="0" w:color="000000"/>
              <w:bottom w:val="single" w:sz="12" w:space="0" w:color="000000"/>
              <w:right w:val="single" w:sz="12" w:space="0" w:color="000000"/>
            </w:tcBorders>
          </w:tcPr>
          <w:p>
            <w:pPr/>
          </w:p>
        </w:tc>
        <w:tc>
          <w:tcPr>
            <w:tcW w:w="958" w:type="dxa"/>
            <w:tcBorders>
              <w:top w:val="single" w:sz="12" w:space="0" w:color="000000"/>
              <w:left w:val="single" w:sz="12" w:space="0" w:color="000000"/>
              <w:bottom w:val="single" w:sz="12" w:space="0" w:color="000000"/>
              <w:right w:val="single" w:sz="12" w:space="0" w:color="000000"/>
            </w:tcBorders>
          </w:tcPr>
          <w:p>
            <w:pPr/>
          </w:p>
        </w:tc>
        <w:tc>
          <w:tcPr>
            <w:tcW w:w="1056" w:type="dxa"/>
            <w:tcBorders>
              <w:top w:val="single" w:sz="12" w:space="0" w:color="000000"/>
              <w:left w:val="single" w:sz="12" w:space="0" w:color="000000"/>
              <w:bottom w:val="single" w:sz="12" w:space="0" w:color="000000"/>
              <w:right w:val="single" w:sz="12" w:space="0" w:color="000000"/>
            </w:tcBorders>
          </w:tcPr>
          <w:p>
            <w:pPr/>
          </w:p>
        </w:tc>
        <w:tc>
          <w:tcPr>
            <w:tcW w:w="768" w:type="dxa"/>
            <w:tcBorders>
              <w:top w:val="single" w:sz="12" w:space="0" w:color="000000"/>
              <w:left w:val="single" w:sz="12" w:space="0" w:color="000000"/>
              <w:bottom w:val="single" w:sz="12" w:space="0" w:color="000000"/>
              <w:right w:val="single" w:sz="12" w:space="0" w:color="000000"/>
            </w:tcBorders>
          </w:tcPr>
          <w:p>
            <w:pPr/>
          </w:p>
        </w:tc>
      </w:tr>
      <w:tr>
        <w:trPr>
          <w:trHeight w:val="653" w:hRule="exact"/>
        </w:trPr>
        <w:tc>
          <w:tcPr>
            <w:tcW w:w="1723"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10"/>
              <w:ind w:left="460" w:right="0"/>
              <w:jc w:val="left"/>
              <w:rPr>
                <w:rFonts w:ascii="宋体" w:hAnsi="宋体" w:cs="宋体" w:eastAsia="宋体" w:hint="default"/>
                <w:sz w:val="18"/>
                <w:szCs w:val="18"/>
              </w:rPr>
            </w:pPr>
            <w:r>
              <w:rPr>
                <w:rFonts w:ascii="宋体" w:hAnsi="宋体" w:cs="宋体" w:eastAsia="宋体" w:hint="default"/>
                <w:sz w:val="18"/>
                <w:szCs w:val="18"/>
              </w:rPr>
              <w:t>境外自然人持</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w w:val="99"/>
                <w:sz w:val="18"/>
                <w:szCs w:val="18"/>
              </w:rPr>
              <w:t>股</w:t>
            </w:r>
            <w:r>
              <w:rPr>
                <w:rFonts w:ascii="宋体" w:hAnsi="宋体" w:cs="宋体" w:eastAsia="宋体" w:hint="default"/>
                <w:sz w:val="18"/>
                <w:szCs w:val="18"/>
              </w:rPr>
            </w:r>
          </w:p>
        </w:tc>
        <w:tc>
          <w:tcPr>
            <w:tcW w:w="965" w:type="dxa"/>
            <w:tcBorders>
              <w:top w:val="single" w:sz="12" w:space="0" w:color="000000"/>
              <w:left w:val="single" w:sz="17" w:space="0" w:color="000000"/>
              <w:bottom w:val="single" w:sz="12" w:space="0" w:color="000000"/>
              <w:right w:val="single" w:sz="12" w:space="0" w:color="000000"/>
            </w:tcBorders>
          </w:tcPr>
          <w:p>
            <w:pPr/>
          </w:p>
        </w:tc>
        <w:tc>
          <w:tcPr>
            <w:tcW w:w="768" w:type="dxa"/>
            <w:tcBorders>
              <w:top w:val="single" w:sz="12" w:space="0" w:color="000000"/>
              <w:left w:val="single" w:sz="12" w:space="0" w:color="000000"/>
              <w:bottom w:val="single" w:sz="12" w:space="0" w:color="000000"/>
              <w:right w:val="single" w:sz="12" w:space="0" w:color="000000"/>
            </w:tcBorders>
          </w:tcPr>
          <w:p>
            <w:pPr/>
          </w:p>
        </w:tc>
        <w:tc>
          <w:tcPr>
            <w:tcW w:w="958" w:type="dxa"/>
            <w:tcBorders>
              <w:top w:val="single" w:sz="12" w:space="0" w:color="000000"/>
              <w:left w:val="single" w:sz="12" w:space="0" w:color="000000"/>
              <w:bottom w:val="single" w:sz="12" w:space="0" w:color="000000"/>
              <w:right w:val="single" w:sz="12" w:space="0" w:color="000000"/>
            </w:tcBorders>
          </w:tcPr>
          <w:p>
            <w:pPr/>
          </w:p>
        </w:tc>
        <w:tc>
          <w:tcPr>
            <w:tcW w:w="470" w:type="dxa"/>
            <w:tcBorders>
              <w:top w:val="single" w:sz="12" w:space="0" w:color="000000"/>
              <w:left w:val="single" w:sz="12" w:space="0" w:color="000000"/>
              <w:bottom w:val="single" w:sz="12" w:space="0" w:color="000000"/>
              <w:right w:val="single" w:sz="12" w:space="0" w:color="000000"/>
            </w:tcBorders>
          </w:tcPr>
          <w:p>
            <w:pPr/>
          </w:p>
        </w:tc>
        <w:tc>
          <w:tcPr>
            <w:tcW w:w="602" w:type="dxa"/>
            <w:tcBorders>
              <w:top w:val="single" w:sz="12" w:space="0" w:color="000000"/>
              <w:left w:val="single" w:sz="12" w:space="0" w:color="000000"/>
              <w:bottom w:val="single" w:sz="12" w:space="0" w:color="000000"/>
              <w:right w:val="single" w:sz="12" w:space="0" w:color="000000"/>
            </w:tcBorders>
          </w:tcPr>
          <w:p>
            <w:pPr/>
          </w:p>
        </w:tc>
        <w:tc>
          <w:tcPr>
            <w:tcW w:w="917" w:type="dxa"/>
            <w:tcBorders>
              <w:top w:val="single" w:sz="12" w:space="0" w:color="000000"/>
              <w:left w:val="single" w:sz="12" w:space="0" w:color="000000"/>
              <w:bottom w:val="single" w:sz="12" w:space="0" w:color="000000"/>
              <w:right w:val="single" w:sz="12" w:space="0" w:color="000000"/>
            </w:tcBorders>
          </w:tcPr>
          <w:p>
            <w:pPr/>
          </w:p>
        </w:tc>
        <w:tc>
          <w:tcPr>
            <w:tcW w:w="958" w:type="dxa"/>
            <w:tcBorders>
              <w:top w:val="single" w:sz="12" w:space="0" w:color="000000"/>
              <w:left w:val="single" w:sz="12" w:space="0" w:color="000000"/>
              <w:bottom w:val="single" w:sz="12" w:space="0" w:color="000000"/>
              <w:right w:val="single" w:sz="12" w:space="0" w:color="000000"/>
            </w:tcBorders>
          </w:tcPr>
          <w:p>
            <w:pPr/>
          </w:p>
        </w:tc>
        <w:tc>
          <w:tcPr>
            <w:tcW w:w="1056" w:type="dxa"/>
            <w:tcBorders>
              <w:top w:val="single" w:sz="12" w:space="0" w:color="000000"/>
              <w:left w:val="single" w:sz="12" w:space="0" w:color="000000"/>
              <w:bottom w:val="single" w:sz="12" w:space="0" w:color="000000"/>
              <w:right w:val="single" w:sz="12" w:space="0" w:color="000000"/>
            </w:tcBorders>
          </w:tcPr>
          <w:p>
            <w:pPr/>
          </w:p>
        </w:tc>
        <w:tc>
          <w:tcPr>
            <w:tcW w:w="768"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1723"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10"/>
              <w:ind w:left="7"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、高管股份</w:t>
            </w:r>
          </w:p>
        </w:tc>
        <w:tc>
          <w:tcPr>
            <w:tcW w:w="965" w:type="dxa"/>
            <w:tcBorders>
              <w:top w:val="single" w:sz="12" w:space="0" w:color="000000"/>
              <w:left w:val="single" w:sz="17" w:space="0" w:color="000000"/>
              <w:bottom w:val="single" w:sz="12" w:space="0" w:color="000000"/>
              <w:right w:val="single" w:sz="12" w:space="0" w:color="000000"/>
            </w:tcBorders>
          </w:tcPr>
          <w:p>
            <w:pPr/>
          </w:p>
        </w:tc>
        <w:tc>
          <w:tcPr>
            <w:tcW w:w="768" w:type="dxa"/>
            <w:tcBorders>
              <w:top w:val="single" w:sz="12" w:space="0" w:color="000000"/>
              <w:left w:val="single" w:sz="12" w:space="0" w:color="000000"/>
              <w:bottom w:val="single" w:sz="12" w:space="0" w:color="000000"/>
              <w:right w:val="single" w:sz="12" w:space="0" w:color="000000"/>
            </w:tcBorders>
          </w:tcPr>
          <w:p>
            <w:pPr/>
          </w:p>
        </w:tc>
        <w:tc>
          <w:tcPr>
            <w:tcW w:w="958" w:type="dxa"/>
            <w:tcBorders>
              <w:top w:val="single" w:sz="12" w:space="0" w:color="000000"/>
              <w:left w:val="single" w:sz="12" w:space="0" w:color="000000"/>
              <w:bottom w:val="single" w:sz="12" w:space="0" w:color="000000"/>
              <w:right w:val="single" w:sz="12" w:space="0" w:color="000000"/>
            </w:tcBorders>
          </w:tcPr>
          <w:p>
            <w:pPr/>
          </w:p>
        </w:tc>
        <w:tc>
          <w:tcPr>
            <w:tcW w:w="470" w:type="dxa"/>
            <w:tcBorders>
              <w:top w:val="single" w:sz="12" w:space="0" w:color="000000"/>
              <w:left w:val="single" w:sz="12" w:space="0" w:color="000000"/>
              <w:bottom w:val="single" w:sz="12" w:space="0" w:color="000000"/>
              <w:right w:val="single" w:sz="12" w:space="0" w:color="000000"/>
            </w:tcBorders>
          </w:tcPr>
          <w:p>
            <w:pPr/>
          </w:p>
        </w:tc>
        <w:tc>
          <w:tcPr>
            <w:tcW w:w="602" w:type="dxa"/>
            <w:tcBorders>
              <w:top w:val="single" w:sz="12" w:space="0" w:color="000000"/>
              <w:left w:val="single" w:sz="12" w:space="0" w:color="000000"/>
              <w:bottom w:val="single" w:sz="12" w:space="0" w:color="000000"/>
              <w:right w:val="single" w:sz="12" w:space="0" w:color="000000"/>
            </w:tcBorders>
          </w:tcPr>
          <w:p>
            <w:pPr/>
          </w:p>
        </w:tc>
        <w:tc>
          <w:tcPr>
            <w:tcW w:w="917" w:type="dxa"/>
            <w:tcBorders>
              <w:top w:val="single" w:sz="12" w:space="0" w:color="000000"/>
              <w:left w:val="single" w:sz="12" w:space="0" w:color="000000"/>
              <w:bottom w:val="single" w:sz="12" w:space="0" w:color="000000"/>
              <w:right w:val="single" w:sz="12" w:space="0" w:color="000000"/>
            </w:tcBorders>
          </w:tcPr>
          <w:p>
            <w:pPr/>
          </w:p>
        </w:tc>
        <w:tc>
          <w:tcPr>
            <w:tcW w:w="958" w:type="dxa"/>
            <w:tcBorders>
              <w:top w:val="single" w:sz="12" w:space="0" w:color="000000"/>
              <w:left w:val="single" w:sz="12" w:space="0" w:color="000000"/>
              <w:bottom w:val="single" w:sz="12" w:space="0" w:color="000000"/>
              <w:right w:val="single" w:sz="12" w:space="0" w:color="000000"/>
            </w:tcBorders>
          </w:tcPr>
          <w:p>
            <w:pPr/>
          </w:p>
        </w:tc>
        <w:tc>
          <w:tcPr>
            <w:tcW w:w="1056" w:type="dxa"/>
            <w:tcBorders>
              <w:top w:val="single" w:sz="12" w:space="0" w:color="000000"/>
              <w:left w:val="single" w:sz="12" w:space="0" w:color="000000"/>
              <w:bottom w:val="single" w:sz="12" w:space="0" w:color="000000"/>
              <w:right w:val="single" w:sz="12" w:space="0" w:color="000000"/>
            </w:tcBorders>
          </w:tcPr>
          <w:p>
            <w:pPr/>
          </w:p>
        </w:tc>
        <w:tc>
          <w:tcPr>
            <w:tcW w:w="768"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1723"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65" w:type="dxa"/>
            <w:tcBorders>
              <w:top w:val="single" w:sz="12" w:space="0" w:color="000000"/>
              <w:left w:val="single" w:sz="17" w:space="0" w:color="000000"/>
              <w:bottom w:val="single" w:sz="12" w:space="0" w:color="000000"/>
              <w:right w:val="single" w:sz="12" w:space="0" w:color="000000"/>
            </w:tcBorders>
          </w:tcPr>
          <w:p>
            <w:pPr/>
          </w:p>
        </w:tc>
        <w:tc>
          <w:tcPr>
            <w:tcW w:w="768" w:type="dxa"/>
            <w:tcBorders>
              <w:top w:val="single" w:sz="12" w:space="0" w:color="000000"/>
              <w:left w:val="single" w:sz="12" w:space="0" w:color="000000"/>
              <w:bottom w:val="single" w:sz="12" w:space="0" w:color="000000"/>
              <w:right w:val="single" w:sz="12" w:space="0" w:color="000000"/>
            </w:tcBorders>
          </w:tcPr>
          <w:p>
            <w:pPr/>
          </w:p>
        </w:tc>
        <w:tc>
          <w:tcPr>
            <w:tcW w:w="9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21,600,000</w:t>
            </w:r>
          </w:p>
        </w:tc>
        <w:tc>
          <w:tcPr>
            <w:tcW w:w="470" w:type="dxa"/>
            <w:tcBorders>
              <w:top w:val="single" w:sz="12" w:space="0" w:color="000000"/>
              <w:left w:val="single" w:sz="12" w:space="0" w:color="000000"/>
              <w:bottom w:val="single" w:sz="12" w:space="0" w:color="000000"/>
              <w:right w:val="single" w:sz="12" w:space="0" w:color="000000"/>
            </w:tcBorders>
          </w:tcPr>
          <w:p>
            <w:pPr/>
          </w:p>
        </w:tc>
        <w:tc>
          <w:tcPr>
            <w:tcW w:w="602" w:type="dxa"/>
            <w:tcBorders>
              <w:top w:val="single" w:sz="12" w:space="0" w:color="000000"/>
              <w:left w:val="single" w:sz="12" w:space="0" w:color="000000"/>
              <w:bottom w:val="single" w:sz="12" w:space="0" w:color="000000"/>
              <w:right w:val="single" w:sz="12" w:space="0" w:color="000000"/>
            </w:tcBorders>
          </w:tcPr>
          <w:p>
            <w:pPr/>
          </w:p>
        </w:tc>
        <w:tc>
          <w:tcPr>
            <w:tcW w:w="91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54" w:right="0"/>
              <w:jc w:val="center"/>
              <w:rPr>
                <w:rFonts w:ascii="Arial" w:hAnsi="Arial" w:cs="Arial" w:eastAsia="Arial" w:hint="default"/>
                <w:sz w:val="18"/>
                <w:szCs w:val="18"/>
              </w:rPr>
            </w:pPr>
            <w:r>
              <w:rPr>
                <w:rFonts w:ascii="Arial"/>
                <w:sz w:val="18"/>
              </w:rPr>
              <w:t>5,400,000</w:t>
            </w:r>
          </w:p>
        </w:tc>
        <w:tc>
          <w:tcPr>
            <w:tcW w:w="9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27,000,000</w:t>
            </w:r>
          </w:p>
        </w:tc>
        <w:tc>
          <w:tcPr>
            <w:tcW w:w="105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00" w:right="0"/>
              <w:jc w:val="center"/>
              <w:rPr>
                <w:rFonts w:ascii="Arial" w:hAnsi="Arial" w:cs="Arial" w:eastAsia="Arial" w:hint="default"/>
                <w:sz w:val="18"/>
                <w:szCs w:val="18"/>
              </w:rPr>
            </w:pPr>
            <w:r>
              <w:rPr>
                <w:rFonts w:ascii="Arial"/>
                <w:sz w:val="18"/>
              </w:rPr>
              <w:t>27,000,000</w:t>
            </w:r>
          </w:p>
        </w:tc>
        <w:tc>
          <w:tcPr>
            <w:tcW w:w="7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25.23%</w:t>
            </w:r>
          </w:p>
        </w:tc>
      </w:tr>
      <w:tr>
        <w:trPr>
          <w:trHeight w:val="343" w:hRule="exact"/>
        </w:trPr>
        <w:tc>
          <w:tcPr>
            <w:tcW w:w="1723"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10"/>
              <w:ind w:left="7"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、人民币普通股</w:t>
            </w:r>
          </w:p>
        </w:tc>
        <w:tc>
          <w:tcPr>
            <w:tcW w:w="965" w:type="dxa"/>
            <w:tcBorders>
              <w:top w:val="single" w:sz="12" w:space="0" w:color="000000"/>
              <w:left w:val="single" w:sz="17" w:space="0" w:color="000000"/>
              <w:bottom w:val="single" w:sz="12" w:space="0" w:color="000000"/>
              <w:right w:val="single" w:sz="12" w:space="0" w:color="000000"/>
            </w:tcBorders>
          </w:tcPr>
          <w:p>
            <w:pPr/>
          </w:p>
        </w:tc>
        <w:tc>
          <w:tcPr>
            <w:tcW w:w="768" w:type="dxa"/>
            <w:tcBorders>
              <w:top w:val="single" w:sz="12" w:space="0" w:color="000000"/>
              <w:left w:val="single" w:sz="12" w:space="0" w:color="000000"/>
              <w:bottom w:val="single" w:sz="12" w:space="0" w:color="000000"/>
              <w:right w:val="single" w:sz="12" w:space="0" w:color="000000"/>
            </w:tcBorders>
          </w:tcPr>
          <w:p>
            <w:pPr/>
          </w:p>
        </w:tc>
        <w:tc>
          <w:tcPr>
            <w:tcW w:w="9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21,600,000</w:t>
            </w:r>
          </w:p>
        </w:tc>
        <w:tc>
          <w:tcPr>
            <w:tcW w:w="470" w:type="dxa"/>
            <w:tcBorders>
              <w:top w:val="single" w:sz="12" w:space="0" w:color="000000"/>
              <w:left w:val="single" w:sz="12" w:space="0" w:color="000000"/>
              <w:bottom w:val="single" w:sz="12" w:space="0" w:color="000000"/>
              <w:right w:val="single" w:sz="12" w:space="0" w:color="000000"/>
            </w:tcBorders>
          </w:tcPr>
          <w:p>
            <w:pPr/>
          </w:p>
        </w:tc>
        <w:tc>
          <w:tcPr>
            <w:tcW w:w="602" w:type="dxa"/>
            <w:tcBorders>
              <w:top w:val="single" w:sz="12" w:space="0" w:color="000000"/>
              <w:left w:val="single" w:sz="12" w:space="0" w:color="000000"/>
              <w:bottom w:val="single" w:sz="12" w:space="0" w:color="000000"/>
              <w:right w:val="single" w:sz="12" w:space="0" w:color="000000"/>
            </w:tcBorders>
          </w:tcPr>
          <w:p>
            <w:pPr/>
          </w:p>
        </w:tc>
        <w:tc>
          <w:tcPr>
            <w:tcW w:w="91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54" w:right="0"/>
              <w:jc w:val="center"/>
              <w:rPr>
                <w:rFonts w:ascii="Arial" w:hAnsi="Arial" w:cs="Arial" w:eastAsia="Arial" w:hint="default"/>
                <w:sz w:val="18"/>
                <w:szCs w:val="18"/>
              </w:rPr>
            </w:pPr>
            <w:r>
              <w:rPr>
                <w:rFonts w:ascii="Arial"/>
                <w:sz w:val="18"/>
              </w:rPr>
              <w:t>5,400,000</w:t>
            </w:r>
          </w:p>
        </w:tc>
        <w:tc>
          <w:tcPr>
            <w:tcW w:w="9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27,000,000</w:t>
            </w:r>
          </w:p>
        </w:tc>
        <w:tc>
          <w:tcPr>
            <w:tcW w:w="105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00" w:right="0"/>
              <w:jc w:val="center"/>
              <w:rPr>
                <w:rFonts w:ascii="Arial" w:hAnsi="Arial" w:cs="Arial" w:eastAsia="Arial" w:hint="default"/>
                <w:sz w:val="18"/>
                <w:szCs w:val="18"/>
              </w:rPr>
            </w:pPr>
            <w:r>
              <w:rPr>
                <w:rFonts w:ascii="Arial"/>
                <w:sz w:val="18"/>
              </w:rPr>
              <w:t>27,000,000</w:t>
            </w:r>
          </w:p>
        </w:tc>
        <w:tc>
          <w:tcPr>
            <w:tcW w:w="7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25.23%</w:t>
            </w:r>
          </w:p>
        </w:tc>
      </w:tr>
      <w:tr>
        <w:trPr>
          <w:trHeight w:val="341" w:hRule="exact"/>
        </w:trPr>
        <w:tc>
          <w:tcPr>
            <w:tcW w:w="1723"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10"/>
              <w:ind w:left="7" w:right="0"/>
              <w:jc w:val="left"/>
              <w:rPr>
                <w:rFonts w:ascii="宋体" w:hAnsi="宋体" w:cs="宋体" w:eastAsia="宋体" w:hint="default"/>
                <w:sz w:val="18"/>
                <w:szCs w:val="18"/>
              </w:rPr>
            </w:pPr>
            <w:r>
              <w:rPr>
                <w:rFonts w:ascii="Arial" w:hAnsi="Arial" w:cs="Arial" w:eastAsia="Arial" w:hint="default"/>
                <w:spacing w:val="-4"/>
                <w:sz w:val="18"/>
                <w:szCs w:val="18"/>
              </w:rPr>
              <w:t>2</w:t>
            </w:r>
            <w:r>
              <w:rPr>
                <w:rFonts w:ascii="宋体" w:hAnsi="宋体" w:cs="宋体" w:eastAsia="宋体" w:hint="default"/>
                <w:spacing w:val="-4"/>
                <w:sz w:val="18"/>
                <w:szCs w:val="18"/>
              </w:rPr>
              <w:t>、境内上市的外资股</w:t>
            </w:r>
          </w:p>
        </w:tc>
        <w:tc>
          <w:tcPr>
            <w:tcW w:w="965" w:type="dxa"/>
            <w:tcBorders>
              <w:top w:val="single" w:sz="12" w:space="0" w:color="000000"/>
              <w:left w:val="single" w:sz="17" w:space="0" w:color="000000"/>
              <w:bottom w:val="single" w:sz="12" w:space="0" w:color="000000"/>
              <w:right w:val="single" w:sz="12" w:space="0" w:color="000000"/>
            </w:tcBorders>
          </w:tcPr>
          <w:p>
            <w:pPr/>
          </w:p>
        </w:tc>
        <w:tc>
          <w:tcPr>
            <w:tcW w:w="768" w:type="dxa"/>
            <w:tcBorders>
              <w:top w:val="single" w:sz="12" w:space="0" w:color="000000"/>
              <w:left w:val="single" w:sz="12" w:space="0" w:color="000000"/>
              <w:bottom w:val="single" w:sz="12" w:space="0" w:color="000000"/>
              <w:right w:val="single" w:sz="12" w:space="0" w:color="000000"/>
            </w:tcBorders>
          </w:tcPr>
          <w:p>
            <w:pPr/>
          </w:p>
        </w:tc>
        <w:tc>
          <w:tcPr>
            <w:tcW w:w="958" w:type="dxa"/>
            <w:tcBorders>
              <w:top w:val="single" w:sz="12" w:space="0" w:color="000000"/>
              <w:left w:val="single" w:sz="12" w:space="0" w:color="000000"/>
              <w:bottom w:val="single" w:sz="12" w:space="0" w:color="000000"/>
              <w:right w:val="single" w:sz="12" w:space="0" w:color="000000"/>
            </w:tcBorders>
          </w:tcPr>
          <w:p>
            <w:pPr/>
          </w:p>
        </w:tc>
        <w:tc>
          <w:tcPr>
            <w:tcW w:w="470" w:type="dxa"/>
            <w:tcBorders>
              <w:top w:val="single" w:sz="12" w:space="0" w:color="000000"/>
              <w:left w:val="single" w:sz="12" w:space="0" w:color="000000"/>
              <w:bottom w:val="single" w:sz="12" w:space="0" w:color="000000"/>
              <w:right w:val="single" w:sz="12" w:space="0" w:color="000000"/>
            </w:tcBorders>
          </w:tcPr>
          <w:p>
            <w:pPr/>
          </w:p>
        </w:tc>
        <w:tc>
          <w:tcPr>
            <w:tcW w:w="602" w:type="dxa"/>
            <w:tcBorders>
              <w:top w:val="single" w:sz="12" w:space="0" w:color="000000"/>
              <w:left w:val="single" w:sz="12" w:space="0" w:color="000000"/>
              <w:bottom w:val="single" w:sz="12" w:space="0" w:color="000000"/>
              <w:right w:val="single" w:sz="12" w:space="0" w:color="000000"/>
            </w:tcBorders>
          </w:tcPr>
          <w:p>
            <w:pPr/>
          </w:p>
        </w:tc>
        <w:tc>
          <w:tcPr>
            <w:tcW w:w="917" w:type="dxa"/>
            <w:tcBorders>
              <w:top w:val="single" w:sz="12" w:space="0" w:color="000000"/>
              <w:left w:val="single" w:sz="12" w:space="0" w:color="000000"/>
              <w:bottom w:val="single" w:sz="12" w:space="0" w:color="000000"/>
              <w:right w:val="single" w:sz="12" w:space="0" w:color="000000"/>
            </w:tcBorders>
          </w:tcPr>
          <w:p>
            <w:pPr/>
          </w:p>
        </w:tc>
        <w:tc>
          <w:tcPr>
            <w:tcW w:w="958" w:type="dxa"/>
            <w:tcBorders>
              <w:top w:val="single" w:sz="12" w:space="0" w:color="000000"/>
              <w:left w:val="single" w:sz="12" w:space="0" w:color="000000"/>
              <w:bottom w:val="single" w:sz="12" w:space="0" w:color="000000"/>
              <w:right w:val="single" w:sz="12" w:space="0" w:color="000000"/>
            </w:tcBorders>
          </w:tcPr>
          <w:p>
            <w:pPr/>
          </w:p>
        </w:tc>
        <w:tc>
          <w:tcPr>
            <w:tcW w:w="1056" w:type="dxa"/>
            <w:tcBorders>
              <w:top w:val="single" w:sz="12" w:space="0" w:color="000000"/>
              <w:left w:val="single" w:sz="12" w:space="0" w:color="000000"/>
              <w:bottom w:val="single" w:sz="12" w:space="0" w:color="000000"/>
              <w:right w:val="single" w:sz="12" w:space="0" w:color="000000"/>
            </w:tcBorders>
          </w:tcPr>
          <w:p>
            <w:pPr/>
          </w:p>
        </w:tc>
        <w:tc>
          <w:tcPr>
            <w:tcW w:w="768"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1723"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10"/>
              <w:ind w:left="7" w:right="0"/>
              <w:jc w:val="left"/>
              <w:rPr>
                <w:rFonts w:ascii="宋体" w:hAnsi="宋体" w:cs="宋体" w:eastAsia="宋体" w:hint="default"/>
                <w:sz w:val="18"/>
                <w:szCs w:val="18"/>
              </w:rPr>
            </w:pPr>
            <w:r>
              <w:rPr>
                <w:rFonts w:ascii="Arial" w:hAnsi="Arial" w:cs="Arial" w:eastAsia="Arial" w:hint="default"/>
                <w:spacing w:val="-4"/>
                <w:sz w:val="18"/>
                <w:szCs w:val="18"/>
              </w:rPr>
              <w:t>3</w:t>
            </w:r>
            <w:r>
              <w:rPr>
                <w:rFonts w:ascii="宋体" w:hAnsi="宋体" w:cs="宋体" w:eastAsia="宋体" w:hint="default"/>
                <w:spacing w:val="-4"/>
                <w:sz w:val="18"/>
                <w:szCs w:val="18"/>
              </w:rPr>
              <w:t>、境外上市的外资股</w:t>
            </w:r>
          </w:p>
        </w:tc>
        <w:tc>
          <w:tcPr>
            <w:tcW w:w="965" w:type="dxa"/>
            <w:tcBorders>
              <w:top w:val="single" w:sz="12" w:space="0" w:color="000000"/>
              <w:left w:val="single" w:sz="17" w:space="0" w:color="000000"/>
              <w:bottom w:val="single" w:sz="12" w:space="0" w:color="000000"/>
              <w:right w:val="single" w:sz="12" w:space="0" w:color="000000"/>
            </w:tcBorders>
          </w:tcPr>
          <w:p>
            <w:pPr/>
          </w:p>
        </w:tc>
        <w:tc>
          <w:tcPr>
            <w:tcW w:w="768" w:type="dxa"/>
            <w:tcBorders>
              <w:top w:val="single" w:sz="12" w:space="0" w:color="000000"/>
              <w:left w:val="single" w:sz="12" w:space="0" w:color="000000"/>
              <w:bottom w:val="single" w:sz="12" w:space="0" w:color="000000"/>
              <w:right w:val="single" w:sz="12" w:space="0" w:color="000000"/>
            </w:tcBorders>
          </w:tcPr>
          <w:p>
            <w:pPr/>
          </w:p>
        </w:tc>
        <w:tc>
          <w:tcPr>
            <w:tcW w:w="958" w:type="dxa"/>
            <w:tcBorders>
              <w:top w:val="single" w:sz="12" w:space="0" w:color="000000"/>
              <w:left w:val="single" w:sz="12" w:space="0" w:color="000000"/>
              <w:bottom w:val="single" w:sz="12" w:space="0" w:color="000000"/>
              <w:right w:val="single" w:sz="12" w:space="0" w:color="000000"/>
            </w:tcBorders>
          </w:tcPr>
          <w:p>
            <w:pPr/>
          </w:p>
        </w:tc>
        <w:tc>
          <w:tcPr>
            <w:tcW w:w="470" w:type="dxa"/>
            <w:tcBorders>
              <w:top w:val="single" w:sz="12" w:space="0" w:color="000000"/>
              <w:left w:val="single" w:sz="12" w:space="0" w:color="000000"/>
              <w:bottom w:val="single" w:sz="12" w:space="0" w:color="000000"/>
              <w:right w:val="single" w:sz="12" w:space="0" w:color="000000"/>
            </w:tcBorders>
          </w:tcPr>
          <w:p>
            <w:pPr/>
          </w:p>
        </w:tc>
        <w:tc>
          <w:tcPr>
            <w:tcW w:w="602" w:type="dxa"/>
            <w:tcBorders>
              <w:top w:val="single" w:sz="12" w:space="0" w:color="000000"/>
              <w:left w:val="single" w:sz="12" w:space="0" w:color="000000"/>
              <w:bottom w:val="single" w:sz="12" w:space="0" w:color="000000"/>
              <w:right w:val="single" w:sz="12" w:space="0" w:color="000000"/>
            </w:tcBorders>
          </w:tcPr>
          <w:p>
            <w:pPr/>
          </w:p>
        </w:tc>
        <w:tc>
          <w:tcPr>
            <w:tcW w:w="917" w:type="dxa"/>
            <w:tcBorders>
              <w:top w:val="single" w:sz="12" w:space="0" w:color="000000"/>
              <w:left w:val="single" w:sz="12" w:space="0" w:color="000000"/>
              <w:bottom w:val="single" w:sz="12" w:space="0" w:color="000000"/>
              <w:right w:val="single" w:sz="12" w:space="0" w:color="000000"/>
            </w:tcBorders>
          </w:tcPr>
          <w:p>
            <w:pPr/>
          </w:p>
        </w:tc>
        <w:tc>
          <w:tcPr>
            <w:tcW w:w="958" w:type="dxa"/>
            <w:tcBorders>
              <w:top w:val="single" w:sz="12" w:space="0" w:color="000000"/>
              <w:left w:val="single" w:sz="12" w:space="0" w:color="000000"/>
              <w:bottom w:val="single" w:sz="12" w:space="0" w:color="000000"/>
              <w:right w:val="single" w:sz="12" w:space="0" w:color="000000"/>
            </w:tcBorders>
          </w:tcPr>
          <w:p>
            <w:pPr/>
          </w:p>
        </w:tc>
        <w:tc>
          <w:tcPr>
            <w:tcW w:w="1056" w:type="dxa"/>
            <w:tcBorders>
              <w:top w:val="single" w:sz="12" w:space="0" w:color="000000"/>
              <w:left w:val="single" w:sz="12" w:space="0" w:color="000000"/>
              <w:bottom w:val="single" w:sz="12" w:space="0" w:color="000000"/>
              <w:right w:val="single" w:sz="12" w:space="0" w:color="000000"/>
            </w:tcBorders>
          </w:tcPr>
          <w:p>
            <w:pPr/>
          </w:p>
        </w:tc>
        <w:tc>
          <w:tcPr>
            <w:tcW w:w="768"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1723"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10"/>
              <w:ind w:left="7"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965" w:type="dxa"/>
            <w:tcBorders>
              <w:top w:val="single" w:sz="12" w:space="0" w:color="000000"/>
              <w:left w:val="single" w:sz="17" w:space="0" w:color="000000"/>
              <w:bottom w:val="single" w:sz="12" w:space="0" w:color="000000"/>
              <w:right w:val="single" w:sz="12" w:space="0" w:color="000000"/>
            </w:tcBorders>
          </w:tcPr>
          <w:p>
            <w:pPr/>
          </w:p>
        </w:tc>
        <w:tc>
          <w:tcPr>
            <w:tcW w:w="768" w:type="dxa"/>
            <w:tcBorders>
              <w:top w:val="single" w:sz="12" w:space="0" w:color="000000"/>
              <w:left w:val="single" w:sz="12" w:space="0" w:color="000000"/>
              <w:bottom w:val="single" w:sz="12" w:space="0" w:color="000000"/>
              <w:right w:val="single" w:sz="12" w:space="0" w:color="000000"/>
            </w:tcBorders>
          </w:tcPr>
          <w:p>
            <w:pPr/>
          </w:p>
        </w:tc>
        <w:tc>
          <w:tcPr>
            <w:tcW w:w="958" w:type="dxa"/>
            <w:tcBorders>
              <w:top w:val="single" w:sz="12" w:space="0" w:color="000000"/>
              <w:left w:val="single" w:sz="12" w:space="0" w:color="000000"/>
              <w:bottom w:val="single" w:sz="12" w:space="0" w:color="000000"/>
              <w:right w:val="single" w:sz="12" w:space="0" w:color="000000"/>
            </w:tcBorders>
          </w:tcPr>
          <w:p>
            <w:pPr/>
          </w:p>
        </w:tc>
        <w:tc>
          <w:tcPr>
            <w:tcW w:w="470" w:type="dxa"/>
            <w:tcBorders>
              <w:top w:val="single" w:sz="12" w:space="0" w:color="000000"/>
              <w:left w:val="single" w:sz="12" w:space="0" w:color="000000"/>
              <w:bottom w:val="single" w:sz="12" w:space="0" w:color="000000"/>
              <w:right w:val="single" w:sz="12" w:space="0" w:color="000000"/>
            </w:tcBorders>
          </w:tcPr>
          <w:p>
            <w:pPr/>
          </w:p>
        </w:tc>
        <w:tc>
          <w:tcPr>
            <w:tcW w:w="602" w:type="dxa"/>
            <w:tcBorders>
              <w:top w:val="single" w:sz="12" w:space="0" w:color="000000"/>
              <w:left w:val="single" w:sz="12" w:space="0" w:color="000000"/>
              <w:bottom w:val="single" w:sz="12" w:space="0" w:color="000000"/>
              <w:right w:val="single" w:sz="12" w:space="0" w:color="000000"/>
            </w:tcBorders>
          </w:tcPr>
          <w:p>
            <w:pPr/>
          </w:p>
        </w:tc>
        <w:tc>
          <w:tcPr>
            <w:tcW w:w="917" w:type="dxa"/>
            <w:tcBorders>
              <w:top w:val="single" w:sz="12" w:space="0" w:color="000000"/>
              <w:left w:val="single" w:sz="12" w:space="0" w:color="000000"/>
              <w:bottom w:val="single" w:sz="12" w:space="0" w:color="000000"/>
              <w:right w:val="single" w:sz="12" w:space="0" w:color="000000"/>
            </w:tcBorders>
          </w:tcPr>
          <w:p>
            <w:pPr/>
          </w:p>
        </w:tc>
        <w:tc>
          <w:tcPr>
            <w:tcW w:w="958" w:type="dxa"/>
            <w:tcBorders>
              <w:top w:val="single" w:sz="12" w:space="0" w:color="000000"/>
              <w:left w:val="single" w:sz="12" w:space="0" w:color="000000"/>
              <w:bottom w:val="single" w:sz="12" w:space="0" w:color="000000"/>
              <w:right w:val="single" w:sz="12" w:space="0" w:color="000000"/>
            </w:tcBorders>
          </w:tcPr>
          <w:p>
            <w:pPr/>
          </w:p>
        </w:tc>
        <w:tc>
          <w:tcPr>
            <w:tcW w:w="1056" w:type="dxa"/>
            <w:tcBorders>
              <w:top w:val="single" w:sz="12" w:space="0" w:color="000000"/>
              <w:left w:val="single" w:sz="12" w:space="0" w:color="000000"/>
              <w:bottom w:val="single" w:sz="12" w:space="0" w:color="000000"/>
              <w:right w:val="single" w:sz="12" w:space="0" w:color="000000"/>
            </w:tcBorders>
          </w:tcPr>
          <w:p>
            <w:pPr/>
          </w:p>
        </w:tc>
        <w:tc>
          <w:tcPr>
            <w:tcW w:w="768"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1723"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65" w:type="dxa"/>
            <w:tcBorders>
              <w:top w:val="single" w:sz="12" w:space="0" w:color="000000"/>
              <w:left w:val="single" w:sz="17"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80,000,000</w:t>
            </w:r>
          </w:p>
        </w:tc>
        <w:tc>
          <w:tcPr>
            <w:tcW w:w="7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 w:right="0"/>
              <w:jc w:val="center"/>
              <w:rPr>
                <w:rFonts w:ascii="Arial" w:hAnsi="Arial" w:cs="Arial" w:eastAsia="Arial" w:hint="default"/>
                <w:sz w:val="18"/>
                <w:szCs w:val="18"/>
              </w:rPr>
            </w:pPr>
            <w:r>
              <w:rPr>
                <w:rFonts w:ascii="Arial"/>
                <w:sz w:val="18"/>
              </w:rPr>
              <w:t>100.00%</w:t>
            </w:r>
          </w:p>
        </w:tc>
        <w:tc>
          <w:tcPr>
            <w:tcW w:w="9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27,000,000</w:t>
            </w:r>
          </w:p>
        </w:tc>
        <w:tc>
          <w:tcPr>
            <w:tcW w:w="470" w:type="dxa"/>
            <w:tcBorders>
              <w:top w:val="single" w:sz="12" w:space="0" w:color="000000"/>
              <w:left w:val="single" w:sz="12" w:space="0" w:color="000000"/>
              <w:bottom w:val="single" w:sz="12" w:space="0" w:color="000000"/>
              <w:right w:val="single" w:sz="12" w:space="0" w:color="000000"/>
            </w:tcBorders>
          </w:tcPr>
          <w:p>
            <w:pPr/>
          </w:p>
        </w:tc>
        <w:tc>
          <w:tcPr>
            <w:tcW w:w="602" w:type="dxa"/>
            <w:tcBorders>
              <w:top w:val="single" w:sz="12" w:space="0" w:color="000000"/>
              <w:left w:val="single" w:sz="12" w:space="0" w:color="000000"/>
              <w:bottom w:val="single" w:sz="12" w:space="0" w:color="000000"/>
              <w:right w:val="single" w:sz="12" w:space="0" w:color="000000"/>
            </w:tcBorders>
          </w:tcPr>
          <w:p>
            <w:pPr/>
          </w:p>
        </w:tc>
        <w:tc>
          <w:tcPr>
            <w:tcW w:w="917" w:type="dxa"/>
            <w:tcBorders>
              <w:top w:val="single" w:sz="12" w:space="0" w:color="000000"/>
              <w:left w:val="single" w:sz="12" w:space="0" w:color="000000"/>
              <w:bottom w:val="single" w:sz="12" w:space="0" w:color="000000"/>
              <w:right w:val="single" w:sz="12" w:space="0" w:color="000000"/>
            </w:tcBorders>
          </w:tcPr>
          <w:p>
            <w:pPr/>
          </w:p>
        </w:tc>
        <w:tc>
          <w:tcPr>
            <w:tcW w:w="9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27,000,000</w:t>
            </w:r>
          </w:p>
        </w:tc>
        <w:tc>
          <w:tcPr>
            <w:tcW w:w="105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4" w:right="0"/>
              <w:jc w:val="center"/>
              <w:rPr>
                <w:rFonts w:ascii="Arial" w:hAnsi="Arial" w:cs="Arial" w:eastAsia="Arial" w:hint="default"/>
                <w:sz w:val="18"/>
                <w:szCs w:val="18"/>
              </w:rPr>
            </w:pPr>
            <w:r>
              <w:rPr>
                <w:rFonts w:ascii="Arial"/>
                <w:sz w:val="18"/>
              </w:rPr>
              <w:t>107,000,000</w:t>
            </w:r>
          </w:p>
        </w:tc>
        <w:tc>
          <w:tcPr>
            <w:tcW w:w="7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100.00%</w:t>
            </w:r>
          </w:p>
        </w:tc>
      </w:tr>
    </w:tbl>
    <w:p>
      <w:pPr>
        <w:spacing w:line="240" w:lineRule="auto" w:before="8"/>
        <w:rPr>
          <w:rFonts w:ascii="宋体" w:hAnsi="宋体" w:cs="宋体" w:eastAsia="宋体" w:hint="default"/>
          <w:sz w:val="5"/>
          <w:szCs w:val="5"/>
        </w:rPr>
      </w:pPr>
    </w:p>
    <w:p>
      <w:pPr>
        <w:pStyle w:val="Heading3"/>
        <w:spacing w:line="240" w:lineRule="auto" w:before="14"/>
        <w:ind w:left="457" w:right="0"/>
        <w:jc w:val="left"/>
      </w:pPr>
      <w:r>
        <w:rPr/>
        <w:t>（二）限售股份变动情况表</w:t>
      </w:r>
    </w:p>
    <w:p>
      <w:pPr>
        <w:spacing w:line="240" w:lineRule="auto" w:before="7"/>
        <w:rPr>
          <w:rFonts w:ascii="宋体" w:hAnsi="宋体" w:cs="宋体" w:eastAsia="宋体" w:hint="default"/>
          <w:sz w:val="12"/>
          <w:szCs w:val="12"/>
        </w:rPr>
      </w:pPr>
    </w:p>
    <w:p>
      <w:pPr>
        <w:spacing w:before="36"/>
        <w:ind w:left="0" w:right="460"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855"/>
        <w:gridCol w:w="1248"/>
        <w:gridCol w:w="1241"/>
        <w:gridCol w:w="1241"/>
        <w:gridCol w:w="1241"/>
        <w:gridCol w:w="1241"/>
        <w:gridCol w:w="1238"/>
      </w:tblGrid>
      <w:tr>
        <w:trPr>
          <w:trHeight w:val="653" w:hRule="exact"/>
        </w:trPr>
        <w:tc>
          <w:tcPr>
            <w:tcW w:w="1855"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48"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67"/>
              <w:jc w:val="right"/>
              <w:rPr>
                <w:rFonts w:ascii="宋体" w:hAnsi="宋体" w:cs="宋体" w:eastAsia="宋体" w:hint="default"/>
                <w:sz w:val="18"/>
                <w:szCs w:val="18"/>
              </w:rPr>
            </w:pPr>
            <w:r>
              <w:rPr>
                <w:rFonts w:ascii="宋体" w:hAnsi="宋体" w:cs="宋体" w:eastAsia="宋体" w:hint="default"/>
                <w:w w:val="95"/>
                <w:sz w:val="18"/>
                <w:szCs w:val="18"/>
              </w:rPr>
              <w:t>年初限售股数</w:t>
            </w:r>
            <w:r>
              <w:rPr>
                <w:rFonts w:ascii="宋体" w:hAnsi="宋体" w:cs="宋体" w:eastAsia="宋体" w:hint="default"/>
                <w:sz w:val="18"/>
                <w:szCs w:val="18"/>
              </w:rPr>
            </w:r>
          </w:p>
        </w:tc>
        <w:tc>
          <w:tcPr>
            <w:tcW w:w="1241"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316" w:lineRule="auto" w:before="10"/>
              <w:ind w:left="424" w:right="65" w:hanging="360"/>
              <w:jc w:val="left"/>
              <w:rPr>
                <w:rFonts w:ascii="宋体" w:hAnsi="宋体" w:cs="宋体" w:eastAsia="宋体" w:hint="default"/>
                <w:sz w:val="18"/>
                <w:szCs w:val="18"/>
              </w:rPr>
            </w:pPr>
            <w:r>
              <w:rPr>
                <w:rFonts w:ascii="宋体" w:hAnsi="宋体" w:cs="宋体" w:eastAsia="宋体" w:hint="default"/>
                <w:sz w:val="18"/>
                <w:szCs w:val="18"/>
              </w:rPr>
              <w:t>本年解除限售</w:t>
            </w:r>
            <w:r>
              <w:rPr>
                <w:rFonts w:ascii="宋体" w:hAnsi="宋体" w:cs="宋体" w:eastAsia="宋体" w:hint="default"/>
                <w:w w:val="99"/>
                <w:sz w:val="18"/>
                <w:szCs w:val="18"/>
              </w:rPr>
              <w:t> </w:t>
            </w:r>
            <w:r>
              <w:rPr>
                <w:rFonts w:ascii="宋体" w:hAnsi="宋体" w:cs="宋体" w:eastAsia="宋体" w:hint="default"/>
                <w:sz w:val="18"/>
                <w:szCs w:val="18"/>
              </w:rPr>
              <w:t>股数</w:t>
            </w:r>
          </w:p>
        </w:tc>
        <w:tc>
          <w:tcPr>
            <w:tcW w:w="1241"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316" w:lineRule="auto" w:before="10"/>
              <w:ind w:left="427" w:right="62" w:hanging="360"/>
              <w:jc w:val="left"/>
              <w:rPr>
                <w:rFonts w:ascii="宋体" w:hAnsi="宋体" w:cs="宋体" w:eastAsia="宋体" w:hint="default"/>
                <w:sz w:val="18"/>
                <w:szCs w:val="18"/>
              </w:rPr>
            </w:pPr>
            <w:r>
              <w:rPr>
                <w:rFonts w:ascii="宋体" w:hAnsi="宋体" w:cs="宋体" w:eastAsia="宋体" w:hint="default"/>
                <w:sz w:val="18"/>
                <w:szCs w:val="18"/>
              </w:rPr>
              <w:t>本年增加限售</w:t>
            </w:r>
            <w:r>
              <w:rPr>
                <w:rFonts w:ascii="宋体" w:hAnsi="宋体" w:cs="宋体" w:eastAsia="宋体" w:hint="default"/>
                <w:w w:val="99"/>
                <w:sz w:val="18"/>
                <w:szCs w:val="18"/>
              </w:rPr>
              <w:t> </w:t>
            </w:r>
            <w:r>
              <w:rPr>
                <w:rFonts w:ascii="宋体" w:hAnsi="宋体" w:cs="宋体" w:eastAsia="宋体" w:hint="default"/>
                <w:sz w:val="18"/>
                <w:szCs w:val="18"/>
              </w:rPr>
              <w:t>股数</w:t>
            </w:r>
          </w:p>
        </w:tc>
        <w:tc>
          <w:tcPr>
            <w:tcW w:w="1241"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62"/>
              <w:jc w:val="right"/>
              <w:rPr>
                <w:rFonts w:ascii="宋体" w:hAnsi="宋体" w:cs="宋体" w:eastAsia="宋体" w:hint="default"/>
                <w:sz w:val="18"/>
                <w:szCs w:val="18"/>
              </w:rPr>
            </w:pPr>
            <w:r>
              <w:rPr>
                <w:rFonts w:ascii="宋体" w:hAnsi="宋体" w:cs="宋体" w:eastAsia="宋体" w:hint="default"/>
                <w:w w:val="95"/>
                <w:sz w:val="18"/>
                <w:szCs w:val="18"/>
              </w:rPr>
              <w:t>年末限售股数</w:t>
            </w:r>
            <w:r>
              <w:rPr>
                <w:rFonts w:ascii="宋体" w:hAnsi="宋体" w:cs="宋体" w:eastAsia="宋体" w:hint="default"/>
                <w:sz w:val="18"/>
                <w:szCs w:val="18"/>
              </w:rPr>
            </w:r>
          </w:p>
        </w:tc>
        <w:tc>
          <w:tcPr>
            <w:tcW w:w="1241"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238"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343" w:hRule="exact"/>
        </w:trPr>
        <w:tc>
          <w:tcPr>
            <w:tcW w:w="18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12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48,024,245</w:t>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48,024,245</w:t>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4" w:right="0"/>
              <w:jc w:val="left"/>
              <w:rPr>
                <w:rFonts w:ascii="Arial" w:hAnsi="Arial" w:cs="Arial" w:eastAsia="Arial" w:hint="default"/>
                <w:sz w:val="18"/>
                <w:szCs w:val="18"/>
              </w:rPr>
            </w:pPr>
            <w:r>
              <w:rPr>
                <w:rFonts w:ascii="Arial"/>
                <w:sz w:val="18"/>
              </w:rPr>
              <w:t>2013-04-21</w:t>
            </w:r>
          </w:p>
        </w:tc>
      </w:tr>
      <w:tr>
        <w:trPr>
          <w:trHeight w:val="341" w:hRule="exact"/>
        </w:trPr>
        <w:tc>
          <w:tcPr>
            <w:tcW w:w="18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张烈寅</w:t>
            </w:r>
          </w:p>
        </w:tc>
        <w:tc>
          <w:tcPr>
            <w:tcW w:w="12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7,696,933</w:t>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7,696,933</w:t>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4" w:right="0"/>
              <w:jc w:val="left"/>
              <w:rPr>
                <w:rFonts w:ascii="Arial" w:hAnsi="Arial" w:cs="Arial" w:eastAsia="Arial" w:hint="default"/>
                <w:sz w:val="18"/>
                <w:szCs w:val="18"/>
              </w:rPr>
            </w:pPr>
            <w:r>
              <w:rPr>
                <w:rFonts w:ascii="Arial"/>
                <w:sz w:val="18"/>
              </w:rPr>
              <w:t>2013-04-21</w:t>
            </w:r>
          </w:p>
        </w:tc>
      </w:tr>
      <w:tr>
        <w:trPr>
          <w:trHeight w:val="343" w:hRule="exact"/>
        </w:trPr>
        <w:tc>
          <w:tcPr>
            <w:tcW w:w="18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臧少玉</w:t>
            </w:r>
          </w:p>
        </w:tc>
        <w:tc>
          <w:tcPr>
            <w:tcW w:w="12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15,533,951</w:t>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15,533,951</w:t>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4" w:right="0"/>
              <w:jc w:val="left"/>
              <w:rPr>
                <w:rFonts w:ascii="Arial" w:hAnsi="Arial" w:cs="Arial" w:eastAsia="Arial" w:hint="default"/>
                <w:sz w:val="18"/>
                <w:szCs w:val="18"/>
              </w:rPr>
            </w:pPr>
            <w:r>
              <w:rPr>
                <w:rFonts w:ascii="Arial"/>
                <w:sz w:val="18"/>
              </w:rPr>
              <w:t>2011-04-21</w:t>
            </w:r>
          </w:p>
        </w:tc>
      </w:tr>
      <w:tr>
        <w:trPr>
          <w:trHeight w:val="341" w:hRule="exact"/>
        </w:trPr>
        <w:tc>
          <w:tcPr>
            <w:tcW w:w="18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缪 </w:t>
            </w:r>
            <w:r>
              <w:rPr>
                <w:rFonts w:ascii="宋体" w:hAnsi="宋体" w:cs="宋体" w:eastAsia="宋体" w:hint="default"/>
                <w:spacing w:val="1"/>
                <w:sz w:val="18"/>
                <w:szCs w:val="18"/>
              </w:rPr>
              <w:t> </w:t>
            </w:r>
            <w:r>
              <w:rPr>
                <w:rFonts w:ascii="宋体" w:hAnsi="宋体" w:cs="宋体" w:eastAsia="宋体" w:hint="default"/>
                <w:sz w:val="18"/>
                <w:szCs w:val="18"/>
              </w:rPr>
              <w:t>融</w:t>
            </w:r>
          </w:p>
        </w:tc>
        <w:tc>
          <w:tcPr>
            <w:tcW w:w="12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1,166,085</w:t>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1,166,085</w:t>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4" w:right="0"/>
              <w:jc w:val="left"/>
              <w:rPr>
                <w:rFonts w:ascii="Arial" w:hAnsi="Arial" w:cs="Arial" w:eastAsia="Arial" w:hint="default"/>
                <w:sz w:val="18"/>
                <w:szCs w:val="18"/>
              </w:rPr>
            </w:pPr>
            <w:r>
              <w:rPr>
                <w:rFonts w:ascii="Arial"/>
                <w:sz w:val="18"/>
              </w:rPr>
              <w:t>2011-04-21</w:t>
            </w:r>
          </w:p>
        </w:tc>
      </w:tr>
      <w:tr>
        <w:trPr>
          <w:trHeight w:val="343" w:hRule="exact"/>
        </w:trPr>
        <w:tc>
          <w:tcPr>
            <w:tcW w:w="18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文 </w:t>
            </w:r>
            <w:r>
              <w:rPr>
                <w:rFonts w:ascii="宋体" w:hAnsi="宋体" w:cs="宋体" w:eastAsia="宋体" w:hint="default"/>
                <w:spacing w:val="1"/>
                <w:sz w:val="18"/>
                <w:szCs w:val="18"/>
              </w:rPr>
              <w:t> </w:t>
            </w:r>
            <w:r>
              <w:rPr>
                <w:rFonts w:ascii="宋体" w:hAnsi="宋体" w:cs="宋体" w:eastAsia="宋体" w:hint="default"/>
                <w:sz w:val="18"/>
                <w:szCs w:val="18"/>
              </w:rPr>
              <w:t>欣</w:t>
            </w:r>
          </w:p>
        </w:tc>
        <w:tc>
          <w:tcPr>
            <w:tcW w:w="12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932,868</w:t>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932,868</w:t>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4" w:right="0"/>
              <w:jc w:val="left"/>
              <w:rPr>
                <w:rFonts w:ascii="Arial" w:hAnsi="Arial" w:cs="Arial" w:eastAsia="Arial" w:hint="default"/>
                <w:sz w:val="18"/>
                <w:szCs w:val="18"/>
              </w:rPr>
            </w:pPr>
            <w:r>
              <w:rPr>
                <w:rFonts w:ascii="Arial"/>
                <w:sz w:val="18"/>
              </w:rPr>
              <w:t>2011-04-21</w:t>
            </w:r>
          </w:p>
        </w:tc>
      </w:tr>
      <w:tr>
        <w:trPr>
          <w:trHeight w:val="341" w:hRule="exact"/>
        </w:trPr>
        <w:tc>
          <w:tcPr>
            <w:tcW w:w="18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王宏道</w:t>
            </w:r>
          </w:p>
        </w:tc>
        <w:tc>
          <w:tcPr>
            <w:tcW w:w="12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816,645</w:t>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816,645</w:t>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4" w:right="0"/>
              <w:jc w:val="left"/>
              <w:rPr>
                <w:rFonts w:ascii="Arial" w:hAnsi="Arial" w:cs="Arial" w:eastAsia="Arial" w:hint="default"/>
                <w:sz w:val="18"/>
                <w:szCs w:val="18"/>
              </w:rPr>
            </w:pPr>
            <w:r>
              <w:rPr>
                <w:rFonts w:ascii="Arial"/>
                <w:sz w:val="18"/>
              </w:rPr>
              <w:t>2011-04-21</w:t>
            </w:r>
          </w:p>
        </w:tc>
      </w:tr>
      <w:tr>
        <w:trPr>
          <w:trHeight w:val="341" w:hRule="exact"/>
        </w:trPr>
        <w:tc>
          <w:tcPr>
            <w:tcW w:w="18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耿毅英</w:t>
            </w:r>
          </w:p>
        </w:tc>
        <w:tc>
          <w:tcPr>
            <w:tcW w:w="12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583,428</w:t>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583,428</w:t>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4" w:right="0"/>
              <w:jc w:val="left"/>
              <w:rPr>
                <w:rFonts w:ascii="Arial" w:hAnsi="Arial" w:cs="Arial" w:eastAsia="Arial" w:hint="default"/>
                <w:sz w:val="18"/>
                <w:szCs w:val="18"/>
              </w:rPr>
            </w:pPr>
            <w:r>
              <w:rPr>
                <w:rFonts w:ascii="Arial"/>
                <w:sz w:val="18"/>
              </w:rPr>
              <w:t>2011-04-21</w:t>
            </w:r>
          </w:p>
        </w:tc>
      </w:tr>
    </w:tbl>
    <w:p>
      <w:pPr>
        <w:spacing w:after="0" w:line="240" w:lineRule="auto"/>
        <w:jc w:val="left"/>
        <w:rPr>
          <w:rFonts w:ascii="Arial" w:hAnsi="Arial" w:cs="Arial" w:eastAsia="Arial" w:hint="default"/>
          <w:sz w:val="18"/>
          <w:szCs w:val="18"/>
        </w:rPr>
        <w:sectPr>
          <w:footerReference w:type="default" r:id="rId42"/>
          <w:pgSz w:w="11900" w:h="16840"/>
          <w:pgMar w:footer="981" w:header="877" w:top="1100" w:bottom="1180" w:left="1340" w:right="1000"/>
          <w:pgNumType w:start="4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855"/>
        <w:gridCol w:w="1248"/>
        <w:gridCol w:w="1241"/>
        <w:gridCol w:w="1241"/>
        <w:gridCol w:w="1241"/>
        <w:gridCol w:w="1241"/>
        <w:gridCol w:w="1238"/>
      </w:tblGrid>
      <w:tr>
        <w:trPr>
          <w:trHeight w:val="341" w:hRule="exact"/>
        </w:trPr>
        <w:tc>
          <w:tcPr>
            <w:tcW w:w="18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宋诗泉</w:t>
            </w:r>
          </w:p>
        </w:tc>
        <w:tc>
          <w:tcPr>
            <w:tcW w:w="12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174,720</w:t>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174,720</w:t>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475"/>
              <w:jc w:val="right"/>
              <w:rPr>
                <w:rFonts w:ascii="宋体" w:hAnsi="宋体" w:cs="宋体" w:eastAsia="宋体" w:hint="default"/>
                <w:sz w:val="18"/>
                <w:szCs w:val="18"/>
              </w:rPr>
            </w:pPr>
            <w:r>
              <w:rPr>
                <w:rFonts w:ascii="宋体" w:hAnsi="宋体" w:cs="宋体" w:eastAsia="宋体" w:hint="default"/>
                <w:w w:val="95"/>
                <w:sz w:val="18"/>
                <w:szCs w:val="18"/>
              </w:rPr>
              <w:t>首发承诺</w:t>
            </w:r>
            <w:r>
              <w:rPr>
                <w:rFonts w:ascii="宋体" w:hAnsi="宋体" w:cs="宋体" w:eastAsia="宋体" w:hint="default"/>
                <w:sz w:val="18"/>
                <w:szCs w:val="18"/>
              </w:rPr>
            </w:r>
          </w:p>
        </w:tc>
        <w:tc>
          <w:tcPr>
            <w:tcW w:w="12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4" w:right="0"/>
              <w:jc w:val="left"/>
              <w:rPr>
                <w:rFonts w:ascii="Arial" w:hAnsi="Arial" w:cs="Arial" w:eastAsia="Arial" w:hint="default"/>
                <w:sz w:val="18"/>
                <w:szCs w:val="18"/>
              </w:rPr>
            </w:pPr>
            <w:r>
              <w:rPr>
                <w:rFonts w:ascii="Arial"/>
                <w:sz w:val="18"/>
              </w:rPr>
              <w:t>2011-04-21</w:t>
            </w:r>
          </w:p>
        </w:tc>
      </w:tr>
      <w:tr>
        <w:trPr>
          <w:trHeight w:val="343" w:hRule="exact"/>
        </w:trPr>
        <w:tc>
          <w:tcPr>
            <w:tcW w:w="18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孙永胜</w:t>
            </w:r>
          </w:p>
        </w:tc>
        <w:tc>
          <w:tcPr>
            <w:tcW w:w="12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174,720</w:t>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174,720</w:t>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475"/>
              <w:jc w:val="right"/>
              <w:rPr>
                <w:rFonts w:ascii="宋体" w:hAnsi="宋体" w:cs="宋体" w:eastAsia="宋体" w:hint="default"/>
                <w:sz w:val="18"/>
                <w:szCs w:val="18"/>
              </w:rPr>
            </w:pPr>
            <w:r>
              <w:rPr>
                <w:rFonts w:ascii="宋体" w:hAnsi="宋体" w:cs="宋体" w:eastAsia="宋体" w:hint="default"/>
                <w:w w:val="95"/>
                <w:sz w:val="18"/>
                <w:szCs w:val="18"/>
              </w:rPr>
              <w:t>首发承诺</w:t>
            </w:r>
            <w:r>
              <w:rPr>
                <w:rFonts w:ascii="宋体" w:hAnsi="宋体" w:cs="宋体" w:eastAsia="宋体" w:hint="default"/>
                <w:sz w:val="18"/>
                <w:szCs w:val="18"/>
              </w:rPr>
            </w:r>
          </w:p>
        </w:tc>
        <w:tc>
          <w:tcPr>
            <w:tcW w:w="12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4" w:right="0"/>
              <w:jc w:val="left"/>
              <w:rPr>
                <w:rFonts w:ascii="Arial" w:hAnsi="Arial" w:cs="Arial" w:eastAsia="Arial" w:hint="default"/>
                <w:sz w:val="18"/>
                <w:szCs w:val="18"/>
              </w:rPr>
            </w:pPr>
            <w:r>
              <w:rPr>
                <w:rFonts w:ascii="Arial"/>
                <w:sz w:val="18"/>
              </w:rPr>
              <w:t>2011-04-21</w:t>
            </w:r>
          </w:p>
        </w:tc>
      </w:tr>
      <w:tr>
        <w:trPr>
          <w:trHeight w:val="341" w:hRule="exact"/>
        </w:trPr>
        <w:tc>
          <w:tcPr>
            <w:tcW w:w="18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王靖天</w:t>
            </w:r>
          </w:p>
        </w:tc>
        <w:tc>
          <w:tcPr>
            <w:tcW w:w="12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174,720</w:t>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174,720</w:t>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475"/>
              <w:jc w:val="right"/>
              <w:rPr>
                <w:rFonts w:ascii="宋体" w:hAnsi="宋体" w:cs="宋体" w:eastAsia="宋体" w:hint="default"/>
                <w:sz w:val="18"/>
                <w:szCs w:val="18"/>
              </w:rPr>
            </w:pPr>
            <w:r>
              <w:rPr>
                <w:rFonts w:ascii="宋体" w:hAnsi="宋体" w:cs="宋体" w:eastAsia="宋体" w:hint="default"/>
                <w:w w:val="95"/>
                <w:sz w:val="18"/>
                <w:szCs w:val="18"/>
              </w:rPr>
              <w:t>首发承诺</w:t>
            </w:r>
            <w:r>
              <w:rPr>
                <w:rFonts w:ascii="宋体" w:hAnsi="宋体" w:cs="宋体" w:eastAsia="宋体" w:hint="default"/>
                <w:sz w:val="18"/>
                <w:szCs w:val="18"/>
              </w:rPr>
            </w:r>
          </w:p>
        </w:tc>
        <w:tc>
          <w:tcPr>
            <w:tcW w:w="12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4" w:right="0"/>
              <w:jc w:val="left"/>
              <w:rPr>
                <w:rFonts w:ascii="Arial" w:hAnsi="Arial" w:cs="Arial" w:eastAsia="Arial" w:hint="default"/>
                <w:sz w:val="18"/>
                <w:szCs w:val="18"/>
              </w:rPr>
            </w:pPr>
            <w:r>
              <w:rPr>
                <w:rFonts w:ascii="Arial"/>
                <w:sz w:val="18"/>
              </w:rPr>
              <w:t>2011-04-21</w:t>
            </w:r>
          </w:p>
        </w:tc>
      </w:tr>
      <w:tr>
        <w:trPr>
          <w:trHeight w:val="343" w:hRule="exact"/>
        </w:trPr>
        <w:tc>
          <w:tcPr>
            <w:tcW w:w="18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黄皖平</w:t>
            </w:r>
          </w:p>
        </w:tc>
        <w:tc>
          <w:tcPr>
            <w:tcW w:w="12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174,720</w:t>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174,720</w:t>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475"/>
              <w:jc w:val="right"/>
              <w:rPr>
                <w:rFonts w:ascii="宋体" w:hAnsi="宋体" w:cs="宋体" w:eastAsia="宋体" w:hint="default"/>
                <w:sz w:val="18"/>
                <w:szCs w:val="18"/>
              </w:rPr>
            </w:pPr>
            <w:r>
              <w:rPr>
                <w:rFonts w:ascii="宋体" w:hAnsi="宋体" w:cs="宋体" w:eastAsia="宋体" w:hint="default"/>
                <w:w w:val="95"/>
                <w:sz w:val="18"/>
                <w:szCs w:val="18"/>
              </w:rPr>
              <w:t>首发承诺</w:t>
            </w:r>
            <w:r>
              <w:rPr>
                <w:rFonts w:ascii="宋体" w:hAnsi="宋体" w:cs="宋体" w:eastAsia="宋体" w:hint="default"/>
                <w:sz w:val="18"/>
                <w:szCs w:val="18"/>
              </w:rPr>
            </w:r>
          </w:p>
        </w:tc>
        <w:tc>
          <w:tcPr>
            <w:tcW w:w="12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4" w:right="0"/>
              <w:jc w:val="left"/>
              <w:rPr>
                <w:rFonts w:ascii="Arial" w:hAnsi="Arial" w:cs="Arial" w:eastAsia="Arial" w:hint="default"/>
                <w:sz w:val="18"/>
                <w:szCs w:val="18"/>
              </w:rPr>
            </w:pPr>
            <w:r>
              <w:rPr>
                <w:rFonts w:ascii="Arial"/>
                <w:sz w:val="18"/>
              </w:rPr>
              <w:t>2011-04-21</w:t>
            </w:r>
          </w:p>
        </w:tc>
      </w:tr>
      <w:tr>
        <w:trPr>
          <w:trHeight w:val="341" w:hRule="exact"/>
        </w:trPr>
        <w:tc>
          <w:tcPr>
            <w:tcW w:w="18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王敬敏</w:t>
            </w:r>
          </w:p>
        </w:tc>
        <w:tc>
          <w:tcPr>
            <w:tcW w:w="12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174,720</w:t>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174,720</w:t>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475"/>
              <w:jc w:val="right"/>
              <w:rPr>
                <w:rFonts w:ascii="宋体" w:hAnsi="宋体" w:cs="宋体" w:eastAsia="宋体" w:hint="default"/>
                <w:sz w:val="18"/>
                <w:szCs w:val="18"/>
              </w:rPr>
            </w:pPr>
            <w:r>
              <w:rPr>
                <w:rFonts w:ascii="宋体" w:hAnsi="宋体" w:cs="宋体" w:eastAsia="宋体" w:hint="default"/>
                <w:w w:val="95"/>
                <w:sz w:val="18"/>
                <w:szCs w:val="18"/>
              </w:rPr>
              <w:t>首发承诺</w:t>
            </w:r>
            <w:r>
              <w:rPr>
                <w:rFonts w:ascii="宋体" w:hAnsi="宋体" w:cs="宋体" w:eastAsia="宋体" w:hint="default"/>
                <w:sz w:val="18"/>
                <w:szCs w:val="18"/>
              </w:rPr>
            </w:r>
          </w:p>
        </w:tc>
        <w:tc>
          <w:tcPr>
            <w:tcW w:w="12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4" w:right="0"/>
              <w:jc w:val="left"/>
              <w:rPr>
                <w:rFonts w:ascii="Arial" w:hAnsi="Arial" w:cs="Arial" w:eastAsia="Arial" w:hint="default"/>
                <w:sz w:val="18"/>
                <w:szCs w:val="18"/>
              </w:rPr>
            </w:pPr>
            <w:r>
              <w:rPr>
                <w:rFonts w:ascii="Arial"/>
                <w:sz w:val="18"/>
              </w:rPr>
              <w:t>2011-04-21</w:t>
            </w:r>
          </w:p>
        </w:tc>
      </w:tr>
      <w:tr>
        <w:trPr>
          <w:trHeight w:val="343" w:hRule="exact"/>
        </w:trPr>
        <w:tc>
          <w:tcPr>
            <w:tcW w:w="18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杜国君</w:t>
            </w:r>
          </w:p>
        </w:tc>
        <w:tc>
          <w:tcPr>
            <w:tcW w:w="12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174,720</w:t>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174,720</w:t>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475"/>
              <w:jc w:val="right"/>
              <w:rPr>
                <w:rFonts w:ascii="宋体" w:hAnsi="宋体" w:cs="宋体" w:eastAsia="宋体" w:hint="default"/>
                <w:sz w:val="18"/>
                <w:szCs w:val="18"/>
              </w:rPr>
            </w:pPr>
            <w:r>
              <w:rPr>
                <w:rFonts w:ascii="宋体" w:hAnsi="宋体" w:cs="宋体" w:eastAsia="宋体" w:hint="default"/>
                <w:w w:val="95"/>
                <w:sz w:val="18"/>
                <w:szCs w:val="18"/>
              </w:rPr>
              <w:t>首发承诺</w:t>
            </w:r>
            <w:r>
              <w:rPr>
                <w:rFonts w:ascii="宋体" w:hAnsi="宋体" w:cs="宋体" w:eastAsia="宋体" w:hint="default"/>
                <w:sz w:val="18"/>
                <w:szCs w:val="18"/>
              </w:rPr>
            </w:r>
          </w:p>
        </w:tc>
        <w:tc>
          <w:tcPr>
            <w:tcW w:w="12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4" w:right="0"/>
              <w:jc w:val="left"/>
              <w:rPr>
                <w:rFonts w:ascii="Arial" w:hAnsi="Arial" w:cs="Arial" w:eastAsia="Arial" w:hint="default"/>
                <w:sz w:val="18"/>
                <w:szCs w:val="18"/>
              </w:rPr>
            </w:pPr>
            <w:r>
              <w:rPr>
                <w:rFonts w:ascii="Arial"/>
                <w:sz w:val="18"/>
              </w:rPr>
              <w:t>2011-04-21</w:t>
            </w:r>
          </w:p>
        </w:tc>
      </w:tr>
      <w:tr>
        <w:trPr>
          <w:trHeight w:val="341" w:hRule="exact"/>
        </w:trPr>
        <w:tc>
          <w:tcPr>
            <w:tcW w:w="18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闫鹏琼</w:t>
            </w:r>
          </w:p>
        </w:tc>
        <w:tc>
          <w:tcPr>
            <w:tcW w:w="12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58,497</w:t>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58,497</w:t>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475"/>
              <w:jc w:val="right"/>
              <w:rPr>
                <w:rFonts w:ascii="宋体" w:hAnsi="宋体" w:cs="宋体" w:eastAsia="宋体" w:hint="default"/>
                <w:sz w:val="18"/>
                <w:szCs w:val="18"/>
              </w:rPr>
            </w:pPr>
            <w:r>
              <w:rPr>
                <w:rFonts w:ascii="宋体" w:hAnsi="宋体" w:cs="宋体" w:eastAsia="宋体" w:hint="default"/>
                <w:w w:val="95"/>
                <w:sz w:val="18"/>
                <w:szCs w:val="18"/>
              </w:rPr>
              <w:t>首发承诺</w:t>
            </w:r>
            <w:r>
              <w:rPr>
                <w:rFonts w:ascii="宋体" w:hAnsi="宋体" w:cs="宋体" w:eastAsia="宋体" w:hint="default"/>
                <w:sz w:val="18"/>
                <w:szCs w:val="18"/>
              </w:rPr>
            </w:r>
          </w:p>
        </w:tc>
        <w:tc>
          <w:tcPr>
            <w:tcW w:w="12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4" w:right="0"/>
              <w:jc w:val="left"/>
              <w:rPr>
                <w:rFonts w:ascii="Arial" w:hAnsi="Arial" w:cs="Arial" w:eastAsia="Arial" w:hint="default"/>
                <w:sz w:val="18"/>
                <w:szCs w:val="18"/>
              </w:rPr>
            </w:pPr>
            <w:r>
              <w:rPr>
                <w:rFonts w:ascii="Arial"/>
                <w:sz w:val="18"/>
              </w:rPr>
              <w:t>2011-04-21</w:t>
            </w:r>
          </w:p>
        </w:tc>
      </w:tr>
      <w:tr>
        <w:trPr>
          <w:trHeight w:val="343" w:hRule="exact"/>
        </w:trPr>
        <w:tc>
          <w:tcPr>
            <w:tcW w:w="18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鲍卫华</w:t>
            </w:r>
          </w:p>
        </w:tc>
        <w:tc>
          <w:tcPr>
            <w:tcW w:w="12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58,497</w:t>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58,497</w:t>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475"/>
              <w:jc w:val="right"/>
              <w:rPr>
                <w:rFonts w:ascii="宋体" w:hAnsi="宋体" w:cs="宋体" w:eastAsia="宋体" w:hint="default"/>
                <w:sz w:val="18"/>
                <w:szCs w:val="18"/>
              </w:rPr>
            </w:pPr>
            <w:r>
              <w:rPr>
                <w:rFonts w:ascii="宋体" w:hAnsi="宋体" w:cs="宋体" w:eastAsia="宋体" w:hint="default"/>
                <w:w w:val="95"/>
                <w:sz w:val="18"/>
                <w:szCs w:val="18"/>
              </w:rPr>
              <w:t>首发承诺</w:t>
            </w:r>
            <w:r>
              <w:rPr>
                <w:rFonts w:ascii="宋体" w:hAnsi="宋体" w:cs="宋体" w:eastAsia="宋体" w:hint="default"/>
                <w:sz w:val="18"/>
                <w:szCs w:val="18"/>
              </w:rPr>
            </w:r>
          </w:p>
        </w:tc>
        <w:tc>
          <w:tcPr>
            <w:tcW w:w="12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4" w:right="0"/>
              <w:jc w:val="left"/>
              <w:rPr>
                <w:rFonts w:ascii="Arial" w:hAnsi="Arial" w:cs="Arial" w:eastAsia="Arial" w:hint="default"/>
                <w:sz w:val="18"/>
                <w:szCs w:val="18"/>
              </w:rPr>
            </w:pPr>
            <w:r>
              <w:rPr>
                <w:rFonts w:ascii="Arial"/>
                <w:sz w:val="18"/>
              </w:rPr>
              <w:t>2011-04-21</w:t>
            </w:r>
          </w:p>
        </w:tc>
      </w:tr>
      <w:tr>
        <w:trPr>
          <w:trHeight w:val="341" w:hRule="exact"/>
        </w:trPr>
        <w:tc>
          <w:tcPr>
            <w:tcW w:w="18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魏旭红</w:t>
            </w:r>
          </w:p>
        </w:tc>
        <w:tc>
          <w:tcPr>
            <w:tcW w:w="12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58,497</w:t>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58,497</w:t>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475"/>
              <w:jc w:val="right"/>
              <w:rPr>
                <w:rFonts w:ascii="宋体" w:hAnsi="宋体" w:cs="宋体" w:eastAsia="宋体" w:hint="default"/>
                <w:sz w:val="18"/>
                <w:szCs w:val="18"/>
              </w:rPr>
            </w:pPr>
            <w:r>
              <w:rPr>
                <w:rFonts w:ascii="宋体" w:hAnsi="宋体" w:cs="宋体" w:eastAsia="宋体" w:hint="default"/>
                <w:w w:val="95"/>
                <w:sz w:val="18"/>
                <w:szCs w:val="18"/>
              </w:rPr>
              <w:t>首发承诺</w:t>
            </w:r>
            <w:r>
              <w:rPr>
                <w:rFonts w:ascii="宋体" w:hAnsi="宋体" w:cs="宋体" w:eastAsia="宋体" w:hint="default"/>
                <w:sz w:val="18"/>
                <w:szCs w:val="18"/>
              </w:rPr>
            </w:r>
          </w:p>
        </w:tc>
        <w:tc>
          <w:tcPr>
            <w:tcW w:w="12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4" w:right="0"/>
              <w:jc w:val="left"/>
              <w:rPr>
                <w:rFonts w:ascii="Arial" w:hAnsi="Arial" w:cs="Arial" w:eastAsia="Arial" w:hint="default"/>
                <w:sz w:val="18"/>
                <w:szCs w:val="18"/>
              </w:rPr>
            </w:pPr>
            <w:r>
              <w:rPr>
                <w:rFonts w:ascii="Arial"/>
                <w:sz w:val="18"/>
              </w:rPr>
              <w:t>2011-04-21</w:t>
            </w:r>
          </w:p>
        </w:tc>
      </w:tr>
      <w:tr>
        <w:trPr>
          <w:trHeight w:val="343" w:hRule="exact"/>
        </w:trPr>
        <w:tc>
          <w:tcPr>
            <w:tcW w:w="18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吴 </w:t>
            </w:r>
            <w:r>
              <w:rPr>
                <w:rFonts w:ascii="宋体" w:hAnsi="宋体" w:cs="宋体" w:eastAsia="宋体" w:hint="default"/>
                <w:spacing w:val="1"/>
                <w:sz w:val="18"/>
                <w:szCs w:val="18"/>
              </w:rPr>
              <w:t> </w:t>
            </w:r>
            <w:r>
              <w:rPr>
                <w:rFonts w:ascii="宋体" w:hAnsi="宋体" w:cs="宋体" w:eastAsia="宋体" w:hint="default"/>
                <w:sz w:val="18"/>
                <w:szCs w:val="18"/>
              </w:rPr>
              <w:t>冬</w:t>
            </w:r>
          </w:p>
        </w:tc>
        <w:tc>
          <w:tcPr>
            <w:tcW w:w="12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58,497</w:t>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58,497</w:t>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475"/>
              <w:jc w:val="right"/>
              <w:rPr>
                <w:rFonts w:ascii="宋体" w:hAnsi="宋体" w:cs="宋体" w:eastAsia="宋体" w:hint="default"/>
                <w:sz w:val="18"/>
                <w:szCs w:val="18"/>
              </w:rPr>
            </w:pPr>
            <w:r>
              <w:rPr>
                <w:rFonts w:ascii="宋体" w:hAnsi="宋体" w:cs="宋体" w:eastAsia="宋体" w:hint="default"/>
                <w:w w:val="95"/>
                <w:sz w:val="18"/>
                <w:szCs w:val="18"/>
              </w:rPr>
              <w:t>首发承诺</w:t>
            </w:r>
            <w:r>
              <w:rPr>
                <w:rFonts w:ascii="宋体" w:hAnsi="宋体" w:cs="宋体" w:eastAsia="宋体" w:hint="default"/>
                <w:sz w:val="18"/>
                <w:szCs w:val="18"/>
              </w:rPr>
            </w:r>
          </w:p>
        </w:tc>
        <w:tc>
          <w:tcPr>
            <w:tcW w:w="12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4" w:right="0"/>
              <w:jc w:val="left"/>
              <w:rPr>
                <w:rFonts w:ascii="Arial" w:hAnsi="Arial" w:cs="Arial" w:eastAsia="Arial" w:hint="default"/>
                <w:sz w:val="18"/>
                <w:szCs w:val="18"/>
              </w:rPr>
            </w:pPr>
            <w:r>
              <w:rPr>
                <w:rFonts w:ascii="Arial"/>
                <w:sz w:val="18"/>
              </w:rPr>
              <w:t>2011-04-21</w:t>
            </w:r>
          </w:p>
        </w:tc>
      </w:tr>
      <w:tr>
        <w:trPr>
          <w:trHeight w:val="341" w:hRule="exact"/>
        </w:trPr>
        <w:tc>
          <w:tcPr>
            <w:tcW w:w="18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吴永康</w:t>
            </w:r>
          </w:p>
        </w:tc>
        <w:tc>
          <w:tcPr>
            <w:tcW w:w="12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58,497</w:t>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58,497</w:t>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475"/>
              <w:jc w:val="right"/>
              <w:rPr>
                <w:rFonts w:ascii="宋体" w:hAnsi="宋体" w:cs="宋体" w:eastAsia="宋体" w:hint="default"/>
                <w:sz w:val="18"/>
                <w:szCs w:val="18"/>
              </w:rPr>
            </w:pPr>
            <w:r>
              <w:rPr>
                <w:rFonts w:ascii="宋体" w:hAnsi="宋体" w:cs="宋体" w:eastAsia="宋体" w:hint="default"/>
                <w:w w:val="95"/>
                <w:sz w:val="18"/>
                <w:szCs w:val="18"/>
              </w:rPr>
              <w:t>首发承诺</w:t>
            </w:r>
            <w:r>
              <w:rPr>
                <w:rFonts w:ascii="宋体" w:hAnsi="宋体" w:cs="宋体" w:eastAsia="宋体" w:hint="default"/>
                <w:sz w:val="18"/>
                <w:szCs w:val="18"/>
              </w:rPr>
            </w:r>
          </w:p>
        </w:tc>
        <w:tc>
          <w:tcPr>
            <w:tcW w:w="12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4" w:right="0"/>
              <w:jc w:val="left"/>
              <w:rPr>
                <w:rFonts w:ascii="Arial" w:hAnsi="Arial" w:cs="Arial" w:eastAsia="Arial" w:hint="default"/>
                <w:sz w:val="18"/>
                <w:szCs w:val="18"/>
              </w:rPr>
            </w:pPr>
            <w:r>
              <w:rPr>
                <w:rFonts w:ascii="Arial"/>
                <w:sz w:val="18"/>
              </w:rPr>
              <w:t>2011-04-21</w:t>
            </w:r>
          </w:p>
        </w:tc>
      </w:tr>
      <w:tr>
        <w:trPr>
          <w:trHeight w:val="343" w:hRule="exact"/>
        </w:trPr>
        <w:tc>
          <w:tcPr>
            <w:tcW w:w="18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迟立宗</w:t>
            </w:r>
          </w:p>
        </w:tc>
        <w:tc>
          <w:tcPr>
            <w:tcW w:w="12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58,497</w:t>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58,497</w:t>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475"/>
              <w:jc w:val="right"/>
              <w:rPr>
                <w:rFonts w:ascii="宋体" w:hAnsi="宋体" w:cs="宋体" w:eastAsia="宋体" w:hint="default"/>
                <w:sz w:val="18"/>
                <w:szCs w:val="18"/>
              </w:rPr>
            </w:pPr>
            <w:r>
              <w:rPr>
                <w:rFonts w:ascii="宋体" w:hAnsi="宋体" w:cs="宋体" w:eastAsia="宋体" w:hint="default"/>
                <w:w w:val="95"/>
                <w:sz w:val="18"/>
                <w:szCs w:val="18"/>
              </w:rPr>
              <w:t>首发承诺</w:t>
            </w:r>
            <w:r>
              <w:rPr>
                <w:rFonts w:ascii="宋体" w:hAnsi="宋体" w:cs="宋体" w:eastAsia="宋体" w:hint="default"/>
                <w:sz w:val="18"/>
                <w:szCs w:val="18"/>
              </w:rPr>
            </w:r>
          </w:p>
        </w:tc>
        <w:tc>
          <w:tcPr>
            <w:tcW w:w="12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4" w:right="0"/>
              <w:jc w:val="left"/>
              <w:rPr>
                <w:rFonts w:ascii="Arial" w:hAnsi="Arial" w:cs="Arial" w:eastAsia="Arial" w:hint="default"/>
                <w:sz w:val="18"/>
                <w:szCs w:val="18"/>
              </w:rPr>
            </w:pPr>
            <w:r>
              <w:rPr>
                <w:rFonts w:ascii="Arial"/>
                <w:sz w:val="18"/>
              </w:rPr>
              <w:t>2011-04-21</w:t>
            </w:r>
          </w:p>
        </w:tc>
      </w:tr>
      <w:tr>
        <w:trPr>
          <w:trHeight w:val="341" w:hRule="exact"/>
        </w:trPr>
        <w:tc>
          <w:tcPr>
            <w:tcW w:w="18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刘春德</w:t>
            </w:r>
          </w:p>
        </w:tc>
        <w:tc>
          <w:tcPr>
            <w:tcW w:w="12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58,497</w:t>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58,497</w:t>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475"/>
              <w:jc w:val="right"/>
              <w:rPr>
                <w:rFonts w:ascii="宋体" w:hAnsi="宋体" w:cs="宋体" w:eastAsia="宋体" w:hint="default"/>
                <w:sz w:val="18"/>
                <w:szCs w:val="18"/>
              </w:rPr>
            </w:pPr>
            <w:r>
              <w:rPr>
                <w:rFonts w:ascii="宋体" w:hAnsi="宋体" w:cs="宋体" w:eastAsia="宋体" w:hint="default"/>
                <w:w w:val="95"/>
                <w:sz w:val="18"/>
                <w:szCs w:val="18"/>
              </w:rPr>
              <w:t>首发承诺</w:t>
            </w:r>
            <w:r>
              <w:rPr>
                <w:rFonts w:ascii="宋体" w:hAnsi="宋体" w:cs="宋体" w:eastAsia="宋体" w:hint="default"/>
                <w:sz w:val="18"/>
                <w:szCs w:val="18"/>
              </w:rPr>
            </w:r>
          </w:p>
        </w:tc>
        <w:tc>
          <w:tcPr>
            <w:tcW w:w="12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4" w:right="0"/>
              <w:jc w:val="left"/>
              <w:rPr>
                <w:rFonts w:ascii="Arial" w:hAnsi="Arial" w:cs="Arial" w:eastAsia="Arial" w:hint="default"/>
                <w:sz w:val="18"/>
                <w:szCs w:val="18"/>
              </w:rPr>
            </w:pPr>
            <w:r>
              <w:rPr>
                <w:rFonts w:ascii="Arial"/>
                <w:sz w:val="18"/>
              </w:rPr>
              <w:t>2011-04-21</w:t>
            </w:r>
          </w:p>
        </w:tc>
      </w:tr>
      <w:tr>
        <w:trPr>
          <w:trHeight w:val="343" w:hRule="exact"/>
        </w:trPr>
        <w:tc>
          <w:tcPr>
            <w:tcW w:w="18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邓海东</w:t>
            </w:r>
          </w:p>
        </w:tc>
        <w:tc>
          <w:tcPr>
            <w:tcW w:w="12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58,497</w:t>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58,497</w:t>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475"/>
              <w:jc w:val="right"/>
              <w:rPr>
                <w:rFonts w:ascii="宋体" w:hAnsi="宋体" w:cs="宋体" w:eastAsia="宋体" w:hint="default"/>
                <w:sz w:val="18"/>
                <w:szCs w:val="18"/>
              </w:rPr>
            </w:pPr>
            <w:r>
              <w:rPr>
                <w:rFonts w:ascii="宋体" w:hAnsi="宋体" w:cs="宋体" w:eastAsia="宋体" w:hint="default"/>
                <w:w w:val="95"/>
                <w:sz w:val="18"/>
                <w:szCs w:val="18"/>
              </w:rPr>
              <w:t>首发承诺</w:t>
            </w:r>
            <w:r>
              <w:rPr>
                <w:rFonts w:ascii="宋体" w:hAnsi="宋体" w:cs="宋体" w:eastAsia="宋体" w:hint="default"/>
                <w:sz w:val="18"/>
                <w:szCs w:val="18"/>
              </w:rPr>
            </w:r>
          </w:p>
        </w:tc>
        <w:tc>
          <w:tcPr>
            <w:tcW w:w="12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4" w:right="0"/>
              <w:jc w:val="left"/>
              <w:rPr>
                <w:rFonts w:ascii="Arial" w:hAnsi="Arial" w:cs="Arial" w:eastAsia="Arial" w:hint="default"/>
                <w:sz w:val="18"/>
                <w:szCs w:val="18"/>
              </w:rPr>
            </w:pPr>
            <w:r>
              <w:rPr>
                <w:rFonts w:ascii="Arial"/>
                <w:sz w:val="18"/>
              </w:rPr>
              <w:t>2011-04-21</w:t>
            </w:r>
          </w:p>
        </w:tc>
      </w:tr>
      <w:tr>
        <w:trPr>
          <w:trHeight w:val="341" w:hRule="exact"/>
        </w:trPr>
        <w:tc>
          <w:tcPr>
            <w:tcW w:w="18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张连根</w:t>
            </w:r>
          </w:p>
        </w:tc>
        <w:tc>
          <w:tcPr>
            <w:tcW w:w="12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349,441</w:t>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349,441</w:t>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475"/>
              <w:jc w:val="right"/>
              <w:rPr>
                <w:rFonts w:ascii="宋体" w:hAnsi="宋体" w:cs="宋体" w:eastAsia="宋体" w:hint="default"/>
                <w:sz w:val="18"/>
                <w:szCs w:val="18"/>
              </w:rPr>
            </w:pPr>
            <w:r>
              <w:rPr>
                <w:rFonts w:ascii="宋体" w:hAnsi="宋体" w:cs="宋体" w:eastAsia="宋体" w:hint="default"/>
                <w:w w:val="95"/>
                <w:sz w:val="18"/>
                <w:szCs w:val="18"/>
              </w:rPr>
              <w:t>首发承诺</w:t>
            </w:r>
            <w:r>
              <w:rPr>
                <w:rFonts w:ascii="宋体" w:hAnsi="宋体" w:cs="宋体" w:eastAsia="宋体" w:hint="default"/>
                <w:sz w:val="18"/>
                <w:szCs w:val="18"/>
              </w:rPr>
            </w:r>
          </w:p>
        </w:tc>
        <w:tc>
          <w:tcPr>
            <w:tcW w:w="12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4" w:right="0"/>
              <w:jc w:val="left"/>
              <w:rPr>
                <w:rFonts w:ascii="Arial" w:hAnsi="Arial" w:cs="Arial" w:eastAsia="Arial" w:hint="default"/>
                <w:sz w:val="18"/>
                <w:szCs w:val="18"/>
              </w:rPr>
            </w:pPr>
            <w:r>
              <w:rPr>
                <w:rFonts w:ascii="Arial"/>
                <w:sz w:val="18"/>
              </w:rPr>
              <w:t>2011-04-21</w:t>
            </w:r>
          </w:p>
        </w:tc>
      </w:tr>
      <w:tr>
        <w:trPr>
          <w:trHeight w:val="343" w:hRule="exact"/>
        </w:trPr>
        <w:tc>
          <w:tcPr>
            <w:tcW w:w="18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石 </w:t>
            </w:r>
            <w:r>
              <w:rPr>
                <w:rFonts w:ascii="宋体" w:hAnsi="宋体" w:cs="宋体" w:eastAsia="宋体" w:hint="default"/>
                <w:spacing w:val="1"/>
                <w:sz w:val="18"/>
                <w:szCs w:val="18"/>
              </w:rPr>
              <w:t> </w:t>
            </w:r>
            <w:r>
              <w:rPr>
                <w:rFonts w:ascii="宋体" w:hAnsi="宋体" w:cs="宋体" w:eastAsia="宋体" w:hint="default"/>
                <w:sz w:val="18"/>
                <w:szCs w:val="18"/>
              </w:rPr>
              <w:t>磊</w:t>
            </w:r>
          </w:p>
        </w:tc>
        <w:tc>
          <w:tcPr>
            <w:tcW w:w="12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349,441</w:t>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349,441</w:t>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475"/>
              <w:jc w:val="right"/>
              <w:rPr>
                <w:rFonts w:ascii="宋体" w:hAnsi="宋体" w:cs="宋体" w:eastAsia="宋体" w:hint="default"/>
                <w:sz w:val="18"/>
                <w:szCs w:val="18"/>
              </w:rPr>
            </w:pPr>
            <w:r>
              <w:rPr>
                <w:rFonts w:ascii="宋体" w:hAnsi="宋体" w:cs="宋体" w:eastAsia="宋体" w:hint="default"/>
                <w:w w:val="95"/>
                <w:sz w:val="18"/>
                <w:szCs w:val="18"/>
              </w:rPr>
              <w:t>首发承诺</w:t>
            </w:r>
            <w:r>
              <w:rPr>
                <w:rFonts w:ascii="宋体" w:hAnsi="宋体" w:cs="宋体" w:eastAsia="宋体" w:hint="default"/>
                <w:sz w:val="18"/>
                <w:szCs w:val="18"/>
              </w:rPr>
            </w:r>
          </w:p>
        </w:tc>
        <w:tc>
          <w:tcPr>
            <w:tcW w:w="12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4" w:right="0"/>
              <w:jc w:val="left"/>
              <w:rPr>
                <w:rFonts w:ascii="Arial" w:hAnsi="Arial" w:cs="Arial" w:eastAsia="Arial" w:hint="default"/>
                <w:sz w:val="18"/>
                <w:szCs w:val="18"/>
              </w:rPr>
            </w:pPr>
            <w:r>
              <w:rPr>
                <w:rFonts w:ascii="Arial"/>
                <w:sz w:val="18"/>
              </w:rPr>
              <w:t>2011-04-21</w:t>
            </w:r>
          </w:p>
        </w:tc>
      </w:tr>
      <w:tr>
        <w:trPr>
          <w:trHeight w:val="653" w:hRule="exact"/>
        </w:trPr>
        <w:tc>
          <w:tcPr>
            <w:tcW w:w="1855"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14" w:right="190"/>
              <w:jc w:val="left"/>
              <w:rPr>
                <w:rFonts w:ascii="宋体" w:hAnsi="宋体" w:cs="宋体" w:eastAsia="宋体" w:hint="default"/>
                <w:sz w:val="18"/>
                <w:szCs w:val="18"/>
              </w:rPr>
            </w:pPr>
            <w:r>
              <w:rPr>
                <w:rFonts w:ascii="宋体" w:hAnsi="宋体" w:cs="宋体" w:eastAsia="宋体" w:hint="default"/>
                <w:sz w:val="18"/>
                <w:szCs w:val="18"/>
              </w:rPr>
              <w:t>上海嘉兆投资管理有</w:t>
            </w:r>
            <w:r>
              <w:rPr>
                <w:rFonts w:ascii="宋体" w:hAnsi="宋体" w:cs="宋体" w:eastAsia="宋体" w:hint="default"/>
                <w:w w:val="99"/>
                <w:sz w:val="18"/>
                <w:szCs w:val="18"/>
              </w:rPr>
              <w:t> </w:t>
            </w:r>
            <w:r>
              <w:rPr>
                <w:rFonts w:ascii="宋体" w:hAnsi="宋体" w:cs="宋体" w:eastAsia="宋体" w:hint="default"/>
                <w:sz w:val="18"/>
                <w:szCs w:val="18"/>
              </w:rPr>
              <w:t>限公司</w:t>
            </w:r>
          </w:p>
        </w:tc>
        <w:tc>
          <w:tcPr>
            <w:tcW w:w="12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
              <w:jc w:val="right"/>
              <w:rPr>
                <w:rFonts w:ascii="Arial" w:hAnsi="Arial" w:cs="Arial" w:eastAsia="Arial" w:hint="default"/>
                <w:sz w:val="18"/>
                <w:szCs w:val="18"/>
              </w:rPr>
            </w:pPr>
            <w:r>
              <w:rPr>
                <w:rFonts w:ascii="Arial"/>
                <w:spacing w:val="-1"/>
                <w:sz w:val="18"/>
              </w:rPr>
              <w:t>3,030,667</w:t>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
              <w:jc w:val="right"/>
              <w:rPr>
                <w:rFonts w:ascii="Arial" w:hAnsi="Arial" w:cs="Arial" w:eastAsia="Arial" w:hint="default"/>
                <w:sz w:val="18"/>
                <w:szCs w:val="18"/>
              </w:rPr>
            </w:pPr>
            <w:r>
              <w:rPr>
                <w:rFonts w:ascii="Arial"/>
                <w:spacing w:val="-1"/>
                <w:sz w:val="18"/>
              </w:rPr>
              <w:t>3,030,667</w:t>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75"/>
              <w:jc w:val="right"/>
              <w:rPr>
                <w:rFonts w:ascii="宋体" w:hAnsi="宋体" w:cs="宋体" w:eastAsia="宋体" w:hint="default"/>
                <w:sz w:val="18"/>
                <w:szCs w:val="18"/>
              </w:rPr>
            </w:pPr>
            <w:r>
              <w:rPr>
                <w:rFonts w:ascii="宋体" w:hAnsi="宋体" w:cs="宋体" w:eastAsia="宋体" w:hint="default"/>
                <w:w w:val="95"/>
                <w:sz w:val="18"/>
                <w:szCs w:val="18"/>
              </w:rPr>
              <w:t>首发承诺</w:t>
            </w:r>
            <w:r>
              <w:rPr>
                <w:rFonts w:ascii="宋体" w:hAnsi="宋体" w:cs="宋体" w:eastAsia="宋体" w:hint="default"/>
                <w:sz w:val="18"/>
                <w:szCs w:val="18"/>
              </w:rPr>
            </w:r>
          </w:p>
        </w:tc>
        <w:tc>
          <w:tcPr>
            <w:tcW w:w="12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Arial" w:hAnsi="Arial" w:cs="Arial" w:eastAsia="Arial" w:hint="default"/>
                <w:sz w:val="18"/>
                <w:szCs w:val="18"/>
              </w:rPr>
            </w:pPr>
            <w:r>
              <w:rPr>
                <w:rFonts w:ascii="Arial"/>
                <w:sz w:val="18"/>
              </w:rPr>
              <w:t>2011-04-21</w:t>
            </w:r>
          </w:p>
        </w:tc>
      </w:tr>
      <w:tr>
        <w:trPr>
          <w:trHeight w:val="341" w:hRule="exact"/>
        </w:trPr>
        <w:tc>
          <w:tcPr>
            <w:tcW w:w="1855"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80,000,000</w:t>
            </w:r>
          </w:p>
        </w:tc>
        <w:tc>
          <w:tcPr>
            <w:tcW w:w="12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80,000,000</w:t>
            </w:r>
          </w:p>
        </w:tc>
        <w:tc>
          <w:tcPr>
            <w:tcW w:w="1241"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10"/>
              <w:ind w:right="514"/>
              <w:jc w:val="right"/>
              <w:rPr>
                <w:rFonts w:ascii="宋体" w:hAnsi="宋体" w:cs="宋体" w:eastAsia="宋体" w:hint="default"/>
                <w:sz w:val="18"/>
                <w:szCs w:val="18"/>
              </w:rPr>
            </w:pPr>
            <w:r>
              <w:rPr>
                <w:rFonts w:ascii="宋体" w:hAnsi="宋体" w:cs="宋体" w:eastAsia="宋体" w:hint="default"/>
                <w:w w:val="99"/>
                <w:sz w:val="18"/>
                <w:szCs w:val="18"/>
              </w:rPr>
              <w:t>－</w:t>
            </w:r>
            <w:r>
              <w:rPr>
                <w:rFonts w:ascii="宋体" w:hAnsi="宋体" w:cs="宋体" w:eastAsia="宋体" w:hint="default"/>
                <w:sz w:val="18"/>
                <w:szCs w:val="18"/>
              </w:rPr>
            </w:r>
          </w:p>
        </w:tc>
        <w:tc>
          <w:tcPr>
            <w:tcW w:w="1238"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w w:val="99"/>
                <w:sz w:val="18"/>
                <w:szCs w:val="18"/>
              </w:rPr>
              <w:t>－</w:t>
            </w:r>
            <w:r>
              <w:rPr>
                <w:rFonts w:ascii="宋体" w:hAnsi="宋体" w:cs="宋体" w:eastAsia="宋体" w:hint="default"/>
                <w:sz w:val="18"/>
                <w:szCs w:val="18"/>
              </w:rPr>
            </w:r>
          </w:p>
        </w:tc>
      </w:tr>
    </w:tbl>
    <w:p>
      <w:pPr>
        <w:spacing w:line="240" w:lineRule="auto" w:before="8"/>
        <w:rPr>
          <w:rFonts w:ascii="宋体" w:hAnsi="宋体" w:cs="宋体" w:eastAsia="宋体" w:hint="default"/>
          <w:sz w:val="5"/>
          <w:szCs w:val="5"/>
        </w:rPr>
      </w:pPr>
    </w:p>
    <w:p>
      <w:pPr>
        <w:spacing w:after="0" w:line="240" w:lineRule="auto"/>
        <w:rPr>
          <w:rFonts w:ascii="宋体" w:hAnsi="宋体" w:cs="宋体" w:eastAsia="宋体" w:hint="default"/>
          <w:sz w:val="5"/>
          <w:szCs w:val="5"/>
        </w:rPr>
        <w:sectPr>
          <w:pgSz w:w="11900" w:h="16840"/>
          <w:pgMar w:header="877" w:footer="981" w:top="1100" w:bottom="1180" w:left="1340" w:right="1000"/>
        </w:sectPr>
      </w:pPr>
    </w:p>
    <w:p>
      <w:pPr>
        <w:pStyle w:val="Heading3"/>
        <w:spacing w:line="240" w:lineRule="auto" w:before="14"/>
        <w:ind w:left="457" w:right="0"/>
        <w:jc w:val="left"/>
      </w:pPr>
      <w:r>
        <w:rPr/>
        <w:t>二、前</w:t>
      </w:r>
      <w:r>
        <w:rPr>
          <w:rFonts w:ascii="Arial" w:hAnsi="Arial" w:cs="Arial" w:eastAsia="Arial" w:hint="default"/>
          <w:b/>
          <w:bCs/>
        </w:rPr>
        <w:t>10</w:t>
      </w:r>
      <w:r>
        <w:rPr/>
        <w:t>名股东、前</w:t>
      </w:r>
      <w:r>
        <w:rPr>
          <w:rFonts w:ascii="Arial" w:hAnsi="Arial" w:cs="Arial" w:eastAsia="Arial" w:hint="default"/>
          <w:b/>
          <w:bCs/>
        </w:rPr>
        <w:t>10</w:t>
      </w:r>
      <w:r>
        <w:rPr/>
        <w:t>名无限售流通股股东持股情况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1"/>
          <w:szCs w:val="21"/>
        </w:rPr>
      </w:pPr>
    </w:p>
    <w:p>
      <w:pPr>
        <w:spacing w:before="0"/>
        <w:ind w:left="457"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00" w:h="16840"/>
          <w:pgMar w:top="1100" w:bottom="280" w:left="1340" w:right="1000"/>
          <w:cols w:num="2" w:equalWidth="0">
            <w:col w:w="6986" w:space="812"/>
            <w:col w:w="1762"/>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2365"/>
        <w:gridCol w:w="1446"/>
        <w:gridCol w:w="1150"/>
        <w:gridCol w:w="1150"/>
        <w:gridCol w:w="461"/>
        <w:gridCol w:w="1150"/>
        <w:gridCol w:w="1567"/>
      </w:tblGrid>
      <w:tr>
        <w:trPr>
          <w:trHeight w:val="345" w:hRule="exact"/>
        </w:trPr>
        <w:tc>
          <w:tcPr>
            <w:tcW w:w="2365"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股东总数</w:t>
            </w:r>
          </w:p>
        </w:tc>
        <w:tc>
          <w:tcPr>
            <w:tcW w:w="6923" w:type="dxa"/>
            <w:gridSpan w:val="6"/>
            <w:tcBorders>
              <w:top w:val="single" w:sz="12" w:space="0" w:color="000000"/>
              <w:left w:val="single" w:sz="17" w:space="0" w:color="000000"/>
              <w:bottom w:val="single" w:sz="13"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13,883</w:t>
            </w:r>
          </w:p>
        </w:tc>
      </w:tr>
      <w:tr>
        <w:trPr>
          <w:trHeight w:val="327" w:hRule="exact"/>
        </w:trPr>
        <w:tc>
          <w:tcPr>
            <w:tcW w:w="9288" w:type="dxa"/>
            <w:gridSpan w:val="7"/>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9"/>
              <w:ind w:left="916"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8"/>
                <w:sz w:val="18"/>
                <w:szCs w:val="18"/>
              </w:rPr>
              <w:t> </w:t>
            </w:r>
            <w:r>
              <w:rPr>
                <w:rFonts w:ascii="Arial" w:hAnsi="Arial" w:cs="Arial" w:eastAsia="Arial" w:hint="default"/>
                <w:sz w:val="18"/>
                <w:szCs w:val="18"/>
              </w:rPr>
              <w:t>10</w:t>
            </w:r>
            <w:r>
              <w:rPr>
                <w:rFonts w:ascii="Arial" w:hAnsi="Arial" w:cs="Arial" w:eastAsia="Arial" w:hint="default"/>
                <w:spacing w:val="-7"/>
                <w:sz w:val="18"/>
                <w:szCs w:val="18"/>
              </w:rPr>
              <w:t> </w:t>
            </w:r>
            <w:r>
              <w:rPr>
                <w:rFonts w:ascii="宋体" w:hAnsi="宋体" w:cs="宋体" w:eastAsia="宋体" w:hint="default"/>
                <w:sz w:val="18"/>
                <w:szCs w:val="18"/>
              </w:rPr>
              <w:t>名股东持股情况</w:t>
            </w:r>
          </w:p>
        </w:tc>
      </w:tr>
      <w:tr>
        <w:trPr>
          <w:trHeight w:val="667" w:hRule="exact"/>
        </w:trPr>
        <w:tc>
          <w:tcPr>
            <w:tcW w:w="2365"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446"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4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150"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50"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610" w:type="dxa"/>
            <w:gridSpan w:val="2"/>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316" w:lineRule="auto" w:before="22"/>
              <w:ind w:left="520" w:right="70" w:hanging="452"/>
              <w:jc w:val="left"/>
              <w:rPr>
                <w:rFonts w:ascii="宋体" w:hAnsi="宋体" w:cs="宋体" w:eastAsia="宋体" w:hint="default"/>
                <w:sz w:val="18"/>
                <w:szCs w:val="18"/>
              </w:rPr>
            </w:pPr>
            <w:r>
              <w:rPr>
                <w:rFonts w:ascii="宋体" w:hAnsi="宋体" w:cs="宋体" w:eastAsia="宋体" w:hint="default"/>
                <w:sz w:val="18"/>
                <w:szCs w:val="18"/>
              </w:rPr>
              <w:t>持有有限售条件股</w:t>
            </w:r>
            <w:r>
              <w:rPr>
                <w:rFonts w:ascii="宋体" w:hAnsi="宋体" w:cs="宋体" w:eastAsia="宋体" w:hint="default"/>
                <w:w w:val="99"/>
                <w:sz w:val="18"/>
                <w:szCs w:val="18"/>
              </w:rPr>
              <w:t> </w:t>
            </w:r>
            <w:r>
              <w:rPr>
                <w:rFonts w:ascii="宋体" w:hAnsi="宋体" w:cs="宋体" w:eastAsia="宋体" w:hint="default"/>
                <w:sz w:val="18"/>
                <w:szCs w:val="18"/>
              </w:rPr>
              <w:t>份数量</w:t>
            </w:r>
          </w:p>
        </w:tc>
        <w:tc>
          <w:tcPr>
            <w:tcW w:w="1567" w:type="dxa"/>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316" w:lineRule="auto" w:before="22"/>
              <w:ind w:left="587" w:right="48" w:hanging="540"/>
              <w:jc w:val="left"/>
              <w:rPr>
                <w:rFonts w:ascii="宋体" w:hAnsi="宋体" w:cs="宋体" w:eastAsia="宋体" w:hint="default"/>
                <w:sz w:val="18"/>
                <w:szCs w:val="18"/>
              </w:rPr>
            </w:pPr>
            <w:r>
              <w:rPr>
                <w:rFonts w:ascii="宋体" w:hAnsi="宋体" w:cs="宋体" w:eastAsia="宋体" w:hint="default"/>
                <w:sz w:val="18"/>
                <w:szCs w:val="18"/>
              </w:rPr>
              <w:t>质押或冻结的股份</w:t>
            </w:r>
            <w:r>
              <w:rPr>
                <w:rFonts w:ascii="宋体" w:hAnsi="宋体" w:cs="宋体" w:eastAsia="宋体" w:hint="default"/>
                <w:w w:val="99"/>
                <w:sz w:val="18"/>
                <w:szCs w:val="18"/>
              </w:rPr>
              <w:t> </w:t>
            </w:r>
            <w:r>
              <w:rPr>
                <w:rFonts w:ascii="宋体" w:hAnsi="宋体" w:cs="宋体" w:eastAsia="宋体" w:hint="default"/>
                <w:sz w:val="18"/>
                <w:szCs w:val="18"/>
              </w:rPr>
              <w:t>数量</w:t>
            </w:r>
          </w:p>
        </w:tc>
      </w:tr>
      <w:tr>
        <w:trPr>
          <w:trHeight w:val="341" w:hRule="exact"/>
        </w:trPr>
        <w:tc>
          <w:tcPr>
            <w:tcW w:w="23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14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44.88%</w:t>
            </w:r>
          </w:p>
        </w:tc>
        <w:tc>
          <w:tcPr>
            <w:tcW w:w="11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48,024,245</w:t>
            </w:r>
          </w:p>
        </w:tc>
        <w:tc>
          <w:tcPr>
            <w:tcW w:w="1610"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664" w:right="0"/>
              <w:jc w:val="left"/>
              <w:rPr>
                <w:rFonts w:ascii="Arial" w:hAnsi="Arial" w:cs="Arial" w:eastAsia="Arial" w:hint="default"/>
                <w:sz w:val="18"/>
                <w:szCs w:val="18"/>
              </w:rPr>
            </w:pPr>
            <w:r>
              <w:rPr>
                <w:rFonts w:ascii="Arial"/>
                <w:sz w:val="18"/>
              </w:rPr>
              <w:t>48,024,245</w:t>
            </w:r>
          </w:p>
        </w:tc>
        <w:tc>
          <w:tcPr>
            <w:tcW w:w="15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r>
      <w:tr>
        <w:trPr>
          <w:trHeight w:val="343" w:hRule="exact"/>
        </w:trPr>
        <w:tc>
          <w:tcPr>
            <w:tcW w:w="23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臧少玉</w:t>
            </w:r>
          </w:p>
        </w:tc>
        <w:tc>
          <w:tcPr>
            <w:tcW w:w="14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14.52%</w:t>
            </w:r>
          </w:p>
        </w:tc>
        <w:tc>
          <w:tcPr>
            <w:tcW w:w="11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15,533,951</w:t>
            </w:r>
          </w:p>
        </w:tc>
        <w:tc>
          <w:tcPr>
            <w:tcW w:w="1610"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664" w:right="0"/>
              <w:jc w:val="left"/>
              <w:rPr>
                <w:rFonts w:ascii="Arial" w:hAnsi="Arial" w:cs="Arial" w:eastAsia="Arial" w:hint="default"/>
                <w:sz w:val="18"/>
                <w:szCs w:val="18"/>
              </w:rPr>
            </w:pPr>
            <w:r>
              <w:rPr>
                <w:rFonts w:ascii="Arial"/>
                <w:sz w:val="18"/>
              </w:rPr>
              <w:t>15,533,951</w:t>
            </w:r>
          </w:p>
        </w:tc>
        <w:tc>
          <w:tcPr>
            <w:tcW w:w="15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r>
      <w:tr>
        <w:trPr>
          <w:trHeight w:val="341" w:hRule="exact"/>
        </w:trPr>
        <w:tc>
          <w:tcPr>
            <w:tcW w:w="23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张烈寅</w:t>
            </w:r>
          </w:p>
        </w:tc>
        <w:tc>
          <w:tcPr>
            <w:tcW w:w="14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5"/>
                <w:sz w:val="18"/>
              </w:rPr>
              <w:t>7.19%</w:t>
            </w:r>
            <w:r>
              <w:rPr>
                <w:rFonts w:ascii="Arial"/>
                <w:sz w:val="18"/>
              </w:rPr>
            </w:r>
          </w:p>
        </w:tc>
        <w:tc>
          <w:tcPr>
            <w:tcW w:w="11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7,696,933</w:t>
            </w:r>
          </w:p>
        </w:tc>
        <w:tc>
          <w:tcPr>
            <w:tcW w:w="1610"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763" w:right="0"/>
              <w:jc w:val="left"/>
              <w:rPr>
                <w:rFonts w:ascii="Arial" w:hAnsi="Arial" w:cs="Arial" w:eastAsia="Arial" w:hint="default"/>
                <w:sz w:val="18"/>
                <w:szCs w:val="18"/>
              </w:rPr>
            </w:pPr>
            <w:r>
              <w:rPr>
                <w:rFonts w:ascii="Arial"/>
                <w:sz w:val="18"/>
              </w:rPr>
              <w:t>7,696,933</w:t>
            </w:r>
          </w:p>
        </w:tc>
        <w:tc>
          <w:tcPr>
            <w:tcW w:w="15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r>
      <w:tr>
        <w:trPr>
          <w:trHeight w:val="343" w:hRule="exact"/>
        </w:trPr>
        <w:tc>
          <w:tcPr>
            <w:tcW w:w="23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上海嘉兆投资管理有限公司</w:t>
            </w:r>
          </w:p>
        </w:tc>
        <w:tc>
          <w:tcPr>
            <w:tcW w:w="14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7"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5"/>
                <w:sz w:val="18"/>
              </w:rPr>
              <w:t>2.83%</w:t>
            </w:r>
            <w:r>
              <w:rPr>
                <w:rFonts w:ascii="Arial"/>
                <w:sz w:val="18"/>
              </w:rPr>
            </w:r>
          </w:p>
        </w:tc>
        <w:tc>
          <w:tcPr>
            <w:tcW w:w="11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3,030,667</w:t>
            </w:r>
          </w:p>
        </w:tc>
        <w:tc>
          <w:tcPr>
            <w:tcW w:w="1610"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763" w:right="0"/>
              <w:jc w:val="left"/>
              <w:rPr>
                <w:rFonts w:ascii="Arial" w:hAnsi="Arial" w:cs="Arial" w:eastAsia="Arial" w:hint="default"/>
                <w:sz w:val="18"/>
                <w:szCs w:val="18"/>
              </w:rPr>
            </w:pPr>
            <w:r>
              <w:rPr>
                <w:rFonts w:ascii="Arial"/>
                <w:sz w:val="18"/>
              </w:rPr>
              <w:t>3,030,667</w:t>
            </w:r>
          </w:p>
        </w:tc>
        <w:tc>
          <w:tcPr>
            <w:tcW w:w="15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r>
      <w:tr>
        <w:trPr>
          <w:trHeight w:val="341" w:hRule="exact"/>
        </w:trPr>
        <w:tc>
          <w:tcPr>
            <w:tcW w:w="23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缪融</w:t>
            </w:r>
          </w:p>
        </w:tc>
        <w:tc>
          <w:tcPr>
            <w:tcW w:w="14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5"/>
                <w:sz w:val="18"/>
              </w:rPr>
              <w:t>1.09%</w:t>
            </w:r>
            <w:r>
              <w:rPr>
                <w:rFonts w:ascii="Arial"/>
                <w:sz w:val="18"/>
              </w:rPr>
            </w:r>
          </w:p>
        </w:tc>
        <w:tc>
          <w:tcPr>
            <w:tcW w:w="11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1,166,085</w:t>
            </w:r>
          </w:p>
        </w:tc>
        <w:tc>
          <w:tcPr>
            <w:tcW w:w="1610"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763" w:right="0"/>
              <w:jc w:val="left"/>
              <w:rPr>
                <w:rFonts w:ascii="Arial" w:hAnsi="Arial" w:cs="Arial" w:eastAsia="Arial" w:hint="default"/>
                <w:sz w:val="18"/>
                <w:szCs w:val="18"/>
              </w:rPr>
            </w:pPr>
            <w:r>
              <w:rPr>
                <w:rFonts w:ascii="Arial"/>
                <w:sz w:val="18"/>
              </w:rPr>
              <w:t>1,166,085</w:t>
            </w:r>
          </w:p>
        </w:tc>
        <w:tc>
          <w:tcPr>
            <w:tcW w:w="15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r>
      <w:tr>
        <w:trPr>
          <w:trHeight w:val="343" w:hRule="exact"/>
        </w:trPr>
        <w:tc>
          <w:tcPr>
            <w:tcW w:w="23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文欣</w:t>
            </w:r>
          </w:p>
        </w:tc>
        <w:tc>
          <w:tcPr>
            <w:tcW w:w="14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5"/>
                <w:sz w:val="18"/>
              </w:rPr>
              <w:t>0.87%</w:t>
            </w:r>
            <w:r>
              <w:rPr>
                <w:rFonts w:ascii="Arial"/>
                <w:sz w:val="18"/>
              </w:rPr>
            </w:r>
          </w:p>
        </w:tc>
        <w:tc>
          <w:tcPr>
            <w:tcW w:w="11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932,868</w:t>
            </w:r>
          </w:p>
        </w:tc>
        <w:tc>
          <w:tcPr>
            <w:tcW w:w="1610"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914" w:right="0"/>
              <w:jc w:val="left"/>
              <w:rPr>
                <w:rFonts w:ascii="Arial" w:hAnsi="Arial" w:cs="Arial" w:eastAsia="Arial" w:hint="default"/>
                <w:sz w:val="18"/>
                <w:szCs w:val="18"/>
              </w:rPr>
            </w:pPr>
            <w:r>
              <w:rPr>
                <w:rFonts w:ascii="Arial"/>
                <w:sz w:val="18"/>
              </w:rPr>
              <w:t>932,868</w:t>
            </w:r>
          </w:p>
        </w:tc>
        <w:tc>
          <w:tcPr>
            <w:tcW w:w="15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r>
      <w:tr>
        <w:trPr>
          <w:trHeight w:val="341" w:hRule="exact"/>
        </w:trPr>
        <w:tc>
          <w:tcPr>
            <w:tcW w:w="23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王宏道</w:t>
            </w:r>
          </w:p>
        </w:tc>
        <w:tc>
          <w:tcPr>
            <w:tcW w:w="14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5"/>
                <w:sz w:val="18"/>
              </w:rPr>
              <w:t>0.76%</w:t>
            </w:r>
            <w:r>
              <w:rPr>
                <w:rFonts w:ascii="Arial"/>
                <w:sz w:val="18"/>
              </w:rPr>
            </w:r>
          </w:p>
        </w:tc>
        <w:tc>
          <w:tcPr>
            <w:tcW w:w="11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816,645</w:t>
            </w:r>
          </w:p>
        </w:tc>
        <w:tc>
          <w:tcPr>
            <w:tcW w:w="1610"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914" w:right="0"/>
              <w:jc w:val="left"/>
              <w:rPr>
                <w:rFonts w:ascii="Arial" w:hAnsi="Arial" w:cs="Arial" w:eastAsia="Arial" w:hint="default"/>
                <w:sz w:val="18"/>
                <w:szCs w:val="18"/>
              </w:rPr>
            </w:pPr>
            <w:r>
              <w:rPr>
                <w:rFonts w:ascii="Arial"/>
                <w:sz w:val="18"/>
              </w:rPr>
              <w:t>816,645</w:t>
            </w:r>
          </w:p>
        </w:tc>
        <w:tc>
          <w:tcPr>
            <w:tcW w:w="15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r>
      <w:tr>
        <w:trPr>
          <w:trHeight w:val="343" w:hRule="exact"/>
        </w:trPr>
        <w:tc>
          <w:tcPr>
            <w:tcW w:w="23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耿毅英</w:t>
            </w:r>
          </w:p>
        </w:tc>
        <w:tc>
          <w:tcPr>
            <w:tcW w:w="14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5"/>
                <w:sz w:val="18"/>
              </w:rPr>
              <w:t>0.55%</w:t>
            </w:r>
            <w:r>
              <w:rPr>
                <w:rFonts w:ascii="Arial"/>
                <w:sz w:val="18"/>
              </w:rPr>
            </w:r>
          </w:p>
        </w:tc>
        <w:tc>
          <w:tcPr>
            <w:tcW w:w="11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583,428</w:t>
            </w:r>
          </w:p>
        </w:tc>
        <w:tc>
          <w:tcPr>
            <w:tcW w:w="1610"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914" w:right="0"/>
              <w:jc w:val="left"/>
              <w:rPr>
                <w:rFonts w:ascii="Arial" w:hAnsi="Arial" w:cs="Arial" w:eastAsia="Arial" w:hint="default"/>
                <w:sz w:val="18"/>
                <w:szCs w:val="18"/>
              </w:rPr>
            </w:pPr>
            <w:r>
              <w:rPr>
                <w:rFonts w:ascii="Arial"/>
                <w:sz w:val="18"/>
              </w:rPr>
              <w:t>583,428</w:t>
            </w:r>
          </w:p>
        </w:tc>
        <w:tc>
          <w:tcPr>
            <w:tcW w:w="15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r>
      <w:tr>
        <w:trPr>
          <w:trHeight w:val="341" w:hRule="exact"/>
        </w:trPr>
        <w:tc>
          <w:tcPr>
            <w:tcW w:w="23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石磊</w:t>
            </w:r>
          </w:p>
        </w:tc>
        <w:tc>
          <w:tcPr>
            <w:tcW w:w="14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5"/>
                <w:sz w:val="18"/>
              </w:rPr>
              <w:t>0.33%</w:t>
            </w:r>
            <w:r>
              <w:rPr>
                <w:rFonts w:ascii="Arial"/>
                <w:sz w:val="18"/>
              </w:rPr>
            </w:r>
          </w:p>
        </w:tc>
        <w:tc>
          <w:tcPr>
            <w:tcW w:w="11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349,441</w:t>
            </w:r>
          </w:p>
        </w:tc>
        <w:tc>
          <w:tcPr>
            <w:tcW w:w="1610"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914" w:right="0"/>
              <w:jc w:val="left"/>
              <w:rPr>
                <w:rFonts w:ascii="Arial" w:hAnsi="Arial" w:cs="Arial" w:eastAsia="Arial" w:hint="default"/>
                <w:sz w:val="18"/>
                <w:szCs w:val="18"/>
              </w:rPr>
            </w:pPr>
            <w:r>
              <w:rPr>
                <w:rFonts w:ascii="Arial"/>
                <w:sz w:val="18"/>
              </w:rPr>
              <w:t>349,441</w:t>
            </w:r>
          </w:p>
        </w:tc>
        <w:tc>
          <w:tcPr>
            <w:tcW w:w="15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r>
      <w:tr>
        <w:trPr>
          <w:trHeight w:val="345" w:hRule="exact"/>
        </w:trPr>
        <w:tc>
          <w:tcPr>
            <w:tcW w:w="2365" w:type="dxa"/>
            <w:tcBorders>
              <w:top w:val="single" w:sz="12" w:space="0" w:color="000000"/>
              <w:left w:val="single" w:sz="12" w:space="0" w:color="000000"/>
              <w:bottom w:val="single" w:sz="13"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张连根</w:t>
            </w:r>
          </w:p>
        </w:tc>
        <w:tc>
          <w:tcPr>
            <w:tcW w:w="14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5"/>
                <w:sz w:val="18"/>
              </w:rPr>
              <w:t>0.33%</w:t>
            </w:r>
            <w:r>
              <w:rPr>
                <w:rFonts w:ascii="Arial"/>
                <w:sz w:val="18"/>
              </w:rPr>
            </w:r>
          </w:p>
        </w:tc>
        <w:tc>
          <w:tcPr>
            <w:tcW w:w="11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spacing w:val="-1"/>
                <w:sz w:val="18"/>
              </w:rPr>
              <w:t>349,441</w:t>
            </w:r>
          </w:p>
        </w:tc>
        <w:tc>
          <w:tcPr>
            <w:tcW w:w="1610"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914" w:right="0"/>
              <w:jc w:val="left"/>
              <w:rPr>
                <w:rFonts w:ascii="Arial" w:hAnsi="Arial" w:cs="Arial" w:eastAsia="Arial" w:hint="default"/>
                <w:sz w:val="18"/>
                <w:szCs w:val="18"/>
              </w:rPr>
            </w:pPr>
            <w:r>
              <w:rPr>
                <w:rFonts w:ascii="Arial"/>
                <w:sz w:val="18"/>
              </w:rPr>
              <w:t>349,441</w:t>
            </w:r>
          </w:p>
        </w:tc>
        <w:tc>
          <w:tcPr>
            <w:tcW w:w="1567" w:type="dxa"/>
            <w:tcBorders>
              <w:top w:val="single" w:sz="12" w:space="0" w:color="000000"/>
              <w:left w:val="single" w:sz="12" w:space="0" w:color="000000"/>
              <w:bottom w:val="single" w:sz="13"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r>
      <w:tr>
        <w:trPr>
          <w:trHeight w:val="340" w:hRule="exact"/>
        </w:trPr>
        <w:tc>
          <w:tcPr>
            <w:tcW w:w="9288" w:type="dxa"/>
            <w:gridSpan w:val="7"/>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9"/>
              <w:ind w:left="916"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9"/>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名无限售条件股东持股情况</w:t>
            </w:r>
          </w:p>
        </w:tc>
      </w:tr>
      <w:tr>
        <w:trPr>
          <w:trHeight w:val="342" w:hRule="exact"/>
        </w:trPr>
        <w:tc>
          <w:tcPr>
            <w:tcW w:w="3811" w:type="dxa"/>
            <w:gridSpan w:val="2"/>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760" w:type="dxa"/>
            <w:gridSpan w:val="3"/>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9"/>
              <w:ind w:left="374"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717" w:type="dxa"/>
            <w:gridSpan w:val="2"/>
            <w:tcBorders>
              <w:top w:val="single" w:sz="12" w:space="0" w:color="000000"/>
              <w:left w:val="single" w:sz="12" w:space="0" w:color="000000"/>
              <w:bottom w:val="single" w:sz="12" w:space="0" w:color="000000"/>
              <w:right w:val="single" w:sz="12" w:space="0" w:color="000000"/>
            </w:tcBorders>
            <w:shd w:val="clear" w:color="auto" w:fill="DCDCDC"/>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41" w:hRule="exact"/>
        </w:trPr>
        <w:tc>
          <w:tcPr>
            <w:tcW w:w="3811"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王庆华</w:t>
            </w:r>
          </w:p>
        </w:tc>
        <w:tc>
          <w:tcPr>
            <w:tcW w:w="2760" w:type="dxa"/>
            <w:gridSpan w:val="3"/>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200,600</w:t>
            </w:r>
          </w:p>
        </w:tc>
        <w:tc>
          <w:tcPr>
            <w:tcW w:w="2717"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43" w:hRule="exact"/>
        </w:trPr>
        <w:tc>
          <w:tcPr>
            <w:tcW w:w="3811"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田永虎</w:t>
            </w:r>
          </w:p>
        </w:tc>
        <w:tc>
          <w:tcPr>
            <w:tcW w:w="2760" w:type="dxa"/>
            <w:gridSpan w:val="3"/>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177,032</w:t>
            </w:r>
          </w:p>
        </w:tc>
        <w:tc>
          <w:tcPr>
            <w:tcW w:w="2717"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41" w:hRule="exact"/>
        </w:trPr>
        <w:tc>
          <w:tcPr>
            <w:tcW w:w="3811"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姜国忠</w:t>
            </w:r>
          </w:p>
        </w:tc>
        <w:tc>
          <w:tcPr>
            <w:tcW w:w="2760" w:type="dxa"/>
            <w:gridSpan w:val="3"/>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150,000</w:t>
            </w:r>
          </w:p>
        </w:tc>
        <w:tc>
          <w:tcPr>
            <w:tcW w:w="2717"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bl>
    <w:p>
      <w:pPr>
        <w:spacing w:after="0" w:line="240" w:lineRule="auto"/>
        <w:jc w:val="left"/>
        <w:rPr>
          <w:rFonts w:ascii="宋体" w:hAnsi="宋体" w:cs="宋体" w:eastAsia="宋体" w:hint="default"/>
          <w:sz w:val="18"/>
          <w:szCs w:val="18"/>
        </w:rPr>
        <w:sectPr>
          <w:type w:val="continuous"/>
          <w:pgSz w:w="11900" w:h="16840"/>
          <w:pgMar w:top="1100" w:bottom="280" w:left="134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spacing w:before="44"/>
        <w:ind w:left="0" w:right="111" w:firstLine="0"/>
        <w:jc w:val="right"/>
        <w:rPr>
          <w:rFonts w:ascii="宋体" w:hAnsi="宋体" w:cs="宋体" w:eastAsia="宋体" w:hint="default"/>
          <w:sz w:val="18"/>
          <w:szCs w:val="18"/>
        </w:rPr>
      </w:pPr>
      <w:r>
        <w:rPr/>
        <w:pict>
          <v:shape style="position:absolute;margin-left:72.959999pt;margin-top:-119.408905pt;width:466.6pt;height:185.0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69"/>
                    <w:gridCol w:w="1442"/>
                    <w:gridCol w:w="2760"/>
                    <w:gridCol w:w="2717"/>
                  </w:tblGrid>
                  <w:tr>
                    <w:trPr>
                      <w:trHeight w:val="341" w:hRule="exact"/>
                    </w:trPr>
                    <w:tc>
                      <w:tcPr>
                        <w:tcW w:w="3811"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朱贤扬</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145,400</w:t>
                        </w:r>
                      </w:p>
                    </w:tc>
                    <w:tc>
                      <w:tcPr>
                        <w:tcW w:w="271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43" w:hRule="exact"/>
                    </w:trPr>
                    <w:tc>
                      <w:tcPr>
                        <w:tcW w:w="3811"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王肯成</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124,800</w:t>
                        </w:r>
                      </w:p>
                    </w:tc>
                    <w:tc>
                      <w:tcPr>
                        <w:tcW w:w="271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41" w:hRule="exact"/>
                    </w:trPr>
                    <w:tc>
                      <w:tcPr>
                        <w:tcW w:w="3811"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刘爱民</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120,000</w:t>
                        </w:r>
                      </w:p>
                    </w:tc>
                    <w:tc>
                      <w:tcPr>
                        <w:tcW w:w="271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43" w:hRule="exact"/>
                    </w:trPr>
                    <w:tc>
                      <w:tcPr>
                        <w:tcW w:w="3811"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奉继军</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2"/>
                            <w:w w:val="95"/>
                            <w:sz w:val="18"/>
                          </w:rPr>
                          <w:t>114,250</w:t>
                        </w:r>
                        <w:r>
                          <w:rPr>
                            <w:rFonts w:ascii="Arial"/>
                            <w:spacing w:val="-2"/>
                            <w:sz w:val="18"/>
                          </w:rPr>
                        </w:r>
                      </w:p>
                    </w:tc>
                    <w:tc>
                      <w:tcPr>
                        <w:tcW w:w="271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41" w:hRule="exact"/>
                    </w:trPr>
                    <w:tc>
                      <w:tcPr>
                        <w:tcW w:w="3811"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中钢投资有限公司</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2"/>
                            <w:w w:val="95"/>
                            <w:sz w:val="18"/>
                          </w:rPr>
                          <w:t>113,000</w:t>
                        </w:r>
                        <w:r>
                          <w:rPr>
                            <w:rFonts w:ascii="Arial"/>
                            <w:spacing w:val="-2"/>
                            <w:sz w:val="18"/>
                          </w:rPr>
                        </w:r>
                      </w:p>
                    </w:tc>
                    <w:tc>
                      <w:tcPr>
                        <w:tcW w:w="271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43" w:hRule="exact"/>
                    </w:trPr>
                    <w:tc>
                      <w:tcPr>
                        <w:tcW w:w="3811"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张乾光</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2"/>
                            <w:w w:val="95"/>
                            <w:sz w:val="18"/>
                          </w:rPr>
                          <w:t>112,900</w:t>
                        </w:r>
                        <w:r>
                          <w:rPr>
                            <w:rFonts w:ascii="Arial"/>
                            <w:spacing w:val="-2"/>
                            <w:sz w:val="18"/>
                          </w:rPr>
                        </w:r>
                      </w:p>
                    </w:tc>
                    <w:tc>
                      <w:tcPr>
                        <w:tcW w:w="271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41" w:hRule="exact"/>
                    </w:trPr>
                    <w:tc>
                      <w:tcPr>
                        <w:tcW w:w="3811"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王喜东</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
                          <w:jc w:val="right"/>
                          <w:rPr>
                            <w:rFonts w:ascii="Arial" w:hAnsi="Arial" w:cs="Arial" w:eastAsia="Arial" w:hint="default"/>
                            <w:sz w:val="18"/>
                            <w:szCs w:val="18"/>
                          </w:rPr>
                        </w:pPr>
                        <w:r>
                          <w:rPr>
                            <w:rFonts w:ascii="Arial"/>
                            <w:spacing w:val="-1"/>
                            <w:sz w:val="18"/>
                          </w:rPr>
                          <w:t>104,159</w:t>
                        </w:r>
                      </w:p>
                    </w:tc>
                    <w:tc>
                      <w:tcPr>
                        <w:tcW w:w="271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30" w:hRule="exact"/>
                    </w:trPr>
                    <w:tc>
                      <w:tcPr>
                        <w:tcW w:w="2369" w:type="dxa"/>
                        <w:tcBorders>
                          <w:top w:val="single" w:sz="12" w:space="0" w:color="000000"/>
                          <w:left w:val="single" w:sz="12" w:space="0" w:color="000000"/>
                          <w:bottom w:val="nil" w:sz="6" w:space="0" w:color="auto"/>
                          <w:right w:val="single" w:sz="12" w:space="0" w:color="000000"/>
                        </w:tcBorders>
                        <w:shd w:val="clear" w:color="auto" w:fill="DCDCDC"/>
                      </w:tcPr>
                      <w:p>
                        <w:pPr/>
                      </w:p>
                    </w:tc>
                    <w:tc>
                      <w:tcPr>
                        <w:tcW w:w="6919" w:type="dxa"/>
                        <w:gridSpan w:val="3"/>
                        <w:tcBorders>
                          <w:top w:val="single" w:sz="12" w:space="0" w:color="000000"/>
                          <w:left w:val="single" w:sz="12" w:space="0" w:color="000000"/>
                          <w:bottom w:val="nil" w:sz="6" w:space="0" w:color="auto"/>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本公司控股股东和实际控制人为纪立军、张列寅夫妇，共同持有本公司</w:t>
                        </w:r>
                        <w:r>
                          <w:rPr>
                            <w:rFonts w:ascii="宋体" w:hAnsi="宋体" w:cs="宋体" w:eastAsia="宋体" w:hint="default"/>
                            <w:spacing w:val="-55"/>
                            <w:sz w:val="18"/>
                            <w:szCs w:val="18"/>
                          </w:rPr>
                          <w:t> </w:t>
                        </w:r>
                        <w:r>
                          <w:rPr>
                            <w:rFonts w:ascii="Arial" w:hAnsi="Arial" w:cs="Arial" w:eastAsia="Arial" w:hint="default"/>
                            <w:sz w:val="18"/>
                            <w:szCs w:val="18"/>
                          </w:rPr>
                          <w:t>52.07%</w:t>
                        </w:r>
                        <w:r>
                          <w:rPr>
                            <w:rFonts w:ascii="宋体" w:hAnsi="宋体" w:cs="宋体" w:eastAsia="宋体" w:hint="default"/>
                            <w:sz w:val="18"/>
                            <w:szCs w:val="18"/>
                          </w:rPr>
                          <w:t>的股份</w:t>
                        </w:r>
                      </w:p>
                    </w:tc>
                  </w:tr>
                  <w:tr>
                    <w:trPr>
                      <w:trHeight w:val="308" w:hRule="exact"/>
                    </w:trPr>
                    <w:tc>
                      <w:tcPr>
                        <w:tcW w:w="2369" w:type="dxa"/>
                        <w:tcBorders>
                          <w:top w:val="nil" w:sz="6" w:space="0" w:color="auto"/>
                          <w:left w:val="single" w:sz="12" w:space="0" w:color="000000"/>
                          <w:bottom w:val="nil" w:sz="6" w:space="0" w:color="auto"/>
                          <w:right w:val="single" w:sz="12" w:space="0" w:color="000000"/>
                        </w:tcBorders>
                        <w:shd w:val="clear" w:color="auto" w:fill="DCDCDC"/>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上述股东关联关系或一致行</w:t>
                        </w:r>
                      </w:p>
                    </w:tc>
                    <w:tc>
                      <w:tcPr>
                        <w:tcW w:w="6919" w:type="dxa"/>
                        <w:gridSpan w:val="3"/>
                        <w:tcBorders>
                          <w:top w:val="nil" w:sz="6" w:space="0" w:color="auto"/>
                          <w:left w:val="single" w:sz="12" w:space="0" w:color="000000"/>
                          <w:bottom w:val="nil" w:sz="6" w:space="0" w:color="auto"/>
                          <w:right w:val="single" w:sz="12" w:space="0" w:color="000000"/>
                        </w:tcBorders>
                      </w:tcPr>
                      <w:p>
                        <w:pPr>
                          <w:pStyle w:val="TableParagraph"/>
                          <w:spacing w:line="240" w:lineRule="auto" w:before="7"/>
                          <w:ind w:left="14" w:right="0"/>
                          <w:jc w:val="left"/>
                          <w:rPr>
                            <w:rFonts w:ascii="宋体" w:hAnsi="宋体" w:cs="宋体" w:eastAsia="宋体" w:hint="default"/>
                            <w:sz w:val="18"/>
                            <w:szCs w:val="18"/>
                          </w:rPr>
                        </w:pPr>
                        <w:r>
                          <w:rPr>
                            <w:rFonts w:ascii="宋体" w:hAnsi="宋体" w:cs="宋体" w:eastAsia="宋体" w:hint="default"/>
                            <w:sz w:val="18"/>
                            <w:szCs w:val="18"/>
                          </w:rPr>
                          <w:t>根据《上市收购管理办法》的相关规定，纪立军先生及其夫人张列寅女士为一致行动人</w:t>
                        </w:r>
                      </w:p>
                    </w:tc>
                  </w:tr>
                  <w:tr>
                    <w:trPr>
                      <w:trHeight w:val="313" w:hRule="exact"/>
                    </w:trPr>
                    <w:tc>
                      <w:tcPr>
                        <w:tcW w:w="2369" w:type="dxa"/>
                        <w:tcBorders>
                          <w:top w:val="nil" w:sz="6" w:space="0" w:color="auto"/>
                          <w:left w:val="single" w:sz="12" w:space="0" w:color="000000"/>
                          <w:bottom w:val="nil" w:sz="6" w:space="0" w:color="auto"/>
                          <w:right w:val="single" w:sz="12" w:space="0" w:color="000000"/>
                        </w:tcBorders>
                        <w:shd w:val="clear" w:color="auto" w:fill="DCDCDC"/>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动的说明</w:t>
                        </w:r>
                      </w:p>
                    </w:tc>
                    <w:tc>
                      <w:tcPr>
                        <w:tcW w:w="6919" w:type="dxa"/>
                        <w:gridSpan w:val="3"/>
                        <w:tcBorders>
                          <w:top w:val="nil" w:sz="6" w:space="0" w:color="auto"/>
                          <w:left w:val="single" w:sz="12" w:space="0" w:color="000000"/>
                          <w:bottom w:val="nil" w:sz="6" w:space="0" w:color="auto"/>
                          <w:right w:val="single" w:sz="12" w:space="0" w:color="000000"/>
                        </w:tcBorders>
                      </w:tcPr>
                      <w:p>
                        <w:pPr>
                          <w:pStyle w:val="TableParagraph"/>
                          <w:spacing w:line="240" w:lineRule="auto" w:before="11"/>
                          <w:ind w:left="14" w:right="0"/>
                          <w:jc w:val="left"/>
                          <w:rPr>
                            <w:rFonts w:ascii="宋体" w:hAnsi="宋体" w:cs="宋体" w:eastAsia="宋体" w:hint="default"/>
                            <w:sz w:val="18"/>
                            <w:szCs w:val="18"/>
                          </w:rPr>
                        </w:pPr>
                        <w:r>
                          <w:rPr>
                            <w:rFonts w:ascii="宋体" w:hAnsi="宋体" w:cs="宋体" w:eastAsia="宋体" w:hint="default"/>
                            <w:sz w:val="18"/>
                            <w:szCs w:val="18"/>
                          </w:rPr>
                          <w:t>其他有限售条件股东之间不存在关联关系。公司未知前十名无限售条件股东之间是否存</w:t>
                        </w:r>
                      </w:p>
                    </w:tc>
                  </w:tr>
                  <w:tr>
                    <w:trPr>
                      <w:trHeight w:val="329" w:hRule="exact"/>
                    </w:trPr>
                    <w:tc>
                      <w:tcPr>
                        <w:tcW w:w="2369" w:type="dxa"/>
                        <w:tcBorders>
                          <w:top w:val="nil" w:sz="6" w:space="0" w:color="auto"/>
                          <w:left w:val="single" w:sz="12" w:space="0" w:color="000000"/>
                          <w:bottom w:val="single" w:sz="12" w:space="0" w:color="000000"/>
                          <w:right w:val="single" w:sz="12" w:space="0" w:color="000000"/>
                        </w:tcBorders>
                        <w:shd w:val="clear" w:color="auto" w:fill="DCDCDC"/>
                      </w:tcPr>
                      <w:p>
                        <w:pPr/>
                      </w:p>
                    </w:tc>
                    <w:tc>
                      <w:tcPr>
                        <w:tcW w:w="6919" w:type="dxa"/>
                        <w:gridSpan w:val="3"/>
                        <w:tcBorders>
                          <w:top w:val="nil" w:sz="6" w:space="0" w:color="auto"/>
                          <w:left w:val="single" w:sz="12" w:space="0" w:color="000000"/>
                          <w:bottom w:val="single" w:sz="12"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在关联关系，也未知是否属于一致行动人。</w:t>
                        </w:r>
                      </w:p>
                    </w:tc>
                  </w:tr>
                </w:tbl>
                <w:p>
                  <w:pPr/>
                </w:p>
              </w:txbxContent>
            </v:textbox>
            <w10:wrap type="none"/>
          </v:shape>
        </w:pict>
      </w:r>
      <w:r>
        <w:rPr>
          <w:rFonts w:ascii="宋体" w:hAnsi="宋体" w:cs="宋体" w:eastAsia="宋体" w:hint="default"/>
          <w:w w:val="99"/>
          <w:sz w:val="18"/>
          <w:szCs w:val="18"/>
        </w:rPr>
        <w:t>，</w:t>
      </w:r>
      <w:r>
        <w:rPr>
          <w:rFonts w:ascii="宋体" w:hAnsi="宋体" w:cs="宋体" w:eastAsia="宋体" w:hint="default"/>
          <w:sz w:val="18"/>
          <w:szCs w:val="18"/>
        </w:rPr>
      </w:r>
    </w:p>
    <w:p>
      <w:pPr>
        <w:spacing w:before="76"/>
        <w:ind w:left="0" w:right="114" w:firstLine="0"/>
        <w:jc w:val="right"/>
        <w:rPr>
          <w:rFonts w:ascii="宋体" w:hAnsi="宋体" w:cs="宋体" w:eastAsia="宋体" w:hint="default"/>
          <w:sz w:val="18"/>
          <w:szCs w:val="18"/>
        </w:rPr>
      </w:pPr>
      <w:r>
        <w:rPr>
          <w:rFonts w:ascii="宋体" w:hAnsi="宋体" w:cs="宋体" w:eastAsia="宋体" w:hint="default"/>
          <w:w w:val="99"/>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Heading3"/>
        <w:spacing w:line="240" w:lineRule="auto" w:before="14"/>
        <w:ind w:left="457" w:right="0"/>
        <w:jc w:val="left"/>
      </w:pPr>
      <w:r>
        <w:rPr/>
        <w:t>三、证券发行和上市情况</w:t>
      </w:r>
    </w:p>
    <w:p>
      <w:pPr>
        <w:pStyle w:val="BodyText"/>
        <w:spacing w:line="374" w:lineRule="auto" w:before="227"/>
        <w:ind w:left="457" w:right="495" w:firstLine="439"/>
        <w:jc w:val="both"/>
      </w:pPr>
      <w:r>
        <w:rPr/>
        <w:t>经中国证券监督管理委员会《关于核准上海安诺其纺织化工股份有限公司首次公开发</w:t>
      </w:r>
      <w:r>
        <w:rPr>
          <w:w w:val="100"/>
        </w:rPr>
        <w:t> </w:t>
      </w:r>
      <w:r>
        <w:rPr>
          <w:spacing w:val="-6"/>
          <w:w w:val="100"/>
        </w:rPr>
        <w:t>行股票并在创业板上市的批复》（证监许可［</w:t>
      </w:r>
      <w:r>
        <w:rPr>
          <w:rFonts w:ascii="Arial" w:hAnsi="Arial" w:cs="Arial" w:eastAsia="Arial" w:hint="default"/>
          <w:spacing w:val="-6"/>
          <w:w w:val="100"/>
        </w:rPr>
        <w:t>2010</w:t>
      </w:r>
      <w:r>
        <w:rPr>
          <w:spacing w:val="-6"/>
          <w:w w:val="100"/>
        </w:rPr>
        <w:t>］</w:t>
      </w:r>
      <w:r>
        <w:rPr>
          <w:rFonts w:ascii="Arial" w:hAnsi="Arial" w:cs="Arial" w:eastAsia="Arial" w:hint="default"/>
          <w:spacing w:val="-6"/>
          <w:w w:val="100"/>
        </w:rPr>
        <w:t>366</w:t>
      </w:r>
      <w:r>
        <w:rPr>
          <w:spacing w:val="-6"/>
          <w:w w:val="100"/>
        </w:rPr>
        <w:t>号</w:t>
      </w:r>
      <w:r>
        <w:rPr>
          <w:rFonts w:ascii="Arial" w:hAnsi="Arial" w:cs="Arial" w:eastAsia="Arial" w:hint="default"/>
          <w:spacing w:val="-6"/>
          <w:w w:val="100"/>
        </w:rPr>
        <w:t>)</w:t>
      </w:r>
      <w:r>
        <w:rPr>
          <w:spacing w:val="-6"/>
          <w:w w:val="100"/>
        </w:rPr>
        <w:t>的核准，并经深圳证券交易所同</w:t>
      </w:r>
      <w:r>
        <w:rPr>
          <w:spacing w:val="-97"/>
          <w:w w:val="100"/>
        </w:rPr>
        <w:t> </w:t>
      </w:r>
      <w:r>
        <w:rPr>
          <w:spacing w:val="-97"/>
          <w:w w:val="100"/>
        </w:rPr>
      </w:r>
      <w:r>
        <w:rPr/>
        <w:t>意，本公司由主承销商平安证券有限责任公司采用网下询价配售与网上资金申购定价发行</w:t>
      </w:r>
      <w:r>
        <w:rPr>
          <w:spacing w:val="-57"/>
        </w:rPr>
        <w:t> </w:t>
      </w:r>
      <w:r>
        <w:rPr>
          <w:spacing w:val="-57"/>
        </w:rPr>
      </w:r>
      <w:r>
        <w:rPr>
          <w:spacing w:val="-3"/>
        </w:rPr>
        <w:t>相结合的方式发行人民币普通股（</w:t>
      </w:r>
      <w:r>
        <w:rPr>
          <w:rFonts w:ascii="Arial" w:hAnsi="Arial" w:cs="Arial" w:eastAsia="Arial" w:hint="default"/>
          <w:spacing w:val="-3"/>
        </w:rPr>
        <w:t>A</w:t>
      </w:r>
      <w:r>
        <w:rPr>
          <w:spacing w:val="-3"/>
        </w:rPr>
        <w:t>股）股票</w:t>
      </w:r>
      <w:r>
        <w:rPr>
          <w:rFonts w:ascii="Arial" w:hAnsi="Arial" w:cs="Arial" w:eastAsia="Arial" w:hint="default"/>
          <w:spacing w:val="-3"/>
        </w:rPr>
        <w:t>2,700</w:t>
      </w:r>
      <w:r>
        <w:rPr>
          <w:spacing w:val="-3"/>
        </w:rPr>
        <w:t>万股，发行价格为每股</w:t>
      </w:r>
      <w:r>
        <w:rPr>
          <w:rFonts w:ascii="Arial" w:hAnsi="Arial" w:cs="Arial" w:eastAsia="Arial" w:hint="default"/>
          <w:spacing w:val="-3"/>
        </w:rPr>
        <w:t>21.20</w:t>
      </w:r>
      <w:r>
        <w:rPr>
          <w:spacing w:val="-3"/>
        </w:rPr>
        <w:t>元。其中网</w:t>
      </w:r>
      <w:r>
        <w:rPr>
          <w:spacing w:val="-74"/>
        </w:rPr>
        <w:t> </w:t>
      </w:r>
      <w:r>
        <w:rPr>
          <w:spacing w:val="-74"/>
        </w:rPr>
      </w:r>
      <w:r>
        <w:rPr/>
        <w:t>下配售</w:t>
      </w:r>
      <w:r>
        <w:rPr>
          <w:rFonts w:ascii="Arial" w:hAnsi="Arial" w:cs="Arial" w:eastAsia="Arial" w:hint="default"/>
        </w:rPr>
        <w:t>540</w:t>
      </w:r>
      <w:r>
        <w:rPr>
          <w:rFonts w:ascii="Arial" w:hAnsi="Arial" w:cs="Arial" w:eastAsia="Arial" w:hint="default"/>
          <w:spacing w:val="30"/>
        </w:rPr>
        <w:t> </w:t>
      </w:r>
      <w:r>
        <w:rPr>
          <w:spacing w:val="-4"/>
        </w:rPr>
        <w:t>万股，网上定价发行</w:t>
      </w:r>
      <w:r>
        <w:rPr>
          <w:rFonts w:ascii="Arial" w:hAnsi="Arial" w:cs="Arial" w:eastAsia="Arial" w:hint="default"/>
          <w:spacing w:val="-4"/>
        </w:rPr>
        <w:t>2,160</w:t>
      </w:r>
      <w:r>
        <w:rPr>
          <w:spacing w:val="-4"/>
        </w:rPr>
        <w:t>万股。公司发行的人民币普通股股票在深圳证券交易</w:t>
      </w:r>
      <w:r>
        <w:rPr>
          <w:spacing w:val="-103"/>
        </w:rPr>
        <w:t> </w:t>
      </w:r>
      <w:r>
        <w:rPr>
          <w:spacing w:val="-103"/>
        </w:rPr>
      </w:r>
      <w:r>
        <w:rPr/>
        <w:t>所创业板上市，股票简称：安诺其，股票代码：</w:t>
      </w:r>
      <w:r>
        <w:rPr>
          <w:rFonts w:ascii="Arial" w:hAnsi="Arial" w:cs="Arial" w:eastAsia="Arial" w:hint="default"/>
        </w:rPr>
        <w:t>300067</w:t>
      </w:r>
      <w:r>
        <w:rPr/>
        <w:t>；其中网上定价发行的</w:t>
      </w:r>
      <w:r>
        <w:rPr>
          <w:rFonts w:ascii="Arial" w:hAnsi="Arial" w:cs="Arial" w:eastAsia="Arial" w:hint="default"/>
        </w:rPr>
        <w:t>2,160</w:t>
      </w:r>
      <w:r>
        <w:rPr/>
        <w:t>万股</w:t>
      </w:r>
      <w:r>
        <w:rPr>
          <w:spacing w:val="-34"/>
        </w:rPr>
        <w:t> </w:t>
      </w:r>
      <w:r>
        <w:rPr>
          <w:spacing w:val="-34"/>
        </w:rPr>
      </w:r>
      <w:r>
        <w:rPr>
          <w:spacing w:val="-3"/>
        </w:rPr>
        <w:t>股票于</w:t>
      </w:r>
      <w:r>
        <w:rPr>
          <w:rFonts w:ascii="Arial" w:hAnsi="Arial" w:cs="Arial" w:eastAsia="Arial" w:hint="default"/>
          <w:spacing w:val="-3"/>
        </w:rPr>
        <w:t>2010</w:t>
      </w:r>
      <w:r>
        <w:rPr>
          <w:spacing w:val="-3"/>
        </w:rPr>
        <w:t>年</w:t>
      </w:r>
      <w:r>
        <w:rPr>
          <w:rFonts w:ascii="Arial" w:hAnsi="Arial" w:cs="Arial" w:eastAsia="Arial" w:hint="default"/>
          <w:spacing w:val="-3"/>
        </w:rPr>
        <w:t>4</w:t>
      </w:r>
      <w:r>
        <w:rPr>
          <w:spacing w:val="-3"/>
        </w:rPr>
        <w:t>月</w:t>
      </w:r>
      <w:r>
        <w:rPr>
          <w:rFonts w:ascii="Arial" w:hAnsi="Arial" w:cs="Arial" w:eastAsia="Arial" w:hint="default"/>
          <w:spacing w:val="-3"/>
        </w:rPr>
        <w:t>21</w:t>
      </w:r>
      <w:r>
        <w:rPr>
          <w:spacing w:val="-3"/>
        </w:rPr>
        <w:t>日起上市交易，网下向配售对象配售的</w:t>
      </w:r>
      <w:r>
        <w:rPr>
          <w:rFonts w:ascii="Arial" w:hAnsi="Arial" w:cs="Arial" w:eastAsia="Arial" w:hint="default"/>
          <w:spacing w:val="-3"/>
        </w:rPr>
        <w:t>540</w:t>
      </w:r>
      <w:r>
        <w:rPr>
          <w:spacing w:val="-3"/>
        </w:rPr>
        <w:t>万股股份自本次网上资金申</w:t>
      </w:r>
      <w:r>
        <w:rPr>
          <w:spacing w:val="-53"/>
        </w:rPr>
        <w:t> </w:t>
      </w:r>
      <w:r>
        <w:rPr>
          <w:spacing w:val="-53"/>
        </w:rPr>
      </w:r>
      <w:r>
        <w:rPr>
          <w:spacing w:val="-2"/>
        </w:rPr>
        <w:t>购发行的股票在深圳证券交易所创业板上市交易之日起锁定</w:t>
      </w:r>
      <w:r>
        <w:rPr>
          <w:rFonts w:ascii="Arial" w:hAnsi="Arial" w:cs="Arial" w:eastAsia="Arial" w:hint="default"/>
          <w:spacing w:val="-2"/>
        </w:rPr>
        <w:t>3</w:t>
      </w:r>
      <w:r>
        <w:rPr>
          <w:spacing w:val="-2"/>
        </w:rPr>
        <w:t>个月，于</w:t>
      </w:r>
      <w:r>
        <w:rPr>
          <w:rFonts w:ascii="Arial" w:hAnsi="Arial" w:cs="Arial" w:eastAsia="Arial" w:hint="default"/>
          <w:spacing w:val="-2"/>
        </w:rPr>
        <w:t>2010</w:t>
      </w:r>
      <w:r>
        <w:rPr>
          <w:spacing w:val="-2"/>
        </w:rPr>
        <w:t>年</w:t>
      </w:r>
      <w:r>
        <w:rPr>
          <w:rFonts w:ascii="Arial" w:hAnsi="Arial" w:cs="Arial" w:eastAsia="Arial" w:hint="default"/>
          <w:spacing w:val="-2"/>
        </w:rPr>
        <w:t>7</w:t>
      </w:r>
      <w:r>
        <w:rPr>
          <w:spacing w:val="-2"/>
        </w:rPr>
        <w:t>月</w:t>
      </w:r>
      <w:r>
        <w:rPr>
          <w:rFonts w:ascii="Arial" w:hAnsi="Arial" w:cs="Arial" w:eastAsia="Arial" w:hint="default"/>
          <w:spacing w:val="-2"/>
        </w:rPr>
        <w:t>23</w:t>
      </w:r>
      <w:r>
        <w:rPr>
          <w:spacing w:val="-2"/>
        </w:rPr>
        <w:t>日起上</w:t>
      </w:r>
      <w:r>
        <w:rPr>
          <w:spacing w:val="-78"/>
        </w:rPr>
        <w:t> </w:t>
      </w:r>
      <w:r>
        <w:rPr>
          <w:spacing w:val="-78"/>
        </w:rPr>
      </w:r>
      <w:r>
        <w:rPr/>
        <w:t>市交易。</w:t>
      </w:r>
    </w:p>
    <w:p>
      <w:pPr>
        <w:pStyle w:val="Heading3"/>
        <w:spacing w:line="240" w:lineRule="auto" w:before="87"/>
        <w:ind w:left="457" w:right="0"/>
        <w:jc w:val="left"/>
      </w:pPr>
      <w:r>
        <w:rPr/>
        <w:t>四、控股股东与实际控制人情况</w:t>
      </w:r>
    </w:p>
    <w:p>
      <w:pPr>
        <w:spacing w:line="240" w:lineRule="auto" w:before="9"/>
        <w:rPr>
          <w:rFonts w:ascii="宋体" w:hAnsi="宋体" w:cs="宋体" w:eastAsia="宋体" w:hint="default"/>
          <w:sz w:val="19"/>
          <w:szCs w:val="19"/>
        </w:rPr>
      </w:pPr>
    </w:p>
    <w:p>
      <w:pPr>
        <w:pStyle w:val="Heading3"/>
        <w:spacing w:line="240" w:lineRule="auto"/>
        <w:ind w:left="457" w:right="0"/>
        <w:jc w:val="left"/>
      </w:pPr>
      <w:r>
        <w:rPr/>
        <w:t>（一）控股股东与实际控制人简介</w:t>
      </w:r>
    </w:p>
    <w:p>
      <w:pPr>
        <w:pStyle w:val="BodyText"/>
        <w:spacing w:line="369" w:lineRule="auto" w:before="227"/>
        <w:ind w:left="457" w:right="0" w:firstLine="439"/>
        <w:jc w:val="left"/>
      </w:pPr>
      <w:r>
        <w:rPr/>
        <w:t>公司控股股东为纪立军、张烈寅夫妇，两人持有本公司</w:t>
      </w:r>
      <w:r>
        <w:rPr>
          <w:rFonts w:ascii="Arial" w:hAnsi="Arial" w:cs="Arial" w:eastAsia="Arial" w:hint="default"/>
        </w:rPr>
        <w:t>5,572.12</w:t>
      </w:r>
      <w:r>
        <w:rPr/>
        <w:t>万股，占公司总股本</w:t>
      </w:r>
      <w:r>
        <w:rPr>
          <w:w w:val="100"/>
        </w:rPr>
        <w:t> </w:t>
      </w:r>
      <w:r>
        <w:rPr/>
        <w:t>的</w:t>
      </w:r>
      <w:r>
        <w:rPr>
          <w:rFonts w:ascii="Arial" w:hAnsi="Arial" w:cs="Arial" w:eastAsia="Arial" w:hint="default"/>
        </w:rPr>
        <w:t>52.07%</w:t>
      </w:r>
      <w:r>
        <w:rPr/>
        <w:t>。纪立军先生的基本情况如下：</w:t>
      </w:r>
    </w:p>
    <w:p>
      <w:pPr>
        <w:pStyle w:val="BodyText"/>
        <w:spacing w:line="374" w:lineRule="auto" w:before="31"/>
        <w:ind w:left="457" w:right="0" w:firstLine="439"/>
        <w:jc w:val="left"/>
      </w:pPr>
      <w:r>
        <w:rPr/>
        <w:t>纪立军先生，董事长，中国国籍，无境外永久居留权，男，</w:t>
      </w:r>
      <w:r>
        <w:rPr>
          <w:rFonts w:ascii="Arial" w:hAnsi="Arial" w:cs="Arial" w:eastAsia="Arial" w:hint="default"/>
        </w:rPr>
        <w:t>1971</w:t>
      </w:r>
      <w:r>
        <w:rPr/>
        <w:t>年出生，复旦大学工</w:t>
      </w:r>
      <w:r>
        <w:rPr>
          <w:w w:val="100"/>
        </w:rPr>
        <w:t> </w:t>
      </w:r>
      <w:r>
        <w:rPr>
          <w:spacing w:val="-1"/>
        </w:rPr>
        <w:t>商管理硕士。</w:t>
      </w:r>
      <w:r>
        <w:rPr>
          <w:rFonts w:ascii="Arial" w:hAnsi="Arial" w:cs="Arial" w:eastAsia="Arial" w:hint="default"/>
          <w:spacing w:val="-1"/>
        </w:rPr>
        <w:t>1994</w:t>
      </w:r>
      <w:r>
        <w:rPr>
          <w:spacing w:val="-1"/>
        </w:rPr>
        <w:t>年毕业于东华大学，</w:t>
      </w:r>
      <w:r>
        <w:rPr>
          <w:rFonts w:ascii="Arial" w:hAnsi="Arial" w:cs="Arial" w:eastAsia="Arial" w:hint="default"/>
          <w:spacing w:val="-1"/>
        </w:rPr>
        <w:t>1994</w:t>
      </w:r>
      <w:r>
        <w:rPr>
          <w:spacing w:val="-1"/>
        </w:rPr>
        <w:t>年至</w:t>
      </w:r>
      <w:r>
        <w:rPr>
          <w:rFonts w:ascii="Arial" w:hAnsi="Arial" w:cs="Arial" w:eastAsia="Arial" w:hint="default"/>
          <w:spacing w:val="-1"/>
        </w:rPr>
        <w:t>1995</w:t>
      </w:r>
      <w:r>
        <w:rPr>
          <w:spacing w:val="-1"/>
        </w:rPr>
        <w:t>年期间就职于丹东化纤公司技术部，</w:t>
      </w:r>
      <w:r>
        <w:rPr>
          <w:spacing w:val="-83"/>
        </w:rPr>
        <w:t> </w:t>
      </w:r>
      <w:r>
        <w:rPr>
          <w:spacing w:val="-83"/>
        </w:rPr>
      </w:r>
      <w:r>
        <w:rPr>
          <w:rFonts w:ascii="Arial" w:hAnsi="Arial" w:cs="Arial" w:eastAsia="Arial" w:hint="default"/>
        </w:rPr>
        <w:t>1996</w:t>
      </w:r>
      <w:r>
        <w:rPr/>
        <w:t>年至</w:t>
      </w:r>
      <w:r>
        <w:rPr>
          <w:rFonts w:ascii="Arial" w:hAnsi="Arial" w:cs="Arial" w:eastAsia="Arial" w:hint="default"/>
        </w:rPr>
        <w:t>1999</w:t>
      </w:r>
      <w:r>
        <w:rPr/>
        <w:t>年期间任</w:t>
      </w:r>
      <w:r>
        <w:rPr>
          <w:rFonts w:ascii="Arial" w:hAnsi="Arial" w:cs="Arial" w:eastAsia="Arial" w:hint="default"/>
        </w:rPr>
        <w:t>LG</w:t>
      </w:r>
      <w:r>
        <w:rPr/>
        <w:t>精密化工上海分公司经理，自</w:t>
      </w:r>
      <w:r>
        <w:rPr>
          <w:rFonts w:ascii="Arial" w:hAnsi="Arial" w:cs="Arial" w:eastAsia="Arial" w:hint="default"/>
        </w:rPr>
        <w:t>1999</w:t>
      </w:r>
      <w:r>
        <w:rPr/>
        <w:t>年底合作创办本公司并一直</w:t>
      </w:r>
      <w:r>
        <w:rPr>
          <w:spacing w:val="-66"/>
        </w:rPr>
        <w:t> </w:t>
      </w:r>
      <w:r>
        <w:rPr>
          <w:spacing w:val="-66"/>
        </w:rPr>
      </w:r>
      <w:r>
        <w:rPr/>
        <w:t>担任总经理，现任公司董事长，此外他还担任烟台安诺其和东营安诺其执行董事和中国染</w:t>
      </w:r>
      <w:r>
        <w:rPr>
          <w:spacing w:val="-57"/>
        </w:rPr>
        <w:t> </w:t>
      </w:r>
      <w:r>
        <w:rPr>
          <w:spacing w:val="-57"/>
        </w:rPr>
      </w:r>
      <w:r>
        <w:rPr/>
        <w:t>料协会理事。</w:t>
      </w:r>
      <w:r>
        <w:rPr>
          <w:rFonts w:ascii="Arial" w:hAnsi="Arial" w:cs="Arial" w:eastAsia="Arial" w:hint="default"/>
        </w:rPr>
        <w:t>2008</w:t>
      </w:r>
      <w:r>
        <w:rPr/>
        <w:t>年</w:t>
      </w:r>
      <w:r>
        <w:rPr>
          <w:rFonts w:ascii="Arial" w:hAnsi="Arial" w:cs="Arial" w:eastAsia="Arial" w:hint="default"/>
        </w:rPr>
        <w:t>6</w:t>
      </w:r>
      <w:r>
        <w:rPr/>
        <w:t>月纪立军先生荣获“中国优秀创新企业家”称号。</w:t>
      </w:r>
    </w:p>
    <w:p>
      <w:pPr>
        <w:pStyle w:val="Heading3"/>
        <w:spacing w:line="240" w:lineRule="auto" w:before="57"/>
        <w:ind w:left="457" w:right="0"/>
        <w:jc w:val="left"/>
      </w:pPr>
      <w:r>
        <w:rPr/>
        <w:t>（二）公司与实际控制人之间的产权和控制关系如下图：</w:t>
      </w:r>
    </w:p>
    <w:p>
      <w:pPr>
        <w:spacing w:after="0" w:line="240" w:lineRule="auto"/>
        <w:jc w:val="left"/>
        <w:sectPr>
          <w:pgSz w:w="11900" w:h="16840"/>
          <w:pgMar w:header="877" w:footer="981" w:top="1100" w:bottom="1180" w:left="1340" w:right="9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tbl>
      <w:tblPr>
        <w:tblW w:w="0" w:type="auto"/>
        <w:jc w:val="left"/>
        <w:tblInd w:w="3108" w:type="dxa"/>
        <w:tblLayout w:type="fixed"/>
        <w:tblCellMar>
          <w:top w:w="0" w:type="dxa"/>
          <w:left w:w="0" w:type="dxa"/>
          <w:bottom w:w="0" w:type="dxa"/>
          <w:right w:w="0" w:type="dxa"/>
        </w:tblCellMar>
        <w:tblLook w:val="01E0"/>
      </w:tblPr>
      <w:tblGrid>
        <w:gridCol w:w="1346"/>
        <w:gridCol w:w="1346"/>
      </w:tblGrid>
      <w:tr>
        <w:trPr>
          <w:trHeight w:val="850" w:hRule="exact"/>
        </w:trPr>
        <w:tc>
          <w:tcPr>
            <w:tcW w:w="2693" w:type="dxa"/>
            <w:gridSpan w:val="2"/>
            <w:tcBorders>
              <w:top w:val="single" w:sz="2" w:space="0" w:color="000000"/>
              <w:left w:val="single" w:sz="2" w:space="0" w:color="000000"/>
              <w:bottom w:val="single" w:sz="2" w:space="0" w:color="000000"/>
              <w:right w:val="single" w:sz="2" w:space="0" w:color="000000"/>
            </w:tcBorders>
            <w:shd w:val="clear" w:color="auto" w:fill="E8EEF7"/>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64" w:right="0"/>
              <w:jc w:val="left"/>
              <w:rPr>
                <w:rFonts w:ascii="宋体" w:hAnsi="宋体" w:cs="宋体" w:eastAsia="宋体" w:hint="default"/>
                <w:sz w:val="24"/>
                <w:szCs w:val="24"/>
              </w:rPr>
            </w:pPr>
            <w:r>
              <w:rPr>
                <w:rFonts w:ascii="宋体" w:hAnsi="宋体" w:cs="宋体" w:eastAsia="宋体" w:hint="default"/>
                <w:sz w:val="24"/>
                <w:szCs w:val="24"/>
              </w:rPr>
              <w:t>纪立军、张列寅夫妇</w:t>
            </w:r>
          </w:p>
        </w:tc>
      </w:tr>
      <w:tr>
        <w:trPr>
          <w:trHeight w:val="1286" w:hRule="exact"/>
        </w:trPr>
        <w:tc>
          <w:tcPr>
            <w:tcW w:w="1346" w:type="dxa"/>
            <w:tcBorders>
              <w:top w:val="single" w:sz="2" w:space="0" w:color="000000"/>
              <w:left w:val="nil" w:sz="6" w:space="0" w:color="auto"/>
              <w:bottom w:val="nil" w:sz="6" w:space="0" w:color="auto"/>
              <w:right w:val="single" w:sz="10" w:space="0" w:color="000000"/>
            </w:tcBorders>
          </w:tcPr>
          <w:p>
            <w:pPr/>
          </w:p>
        </w:tc>
        <w:tc>
          <w:tcPr>
            <w:tcW w:w="1346" w:type="dxa"/>
            <w:tcBorders>
              <w:top w:val="single" w:sz="2" w:space="0" w:color="000000"/>
              <w:left w:val="single" w:sz="10"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left="201" w:right="0"/>
              <w:jc w:val="left"/>
              <w:rPr>
                <w:rFonts w:ascii="Times New Roman" w:hAnsi="Times New Roman" w:cs="Times New Roman" w:eastAsia="Times New Roman" w:hint="default"/>
                <w:sz w:val="20"/>
                <w:szCs w:val="20"/>
              </w:rPr>
            </w:pPr>
            <w:r>
              <w:rPr>
                <w:rFonts w:ascii="Times New Roman"/>
                <w:sz w:val="20"/>
              </w:rPr>
              <w:t>52.07%</w:t>
            </w:r>
          </w:p>
        </w:tc>
      </w:tr>
    </w:tbl>
    <w:p>
      <w:pPr>
        <w:spacing w:line="240" w:lineRule="auto" w:before="12"/>
        <w:rPr>
          <w:rFonts w:ascii="宋体" w:hAnsi="宋体" w:cs="宋体" w:eastAsia="宋体" w:hint="default"/>
          <w:sz w:val="9"/>
          <w:szCs w:val="9"/>
        </w:rPr>
      </w:pPr>
    </w:p>
    <w:p>
      <w:pPr>
        <w:spacing w:line="849" w:lineRule="exact"/>
        <w:ind w:left="2542" w:right="0" w:firstLine="0"/>
        <w:rPr>
          <w:rFonts w:ascii="宋体" w:hAnsi="宋体" w:cs="宋体" w:eastAsia="宋体" w:hint="default"/>
          <w:sz w:val="20"/>
          <w:szCs w:val="20"/>
        </w:rPr>
      </w:pPr>
      <w:r>
        <w:rPr>
          <w:rFonts w:ascii="宋体" w:hAnsi="宋体" w:cs="宋体" w:eastAsia="宋体" w:hint="default"/>
          <w:position w:val="-16"/>
          <w:sz w:val="20"/>
          <w:szCs w:val="20"/>
        </w:rPr>
        <w:pict>
          <v:shape style="width:191.55pt;height:42.5pt;mso-position-horizontal-relative:char;mso-position-vertical-relative:line" type="#_x0000_t202" filled="true" fillcolor="#e8eef7" stroked="true" strokeweight=".239808pt" strokecolor="#000000">
            <w10:anchorlock/>
            <v:textbox inset="0,0,0,0">
              <w:txbxContent>
                <w:p>
                  <w:pPr>
                    <w:spacing w:line="240" w:lineRule="auto" w:before="10"/>
                    <w:rPr>
                      <w:rFonts w:ascii="宋体" w:hAnsi="宋体" w:cs="宋体" w:eastAsia="宋体" w:hint="default"/>
                      <w:sz w:val="16"/>
                      <w:szCs w:val="16"/>
                    </w:rPr>
                  </w:pPr>
                </w:p>
                <w:p>
                  <w:pPr>
                    <w:spacing w:before="0"/>
                    <w:ind w:left="112" w:right="0" w:firstLine="0"/>
                    <w:jc w:val="left"/>
                    <w:rPr>
                      <w:rFonts w:ascii="宋体" w:hAnsi="宋体" w:cs="宋体" w:eastAsia="宋体" w:hint="default"/>
                      <w:sz w:val="24"/>
                      <w:szCs w:val="24"/>
                    </w:rPr>
                  </w:pPr>
                  <w:r>
                    <w:rPr>
                      <w:rFonts w:ascii="宋体" w:hAnsi="宋体" w:cs="宋体" w:eastAsia="宋体" w:hint="default"/>
                      <w:sz w:val="24"/>
                      <w:szCs w:val="24"/>
                    </w:rPr>
                    <w:t>上海安诺其纺织化工股份有限公司</w:t>
                  </w:r>
                </w:p>
              </w:txbxContent>
            </v:textbox>
            <v:fill type="solid"/>
          </v:shape>
        </w:pict>
      </w:r>
      <w:r>
        <w:rPr>
          <w:rFonts w:ascii="宋体" w:hAnsi="宋体" w:cs="宋体" w:eastAsia="宋体" w:hint="default"/>
          <w:position w:val="-16"/>
          <w:sz w:val="20"/>
          <w:szCs w:val="20"/>
        </w:rPr>
      </w:r>
    </w:p>
    <w:p>
      <w:pPr>
        <w:spacing w:line="240" w:lineRule="auto" w:before="8"/>
        <w:rPr>
          <w:rFonts w:ascii="宋体" w:hAnsi="宋体" w:cs="宋体" w:eastAsia="宋体" w:hint="default"/>
          <w:sz w:val="17"/>
          <w:szCs w:val="17"/>
        </w:rPr>
      </w:pPr>
    </w:p>
    <w:p>
      <w:pPr>
        <w:spacing w:before="14"/>
        <w:ind w:left="137" w:right="0" w:firstLine="0"/>
        <w:jc w:val="left"/>
        <w:rPr>
          <w:rFonts w:ascii="宋体" w:hAnsi="宋体" w:cs="宋体" w:eastAsia="宋体" w:hint="default"/>
          <w:sz w:val="28"/>
          <w:szCs w:val="28"/>
        </w:rPr>
      </w:pPr>
      <w:r>
        <w:rPr/>
        <w:pict>
          <v:group style="position:absolute;margin-left:302.160004pt;margin-top:-61.429058pt;width:7.45pt;height:7.45pt;mso-position-horizontal-relative:page;mso-position-vertical-relative:paragraph;z-index:-601960" coordorigin="6043,-1229" coordsize="149,149">
            <v:shape style="position:absolute;left:6043;top:-1229;width:149;height:149" coordorigin="6043,-1229" coordsize="149,149" path="m6192,-1229l6043,-1229,6118,-1080,6192,-1229xe" filled="true" fillcolor="#000000" stroked="false">
              <v:path arrowok="t"/>
              <v:fill type="solid"/>
            </v:shape>
            <w10:wrap type="none"/>
          </v:group>
        </w:pict>
      </w:r>
      <w:r>
        <w:rPr>
          <w:rFonts w:ascii="宋体" w:hAnsi="宋体" w:cs="宋体" w:eastAsia="宋体" w:hint="default"/>
          <w:sz w:val="28"/>
          <w:szCs w:val="28"/>
        </w:rPr>
        <w:t>（三）其他持有本公司</w:t>
      </w:r>
      <w:r>
        <w:rPr>
          <w:rFonts w:ascii="Arial" w:hAnsi="Arial" w:cs="Arial" w:eastAsia="Arial" w:hint="default"/>
          <w:b/>
          <w:bCs/>
          <w:sz w:val="28"/>
          <w:szCs w:val="28"/>
        </w:rPr>
        <w:t>5%</w:t>
      </w:r>
      <w:r>
        <w:rPr>
          <w:rFonts w:ascii="宋体" w:hAnsi="宋体" w:cs="宋体" w:eastAsia="宋体" w:hint="default"/>
          <w:sz w:val="28"/>
          <w:szCs w:val="28"/>
        </w:rPr>
        <w:t>以上</w:t>
      </w:r>
      <w:r>
        <w:rPr>
          <w:rFonts w:ascii="Arial" w:hAnsi="Arial" w:cs="Arial" w:eastAsia="Arial" w:hint="default"/>
          <w:b/>
          <w:bCs/>
          <w:sz w:val="28"/>
          <w:szCs w:val="28"/>
        </w:rPr>
        <w:t>(</w:t>
      </w:r>
      <w:r>
        <w:rPr>
          <w:rFonts w:ascii="宋体" w:hAnsi="宋体" w:cs="宋体" w:eastAsia="宋体" w:hint="default"/>
          <w:sz w:val="28"/>
          <w:szCs w:val="28"/>
        </w:rPr>
        <w:t>含</w:t>
      </w:r>
      <w:r>
        <w:rPr>
          <w:rFonts w:ascii="Arial" w:hAnsi="Arial" w:cs="Arial" w:eastAsia="Arial" w:hint="default"/>
          <w:b/>
          <w:bCs/>
          <w:sz w:val="28"/>
          <w:szCs w:val="28"/>
        </w:rPr>
        <w:t>5%)</w:t>
      </w:r>
      <w:r>
        <w:rPr>
          <w:rFonts w:ascii="宋体" w:hAnsi="宋体" w:cs="宋体" w:eastAsia="宋体" w:hint="default"/>
          <w:sz w:val="28"/>
          <w:szCs w:val="28"/>
        </w:rPr>
        <w:t>股份的股东情况</w:t>
      </w:r>
    </w:p>
    <w:p>
      <w:pPr>
        <w:pStyle w:val="BodyText"/>
        <w:spacing w:line="369" w:lineRule="auto" w:before="207"/>
        <w:ind w:right="118" w:firstLine="439"/>
        <w:jc w:val="both"/>
      </w:pPr>
      <w:r>
        <w:rPr/>
        <w:t>臧少玉先生，现任公司董事、总经理，报告期末持有本公司</w:t>
      </w:r>
      <w:r>
        <w:rPr>
          <w:rFonts w:ascii="Arial" w:hAnsi="Arial" w:cs="Arial" w:eastAsia="Arial" w:hint="default"/>
        </w:rPr>
        <w:t>1,553.40</w:t>
      </w:r>
      <w:r>
        <w:rPr/>
        <w:t>万股，占公司总</w:t>
      </w:r>
      <w:r>
        <w:rPr>
          <w:w w:val="100"/>
        </w:rPr>
        <w:t> </w:t>
      </w:r>
      <w:r>
        <w:rPr/>
        <w:t>股本的</w:t>
      </w:r>
      <w:r>
        <w:rPr>
          <w:rFonts w:ascii="Arial" w:hAnsi="Arial" w:cs="Arial" w:eastAsia="Arial" w:hint="default"/>
        </w:rPr>
        <w:t>14.52%</w:t>
      </w:r>
      <w:r>
        <w:rPr/>
        <w:t>。臧少玉先生的基本情况如下：</w:t>
      </w:r>
    </w:p>
    <w:p>
      <w:pPr>
        <w:pStyle w:val="BodyText"/>
        <w:spacing w:line="369" w:lineRule="auto" w:before="31"/>
        <w:ind w:right="115" w:firstLine="439"/>
        <w:jc w:val="both"/>
      </w:pPr>
      <w:r>
        <w:rPr/>
        <w:t>臧少玉先生，董事、总经理，中国国籍，无境外永久居留权，男， </w:t>
      </w:r>
      <w:r>
        <w:rPr>
          <w:rFonts w:ascii="Arial" w:hAnsi="Arial" w:cs="Arial" w:eastAsia="Arial" w:hint="default"/>
        </w:rPr>
        <w:t>1973</w:t>
      </w:r>
      <w:r>
        <w:rPr/>
        <w:t>年生，</w:t>
      </w:r>
      <w:r>
        <w:rPr>
          <w:spacing w:val="-48"/>
        </w:rPr>
        <w:t> </w:t>
      </w:r>
      <w:r>
        <w:rPr>
          <w:rFonts w:ascii="Arial" w:hAnsi="Arial" w:cs="Arial" w:eastAsia="Arial" w:hint="default"/>
        </w:rPr>
        <w:t>1996</w:t>
      </w:r>
      <w:r>
        <w:rPr>
          <w:rFonts w:ascii="Arial" w:hAnsi="Arial" w:cs="Arial" w:eastAsia="Arial" w:hint="default"/>
          <w:w w:val="100"/>
        </w:rPr>
        <w:t> </w:t>
      </w:r>
      <w:r>
        <w:rPr>
          <w:spacing w:val="-2"/>
        </w:rPr>
        <w:t>年东华大学本科毕业。大学毕业后就职于烟台宽幅布厂技术科，</w:t>
      </w:r>
      <w:r>
        <w:rPr>
          <w:rFonts w:ascii="Arial" w:hAnsi="Arial" w:cs="Arial" w:eastAsia="Arial" w:hint="default"/>
          <w:spacing w:val="-2"/>
        </w:rPr>
        <w:t>1997</w:t>
      </w:r>
      <w:r>
        <w:rPr>
          <w:spacing w:val="-2"/>
        </w:rPr>
        <w:t>年至</w:t>
      </w:r>
      <w:r>
        <w:rPr>
          <w:rFonts w:ascii="Arial" w:hAnsi="Arial" w:cs="Arial" w:eastAsia="Arial" w:hint="default"/>
          <w:spacing w:val="-2"/>
        </w:rPr>
        <w:t>2000</w:t>
      </w:r>
      <w:r>
        <w:rPr>
          <w:spacing w:val="-2"/>
        </w:rPr>
        <w:t>年任伊曼纺</w:t>
      </w:r>
      <w:r>
        <w:rPr>
          <w:spacing w:val="-80"/>
        </w:rPr>
        <w:t> </w:t>
      </w:r>
      <w:r>
        <w:rPr>
          <w:spacing w:val="-80"/>
        </w:rPr>
      </w:r>
      <w:r>
        <w:rPr>
          <w:spacing w:val="-1"/>
        </w:rPr>
        <w:t>织化工公司染料部经理，</w:t>
      </w:r>
      <w:r>
        <w:rPr>
          <w:rFonts w:ascii="Arial" w:hAnsi="Arial" w:cs="Arial" w:eastAsia="Arial" w:hint="default"/>
          <w:spacing w:val="-1"/>
        </w:rPr>
        <w:t>2001</w:t>
      </w:r>
      <w:r>
        <w:rPr>
          <w:spacing w:val="-1"/>
        </w:rPr>
        <w:t>年加入安诺其有限并担任副总经理。臧少玉先生主持了公司</w:t>
      </w:r>
      <w:r>
        <w:rPr>
          <w:spacing w:val="-68"/>
        </w:rPr>
        <w:t> </w:t>
      </w:r>
      <w:r>
        <w:rPr>
          <w:spacing w:val="-68"/>
        </w:rPr>
      </w:r>
      <w:r>
        <w:rPr/>
        <w:t>多项新型染料的研发工作，并带领团队在开拓新市场方面取得突出成绩。</w:t>
      </w:r>
    </w:p>
    <w:p>
      <w:pPr>
        <w:spacing w:after="0" w:line="369" w:lineRule="auto"/>
        <w:jc w:val="both"/>
        <w:sectPr>
          <w:pgSz w:w="11900" w:h="16840"/>
          <w:pgMar w:header="877" w:footer="981" w:top="1100" w:bottom="1180" w:left="1660" w:right="1340"/>
        </w:sectPr>
      </w:pPr>
    </w:p>
    <w:p>
      <w:pPr>
        <w:spacing w:line="240" w:lineRule="auto" w:before="1"/>
        <w:rPr>
          <w:rFonts w:ascii="宋体" w:hAnsi="宋体" w:cs="宋体" w:eastAsia="宋体" w:hint="default"/>
          <w:sz w:val="27"/>
          <w:szCs w:val="27"/>
        </w:rPr>
      </w:pPr>
    </w:p>
    <w:p>
      <w:pPr>
        <w:pStyle w:val="Heading1"/>
        <w:tabs>
          <w:tab w:pos="2317" w:val="left" w:leader="none"/>
        </w:tabs>
        <w:spacing w:line="460" w:lineRule="exact"/>
        <w:ind w:left="877" w:right="0"/>
        <w:jc w:val="left"/>
      </w:pPr>
      <w:bookmarkStart w:name="_TOC_250004" w:id="6"/>
      <w:r>
        <w:rPr>
          <w:w w:val="95"/>
        </w:rPr>
        <w:t>第六节</w:t>
        <w:tab/>
      </w:r>
      <w:bookmarkEnd w:id="6"/>
      <w:r>
        <w:rPr/>
        <w:t>董事、监事和高级管理人员和员工情况</w:t>
      </w:r>
    </w:p>
    <w:p>
      <w:pPr>
        <w:pStyle w:val="Heading3"/>
        <w:spacing w:line="240" w:lineRule="auto" w:before="217"/>
        <w:ind w:left="337" w:right="0"/>
        <w:jc w:val="left"/>
      </w:pPr>
      <w:r>
        <w:rPr/>
        <w:t>一、董事、监事、高级管理人员情况</w:t>
      </w:r>
    </w:p>
    <w:p>
      <w:pPr>
        <w:spacing w:line="240" w:lineRule="auto" w:before="9"/>
        <w:rPr>
          <w:rFonts w:ascii="宋体" w:hAnsi="宋体" w:cs="宋体" w:eastAsia="宋体" w:hint="default"/>
          <w:sz w:val="19"/>
          <w:szCs w:val="19"/>
        </w:rPr>
      </w:pPr>
    </w:p>
    <w:p>
      <w:pPr>
        <w:pStyle w:val="Heading3"/>
        <w:spacing w:line="240" w:lineRule="auto"/>
        <w:ind w:left="337" w:right="0"/>
        <w:jc w:val="left"/>
      </w:pPr>
      <w:r>
        <w:rPr/>
        <w:t>（一）董事、监事、高级管理人员持股变动及报酬情况</w:t>
      </w:r>
    </w:p>
    <w:p>
      <w:pPr>
        <w:spacing w:line="240" w:lineRule="auto" w:before="2"/>
        <w:rPr>
          <w:rFonts w:ascii="宋体" w:hAnsi="宋体" w:cs="宋体" w:eastAsia="宋体"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653"/>
        <w:gridCol w:w="883"/>
        <w:gridCol w:w="427"/>
        <w:gridCol w:w="427"/>
        <w:gridCol w:w="1003"/>
        <w:gridCol w:w="1006"/>
        <w:gridCol w:w="958"/>
        <w:gridCol w:w="958"/>
        <w:gridCol w:w="466"/>
        <w:gridCol w:w="1219"/>
        <w:gridCol w:w="1075"/>
      </w:tblGrid>
      <w:tr>
        <w:trPr>
          <w:trHeight w:val="1258" w:hRule="exact"/>
        </w:trPr>
        <w:tc>
          <w:tcPr>
            <w:tcW w:w="6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8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4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性别</w:t>
            </w:r>
          </w:p>
        </w:tc>
        <w:tc>
          <w:tcPr>
            <w:tcW w:w="4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0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405" w:right="46" w:hanging="360"/>
              <w:jc w:val="left"/>
              <w:rPr>
                <w:rFonts w:ascii="宋体" w:hAnsi="宋体" w:cs="宋体" w:eastAsia="宋体" w:hint="default"/>
                <w:sz w:val="18"/>
                <w:szCs w:val="18"/>
              </w:rPr>
            </w:pPr>
            <w:r>
              <w:rPr>
                <w:rFonts w:ascii="宋体" w:hAnsi="宋体" w:cs="宋体" w:eastAsia="宋体" w:hint="default"/>
                <w:sz w:val="18"/>
                <w:szCs w:val="18"/>
              </w:rPr>
              <w:t>任期起始日</w:t>
            </w:r>
            <w:r>
              <w:rPr>
                <w:rFonts w:ascii="宋体" w:hAnsi="宋体" w:cs="宋体" w:eastAsia="宋体" w:hint="default"/>
                <w:w w:val="99"/>
                <w:sz w:val="18"/>
                <w:szCs w:val="18"/>
              </w:rPr>
              <w:t> </w:t>
            </w:r>
            <w:r>
              <w:rPr>
                <w:rFonts w:ascii="宋体" w:hAnsi="宋体" w:cs="宋体" w:eastAsia="宋体" w:hint="default"/>
                <w:sz w:val="18"/>
                <w:szCs w:val="18"/>
              </w:rPr>
              <w:t>期</w:t>
            </w:r>
          </w:p>
        </w:tc>
        <w:tc>
          <w:tcPr>
            <w:tcW w:w="10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407" w:right="46" w:hanging="360"/>
              <w:jc w:val="left"/>
              <w:rPr>
                <w:rFonts w:ascii="宋体" w:hAnsi="宋体" w:cs="宋体" w:eastAsia="宋体" w:hint="default"/>
                <w:sz w:val="18"/>
                <w:szCs w:val="18"/>
              </w:rPr>
            </w:pPr>
            <w:r>
              <w:rPr>
                <w:rFonts w:ascii="宋体" w:hAnsi="宋体" w:cs="宋体" w:eastAsia="宋体" w:hint="default"/>
                <w:sz w:val="18"/>
                <w:szCs w:val="18"/>
              </w:rPr>
              <w:t>任期终止日</w:t>
            </w:r>
            <w:r>
              <w:rPr>
                <w:rFonts w:ascii="宋体" w:hAnsi="宋体" w:cs="宋体" w:eastAsia="宋体" w:hint="default"/>
                <w:w w:val="99"/>
                <w:sz w:val="18"/>
                <w:szCs w:val="18"/>
              </w:rPr>
              <w:t> </w:t>
            </w:r>
            <w:r>
              <w:rPr>
                <w:rFonts w:ascii="宋体" w:hAnsi="宋体" w:cs="宋体" w:eastAsia="宋体" w:hint="default"/>
                <w:sz w:val="18"/>
                <w:szCs w:val="18"/>
              </w:rPr>
              <w:t>期</w:t>
            </w:r>
          </w:p>
        </w:tc>
        <w:tc>
          <w:tcPr>
            <w:tcW w:w="9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年初持股数</w:t>
            </w:r>
          </w:p>
        </w:tc>
        <w:tc>
          <w:tcPr>
            <w:tcW w:w="9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年末持股数</w:t>
            </w:r>
          </w:p>
        </w:tc>
        <w:tc>
          <w:tcPr>
            <w:tcW w:w="4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45" w:right="48"/>
              <w:jc w:val="left"/>
              <w:rPr>
                <w:rFonts w:ascii="宋体" w:hAnsi="宋体" w:cs="宋体" w:eastAsia="宋体" w:hint="default"/>
                <w:sz w:val="18"/>
                <w:szCs w:val="18"/>
              </w:rPr>
            </w:pPr>
            <w:r>
              <w:rPr>
                <w:rFonts w:ascii="宋体" w:hAnsi="宋体" w:cs="宋体" w:eastAsia="宋体" w:hint="default"/>
                <w:sz w:val="18"/>
                <w:szCs w:val="18"/>
              </w:rPr>
              <w:t>变动</w:t>
            </w:r>
            <w:r>
              <w:rPr>
                <w:rFonts w:ascii="宋体" w:hAnsi="宋体" w:cs="宋体" w:eastAsia="宋体" w:hint="default"/>
                <w:w w:val="99"/>
                <w:sz w:val="18"/>
                <w:szCs w:val="18"/>
              </w:rPr>
              <w:t> </w:t>
            </w:r>
            <w:r>
              <w:rPr>
                <w:rFonts w:ascii="宋体" w:hAnsi="宋体" w:cs="宋体" w:eastAsia="宋体" w:hint="default"/>
                <w:sz w:val="18"/>
                <w:szCs w:val="18"/>
              </w:rPr>
              <w:t>原因</w:t>
            </w:r>
          </w:p>
        </w:tc>
        <w:tc>
          <w:tcPr>
            <w:tcW w:w="12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8"/>
              <w:ind w:left="62" w:right="19"/>
              <w:jc w:val="both"/>
              <w:rPr>
                <w:rFonts w:ascii="宋体" w:hAnsi="宋体" w:cs="宋体" w:eastAsia="宋体" w:hint="default"/>
                <w:sz w:val="18"/>
                <w:szCs w:val="18"/>
              </w:rPr>
            </w:pPr>
            <w:r>
              <w:rPr>
                <w:rFonts w:ascii="宋体" w:hAnsi="宋体" w:cs="宋体" w:eastAsia="宋体" w:hint="default"/>
                <w:sz w:val="18"/>
                <w:szCs w:val="18"/>
              </w:rPr>
              <w:t>报告期内从公</w:t>
            </w:r>
            <w:r>
              <w:rPr>
                <w:rFonts w:ascii="宋体" w:hAnsi="宋体" w:cs="宋体" w:eastAsia="宋体" w:hint="default"/>
                <w:w w:val="99"/>
                <w:sz w:val="18"/>
                <w:szCs w:val="18"/>
              </w:rPr>
              <w:t> </w:t>
            </w:r>
            <w:r>
              <w:rPr>
                <w:rFonts w:ascii="宋体" w:hAnsi="宋体" w:cs="宋体" w:eastAsia="宋体" w:hint="default"/>
                <w:sz w:val="18"/>
                <w:szCs w:val="18"/>
              </w:rPr>
              <w:t>司领取的报酬</w:t>
            </w:r>
            <w:r>
              <w:rPr>
                <w:rFonts w:ascii="宋体" w:hAnsi="宋体" w:cs="宋体" w:eastAsia="宋体" w:hint="default"/>
                <w:w w:val="99"/>
                <w:sz w:val="18"/>
                <w:szCs w:val="18"/>
              </w:rPr>
              <w:t> </w:t>
            </w:r>
            <w:r>
              <w:rPr>
                <w:rFonts w:ascii="宋体" w:hAnsi="宋体" w:cs="宋体" w:eastAsia="宋体" w:hint="default"/>
                <w:sz w:val="18"/>
                <w:szCs w:val="18"/>
              </w:rPr>
              <w:t>总额（万元）</w:t>
            </w:r>
          </w:p>
          <w:p>
            <w:pPr>
              <w:pStyle w:val="TableParagraph"/>
              <w:spacing w:line="240" w:lineRule="auto" w:before="19"/>
              <w:ind w:left="242" w:right="0"/>
              <w:jc w:val="left"/>
              <w:rPr>
                <w:rFonts w:ascii="宋体" w:hAnsi="宋体" w:cs="宋体" w:eastAsia="宋体" w:hint="default"/>
                <w:sz w:val="18"/>
                <w:szCs w:val="18"/>
              </w:rPr>
            </w:pPr>
            <w:r>
              <w:rPr>
                <w:rFonts w:ascii="宋体" w:hAnsi="宋体" w:cs="宋体" w:eastAsia="宋体" w:hint="default"/>
                <w:sz w:val="18"/>
                <w:szCs w:val="18"/>
              </w:rPr>
              <w:t>（税前）</w:t>
            </w:r>
          </w:p>
        </w:tc>
        <w:tc>
          <w:tcPr>
            <w:tcW w:w="107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8"/>
              <w:ind w:left="83" w:right="79"/>
              <w:jc w:val="center"/>
              <w:rPr>
                <w:rFonts w:ascii="宋体" w:hAnsi="宋体" w:cs="宋体" w:eastAsia="宋体" w:hint="default"/>
                <w:sz w:val="18"/>
                <w:szCs w:val="18"/>
              </w:rPr>
            </w:pPr>
            <w:r>
              <w:rPr>
                <w:rFonts w:ascii="宋体" w:hAnsi="宋体" w:cs="宋体" w:eastAsia="宋体" w:hint="default"/>
                <w:sz w:val="18"/>
                <w:szCs w:val="18"/>
              </w:rPr>
              <w:t>是否在股东</w:t>
            </w:r>
            <w:r>
              <w:rPr>
                <w:rFonts w:ascii="宋体" w:hAnsi="宋体" w:cs="宋体" w:eastAsia="宋体" w:hint="default"/>
                <w:w w:val="99"/>
                <w:sz w:val="18"/>
                <w:szCs w:val="18"/>
              </w:rPr>
              <w:t> </w:t>
            </w:r>
            <w:r>
              <w:rPr>
                <w:rFonts w:ascii="宋体" w:hAnsi="宋体" w:cs="宋体" w:eastAsia="宋体" w:hint="default"/>
                <w:sz w:val="18"/>
                <w:szCs w:val="18"/>
              </w:rPr>
              <w:t>单位或其他</w:t>
            </w:r>
            <w:r>
              <w:rPr>
                <w:rFonts w:ascii="宋体" w:hAnsi="宋体" w:cs="宋体" w:eastAsia="宋体" w:hint="default"/>
                <w:w w:val="99"/>
                <w:sz w:val="18"/>
                <w:szCs w:val="18"/>
              </w:rPr>
              <w:t> </w:t>
            </w:r>
            <w:r>
              <w:rPr>
                <w:rFonts w:ascii="宋体" w:hAnsi="宋体" w:cs="宋体" w:eastAsia="宋体" w:hint="default"/>
                <w:sz w:val="18"/>
                <w:szCs w:val="18"/>
              </w:rPr>
              <w:t>关联单位领</w:t>
            </w:r>
            <w:r>
              <w:rPr>
                <w:rFonts w:ascii="宋体" w:hAnsi="宋体" w:cs="宋体" w:eastAsia="宋体" w:hint="default"/>
                <w:w w:val="99"/>
                <w:sz w:val="18"/>
                <w:szCs w:val="18"/>
              </w:rPr>
              <w:t> </w:t>
            </w:r>
            <w:r>
              <w:rPr>
                <w:rFonts w:ascii="宋体" w:hAnsi="宋体" w:cs="宋体" w:eastAsia="宋体" w:hint="default"/>
                <w:sz w:val="18"/>
                <w:szCs w:val="18"/>
              </w:rPr>
              <w:t>取薪酬</w:t>
            </w:r>
          </w:p>
        </w:tc>
      </w:tr>
      <w:tr>
        <w:trPr>
          <w:trHeight w:val="634"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纪立军</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39</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Arial" w:hAnsi="Arial" w:cs="Arial" w:eastAsia="Arial" w:hint="default"/>
                <w:sz w:val="18"/>
                <w:szCs w:val="18"/>
              </w:rPr>
            </w:pPr>
            <w:r>
              <w:rPr>
                <w:rFonts w:ascii="Arial" w:hAnsi="Arial" w:cs="Arial" w:eastAsia="Arial" w:hint="default"/>
                <w:sz w:val="18"/>
                <w:szCs w:val="18"/>
              </w:rPr>
              <w:t>2008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07</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Arial" w:hAnsi="Arial" w:cs="Arial" w:eastAsia="Arial"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07</w:t>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20</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Arial" w:hAnsi="Arial" w:cs="Arial" w:eastAsia="Arial" w:hint="default"/>
                <w:sz w:val="18"/>
                <w:szCs w:val="18"/>
              </w:rPr>
            </w:pPr>
            <w:r>
              <w:rPr>
                <w:rFonts w:ascii="Arial"/>
                <w:sz w:val="18"/>
              </w:rPr>
              <w:t>48,024,245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Arial" w:hAnsi="Arial" w:cs="Arial" w:eastAsia="Arial" w:hint="default"/>
                <w:sz w:val="18"/>
                <w:szCs w:val="18"/>
              </w:rPr>
            </w:pPr>
            <w:r>
              <w:rPr>
                <w:rFonts w:ascii="Arial"/>
                <w:sz w:val="18"/>
              </w:rPr>
              <w:t>48,024,245</w:t>
            </w:r>
          </w:p>
        </w:tc>
        <w:tc>
          <w:tcPr>
            <w:tcW w:w="46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center"/>
              <w:rPr>
                <w:rFonts w:ascii="Arial" w:hAnsi="Arial" w:cs="Arial" w:eastAsia="Arial" w:hint="default"/>
                <w:sz w:val="18"/>
                <w:szCs w:val="18"/>
              </w:rPr>
            </w:pPr>
            <w:r>
              <w:rPr>
                <w:rFonts w:ascii="Arial"/>
                <w:sz w:val="18"/>
              </w:rPr>
              <w:t>44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634"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臧少玉</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37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Arial" w:hAnsi="Arial" w:cs="Arial" w:eastAsia="Arial" w:hint="default"/>
                <w:sz w:val="18"/>
                <w:szCs w:val="18"/>
              </w:rPr>
            </w:pPr>
            <w:r>
              <w:rPr>
                <w:rFonts w:ascii="Arial" w:hAnsi="Arial" w:cs="Arial" w:eastAsia="Arial" w:hint="default"/>
                <w:sz w:val="18"/>
                <w:szCs w:val="18"/>
              </w:rPr>
              <w:t>2008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07</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Arial" w:hAnsi="Arial" w:cs="Arial" w:eastAsia="Arial"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07</w:t>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20</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Arial" w:hAnsi="Arial" w:cs="Arial" w:eastAsia="Arial" w:hint="default"/>
                <w:sz w:val="18"/>
                <w:szCs w:val="18"/>
              </w:rPr>
            </w:pPr>
            <w:r>
              <w:rPr>
                <w:rFonts w:ascii="Arial"/>
                <w:sz w:val="18"/>
              </w:rPr>
              <w:t>15,533,951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Arial" w:hAnsi="Arial" w:cs="Arial" w:eastAsia="Arial" w:hint="default"/>
                <w:sz w:val="18"/>
                <w:szCs w:val="18"/>
              </w:rPr>
            </w:pPr>
            <w:r>
              <w:rPr>
                <w:rFonts w:ascii="Arial"/>
                <w:sz w:val="18"/>
              </w:rPr>
              <w:t>15,533,951</w:t>
            </w:r>
          </w:p>
        </w:tc>
        <w:tc>
          <w:tcPr>
            <w:tcW w:w="46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center"/>
              <w:rPr>
                <w:rFonts w:ascii="Arial" w:hAnsi="Arial" w:cs="Arial" w:eastAsia="Arial" w:hint="default"/>
                <w:sz w:val="18"/>
                <w:szCs w:val="18"/>
              </w:rPr>
            </w:pPr>
            <w:r>
              <w:rPr>
                <w:rFonts w:ascii="Arial"/>
                <w:sz w:val="18"/>
              </w:rPr>
              <w:t>38</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636"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缪融</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50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Arial" w:hAnsi="Arial" w:cs="Arial" w:eastAsia="Arial" w:hint="default"/>
                <w:sz w:val="18"/>
                <w:szCs w:val="18"/>
              </w:rPr>
            </w:pPr>
            <w:r>
              <w:rPr>
                <w:rFonts w:ascii="Arial" w:hAnsi="Arial" w:cs="Arial" w:eastAsia="Arial" w:hint="default"/>
                <w:sz w:val="18"/>
                <w:szCs w:val="18"/>
              </w:rPr>
              <w:t>2008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07</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Arial" w:hAnsi="Arial" w:cs="Arial" w:eastAsia="Arial"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07</w:t>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20</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1,166,085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1,166,085</w:t>
            </w:r>
          </w:p>
        </w:tc>
        <w:tc>
          <w:tcPr>
            <w:tcW w:w="46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6" w:right="0"/>
              <w:jc w:val="left"/>
              <w:rPr>
                <w:rFonts w:ascii="Arial" w:hAnsi="Arial" w:cs="Arial" w:eastAsia="Arial" w:hint="default"/>
                <w:sz w:val="18"/>
                <w:szCs w:val="18"/>
              </w:rPr>
            </w:pPr>
            <w:r>
              <w:rPr>
                <w:rFonts w:ascii="Arial"/>
                <w:sz w:val="18"/>
              </w:rPr>
              <w:t>35.40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634"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王宏道</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46</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Arial" w:hAnsi="Arial" w:cs="Arial" w:eastAsia="Arial" w:hint="default"/>
                <w:sz w:val="18"/>
                <w:szCs w:val="18"/>
              </w:rPr>
            </w:pPr>
            <w:r>
              <w:rPr>
                <w:rFonts w:ascii="Arial" w:hAnsi="Arial" w:cs="Arial" w:eastAsia="Arial" w:hint="default"/>
                <w:sz w:val="18"/>
                <w:szCs w:val="18"/>
              </w:rPr>
              <w:t>2008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07</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Arial" w:hAnsi="Arial" w:cs="Arial" w:eastAsia="Arial"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07</w:t>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20</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sz w:val="18"/>
              </w:rPr>
              <w:t>816,645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sz w:val="18"/>
              </w:rPr>
              <w:t>816,645</w:t>
            </w:r>
          </w:p>
        </w:tc>
        <w:tc>
          <w:tcPr>
            <w:tcW w:w="46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center"/>
              <w:rPr>
                <w:rFonts w:ascii="Arial" w:hAnsi="Arial" w:cs="Arial" w:eastAsia="Arial" w:hint="default"/>
                <w:sz w:val="18"/>
                <w:szCs w:val="18"/>
              </w:rPr>
            </w:pPr>
            <w:r>
              <w:rPr>
                <w:rFonts w:ascii="Arial"/>
                <w:sz w:val="18"/>
              </w:rPr>
              <w:t>20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634"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耿毅英</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99"/>
                <w:sz w:val="18"/>
                <w:szCs w:val="18"/>
              </w:rPr>
              <w:t>女</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47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Arial" w:hAnsi="Arial" w:cs="Arial" w:eastAsia="Arial" w:hint="default"/>
                <w:sz w:val="18"/>
                <w:szCs w:val="18"/>
              </w:rPr>
            </w:pPr>
            <w:r>
              <w:rPr>
                <w:rFonts w:ascii="Arial" w:hAnsi="Arial" w:cs="Arial" w:eastAsia="Arial" w:hint="default"/>
                <w:sz w:val="18"/>
                <w:szCs w:val="18"/>
              </w:rPr>
              <w:t>2008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07</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Arial" w:hAnsi="Arial" w:cs="Arial" w:eastAsia="Arial"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07</w:t>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20</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sz w:val="18"/>
              </w:rPr>
              <w:t>583,428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sz w:val="18"/>
              </w:rPr>
              <w:t>583,428</w:t>
            </w:r>
          </w:p>
        </w:tc>
        <w:tc>
          <w:tcPr>
            <w:tcW w:w="46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6" w:right="0"/>
              <w:jc w:val="left"/>
              <w:rPr>
                <w:rFonts w:ascii="Arial" w:hAnsi="Arial" w:cs="Arial" w:eastAsia="Arial" w:hint="default"/>
                <w:sz w:val="18"/>
                <w:szCs w:val="18"/>
              </w:rPr>
            </w:pPr>
            <w:r>
              <w:rPr>
                <w:rFonts w:ascii="Arial"/>
                <w:sz w:val="18"/>
              </w:rPr>
              <w:t>19.38</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634"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马立群</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43</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Arial" w:hAnsi="Arial" w:cs="Arial" w:eastAsia="Arial" w:hint="default"/>
                <w:sz w:val="18"/>
                <w:szCs w:val="18"/>
              </w:rPr>
            </w:pPr>
            <w:r>
              <w:rPr>
                <w:rFonts w:ascii="Arial" w:hAnsi="Arial" w:cs="Arial" w:eastAsia="Arial" w:hint="default"/>
                <w:sz w:val="18"/>
                <w:szCs w:val="18"/>
              </w:rPr>
              <w:t>2008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07</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Arial" w:hAnsi="Arial" w:cs="Arial" w:eastAsia="Arial"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07</w:t>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20</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sz w:val="18"/>
              </w:rPr>
              <w:t>88,000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sz w:val="18"/>
              </w:rPr>
              <w:t>88,000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7" w:right="0"/>
              <w:jc w:val="left"/>
              <w:rPr>
                <w:rFonts w:ascii="Arial" w:hAnsi="Arial" w:cs="Arial" w:eastAsia="Arial" w:hint="default"/>
                <w:sz w:val="18"/>
                <w:szCs w:val="18"/>
              </w:rPr>
            </w:pPr>
            <w:r>
              <w:rPr>
                <w:rFonts w:ascii="Arial"/>
                <w:sz w:val="18"/>
              </w:rPr>
              <w:t>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w w:val="99"/>
                <w:sz w:val="18"/>
                <w:szCs w:val="18"/>
              </w:rPr>
              <w:t>是</w:t>
            </w:r>
            <w:r>
              <w:rPr>
                <w:rFonts w:ascii="宋体" w:hAnsi="宋体" w:cs="宋体" w:eastAsia="宋体" w:hint="default"/>
                <w:sz w:val="18"/>
                <w:szCs w:val="18"/>
              </w:rPr>
            </w:r>
          </w:p>
        </w:tc>
      </w:tr>
      <w:tr>
        <w:trPr>
          <w:trHeight w:val="634"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田利明</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56</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Arial" w:hAnsi="Arial" w:cs="Arial" w:eastAsia="Arial" w:hint="default"/>
                <w:sz w:val="18"/>
                <w:szCs w:val="18"/>
              </w:rPr>
            </w:pPr>
            <w:r>
              <w:rPr>
                <w:rFonts w:ascii="Arial" w:hAnsi="Arial" w:cs="Arial" w:eastAsia="Arial" w:hint="default"/>
                <w:sz w:val="18"/>
                <w:szCs w:val="18"/>
              </w:rPr>
              <w:t>2009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06</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08</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Arial" w:hAnsi="Arial" w:cs="Arial" w:eastAsia="Arial"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07</w:t>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20</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w w:val="99"/>
                <w:sz w:val="18"/>
              </w:rPr>
              <w:t>0</w:t>
            </w:r>
            <w:r>
              <w:rPr>
                <w:rFonts w:ascii="Arial"/>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w w:val="99"/>
                <w:sz w:val="18"/>
              </w:rPr>
              <w:t>0</w:t>
            </w:r>
            <w:r>
              <w:rPr>
                <w:rFonts w:ascii="Arial"/>
                <w:sz w:val="18"/>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7" w:right="0"/>
              <w:jc w:val="left"/>
              <w:rPr>
                <w:rFonts w:ascii="Arial" w:hAnsi="Arial" w:cs="Arial" w:eastAsia="Arial" w:hint="default"/>
                <w:sz w:val="18"/>
                <w:szCs w:val="18"/>
              </w:rPr>
            </w:pPr>
            <w:r>
              <w:rPr>
                <w:rFonts w:ascii="Arial"/>
                <w:sz w:val="18"/>
              </w:rPr>
              <w:t>6.00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w w:val="99"/>
                <w:sz w:val="18"/>
                <w:szCs w:val="18"/>
              </w:rPr>
              <w:t>是</w:t>
            </w:r>
            <w:r>
              <w:rPr>
                <w:rFonts w:ascii="宋体" w:hAnsi="宋体" w:cs="宋体" w:eastAsia="宋体" w:hint="default"/>
                <w:sz w:val="18"/>
                <w:szCs w:val="18"/>
              </w:rPr>
            </w:r>
          </w:p>
        </w:tc>
      </w:tr>
      <w:tr>
        <w:trPr>
          <w:trHeight w:val="634"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邹晖</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99"/>
                <w:sz w:val="18"/>
                <w:szCs w:val="18"/>
              </w:rPr>
              <w:t>女</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43</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Arial" w:hAnsi="Arial" w:cs="Arial" w:eastAsia="Arial" w:hint="default"/>
                <w:sz w:val="18"/>
                <w:szCs w:val="18"/>
              </w:rPr>
            </w:pPr>
            <w:r>
              <w:rPr>
                <w:rFonts w:ascii="Arial" w:hAnsi="Arial" w:cs="Arial" w:eastAsia="Arial" w:hint="default"/>
                <w:sz w:val="18"/>
                <w:szCs w:val="18"/>
              </w:rPr>
              <w:t>2010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02</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20</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Arial" w:hAnsi="Arial" w:cs="Arial" w:eastAsia="Arial"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07</w:t>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20</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w w:val="99"/>
                <w:sz w:val="18"/>
              </w:rPr>
              <w:t>0</w:t>
            </w:r>
            <w:r>
              <w:rPr>
                <w:rFonts w:ascii="Arial"/>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w w:val="99"/>
                <w:sz w:val="18"/>
              </w:rPr>
              <w:t>0</w:t>
            </w:r>
            <w:r>
              <w:rPr>
                <w:rFonts w:ascii="Arial"/>
                <w:sz w:val="18"/>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7" w:right="0"/>
              <w:jc w:val="left"/>
              <w:rPr>
                <w:rFonts w:ascii="Arial" w:hAnsi="Arial" w:cs="Arial" w:eastAsia="Arial" w:hint="default"/>
                <w:sz w:val="18"/>
                <w:szCs w:val="18"/>
              </w:rPr>
            </w:pPr>
            <w:r>
              <w:rPr>
                <w:rFonts w:ascii="Arial"/>
                <w:sz w:val="18"/>
              </w:rPr>
              <w:t>5.17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w w:val="99"/>
                <w:sz w:val="18"/>
                <w:szCs w:val="18"/>
              </w:rPr>
              <w:t>是</w:t>
            </w:r>
            <w:r>
              <w:rPr>
                <w:rFonts w:ascii="宋体" w:hAnsi="宋体" w:cs="宋体" w:eastAsia="宋体" w:hint="default"/>
                <w:sz w:val="18"/>
                <w:szCs w:val="18"/>
              </w:rPr>
            </w:r>
          </w:p>
        </w:tc>
      </w:tr>
      <w:tr>
        <w:trPr>
          <w:trHeight w:val="636"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尚建平</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51</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Arial" w:hAnsi="Arial" w:cs="Arial" w:eastAsia="Arial" w:hint="default"/>
                <w:sz w:val="18"/>
                <w:szCs w:val="18"/>
              </w:rPr>
            </w:pPr>
            <w:r>
              <w:rPr>
                <w:rFonts w:ascii="Arial" w:hAnsi="Arial" w:cs="Arial" w:eastAsia="Arial" w:hint="default"/>
                <w:sz w:val="18"/>
                <w:szCs w:val="18"/>
              </w:rPr>
              <w:t>2009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06</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08</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Arial" w:hAnsi="Arial" w:cs="Arial" w:eastAsia="Arial"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07</w:t>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20</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w w:val="99"/>
                <w:sz w:val="18"/>
              </w:rPr>
              <w:t>0</w:t>
            </w:r>
            <w:r>
              <w:rPr>
                <w:rFonts w:ascii="Arial"/>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w w:val="99"/>
                <w:sz w:val="18"/>
              </w:rPr>
              <w:t>0</w:t>
            </w:r>
            <w:r>
              <w:rPr>
                <w:rFonts w:ascii="Arial"/>
                <w:sz w:val="18"/>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7" w:right="0"/>
              <w:jc w:val="left"/>
              <w:rPr>
                <w:rFonts w:ascii="Arial" w:hAnsi="Arial" w:cs="Arial" w:eastAsia="Arial" w:hint="default"/>
                <w:sz w:val="18"/>
                <w:szCs w:val="18"/>
              </w:rPr>
            </w:pPr>
            <w:r>
              <w:rPr>
                <w:rFonts w:ascii="Arial"/>
                <w:sz w:val="18"/>
              </w:rPr>
              <w:t>6.00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w w:val="99"/>
                <w:sz w:val="18"/>
                <w:szCs w:val="18"/>
              </w:rPr>
              <w:t>是</w:t>
            </w:r>
            <w:r>
              <w:rPr>
                <w:rFonts w:ascii="宋体" w:hAnsi="宋体" w:cs="宋体" w:eastAsia="宋体" w:hint="default"/>
                <w:sz w:val="18"/>
                <w:szCs w:val="18"/>
              </w:rPr>
            </w:r>
          </w:p>
        </w:tc>
      </w:tr>
      <w:tr>
        <w:trPr>
          <w:trHeight w:val="634"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王敬敏</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51</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Arial" w:hAnsi="Arial" w:cs="Arial" w:eastAsia="Arial" w:hint="default"/>
                <w:sz w:val="18"/>
                <w:szCs w:val="18"/>
              </w:rPr>
            </w:pPr>
            <w:r>
              <w:rPr>
                <w:rFonts w:ascii="Arial" w:hAnsi="Arial" w:cs="Arial" w:eastAsia="Arial" w:hint="default"/>
                <w:sz w:val="18"/>
                <w:szCs w:val="18"/>
              </w:rPr>
              <w:t>2008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07</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Arial" w:hAnsi="Arial" w:cs="Arial" w:eastAsia="Arial"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07</w:t>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20</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sz w:val="18"/>
              </w:rPr>
              <w:t>174,720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sz w:val="18"/>
              </w:rPr>
              <w:t>174,720</w:t>
            </w:r>
          </w:p>
        </w:tc>
        <w:tc>
          <w:tcPr>
            <w:tcW w:w="46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7" w:right="0"/>
              <w:jc w:val="left"/>
              <w:rPr>
                <w:rFonts w:ascii="Arial" w:hAnsi="Arial" w:cs="Arial" w:eastAsia="Arial" w:hint="default"/>
                <w:sz w:val="18"/>
                <w:szCs w:val="18"/>
              </w:rPr>
            </w:pPr>
            <w:r>
              <w:rPr>
                <w:rFonts w:ascii="Arial"/>
                <w:sz w:val="18"/>
              </w:rPr>
              <w:t>17.8</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w w:val="99"/>
                <w:sz w:val="18"/>
                <w:szCs w:val="18"/>
              </w:rPr>
              <w:t>是</w:t>
            </w:r>
            <w:r>
              <w:rPr>
                <w:rFonts w:ascii="宋体" w:hAnsi="宋体" w:cs="宋体" w:eastAsia="宋体" w:hint="default"/>
                <w:sz w:val="18"/>
                <w:szCs w:val="18"/>
              </w:rPr>
            </w:r>
          </w:p>
        </w:tc>
      </w:tr>
      <w:tr>
        <w:trPr>
          <w:trHeight w:val="634"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孙永胜</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35</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Arial" w:hAnsi="Arial" w:cs="Arial" w:eastAsia="Arial" w:hint="default"/>
                <w:sz w:val="18"/>
                <w:szCs w:val="18"/>
              </w:rPr>
            </w:pPr>
            <w:r>
              <w:rPr>
                <w:rFonts w:ascii="Arial" w:hAnsi="Arial" w:cs="Arial" w:eastAsia="Arial" w:hint="default"/>
                <w:sz w:val="18"/>
                <w:szCs w:val="18"/>
              </w:rPr>
              <w:t>2008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07</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Arial" w:hAnsi="Arial" w:cs="Arial" w:eastAsia="Arial"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07</w:t>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20</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sz w:val="18"/>
              </w:rPr>
              <w:t>174,720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sz w:val="18"/>
              </w:rPr>
              <w:t>174,720</w:t>
            </w:r>
          </w:p>
        </w:tc>
        <w:tc>
          <w:tcPr>
            <w:tcW w:w="46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center"/>
              <w:rPr>
                <w:rFonts w:ascii="Arial" w:hAnsi="Arial" w:cs="Arial" w:eastAsia="Arial" w:hint="default"/>
                <w:sz w:val="18"/>
                <w:szCs w:val="18"/>
              </w:rPr>
            </w:pPr>
            <w:r>
              <w:rPr>
                <w:rFonts w:ascii="Arial"/>
                <w:sz w:val="18"/>
              </w:rPr>
              <w:t>22</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634"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金银姬</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99"/>
                <w:sz w:val="18"/>
                <w:szCs w:val="18"/>
              </w:rPr>
              <w:t>女</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38</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Arial" w:hAnsi="Arial" w:cs="Arial" w:eastAsia="Arial" w:hint="default"/>
                <w:sz w:val="18"/>
                <w:szCs w:val="18"/>
              </w:rPr>
            </w:pPr>
            <w:r>
              <w:rPr>
                <w:rFonts w:ascii="Arial" w:hAnsi="Arial" w:cs="Arial" w:eastAsia="Arial" w:hint="default"/>
                <w:sz w:val="18"/>
                <w:szCs w:val="18"/>
              </w:rPr>
              <w:t>2008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07</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Arial" w:hAnsi="Arial" w:cs="Arial" w:eastAsia="Arial"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07</w:t>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20</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w w:val="99"/>
                <w:sz w:val="18"/>
              </w:rPr>
              <w:t>0</w:t>
            </w:r>
            <w:r>
              <w:rPr>
                <w:rFonts w:ascii="Arial"/>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w w:val="99"/>
                <w:sz w:val="18"/>
              </w:rPr>
              <w:t>0</w:t>
            </w:r>
            <w:r>
              <w:rPr>
                <w:rFonts w:ascii="Arial"/>
                <w:sz w:val="18"/>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7" w:right="0"/>
              <w:jc w:val="left"/>
              <w:rPr>
                <w:rFonts w:ascii="Arial" w:hAnsi="Arial" w:cs="Arial" w:eastAsia="Arial" w:hint="default"/>
                <w:sz w:val="18"/>
                <w:szCs w:val="18"/>
              </w:rPr>
            </w:pPr>
            <w:r>
              <w:rPr>
                <w:rFonts w:ascii="Arial"/>
                <w:sz w:val="18"/>
              </w:rPr>
              <w:t>18.8</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634"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文欣</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99"/>
                <w:sz w:val="18"/>
                <w:szCs w:val="18"/>
              </w:rPr>
              <w:t>女</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47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Arial" w:hAnsi="Arial" w:cs="Arial" w:eastAsia="Arial" w:hint="default"/>
                <w:sz w:val="18"/>
                <w:szCs w:val="18"/>
              </w:rPr>
            </w:pPr>
            <w:r>
              <w:rPr>
                <w:rFonts w:ascii="Arial" w:hAnsi="Arial" w:cs="Arial" w:eastAsia="Arial" w:hint="default"/>
                <w:sz w:val="18"/>
                <w:szCs w:val="18"/>
              </w:rPr>
              <w:t>2008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07</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Arial" w:hAnsi="Arial" w:cs="Arial" w:eastAsia="Arial"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07</w:t>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20</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sz w:val="18"/>
              </w:rPr>
              <w:t>932,868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sz w:val="18"/>
              </w:rPr>
              <w:t>932,868</w:t>
            </w:r>
          </w:p>
        </w:tc>
        <w:tc>
          <w:tcPr>
            <w:tcW w:w="46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center"/>
              <w:rPr>
                <w:rFonts w:ascii="Arial" w:hAnsi="Arial" w:cs="Arial" w:eastAsia="Arial" w:hint="default"/>
                <w:sz w:val="18"/>
                <w:szCs w:val="18"/>
              </w:rPr>
            </w:pPr>
            <w:r>
              <w:rPr>
                <w:rFonts w:ascii="Arial"/>
                <w:sz w:val="18"/>
              </w:rPr>
              <w:t>22</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634"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石磊</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45" w:right="74" w:hanging="269"/>
              <w:jc w:val="left"/>
              <w:rPr>
                <w:rFonts w:ascii="宋体" w:hAnsi="宋体" w:cs="宋体" w:eastAsia="宋体" w:hint="default"/>
                <w:sz w:val="18"/>
                <w:szCs w:val="18"/>
              </w:rPr>
            </w:pPr>
            <w:r>
              <w:rPr>
                <w:rFonts w:ascii="宋体" w:hAnsi="宋体" w:cs="宋体" w:eastAsia="宋体" w:hint="default"/>
                <w:sz w:val="18"/>
                <w:szCs w:val="18"/>
              </w:rPr>
              <w:t>董事会秘</w:t>
            </w:r>
            <w:r>
              <w:rPr>
                <w:rFonts w:ascii="宋体" w:hAnsi="宋体" w:cs="宋体" w:eastAsia="宋体" w:hint="default"/>
                <w:w w:val="99"/>
                <w:sz w:val="18"/>
                <w:szCs w:val="18"/>
              </w:rPr>
              <w:t> </w:t>
            </w:r>
            <w:r>
              <w:rPr>
                <w:rFonts w:ascii="宋体" w:hAnsi="宋体" w:cs="宋体" w:eastAsia="宋体" w:hint="default"/>
                <w:sz w:val="18"/>
                <w:szCs w:val="18"/>
              </w:rPr>
              <w:t>书</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99"/>
                <w:sz w:val="18"/>
                <w:szCs w:val="18"/>
              </w:rPr>
              <w:t>女</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39</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Arial" w:hAnsi="Arial" w:cs="Arial" w:eastAsia="Arial" w:hint="default"/>
                <w:sz w:val="18"/>
                <w:szCs w:val="18"/>
              </w:rPr>
            </w:pPr>
            <w:r>
              <w:rPr>
                <w:rFonts w:ascii="Arial" w:hAnsi="Arial" w:cs="Arial" w:eastAsia="Arial" w:hint="default"/>
                <w:sz w:val="18"/>
                <w:szCs w:val="18"/>
              </w:rPr>
              <w:t>2008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07</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Arial" w:hAnsi="Arial" w:cs="Arial" w:eastAsia="Arial"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07</w:t>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20</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sz w:val="18"/>
              </w:rPr>
              <w:t>349,441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sz w:val="18"/>
              </w:rPr>
              <w:t>349,441</w:t>
            </w:r>
          </w:p>
        </w:tc>
        <w:tc>
          <w:tcPr>
            <w:tcW w:w="46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6" w:right="0"/>
              <w:jc w:val="left"/>
              <w:rPr>
                <w:rFonts w:ascii="Arial" w:hAnsi="Arial" w:cs="Arial" w:eastAsia="Arial" w:hint="default"/>
                <w:sz w:val="18"/>
                <w:szCs w:val="18"/>
              </w:rPr>
            </w:pPr>
            <w:r>
              <w:rPr>
                <w:rFonts w:ascii="Arial"/>
                <w:sz w:val="18"/>
              </w:rPr>
              <w:t>27.28</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636"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马成斌</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45</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Arial" w:hAnsi="Arial" w:cs="Arial" w:eastAsia="Arial" w:hint="default"/>
                <w:sz w:val="18"/>
                <w:szCs w:val="18"/>
              </w:rPr>
            </w:pPr>
            <w:r>
              <w:rPr>
                <w:rFonts w:ascii="Arial" w:hAnsi="Arial" w:cs="Arial" w:eastAsia="Arial" w:hint="default"/>
                <w:sz w:val="18"/>
                <w:szCs w:val="18"/>
              </w:rPr>
              <w:t>2010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08</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19</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Arial" w:hAnsi="Arial" w:cs="Arial" w:eastAsia="Arial"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07</w:t>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20</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w w:val="99"/>
                <w:sz w:val="18"/>
              </w:rPr>
              <w:t>0</w:t>
            </w:r>
            <w:r>
              <w:rPr>
                <w:rFonts w:ascii="Arial"/>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w w:val="99"/>
                <w:sz w:val="18"/>
              </w:rPr>
              <w:t>0</w:t>
            </w:r>
            <w:r>
              <w:rPr>
                <w:rFonts w:ascii="Arial"/>
                <w:sz w:val="18"/>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6" w:right="0"/>
              <w:jc w:val="left"/>
              <w:rPr>
                <w:rFonts w:ascii="Arial" w:hAnsi="Arial" w:cs="Arial" w:eastAsia="Arial" w:hint="default"/>
                <w:sz w:val="18"/>
                <w:szCs w:val="18"/>
              </w:rPr>
            </w:pPr>
            <w:r>
              <w:rPr>
                <w:rFonts w:ascii="Arial"/>
                <w:sz w:val="18"/>
              </w:rPr>
              <w:t>26.38</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322" w:hRule="exact"/>
        </w:trPr>
        <w:tc>
          <w:tcPr>
            <w:tcW w:w="6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w w:val="99"/>
                <w:sz w:val="18"/>
              </w:rPr>
              <w:t>-</w:t>
            </w:r>
            <w:r>
              <w:rPr>
                <w:rFonts w:ascii="Arial"/>
                <w:sz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w w:val="99"/>
                <w:sz w:val="18"/>
              </w:rPr>
              <w:t>-</w:t>
            </w:r>
            <w:r>
              <w:rPr>
                <w:rFonts w:ascii="Arial"/>
                <w:sz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Arial" w:hAnsi="Arial" w:cs="Arial" w:eastAsia="Arial" w:hint="default"/>
                <w:sz w:val="18"/>
                <w:szCs w:val="18"/>
              </w:rPr>
            </w:pPr>
            <w:r>
              <w:rPr>
                <w:rFonts w:ascii="Arial"/>
                <w:w w:val="99"/>
                <w:sz w:val="18"/>
              </w:rPr>
              <w:t>-</w:t>
            </w:r>
            <w:r>
              <w:rPr>
                <w:rFonts w:ascii="Arial"/>
                <w:sz w:val="18"/>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w w:val="99"/>
                <w:sz w:val="18"/>
              </w:rPr>
              <w:t>-</w:t>
            </w:r>
            <w:r>
              <w:rPr>
                <w:rFonts w:ascii="Arial"/>
                <w:sz w:val="18"/>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w w:val="99"/>
                <w:sz w:val="18"/>
              </w:rPr>
              <w:t>-</w:t>
            </w:r>
            <w:r>
              <w:rPr>
                <w:rFonts w:ascii="Arial"/>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Arial" w:hAnsi="Arial" w:cs="Arial" w:eastAsia="Arial" w:hint="default"/>
                <w:sz w:val="18"/>
                <w:szCs w:val="18"/>
              </w:rPr>
            </w:pPr>
            <w:r>
              <w:rPr>
                <w:rFonts w:ascii="Arial"/>
                <w:sz w:val="18"/>
              </w:rPr>
              <w:t>67,844,103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Arial" w:hAnsi="Arial" w:cs="Arial" w:eastAsia="Arial" w:hint="default"/>
                <w:sz w:val="18"/>
                <w:szCs w:val="18"/>
              </w:rPr>
            </w:pPr>
            <w:r>
              <w:rPr>
                <w:rFonts w:ascii="Arial"/>
                <w:sz w:val="18"/>
              </w:rPr>
              <w:t>67,844,103</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w w:val="99"/>
                <w:sz w:val="18"/>
              </w:rPr>
              <w:t>-</w:t>
            </w:r>
            <w:r>
              <w:rPr>
                <w:rFonts w:ascii="Arial"/>
                <w:sz w:val="18"/>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26" w:right="0"/>
              <w:jc w:val="left"/>
              <w:rPr>
                <w:rFonts w:ascii="Arial" w:hAnsi="Arial" w:cs="Arial" w:eastAsia="Arial" w:hint="default"/>
                <w:sz w:val="18"/>
                <w:szCs w:val="18"/>
              </w:rPr>
            </w:pPr>
            <w:r>
              <w:rPr>
                <w:rFonts w:ascii="Arial"/>
                <w:sz w:val="18"/>
              </w:rPr>
              <w:t>308.21</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Arial" w:hAnsi="Arial" w:cs="Arial" w:eastAsia="Arial" w:hint="default"/>
                <w:sz w:val="18"/>
                <w:szCs w:val="18"/>
              </w:rPr>
            </w:pPr>
            <w:r>
              <w:rPr>
                <w:rFonts w:ascii="Arial"/>
                <w:w w:val="99"/>
                <w:sz w:val="18"/>
              </w:rPr>
              <w:t>-</w:t>
            </w:r>
            <w:r>
              <w:rPr>
                <w:rFonts w:ascii="Arial"/>
                <w:sz w:val="18"/>
              </w:rPr>
            </w:r>
          </w:p>
        </w:tc>
      </w:tr>
    </w:tbl>
    <w:p>
      <w:pPr>
        <w:spacing w:line="240" w:lineRule="auto" w:before="6"/>
        <w:rPr>
          <w:rFonts w:ascii="宋体" w:hAnsi="宋体" w:cs="宋体" w:eastAsia="宋体" w:hint="default"/>
          <w:sz w:val="5"/>
          <w:szCs w:val="5"/>
        </w:rPr>
      </w:pPr>
    </w:p>
    <w:p>
      <w:pPr>
        <w:pStyle w:val="Heading3"/>
        <w:spacing w:line="240" w:lineRule="auto" w:before="14"/>
        <w:ind w:left="337" w:right="0"/>
        <w:jc w:val="left"/>
      </w:pPr>
      <w:r>
        <w:rPr/>
        <w:t>（二）现任董事、监事、高级管理人员最近</w:t>
      </w:r>
      <w:r>
        <w:rPr>
          <w:rFonts w:ascii="Arial" w:hAnsi="Arial" w:cs="Arial" w:eastAsia="Arial" w:hint="default"/>
          <w:b/>
          <w:bCs/>
        </w:rPr>
        <w:t>5</w:t>
      </w:r>
      <w:r>
        <w:rPr/>
        <w:t>年的主要工作经历</w:t>
      </w:r>
    </w:p>
    <w:p>
      <w:pPr>
        <w:spacing w:after="0" w:line="240" w:lineRule="auto"/>
        <w:jc w:val="left"/>
        <w:sectPr>
          <w:pgSz w:w="11900" w:h="16840"/>
          <w:pgMar w:header="877" w:footer="981" w:top="1100" w:bottom="1180" w:left="1460" w:right="1120"/>
        </w:sectPr>
      </w:pPr>
    </w:p>
    <w:p>
      <w:pPr>
        <w:spacing w:line="240" w:lineRule="auto" w:before="0"/>
        <w:rPr>
          <w:rFonts w:ascii="宋体" w:hAnsi="宋体" w:cs="宋体" w:eastAsia="宋体" w:hint="default"/>
          <w:sz w:val="20"/>
          <w:szCs w:val="20"/>
        </w:rPr>
      </w:pPr>
    </w:p>
    <w:p>
      <w:pPr>
        <w:pStyle w:val="Heading3"/>
        <w:spacing w:line="240" w:lineRule="auto" w:before="145"/>
        <w:ind w:right="33"/>
        <w:jc w:val="left"/>
      </w:pPr>
      <w:r>
        <w:rPr>
          <w:rFonts w:ascii="Arial" w:hAnsi="Arial" w:cs="Arial" w:eastAsia="Arial" w:hint="default"/>
          <w:b/>
          <w:bCs/>
        </w:rPr>
        <w:t>1</w:t>
      </w:r>
      <w:r>
        <w:rPr/>
        <w:t>、董事会成员</w:t>
      </w:r>
    </w:p>
    <w:p>
      <w:pPr>
        <w:pStyle w:val="BodyText"/>
        <w:spacing w:line="379" w:lineRule="auto" w:before="207"/>
        <w:ind w:left="579" w:right="33"/>
        <w:jc w:val="left"/>
      </w:pPr>
      <w:r>
        <w:rPr>
          <w:spacing w:val="-5"/>
          <w:w w:val="100"/>
        </w:rPr>
        <w:t>纪立军先生：见第五节：四、（一）控股股东与实际控制人简介。</w:t>
      </w:r>
      <w:r>
        <w:rPr>
          <w:spacing w:val="-93"/>
          <w:w w:val="100"/>
        </w:rPr>
        <w:t> </w:t>
      </w:r>
      <w:r>
        <w:rPr>
          <w:spacing w:val="-93"/>
          <w:w w:val="100"/>
        </w:rPr>
      </w:r>
      <w:r>
        <w:rPr>
          <w:spacing w:val="-4"/>
          <w:w w:val="100"/>
        </w:rPr>
        <w:t>臧少玉先生：见第五节：四、（三）其他持有本公司</w:t>
      </w:r>
      <w:r>
        <w:rPr>
          <w:rFonts w:ascii="Arial" w:hAnsi="Arial" w:cs="Arial" w:eastAsia="Arial" w:hint="default"/>
          <w:spacing w:val="-4"/>
          <w:w w:val="100"/>
        </w:rPr>
        <w:t>5%</w:t>
      </w:r>
      <w:r>
        <w:rPr>
          <w:spacing w:val="-4"/>
          <w:w w:val="100"/>
        </w:rPr>
        <w:t>以上</w:t>
      </w:r>
      <w:r>
        <w:rPr>
          <w:rFonts w:ascii="Arial" w:hAnsi="Arial" w:cs="Arial" w:eastAsia="Arial" w:hint="default"/>
          <w:spacing w:val="-4"/>
          <w:w w:val="100"/>
        </w:rPr>
        <w:t>(</w:t>
      </w:r>
      <w:r>
        <w:rPr>
          <w:spacing w:val="-4"/>
          <w:w w:val="100"/>
        </w:rPr>
        <w:t>含</w:t>
      </w:r>
      <w:r>
        <w:rPr>
          <w:rFonts w:ascii="Arial" w:hAnsi="Arial" w:cs="Arial" w:eastAsia="Arial" w:hint="default"/>
          <w:spacing w:val="-4"/>
          <w:w w:val="100"/>
        </w:rPr>
        <w:t>5%)</w:t>
      </w:r>
      <w:r>
        <w:rPr>
          <w:spacing w:val="-4"/>
          <w:w w:val="100"/>
        </w:rPr>
        <w:t>股份的股东情况。</w:t>
      </w:r>
      <w:r>
        <w:rPr>
          <w:spacing w:val="-90"/>
          <w:w w:val="100"/>
        </w:rPr>
        <w:t> </w:t>
      </w:r>
      <w:r>
        <w:rPr>
          <w:spacing w:val="-90"/>
          <w:w w:val="100"/>
        </w:rPr>
      </w:r>
      <w:r>
        <w:rPr>
          <w:spacing w:val="-4"/>
        </w:rPr>
        <w:t>缪融先生：董事、副总经理，中国国籍，无境外永久居留权中国国籍，男，</w:t>
      </w:r>
      <w:r>
        <w:rPr>
          <w:rFonts w:ascii="Arial" w:hAnsi="Arial" w:cs="Arial" w:eastAsia="Arial" w:hint="default"/>
          <w:spacing w:val="-4"/>
        </w:rPr>
        <w:t>1960</w:t>
      </w:r>
      <w:r>
        <w:rPr>
          <w:spacing w:val="-4"/>
        </w:rPr>
        <w:t>年生，</w:t>
      </w:r>
    </w:p>
    <w:p>
      <w:pPr>
        <w:pStyle w:val="BodyText"/>
        <w:spacing w:line="369" w:lineRule="auto" w:before="22"/>
        <w:ind w:right="33"/>
        <w:jc w:val="left"/>
      </w:pPr>
      <w:r>
        <w:rPr>
          <w:rFonts w:ascii="Arial" w:hAnsi="Arial" w:cs="Arial" w:eastAsia="Arial" w:hint="default"/>
          <w:spacing w:val="-1"/>
        </w:rPr>
        <w:t>1981</w:t>
      </w:r>
      <w:r>
        <w:rPr>
          <w:spacing w:val="-1"/>
        </w:rPr>
        <w:t>年东华大学本科毕业。</w:t>
      </w:r>
      <w:r>
        <w:rPr>
          <w:rFonts w:ascii="Arial" w:hAnsi="Arial" w:cs="Arial" w:eastAsia="Arial" w:hint="default"/>
          <w:spacing w:val="-1"/>
        </w:rPr>
        <w:t>1981</w:t>
      </w:r>
      <w:r>
        <w:rPr>
          <w:spacing w:val="-1"/>
        </w:rPr>
        <w:t>年至</w:t>
      </w:r>
      <w:r>
        <w:rPr>
          <w:rFonts w:ascii="Arial" w:hAnsi="Arial" w:cs="Arial" w:eastAsia="Arial" w:hint="default"/>
          <w:spacing w:val="-1"/>
        </w:rPr>
        <w:t>1997</w:t>
      </w:r>
      <w:r>
        <w:rPr>
          <w:spacing w:val="-1"/>
        </w:rPr>
        <w:t>年就职于上海第一印染厂，先后任该厂工程师，</w:t>
      </w:r>
      <w:r>
        <w:rPr>
          <w:spacing w:val="-80"/>
        </w:rPr>
        <w:t> </w:t>
      </w:r>
      <w:r>
        <w:rPr>
          <w:spacing w:val="-80"/>
        </w:rPr>
      </w:r>
      <w:r>
        <w:rPr/>
        <w:t>技术主任，副总工程师，副厂长等职务；</w:t>
      </w:r>
      <w:r>
        <w:rPr>
          <w:rFonts w:ascii="Arial" w:hAnsi="Arial" w:cs="Arial" w:eastAsia="Arial" w:hint="default"/>
        </w:rPr>
        <w:t>1997</w:t>
      </w:r>
      <w:r>
        <w:rPr/>
        <w:t>年加入德国德司达染料有限公司，先后担任</w:t>
      </w:r>
      <w:r>
        <w:rPr>
          <w:spacing w:val="-108"/>
        </w:rPr>
        <w:t> </w:t>
      </w:r>
      <w:r>
        <w:rPr>
          <w:spacing w:val="-108"/>
        </w:rPr>
      </w:r>
      <w:r>
        <w:rPr/>
        <w:t>技术代表，高级代表，高级应用工程师，应用技术经理；</w:t>
      </w:r>
      <w:r>
        <w:rPr>
          <w:rFonts w:ascii="Arial" w:hAnsi="Arial" w:cs="Arial" w:eastAsia="Arial" w:hint="default"/>
        </w:rPr>
        <w:t>2006</w:t>
      </w:r>
      <w:r>
        <w:rPr/>
        <w:t>年加入安诺其并任职技术总</w:t>
      </w:r>
      <w:r>
        <w:rPr>
          <w:w w:val="100"/>
        </w:rPr>
        <w:t> </w:t>
      </w:r>
      <w:r>
        <w:rPr/>
        <w:t>监。现任公司副总经理，分管公司技术工作。</w:t>
      </w:r>
    </w:p>
    <w:p>
      <w:pPr>
        <w:pStyle w:val="BodyText"/>
        <w:spacing w:line="369" w:lineRule="auto" w:before="61"/>
        <w:ind w:right="215" w:firstLine="441"/>
        <w:jc w:val="both"/>
      </w:pPr>
      <w:r>
        <w:rPr>
          <w:spacing w:val="-1"/>
        </w:rPr>
        <w:t>王宏道先生：董事、副总经理，中国国籍，无境外永久居留权，男，</w:t>
      </w:r>
      <w:r>
        <w:rPr>
          <w:rFonts w:ascii="Arial" w:hAnsi="Arial" w:cs="Arial" w:eastAsia="Arial" w:hint="default"/>
          <w:spacing w:val="-1"/>
        </w:rPr>
        <w:t>1964</w:t>
      </w:r>
      <w:r>
        <w:rPr>
          <w:spacing w:val="-1"/>
        </w:rPr>
        <w:t>年生，东华</w:t>
      </w:r>
      <w:r>
        <w:rPr>
          <w:w w:val="100"/>
        </w:rPr>
        <w:t> </w:t>
      </w:r>
      <w:r>
        <w:rPr/>
        <w:t>大学染整专业硕士。</w:t>
      </w:r>
      <w:r>
        <w:rPr>
          <w:rFonts w:ascii="Arial" w:hAnsi="Arial" w:cs="Arial" w:eastAsia="Arial" w:hint="default"/>
        </w:rPr>
        <w:t>1988</w:t>
      </w:r>
      <w:r>
        <w:rPr/>
        <w:t>年至</w:t>
      </w:r>
      <w:r>
        <w:rPr>
          <w:rFonts w:ascii="Arial" w:hAnsi="Arial" w:cs="Arial" w:eastAsia="Arial" w:hint="default"/>
        </w:rPr>
        <w:t>1996</w:t>
      </w:r>
      <w:r>
        <w:rPr/>
        <w:t>年期间就职于北京纺织科学研究所。</w:t>
      </w:r>
      <w:r>
        <w:rPr>
          <w:rFonts w:ascii="Arial" w:hAnsi="Arial" w:cs="Arial" w:eastAsia="Arial" w:hint="default"/>
        </w:rPr>
        <w:t>1997</w:t>
      </w:r>
      <w:r>
        <w:rPr/>
        <w:t>年至</w:t>
      </w:r>
      <w:r>
        <w:rPr>
          <w:rFonts w:ascii="Arial" w:hAnsi="Arial" w:cs="Arial" w:eastAsia="Arial" w:hint="default"/>
        </w:rPr>
        <w:t>2007</w:t>
      </w:r>
      <w:r>
        <w:rPr/>
        <w:t>年</w:t>
      </w:r>
      <w:r>
        <w:rPr>
          <w:spacing w:val="-47"/>
        </w:rPr>
        <w:t> </w:t>
      </w:r>
      <w:r>
        <w:rPr>
          <w:spacing w:val="-1"/>
        </w:rPr>
        <w:t>任德司达（中国）公司北京办事处高级客户经理，</w:t>
      </w:r>
      <w:r>
        <w:rPr>
          <w:rFonts w:ascii="Arial" w:hAnsi="Arial" w:cs="Arial" w:eastAsia="Arial" w:hint="default"/>
          <w:spacing w:val="-1"/>
        </w:rPr>
        <w:t>2007</w:t>
      </w:r>
      <w:r>
        <w:rPr>
          <w:spacing w:val="-1"/>
        </w:rPr>
        <w:t>年加入安诺其，主要负责安诺其在</w:t>
      </w:r>
      <w:r>
        <w:rPr>
          <w:spacing w:val="-68"/>
        </w:rPr>
        <w:t> </w:t>
      </w:r>
      <w:r>
        <w:rPr>
          <w:spacing w:val="-68"/>
        </w:rPr>
      </w:r>
      <w:r>
        <w:rPr/>
        <w:t>全国的市场开拓及销售。现任公司副总经理，分管销售工作。</w:t>
      </w:r>
    </w:p>
    <w:p>
      <w:pPr>
        <w:pStyle w:val="BodyText"/>
        <w:spacing w:line="369" w:lineRule="auto" w:before="61"/>
        <w:ind w:right="215" w:firstLine="441"/>
        <w:jc w:val="both"/>
      </w:pPr>
      <w:r>
        <w:rPr>
          <w:spacing w:val="-1"/>
        </w:rPr>
        <w:t>耿毅英女士：董事，中国国籍，无境外永久居留权，女，</w:t>
      </w:r>
      <w:r>
        <w:rPr>
          <w:rFonts w:ascii="Arial" w:hAnsi="Arial" w:cs="Arial" w:eastAsia="Arial" w:hint="default"/>
          <w:spacing w:val="-1"/>
        </w:rPr>
        <w:t>1963</w:t>
      </w:r>
      <w:r>
        <w:rPr>
          <w:spacing w:val="-1"/>
        </w:rPr>
        <w:t>年生，同济大学会计专</w:t>
      </w:r>
      <w:r>
        <w:rPr>
          <w:w w:val="100"/>
        </w:rPr>
        <w:t> </w:t>
      </w:r>
      <w:r>
        <w:rPr/>
        <w:t>业专科毕业。</w:t>
      </w:r>
      <w:r>
        <w:rPr>
          <w:rFonts w:ascii="Arial" w:hAnsi="Arial" w:cs="Arial" w:eastAsia="Arial" w:hint="default"/>
        </w:rPr>
        <w:t>1983</w:t>
      </w:r>
      <w:r>
        <w:rPr/>
        <w:t>至</w:t>
      </w:r>
      <w:r>
        <w:rPr>
          <w:rFonts w:ascii="Arial" w:hAnsi="Arial" w:cs="Arial" w:eastAsia="Arial" w:hint="default"/>
        </w:rPr>
        <w:t>1995</w:t>
      </w:r>
      <w:r>
        <w:rPr/>
        <w:t>就职于上海金属丝网二厂检验科，</w:t>
      </w:r>
      <w:r>
        <w:rPr>
          <w:rFonts w:ascii="Arial" w:hAnsi="Arial" w:cs="Arial" w:eastAsia="Arial" w:hint="default"/>
        </w:rPr>
        <w:t>1995</w:t>
      </w:r>
      <w:r>
        <w:rPr/>
        <w:t>至</w:t>
      </w:r>
      <w:r>
        <w:rPr>
          <w:rFonts w:ascii="Arial" w:hAnsi="Arial" w:cs="Arial" w:eastAsia="Arial" w:hint="default"/>
        </w:rPr>
        <w:t>2003</w:t>
      </w:r>
      <w:r>
        <w:rPr/>
        <w:t>期间，任上海塑</w:t>
      </w:r>
      <w:r>
        <w:rPr>
          <w:spacing w:val="-49"/>
        </w:rPr>
        <w:t> </w:t>
      </w:r>
      <w:r>
        <w:rPr>
          <w:spacing w:val="-49"/>
        </w:rPr>
      </w:r>
      <w:r>
        <w:rPr/>
        <w:t>料工程设备厂财务人事部经理，</w:t>
      </w:r>
      <w:r>
        <w:rPr>
          <w:rFonts w:ascii="Arial" w:hAnsi="Arial" w:cs="Arial" w:eastAsia="Arial" w:hint="default"/>
        </w:rPr>
        <w:t>2004</w:t>
      </w:r>
      <w:r>
        <w:rPr/>
        <w:t>加入安诺其任财务部门负责人，现任公司董事。</w:t>
      </w:r>
    </w:p>
    <w:p>
      <w:pPr>
        <w:pStyle w:val="BodyText"/>
        <w:spacing w:line="384" w:lineRule="auto" w:before="31"/>
        <w:ind w:right="215" w:firstLine="441"/>
        <w:jc w:val="both"/>
      </w:pPr>
      <w:r>
        <w:rPr>
          <w:spacing w:val="-1"/>
        </w:rPr>
        <w:t>马立群先生：董事，中国国籍，无境外永久居留权，男，</w:t>
      </w:r>
      <w:r>
        <w:rPr>
          <w:rFonts w:ascii="Arial" w:hAnsi="Arial" w:cs="Arial" w:eastAsia="Arial" w:hint="default"/>
          <w:spacing w:val="-1"/>
        </w:rPr>
        <w:t>1967</w:t>
      </w:r>
      <w:r>
        <w:rPr>
          <w:spacing w:val="-1"/>
        </w:rPr>
        <w:t>年生，中欧国际工商学</w:t>
      </w:r>
      <w:r>
        <w:rPr>
          <w:w w:val="100"/>
        </w:rPr>
        <w:t> </w:t>
      </w:r>
      <w:r>
        <w:rPr/>
        <w:t>院工商管理硕士，上海市金融青年联合会委员。先后任职于鲁银期货经纪有限公司上海代</w:t>
      </w:r>
      <w:r>
        <w:rPr>
          <w:spacing w:val="-57"/>
        </w:rPr>
        <w:t> </w:t>
      </w:r>
      <w:r>
        <w:rPr>
          <w:spacing w:val="-57"/>
        </w:rPr>
      </w:r>
      <w:r>
        <w:rPr/>
        <w:t>表处首席代表，上海黄金交易所会员管理部副总经理，并在中国人民银行上海总部金融市</w:t>
      </w:r>
      <w:r>
        <w:rPr>
          <w:spacing w:val="-57"/>
        </w:rPr>
        <w:t> </w:t>
      </w:r>
      <w:r>
        <w:rPr>
          <w:spacing w:val="-57"/>
        </w:rPr>
      </w:r>
      <w:r>
        <w:rPr/>
        <w:t>场部黄金处工作，现任上海佳铭房地产有限公司董事、副总经理和上海嘉兆投资管理有限</w:t>
      </w:r>
      <w:r>
        <w:rPr>
          <w:spacing w:val="-57"/>
        </w:rPr>
        <w:t> </w:t>
      </w:r>
      <w:r>
        <w:rPr>
          <w:spacing w:val="-57"/>
        </w:rPr>
      </w:r>
      <w:r>
        <w:rPr/>
        <w:t>公司执行董事。现任本公司董事。</w:t>
      </w:r>
    </w:p>
    <w:p>
      <w:pPr>
        <w:pStyle w:val="BodyText"/>
        <w:spacing w:line="376" w:lineRule="auto" w:before="48"/>
        <w:ind w:right="215" w:firstLine="441"/>
        <w:jc w:val="both"/>
      </w:pPr>
      <w:r>
        <w:rPr>
          <w:spacing w:val="-1"/>
        </w:rPr>
        <w:t>田利明先生：独立董事，中国国籍，无境外永久居留权，男，</w:t>
      </w:r>
      <w:r>
        <w:rPr>
          <w:rFonts w:ascii="Arial" w:hAnsi="Arial" w:cs="Arial" w:eastAsia="Arial" w:hint="default"/>
          <w:spacing w:val="-1"/>
        </w:rPr>
        <w:t>1954</w:t>
      </w:r>
      <w:r>
        <w:rPr>
          <w:spacing w:val="-1"/>
        </w:rPr>
        <w:t>年生，本科学历。</w:t>
      </w:r>
      <w:r>
        <w:rPr>
          <w:w w:val="100"/>
        </w:rPr>
        <w:t> </w:t>
      </w:r>
      <w:r>
        <w:rPr/>
        <w:t>曾任北京染料厂技术开发办公室主任、中国染料工业协会专职常务副秘书长等职，现任中</w:t>
      </w:r>
      <w:r>
        <w:rPr>
          <w:spacing w:val="-57"/>
        </w:rPr>
        <w:t> </w:t>
      </w:r>
      <w:r>
        <w:rPr>
          <w:spacing w:val="-57"/>
        </w:rPr>
      </w:r>
      <w:r>
        <w:rPr/>
        <w:t>国染料工业协会秘书长。在中国染料工业协会工作</w:t>
      </w:r>
      <w:r>
        <w:rPr>
          <w:rFonts w:ascii="Arial" w:hAnsi="Arial" w:cs="Arial" w:eastAsia="Arial" w:hint="default"/>
        </w:rPr>
        <w:t>17</w:t>
      </w:r>
      <w:r>
        <w:rPr/>
        <w:t>年，全面了解我国染料行业的发展情</w:t>
      </w:r>
      <w:r>
        <w:rPr>
          <w:spacing w:val="-81"/>
        </w:rPr>
        <w:t> </w:t>
      </w:r>
      <w:r>
        <w:rPr>
          <w:spacing w:val="-81"/>
        </w:rPr>
      </w:r>
      <w:r>
        <w:rPr/>
        <w:t>况。现任公司独立董事。</w:t>
      </w:r>
    </w:p>
    <w:p>
      <w:pPr>
        <w:pStyle w:val="BodyText"/>
        <w:spacing w:line="379" w:lineRule="auto" w:before="54"/>
        <w:ind w:right="215" w:firstLine="441"/>
        <w:jc w:val="both"/>
      </w:pPr>
      <w:r>
        <w:rPr>
          <w:spacing w:val="-4"/>
        </w:rPr>
        <w:t>尚建平先生：独立董事，中国国籍，无境外永久居留权，男，</w:t>
      </w:r>
      <w:r>
        <w:rPr>
          <w:spacing w:val="20"/>
        </w:rPr>
        <w:t> </w:t>
      </w:r>
      <w:r>
        <w:rPr>
          <w:rFonts w:ascii="Arial" w:hAnsi="Arial" w:cs="Arial" w:eastAsia="Arial" w:hint="default"/>
          <w:spacing w:val="-3"/>
        </w:rPr>
        <w:t>1959</w:t>
      </w:r>
      <w:r>
        <w:rPr>
          <w:spacing w:val="-3"/>
        </w:rPr>
        <w:t>年生，华东政法学</w:t>
      </w:r>
      <w:r>
        <w:rPr>
          <w:w w:val="100"/>
        </w:rPr>
        <w:t> </w:t>
      </w:r>
      <w:r>
        <w:rPr/>
        <w:t>院国际法专业硕士，巴黎国际律师协会会员，伦敦国际律师协会会员。现任上海百全律师</w:t>
      </w:r>
      <w:r>
        <w:rPr>
          <w:spacing w:val="-57"/>
        </w:rPr>
        <w:t> </w:t>
      </w:r>
      <w:r>
        <w:rPr>
          <w:spacing w:val="-57"/>
        </w:rPr>
      </w:r>
      <w:r>
        <w:rPr/>
        <w:t>事务所主任、执行合伙人。现任公司独立董事。</w:t>
      </w:r>
    </w:p>
    <w:p>
      <w:pPr>
        <w:pStyle w:val="BodyText"/>
        <w:spacing w:line="369" w:lineRule="auto" w:before="52"/>
        <w:ind w:right="215" w:firstLine="441"/>
        <w:jc w:val="both"/>
      </w:pPr>
      <w:r>
        <w:rPr>
          <w:spacing w:val="-1"/>
        </w:rPr>
        <w:t>邹晖女士：独立董事，中国国籍，无境外永久居留权，女，</w:t>
      </w:r>
      <w:r>
        <w:rPr>
          <w:rFonts w:ascii="Arial" w:hAnsi="Arial" w:cs="Arial" w:eastAsia="Arial" w:hint="default"/>
          <w:spacing w:val="-1"/>
        </w:rPr>
        <w:t>1967</w:t>
      </w:r>
      <w:r>
        <w:rPr>
          <w:spacing w:val="-1"/>
        </w:rPr>
        <w:t>年生，北方交通大学</w:t>
      </w:r>
      <w:r>
        <w:rPr>
          <w:w w:val="100"/>
        </w:rPr>
        <w:t> </w:t>
      </w:r>
      <w:r>
        <w:rPr/>
        <w:t>经济管理系学士，高级会计师，现任中国注册会计师协会监管部副主任，曾任中国注册会</w:t>
      </w:r>
    </w:p>
    <w:p>
      <w:pPr>
        <w:spacing w:after="0" w:line="369" w:lineRule="auto"/>
        <w:jc w:val="both"/>
        <w:sectPr>
          <w:pgSz w:w="11900" w:h="16840"/>
          <w:pgMar w:header="877" w:footer="981" w:top="1100" w:bottom="1180" w:left="1660" w:right="1240"/>
        </w:sectPr>
      </w:pPr>
    </w:p>
    <w:p>
      <w:pPr>
        <w:spacing w:line="240" w:lineRule="auto" w:before="4"/>
        <w:rPr>
          <w:rFonts w:ascii="宋体" w:hAnsi="宋体" w:cs="宋体" w:eastAsia="宋体" w:hint="default"/>
          <w:sz w:val="26"/>
          <w:szCs w:val="26"/>
        </w:rPr>
      </w:pPr>
    </w:p>
    <w:p>
      <w:pPr>
        <w:pStyle w:val="BodyText"/>
        <w:spacing w:line="391" w:lineRule="auto"/>
        <w:ind w:right="33"/>
        <w:jc w:val="left"/>
      </w:pPr>
      <w:r>
        <w:rPr/>
        <w:t>计师协会注册部副主任等职务。邹女士熟悉会计准则和审计准则，先后参与了《乡镇财务</w:t>
      </w:r>
      <w:r>
        <w:rPr>
          <w:spacing w:val="-57"/>
        </w:rPr>
        <w:t> </w:t>
      </w:r>
      <w:r>
        <w:rPr>
          <w:spacing w:val="-57"/>
        </w:rPr>
      </w:r>
      <w:r>
        <w:rPr>
          <w:spacing w:val="-18"/>
          <w:w w:val="100"/>
        </w:rPr>
        <w:t>会计实用手册》、《新制度下工业企业会计核算及报表的编制与分析》、《财务会计实用指导》、</w:t>
      </w:r>
    </w:p>
    <w:p>
      <w:pPr>
        <w:pStyle w:val="BodyText"/>
        <w:spacing w:line="240" w:lineRule="auto" w:before="41"/>
        <w:ind w:right="0"/>
        <w:jc w:val="both"/>
      </w:pPr>
      <w:r>
        <w:rPr/>
        <w:t>《新编会计师手册》和《高级审计实务》的编写或编译工作。报告期内任公司独立董事。</w:t>
      </w:r>
    </w:p>
    <w:p>
      <w:pPr>
        <w:spacing w:line="240" w:lineRule="auto" w:before="1"/>
        <w:rPr>
          <w:rFonts w:ascii="宋体" w:hAnsi="宋体" w:cs="宋体" w:eastAsia="宋体" w:hint="default"/>
          <w:sz w:val="16"/>
          <w:szCs w:val="16"/>
        </w:rPr>
      </w:pPr>
    </w:p>
    <w:p>
      <w:pPr>
        <w:pStyle w:val="Heading3"/>
        <w:spacing w:line="240" w:lineRule="auto"/>
        <w:ind w:right="0"/>
        <w:jc w:val="both"/>
      </w:pPr>
      <w:r>
        <w:rPr>
          <w:rFonts w:ascii="Arial" w:hAnsi="Arial" w:cs="Arial" w:eastAsia="Arial" w:hint="default"/>
          <w:b/>
          <w:bCs/>
        </w:rPr>
        <w:t>2</w:t>
      </w:r>
      <w:r>
        <w:rPr/>
        <w:t>、监事会成员</w:t>
      </w:r>
    </w:p>
    <w:p>
      <w:pPr>
        <w:pStyle w:val="BodyText"/>
        <w:spacing w:line="369" w:lineRule="auto" w:before="207"/>
        <w:ind w:right="33" w:firstLine="441"/>
        <w:jc w:val="left"/>
      </w:pPr>
      <w:r>
        <w:rPr/>
        <w:t>王敬敏先生：监事会主席，中国国籍，无境外永久居留权，男，</w:t>
      </w:r>
      <w:r>
        <w:rPr>
          <w:rFonts w:ascii="Arial" w:hAnsi="Arial" w:cs="Arial" w:eastAsia="Arial" w:hint="default"/>
        </w:rPr>
        <w:t>1959</w:t>
      </w:r>
      <w:r>
        <w:rPr/>
        <w:t>年</w:t>
      </w:r>
      <w:r>
        <w:rPr>
          <w:rFonts w:ascii="Arial" w:hAnsi="Arial" w:cs="Arial" w:eastAsia="Arial" w:hint="default"/>
        </w:rPr>
        <w:t>5</w:t>
      </w:r>
      <w:r>
        <w:rPr/>
        <w:t>月出生，毕</w:t>
      </w:r>
      <w:r>
        <w:rPr>
          <w:w w:val="100"/>
        </w:rPr>
        <w:t> </w:t>
      </w:r>
      <w:r>
        <w:rPr>
          <w:spacing w:val="-4"/>
          <w:w w:val="100"/>
        </w:rPr>
        <w:t>业于上海电视大学工商管理专业。</w:t>
      </w:r>
      <w:r>
        <w:rPr>
          <w:rFonts w:ascii="Arial" w:hAnsi="Arial" w:cs="Arial" w:eastAsia="Arial" w:hint="default"/>
          <w:spacing w:val="-4"/>
          <w:w w:val="100"/>
        </w:rPr>
        <w:t>1976</w:t>
      </w:r>
      <w:r>
        <w:rPr>
          <w:spacing w:val="-4"/>
          <w:w w:val="100"/>
        </w:rPr>
        <w:t>年至</w:t>
      </w:r>
      <w:r>
        <w:rPr>
          <w:rFonts w:ascii="Arial" w:hAnsi="Arial" w:cs="Arial" w:eastAsia="Arial" w:hint="default"/>
          <w:spacing w:val="-4"/>
          <w:w w:val="100"/>
        </w:rPr>
        <w:t>1981</w:t>
      </w:r>
      <w:r>
        <w:rPr>
          <w:spacing w:val="-4"/>
          <w:w w:val="100"/>
        </w:rPr>
        <w:t>年服务于中国人民解放军海军</w:t>
      </w:r>
      <w:r>
        <w:rPr>
          <w:rFonts w:ascii="Arial" w:hAnsi="Arial" w:cs="Arial" w:eastAsia="Arial" w:hint="default"/>
          <w:spacing w:val="-4"/>
          <w:w w:val="100"/>
        </w:rPr>
        <w:t>37901</w:t>
      </w:r>
      <w:r>
        <w:rPr>
          <w:spacing w:val="-4"/>
          <w:w w:val="100"/>
        </w:rPr>
        <w:t>部队，</w:t>
      </w:r>
      <w:r>
        <w:rPr>
          <w:spacing w:val="-69"/>
          <w:w w:val="100"/>
        </w:rPr>
        <w:t> </w:t>
      </w:r>
      <w:r>
        <w:rPr>
          <w:rFonts w:ascii="Arial" w:hAnsi="Arial" w:cs="Arial" w:eastAsia="Arial" w:hint="default"/>
        </w:rPr>
        <w:t>1981</w:t>
      </w:r>
      <w:r>
        <w:rPr/>
        <w:t>年至</w:t>
      </w:r>
      <w:r>
        <w:rPr>
          <w:rFonts w:ascii="Arial" w:hAnsi="Arial" w:cs="Arial" w:eastAsia="Arial" w:hint="default"/>
        </w:rPr>
        <w:t>1993</w:t>
      </w:r>
      <w:r>
        <w:rPr/>
        <w:t>年就职于上海电话设备厂，</w:t>
      </w:r>
      <w:r>
        <w:rPr>
          <w:rFonts w:ascii="Arial" w:hAnsi="Arial" w:cs="Arial" w:eastAsia="Arial" w:hint="default"/>
        </w:rPr>
        <w:t>1993</w:t>
      </w:r>
      <w:r>
        <w:rPr/>
        <w:t>年至</w:t>
      </w:r>
      <w:r>
        <w:rPr>
          <w:rFonts w:ascii="Arial" w:hAnsi="Arial" w:cs="Arial" w:eastAsia="Arial" w:hint="default"/>
        </w:rPr>
        <w:t>2007</w:t>
      </w:r>
      <w:r>
        <w:rPr/>
        <w:t>年任上海普天马可尼网络公司行</w:t>
      </w:r>
      <w:r>
        <w:rPr>
          <w:spacing w:val="-46"/>
        </w:rPr>
        <w:t> </w:t>
      </w:r>
      <w:r>
        <w:rPr>
          <w:spacing w:val="-46"/>
        </w:rPr>
      </w:r>
      <w:r>
        <w:rPr>
          <w:spacing w:val="-6"/>
          <w:w w:val="100"/>
        </w:rPr>
        <w:t>政人事部经理，</w:t>
      </w:r>
      <w:r>
        <w:rPr>
          <w:rFonts w:ascii="Arial" w:hAnsi="Arial" w:cs="Arial" w:eastAsia="Arial" w:hint="default"/>
          <w:spacing w:val="-6"/>
          <w:w w:val="100"/>
        </w:rPr>
        <w:t>2007</w:t>
      </w:r>
      <w:r>
        <w:rPr>
          <w:spacing w:val="-6"/>
          <w:w w:val="100"/>
        </w:rPr>
        <w:t>加入本公司，任管理部部长，。现任本公司监事会主席、烟台安诺其纺</w:t>
      </w:r>
      <w:r>
        <w:rPr>
          <w:spacing w:val="-107"/>
          <w:w w:val="100"/>
        </w:rPr>
        <w:t> </w:t>
      </w:r>
      <w:r>
        <w:rPr>
          <w:spacing w:val="-107"/>
          <w:w w:val="100"/>
        </w:rPr>
      </w:r>
      <w:r>
        <w:rPr/>
        <w:t>织材料有限公司总经理。</w:t>
      </w:r>
    </w:p>
    <w:p>
      <w:pPr>
        <w:pStyle w:val="BodyText"/>
        <w:spacing w:line="369" w:lineRule="auto" w:before="61"/>
        <w:ind w:right="218" w:firstLine="441"/>
        <w:jc w:val="both"/>
      </w:pPr>
      <w:r>
        <w:rPr/>
        <w:t>孙永胜先生：监事，中国国籍，无境外永久居留权，男，</w:t>
      </w:r>
      <w:r>
        <w:rPr>
          <w:rFonts w:ascii="Arial" w:hAnsi="Arial" w:cs="Arial" w:eastAsia="Arial" w:hint="default"/>
        </w:rPr>
        <w:t>1975</w:t>
      </w:r>
      <w:r>
        <w:rPr/>
        <w:t>年生，</w:t>
      </w:r>
      <w:r>
        <w:rPr>
          <w:spacing w:val="48"/>
        </w:rPr>
        <w:t> </w:t>
      </w:r>
      <w:r>
        <w:rPr>
          <w:rFonts w:ascii="Arial" w:hAnsi="Arial" w:cs="Arial" w:eastAsia="Arial" w:hint="default"/>
        </w:rPr>
        <w:t>1996</w:t>
      </w:r>
      <w:r>
        <w:rPr/>
        <w:t>年毕业于</w:t>
      </w:r>
      <w:r>
        <w:rPr>
          <w:w w:val="100"/>
        </w:rPr>
        <w:t> </w:t>
      </w:r>
      <w:r>
        <w:rPr>
          <w:spacing w:val="-2"/>
        </w:rPr>
        <w:t>南通纺织技术学院。</w:t>
      </w:r>
      <w:r>
        <w:rPr>
          <w:rFonts w:ascii="Arial" w:hAnsi="Arial" w:cs="Arial" w:eastAsia="Arial" w:hint="default"/>
          <w:spacing w:val="-2"/>
        </w:rPr>
        <w:t>1996</w:t>
      </w:r>
      <w:r>
        <w:rPr>
          <w:spacing w:val="-2"/>
        </w:rPr>
        <w:t>年至</w:t>
      </w:r>
      <w:r>
        <w:rPr>
          <w:rFonts w:ascii="Arial" w:hAnsi="Arial" w:cs="Arial" w:eastAsia="Arial" w:hint="default"/>
          <w:spacing w:val="-2"/>
        </w:rPr>
        <w:t>2004</w:t>
      </w:r>
      <w:r>
        <w:rPr>
          <w:spacing w:val="-2"/>
        </w:rPr>
        <w:t>年期间就职于江苏大圣集团有限公司，先后任化验室主</w:t>
      </w:r>
      <w:r>
        <w:rPr>
          <w:spacing w:val="-77"/>
        </w:rPr>
        <w:t> </w:t>
      </w:r>
      <w:r>
        <w:rPr>
          <w:spacing w:val="-77"/>
        </w:rPr>
      </w:r>
      <w:r>
        <w:rPr>
          <w:spacing w:val="-1"/>
        </w:rPr>
        <w:t>任，染整技术开发中心主任。</w:t>
      </w:r>
      <w:r>
        <w:rPr>
          <w:rFonts w:ascii="Arial" w:hAnsi="Arial" w:cs="Arial" w:eastAsia="Arial" w:hint="default"/>
          <w:spacing w:val="-1"/>
        </w:rPr>
        <w:t>2005</w:t>
      </w:r>
      <w:r>
        <w:rPr>
          <w:spacing w:val="-1"/>
        </w:rPr>
        <w:t>年加入本公司，现任公司销售部江苏大区经理、本公司</w:t>
      </w:r>
      <w:r>
        <w:rPr>
          <w:spacing w:val="-68"/>
        </w:rPr>
        <w:t> </w:t>
      </w:r>
      <w:r>
        <w:rPr>
          <w:spacing w:val="-68"/>
        </w:rPr>
      </w:r>
      <w:r>
        <w:rPr/>
        <w:t>监事。</w:t>
      </w:r>
    </w:p>
    <w:p>
      <w:pPr>
        <w:pStyle w:val="BodyText"/>
        <w:spacing w:line="369" w:lineRule="auto" w:before="61"/>
        <w:ind w:right="215" w:firstLine="441"/>
        <w:jc w:val="both"/>
      </w:pPr>
      <w:r>
        <w:rPr>
          <w:spacing w:val="-1"/>
        </w:rPr>
        <w:t>金银姬女士：监事，中国国籍，无境外永久居留权，</w:t>
      </w:r>
      <w:r>
        <w:rPr>
          <w:rFonts w:ascii="Arial" w:hAnsi="Arial" w:cs="Arial" w:eastAsia="Arial" w:hint="default"/>
          <w:spacing w:val="-1"/>
        </w:rPr>
        <w:t>1972</w:t>
      </w:r>
      <w:r>
        <w:rPr>
          <w:spacing w:val="-1"/>
        </w:rPr>
        <w:t>年生，朝鲜族，大专学历，</w:t>
      </w:r>
      <w:r>
        <w:rPr>
          <w:w w:val="100"/>
        </w:rPr>
        <w:t> </w:t>
      </w:r>
      <w:r>
        <w:rPr>
          <w:rFonts w:ascii="Arial" w:hAnsi="Arial" w:cs="Arial" w:eastAsia="Arial" w:hint="default"/>
          <w:spacing w:val="-1"/>
        </w:rPr>
        <w:t>1995</w:t>
      </w:r>
      <w:r>
        <w:rPr>
          <w:spacing w:val="-1"/>
        </w:rPr>
        <w:t>年毕业于吉林省长春市经济贸易学校，先后任天津乐金精密化工有限公司担任资材部</w:t>
      </w:r>
      <w:r>
        <w:rPr>
          <w:spacing w:val="-68"/>
        </w:rPr>
        <w:t> </w:t>
      </w:r>
      <w:r>
        <w:rPr>
          <w:spacing w:val="-68"/>
        </w:rPr>
      </w:r>
      <w:r>
        <w:rPr>
          <w:spacing w:val="-1"/>
        </w:rPr>
        <w:t>代理，上海欧凯化工科技有限公司任分散染料原材料采购和仓库管理部经理，</w:t>
      </w:r>
      <w:r>
        <w:rPr>
          <w:rFonts w:ascii="Arial" w:hAnsi="Arial" w:cs="Arial" w:eastAsia="Arial" w:hint="default"/>
          <w:spacing w:val="-1"/>
        </w:rPr>
        <w:t>2008</w:t>
      </w:r>
      <w:r>
        <w:rPr>
          <w:spacing w:val="-1"/>
        </w:rPr>
        <w:t>年加盟</w:t>
      </w:r>
      <w:r>
        <w:rPr>
          <w:spacing w:val="-65"/>
        </w:rPr>
        <w:t> </w:t>
      </w:r>
      <w:r>
        <w:rPr/>
        <w:t>本公司，现任公司运营部部长、本公司监事。</w:t>
      </w:r>
    </w:p>
    <w:p>
      <w:pPr>
        <w:pStyle w:val="Heading3"/>
        <w:spacing w:line="240" w:lineRule="auto" w:before="92"/>
        <w:ind w:right="0"/>
        <w:jc w:val="both"/>
      </w:pPr>
      <w:r>
        <w:rPr>
          <w:rFonts w:ascii="Arial" w:hAnsi="Arial" w:cs="Arial" w:eastAsia="Arial" w:hint="default"/>
          <w:b/>
          <w:bCs/>
        </w:rPr>
        <w:t>3</w:t>
      </w:r>
      <w:r>
        <w:rPr/>
        <w:t>、高级管理人员</w:t>
      </w:r>
    </w:p>
    <w:p>
      <w:pPr>
        <w:pStyle w:val="BodyText"/>
        <w:spacing w:line="369" w:lineRule="auto" w:before="207"/>
        <w:ind w:left="579" w:right="33"/>
        <w:jc w:val="left"/>
      </w:pPr>
      <w:r>
        <w:rPr>
          <w:spacing w:val="-4"/>
          <w:w w:val="100"/>
        </w:rPr>
        <w:t>臧少玉先生：见第五节：四、（三）其他持有本公司</w:t>
      </w:r>
      <w:r>
        <w:rPr>
          <w:rFonts w:ascii="Arial" w:hAnsi="Arial" w:cs="Arial" w:eastAsia="Arial" w:hint="default"/>
          <w:spacing w:val="-4"/>
          <w:w w:val="100"/>
        </w:rPr>
        <w:t>5%</w:t>
      </w:r>
      <w:r>
        <w:rPr>
          <w:spacing w:val="-4"/>
          <w:w w:val="100"/>
        </w:rPr>
        <w:t>以上</w:t>
      </w:r>
      <w:r>
        <w:rPr>
          <w:rFonts w:ascii="Arial" w:hAnsi="Arial" w:cs="Arial" w:eastAsia="Arial" w:hint="default"/>
          <w:spacing w:val="-4"/>
          <w:w w:val="100"/>
        </w:rPr>
        <w:t>(</w:t>
      </w:r>
      <w:r>
        <w:rPr>
          <w:spacing w:val="-4"/>
          <w:w w:val="100"/>
        </w:rPr>
        <w:t>含</w:t>
      </w:r>
      <w:r>
        <w:rPr>
          <w:rFonts w:ascii="Arial" w:hAnsi="Arial" w:cs="Arial" w:eastAsia="Arial" w:hint="default"/>
          <w:spacing w:val="-4"/>
          <w:w w:val="100"/>
        </w:rPr>
        <w:t>5%)</w:t>
      </w:r>
      <w:r>
        <w:rPr>
          <w:spacing w:val="-4"/>
          <w:w w:val="100"/>
        </w:rPr>
        <w:t>股份的股东情况。</w:t>
      </w:r>
      <w:r>
        <w:rPr>
          <w:spacing w:val="-90"/>
          <w:w w:val="100"/>
        </w:rPr>
        <w:t> </w:t>
      </w:r>
      <w:r>
        <w:rPr>
          <w:spacing w:val="-90"/>
          <w:w w:val="100"/>
        </w:rPr>
      </w:r>
      <w:r>
        <w:rPr>
          <w:spacing w:val="-11"/>
          <w:w w:val="100"/>
        </w:rPr>
        <w:t>缪融先生：见本节：（二）、</w:t>
      </w:r>
      <w:r>
        <w:rPr>
          <w:rFonts w:ascii="Arial" w:hAnsi="Arial" w:cs="Arial" w:eastAsia="Arial" w:hint="default"/>
          <w:spacing w:val="-11"/>
          <w:w w:val="100"/>
        </w:rPr>
        <w:t>1</w:t>
      </w:r>
      <w:r>
        <w:rPr>
          <w:spacing w:val="-11"/>
          <w:w w:val="100"/>
        </w:rPr>
        <w:t>、董事会成员介绍。</w:t>
      </w:r>
      <w:r>
        <w:rPr>
          <w:spacing w:val="-93"/>
          <w:w w:val="100"/>
        </w:rPr>
        <w:t> </w:t>
      </w:r>
      <w:r>
        <w:rPr>
          <w:spacing w:val="-93"/>
          <w:w w:val="100"/>
        </w:rPr>
      </w:r>
      <w:r>
        <w:rPr>
          <w:spacing w:val="-10"/>
          <w:w w:val="100"/>
        </w:rPr>
        <w:t>王宏道先生：见本节：（二）、</w:t>
      </w:r>
      <w:r>
        <w:rPr>
          <w:rFonts w:ascii="Arial" w:hAnsi="Arial" w:cs="Arial" w:eastAsia="Arial" w:hint="default"/>
          <w:spacing w:val="-10"/>
          <w:w w:val="100"/>
        </w:rPr>
        <w:t>1</w:t>
      </w:r>
      <w:r>
        <w:rPr>
          <w:spacing w:val="-10"/>
          <w:w w:val="100"/>
        </w:rPr>
        <w:t>、董事会成员介绍。</w:t>
      </w:r>
      <w:r>
        <w:rPr>
          <w:spacing w:val="-107"/>
          <w:w w:val="100"/>
        </w:rPr>
        <w:t> </w:t>
      </w:r>
      <w:r>
        <w:rPr>
          <w:spacing w:val="-107"/>
          <w:w w:val="100"/>
        </w:rPr>
      </w:r>
      <w:r>
        <w:rPr>
          <w:spacing w:val="-2"/>
        </w:rPr>
        <w:t>文欣女士：中国国籍，无境外永久居留权，</w:t>
      </w:r>
      <w:r>
        <w:rPr>
          <w:rFonts w:ascii="Arial" w:hAnsi="Arial" w:cs="Arial" w:eastAsia="Arial" w:hint="default"/>
          <w:spacing w:val="-2"/>
        </w:rPr>
        <w:t>1963</w:t>
      </w:r>
      <w:r>
        <w:rPr>
          <w:spacing w:val="-2"/>
        </w:rPr>
        <w:t>年生，本科学历，</w:t>
      </w:r>
      <w:r>
        <w:rPr>
          <w:rFonts w:ascii="Arial" w:hAnsi="Arial" w:cs="Arial" w:eastAsia="Arial" w:hint="default"/>
          <w:spacing w:val="-2"/>
        </w:rPr>
        <w:t>1984</w:t>
      </w:r>
      <w:r>
        <w:rPr>
          <w:spacing w:val="-2"/>
        </w:rPr>
        <w:t>年毕业于西北</w:t>
      </w:r>
    </w:p>
    <w:p>
      <w:pPr>
        <w:pStyle w:val="BodyText"/>
        <w:spacing w:line="369" w:lineRule="auto" w:before="31"/>
        <w:ind w:right="215"/>
        <w:jc w:val="both"/>
      </w:pPr>
      <w:r>
        <w:rPr/>
        <w:t>纺织工学院。</w:t>
      </w:r>
      <w:r>
        <w:rPr>
          <w:rFonts w:ascii="Arial" w:hAnsi="Arial" w:cs="Arial" w:eastAsia="Arial" w:hint="default"/>
        </w:rPr>
        <w:t>1984</w:t>
      </w:r>
      <w:r>
        <w:rPr/>
        <w:t>年至</w:t>
      </w:r>
      <w:r>
        <w:rPr>
          <w:rFonts w:ascii="Arial" w:hAnsi="Arial" w:cs="Arial" w:eastAsia="Arial" w:hint="default"/>
        </w:rPr>
        <w:t>1994</w:t>
      </w:r>
      <w:r>
        <w:rPr/>
        <w:t>年任陕西第一毛纺厂化验室主任，</w:t>
      </w:r>
      <w:r>
        <w:rPr>
          <w:rFonts w:ascii="Arial" w:hAnsi="Arial" w:cs="Arial" w:eastAsia="Arial" w:hint="default"/>
        </w:rPr>
        <w:t>1994</w:t>
      </w:r>
      <w:r>
        <w:rPr/>
        <w:t>年至</w:t>
      </w:r>
      <w:r>
        <w:rPr>
          <w:rFonts w:ascii="Arial" w:hAnsi="Arial" w:cs="Arial" w:eastAsia="Arial" w:hint="default"/>
        </w:rPr>
        <w:t>1996</w:t>
      </w:r>
      <w:r>
        <w:rPr/>
        <w:t>年期间任张</w:t>
      </w:r>
      <w:r>
        <w:rPr>
          <w:spacing w:val="-45"/>
        </w:rPr>
        <w:t> </w:t>
      </w:r>
      <w:r>
        <w:rPr>
          <w:spacing w:val="-45"/>
        </w:rPr>
      </w:r>
      <w:r>
        <w:rPr/>
        <w:t>家港浦坤毛纺厂工程师，</w:t>
      </w:r>
      <w:r>
        <w:rPr>
          <w:rFonts w:ascii="Arial" w:hAnsi="Arial" w:cs="Arial" w:eastAsia="Arial" w:hint="default"/>
        </w:rPr>
        <w:t>1997</w:t>
      </w:r>
      <w:r>
        <w:rPr/>
        <w:t>年至</w:t>
      </w:r>
      <w:r>
        <w:rPr>
          <w:rFonts w:ascii="Arial" w:hAnsi="Arial" w:cs="Arial" w:eastAsia="Arial" w:hint="default"/>
        </w:rPr>
        <w:t>2005</w:t>
      </w:r>
      <w:r>
        <w:rPr/>
        <w:t>年期间任德司达中国有限公司高级工程师，</w:t>
      </w:r>
      <w:r>
        <w:rPr>
          <w:rFonts w:ascii="Arial" w:hAnsi="Arial" w:cs="Arial" w:eastAsia="Arial" w:hint="default"/>
        </w:rPr>
        <w:t>2005</w:t>
      </w:r>
      <w:r>
        <w:rPr>
          <w:rFonts w:ascii="Arial" w:hAnsi="Arial" w:cs="Arial" w:eastAsia="Arial" w:hint="default"/>
          <w:spacing w:val="46"/>
        </w:rPr>
        <w:t> </w:t>
      </w:r>
      <w:r>
        <w:rPr>
          <w:rFonts w:ascii="Arial" w:hAnsi="Arial" w:cs="Arial" w:eastAsia="Arial" w:hint="default"/>
          <w:spacing w:val="46"/>
        </w:rPr>
      </w:r>
      <w:r>
        <w:rPr/>
        <w:t>年加盟本公司公司，分管市场战略中心。现任公司副总经理。</w:t>
      </w:r>
    </w:p>
    <w:p>
      <w:pPr>
        <w:pStyle w:val="BodyText"/>
        <w:spacing w:line="369" w:lineRule="auto" w:before="61"/>
        <w:ind w:right="33" w:firstLine="441"/>
        <w:jc w:val="left"/>
      </w:pPr>
      <w:r>
        <w:rPr>
          <w:spacing w:val="-4"/>
        </w:rPr>
        <w:t>石磊女士：中国国籍，无境外永久居留权，</w:t>
      </w:r>
      <w:r>
        <w:rPr>
          <w:rFonts w:ascii="Arial" w:hAnsi="Arial" w:cs="Arial" w:eastAsia="Arial" w:hint="default"/>
          <w:spacing w:val="-4"/>
        </w:rPr>
        <w:t>1971</w:t>
      </w:r>
      <w:r>
        <w:rPr>
          <w:spacing w:val="-4"/>
        </w:rPr>
        <w:t>年生，高级管理咨询师，美商会会员、</w:t>
      </w:r>
      <w:r>
        <w:rPr>
          <w:w w:val="100"/>
        </w:rPr>
        <w:t> </w:t>
      </w:r>
      <w:r>
        <w:rPr/>
        <w:t>芝加哥商会会员。先后就职于上海游龙橡胶制品有限公司，上海万泰集团有限公司。</w:t>
      </w:r>
      <w:r>
        <w:rPr>
          <w:rFonts w:ascii="Arial" w:hAnsi="Arial" w:cs="Arial" w:eastAsia="Arial" w:hint="default"/>
        </w:rPr>
        <w:t>2008</w:t>
      </w:r>
      <w:r>
        <w:rPr>
          <w:rFonts w:ascii="Arial" w:hAnsi="Arial" w:cs="Arial" w:eastAsia="Arial" w:hint="default"/>
          <w:spacing w:val="-57"/>
        </w:rPr>
        <w:t> </w:t>
      </w:r>
      <w:r>
        <w:rPr>
          <w:rFonts w:ascii="Arial" w:hAnsi="Arial" w:cs="Arial" w:eastAsia="Arial" w:hint="default"/>
          <w:spacing w:val="-57"/>
        </w:rPr>
      </w:r>
      <w:r>
        <w:rPr/>
        <w:t>年初加盟本公司并任副总经理，分管公司投融资事宜。现任公司副总经理兼董事会秘书。</w:t>
      </w:r>
    </w:p>
    <w:p>
      <w:pPr>
        <w:pStyle w:val="BodyText"/>
        <w:spacing w:line="240" w:lineRule="auto" w:before="61"/>
        <w:ind w:left="579" w:right="33"/>
        <w:jc w:val="left"/>
      </w:pPr>
      <w:r>
        <w:rPr/>
        <w:t>马成斌先生：中国国籍，无境外永久居留权，</w:t>
      </w:r>
      <w:r>
        <w:rPr>
          <w:rFonts w:ascii="Arial" w:hAnsi="Arial" w:cs="Arial" w:eastAsia="Arial" w:hint="default"/>
        </w:rPr>
        <w:t>1966</w:t>
      </w:r>
      <w:r>
        <w:rPr/>
        <w:t>年生，本科学历，</w:t>
      </w:r>
      <w:r>
        <w:rPr>
          <w:rFonts w:ascii="Arial" w:hAnsi="Arial" w:cs="Arial" w:eastAsia="Arial" w:hint="default"/>
        </w:rPr>
        <w:t>1989</w:t>
      </w:r>
      <w:r>
        <w:rPr/>
        <w:t>年毕业于西</w:t>
      </w:r>
    </w:p>
    <w:p>
      <w:pPr>
        <w:spacing w:after="0" w:line="240" w:lineRule="auto"/>
        <w:jc w:val="left"/>
        <w:sectPr>
          <w:pgSz w:w="11900" w:h="16840"/>
          <w:pgMar w:header="877" w:footer="981" w:top="1100" w:bottom="1180" w:left="1660" w:right="1240"/>
        </w:sectPr>
      </w:pPr>
    </w:p>
    <w:p>
      <w:pPr>
        <w:spacing w:line="240" w:lineRule="auto" w:before="4"/>
        <w:rPr>
          <w:rFonts w:ascii="宋体" w:hAnsi="宋体" w:cs="宋体" w:eastAsia="宋体" w:hint="default"/>
          <w:sz w:val="26"/>
          <w:szCs w:val="26"/>
        </w:rPr>
      </w:pPr>
    </w:p>
    <w:p>
      <w:pPr>
        <w:pStyle w:val="BodyText"/>
        <w:spacing w:line="374" w:lineRule="auto"/>
        <w:ind w:left="237" w:right="125"/>
        <w:jc w:val="left"/>
        <w:rPr>
          <w:rFonts w:ascii="Arial" w:hAnsi="Arial" w:cs="Arial" w:eastAsia="Arial" w:hint="default"/>
        </w:rPr>
      </w:pPr>
      <w:r>
        <w:rPr/>
        <w:t>北纺织学院染整工程专业，</w:t>
      </w:r>
      <w:r>
        <w:rPr>
          <w:rFonts w:ascii="Arial" w:hAnsi="Arial" w:cs="Arial" w:eastAsia="Arial" w:hint="default"/>
        </w:rPr>
        <w:t>1989</w:t>
      </w:r>
      <w:r>
        <w:rPr/>
        <w:t>年至</w:t>
      </w:r>
      <w:r>
        <w:rPr>
          <w:rFonts w:ascii="Arial" w:hAnsi="Arial" w:cs="Arial" w:eastAsia="Arial" w:hint="default"/>
        </w:rPr>
        <w:t>2003</w:t>
      </w:r>
      <w:r>
        <w:rPr/>
        <w:t>年就职于兰州三毛纺织集团染色和后整理厂及兰</w:t>
      </w:r>
      <w:r>
        <w:rPr>
          <w:w w:val="100"/>
        </w:rPr>
        <w:t> </w:t>
      </w:r>
      <w:r>
        <w:rPr/>
        <w:t>州三毛纺织集团，先后任染色和后整理厂技术员，副总工程师，厂长，兰州三毛纺织集团</w:t>
      </w:r>
      <w:r>
        <w:rPr>
          <w:spacing w:val="-57"/>
        </w:rPr>
        <w:t> </w:t>
      </w:r>
      <w:r>
        <w:rPr>
          <w:spacing w:val="-57"/>
        </w:rPr>
      </w:r>
      <w:r>
        <w:rPr/>
        <w:t>总工程师等职务，</w:t>
      </w:r>
      <w:r>
        <w:rPr>
          <w:spacing w:val="-29"/>
        </w:rPr>
        <w:t> </w:t>
      </w:r>
      <w:r>
        <w:rPr>
          <w:rFonts w:ascii="Arial" w:hAnsi="Arial" w:cs="Arial" w:eastAsia="Arial" w:hint="default"/>
          <w:spacing w:val="-3"/>
        </w:rPr>
        <w:t>2003</w:t>
      </w:r>
      <w:r>
        <w:rPr>
          <w:spacing w:val="-3"/>
        </w:rPr>
        <w:t>年</w:t>
      </w:r>
      <w:r>
        <w:rPr>
          <w:rFonts w:ascii="Arial" w:hAnsi="Arial" w:cs="Arial" w:eastAsia="Arial" w:hint="default"/>
          <w:spacing w:val="-3"/>
        </w:rPr>
        <w:t>6</w:t>
      </w:r>
      <w:r>
        <w:rPr>
          <w:spacing w:val="-3"/>
        </w:rPr>
        <w:t>月加入汽巴精化中国有限公司杭州分公司，先后担任技术推广，</w:t>
      </w:r>
      <w:r>
        <w:rPr>
          <w:spacing w:val="-102"/>
        </w:rPr>
        <w:t> </w:t>
      </w:r>
      <w:r>
        <w:rPr>
          <w:spacing w:val="-102"/>
        </w:rPr>
      </w:r>
      <w:r>
        <w:rPr/>
        <w:t>区域经理；</w:t>
      </w:r>
      <w:r>
        <w:rPr>
          <w:rFonts w:ascii="Arial" w:hAnsi="Arial" w:cs="Arial" w:eastAsia="Arial" w:hint="default"/>
        </w:rPr>
        <w:t>2006</w:t>
      </w:r>
      <w:r>
        <w:rPr/>
        <w:t>年加入亨斯迈纺织染化（中国）有限公司，先后担任区域客户经理、区域</w:t>
      </w:r>
      <w:r>
        <w:rPr>
          <w:w w:val="100"/>
        </w:rPr>
        <w:t> </w:t>
      </w:r>
      <w:r>
        <w:rPr/>
        <w:t>销售经理、染料技术总监等职务，对纺织及印染厂家和各种产品的标准及工艺流程十分熟</w:t>
      </w:r>
      <w:r>
        <w:rPr>
          <w:spacing w:val="-57"/>
        </w:rPr>
        <w:t> </w:t>
      </w:r>
      <w:r>
        <w:rPr>
          <w:spacing w:val="-57"/>
        </w:rPr>
      </w:r>
      <w:r>
        <w:rPr/>
        <w:t>悉，并掌握各种染料和助剂的性能及其应用，同时掌握流行的面料的制造工艺。</w:t>
      </w:r>
      <w:r>
        <w:rPr>
          <w:rFonts w:ascii="Arial" w:hAnsi="Arial" w:cs="Arial" w:eastAsia="Arial" w:hint="default"/>
        </w:rPr>
        <w:t>2008</w:t>
      </w:r>
      <w:r>
        <w:rPr/>
        <w:t>年</w:t>
      </w:r>
      <w:r>
        <w:rPr>
          <w:rFonts w:ascii="Arial" w:hAnsi="Arial" w:cs="Arial" w:eastAsia="Arial" w:hint="default"/>
        </w:rPr>
        <w:t>4</w:t>
      </w:r>
      <w:r>
        <w:rPr>
          <w:rFonts w:ascii="Arial" w:hAnsi="Arial" w:cs="Arial" w:eastAsia="Arial" w:hint="default"/>
          <w:spacing w:val="29"/>
        </w:rPr>
        <w:t> </w:t>
      </w:r>
      <w:r>
        <w:rPr/>
        <w:t>月加入</w:t>
      </w:r>
      <w:r>
        <w:rPr>
          <w:rFonts w:ascii="Arial" w:hAnsi="Arial" w:cs="Arial" w:eastAsia="Arial" w:hint="default"/>
        </w:rPr>
        <w:t>EURODYE-CTC</w:t>
      </w:r>
      <w:r>
        <w:rPr/>
        <w:t>，任中国区总监一职，全面负责</w:t>
      </w:r>
      <w:r>
        <w:rPr>
          <w:rFonts w:ascii="Arial" w:hAnsi="Arial" w:cs="Arial" w:eastAsia="Arial" w:hint="default"/>
        </w:rPr>
        <w:t>EURODYE-CTC </w:t>
      </w:r>
      <w:r>
        <w:rPr/>
        <w:t>在华的助剂产品</w:t>
      </w:r>
      <w:r>
        <w:rPr>
          <w:spacing w:val="-107"/>
        </w:rPr>
        <w:t> </w:t>
      </w:r>
      <w:r>
        <w:rPr/>
        <w:t>技术应用和销售工作。</w:t>
      </w:r>
      <w:r>
        <w:rPr>
          <w:rFonts w:ascii="Arial" w:hAnsi="Arial" w:cs="Arial" w:eastAsia="Arial" w:hint="default"/>
        </w:rPr>
        <w:t>2009</w:t>
      </w:r>
      <w:r>
        <w:rPr/>
        <w:t>年</w:t>
      </w:r>
      <w:r>
        <w:rPr>
          <w:rFonts w:ascii="Arial" w:hAnsi="Arial" w:cs="Arial" w:eastAsia="Arial" w:hint="default"/>
        </w:rPr>
        <w:t>9</w:t>
      </w:r>
      <w:r>
        <w:rPr/>
        <w:t>月加入本公司，担任助剂部负责人。在此期间其多次获得</w:t>
      </w:r>
      <w:r>
        <w:rPr>
          <w:spacing w:val="-18"/>
        </w:rPr>
        <w:t> </w:t>
      </w:r>
      <w:r>
        <w:rPr>
          <w:spacing w:val="-18"/>
        </w:rPr>
      </w:r>
      <w:r>
        <w:rPr/>
        <w:t>技术攻关奖励，</w:t>
      </w:r>
      <w:r>
        <w:rPr>
          <w:rFonts w:ascii="Arial" w:hAnsi="Arial" w:cs="Arial" w:eastAsia="Arial" w:hint="default"/>
        </w:rPr>
        <w:t>2002</w:t>
      </w:r>
      <w:r>
        <w:rPr/>
        <w:t>年由其开发的羊毛及其混纺织物的化学弹性整理项目获得甘肃省科学</w:t>
      </w:r>
      <w:r>
        <w:rPr>
          <w:spacing w:val="-108"/>
        </w:rPr>
        <w:t> </w:t>
      </w:r>
      <w:r>
        <w:rPr>
          <w:spacing w:val="-108"/>
        </w:rPr>
      </w:r>
      <w:r>
        <w:rPr/>
        <w:t>技术进步二等奖，实现了</w:t>
      </w:r>
      <w:r>
        <w:rPr>
          <w:rFonts w:ascii="Arial" w:hAnsi="Arial" w:cs="Arial" w:eastAsia="Arial" w:hint="default"/>
        </w:rPr>
        <w:t>OPTIUM</w:t>
      </w:r>
      <w:r>
        <w:rPr/>
        <w:t>新型羊毛纤维在精纺织物的应用的染色和后整理的技术</w:t>
      </w:r>
      <w:r>
        <w:rPr>
          <w:spacing w:val="-43"/>
        </w:rPr>
        <w:t> </w:t>
      </w:r>
      <w:r>
        <w:rPr>
          <w:spacing w:val="-43"/>
        </w:rPr>
      </w:r>
      <w:r>
        <w:rPr/>
        <w:t>攻关， </w:t>
      </w:r>
      <w:r>
        <w:rPr>
          <w:spacing w:val="7"/>
        </w:rPr>
        <w:t> </w:t>
      </w:r>
      <w:r>
        <w:rPr/>
        <w:t>并在</w:t>
      </w:r>
      <w:r>
        <w:rPr>
          <w:rFonts w:ascii="Arial" w:hAnsi="Arial" w:cs="Arial" w:eastAsia="Arial" w:hint="default"/>
        </w:rPr>
        <w:t>2002</w:t>
      </w:r>
      <w:r>
        <w:rPr/>
        <w:t>年通过国家的技术验收，该项目取得经济效益</w:t>
      </w:r>
      <w:r>
        <w:rPr>
          <w:rFonts w:ascii="Arial" w:hAnsi="Arial" w:cs="Arial" w:eastAsia="Arial" w:hint="default"/>
        </w:rPr>
        <w:t>400</w:t>
      </w:r>
      <w:r>
        <w:rPr/>
        <w:t>万元，证书号：</w:t>
      </w:r>
      <w:r>
        <w:rPr>
          <w:rFonts w:ascii="Arial" w:hAnsi="Arial" w:cs="Arial" w:eastAsia="Arial" w:hint="default"/>
        </w:rPr>
        <w:t>2002</w:t>
      </w:r>
    </w:p>
    <w:p>
      <w:pPr>
        <w:pStyle w:val="BodyText"/>
        <w:spacing w:line="240" w:lineRule="auto" w:before="26"/>
        <w:ind w:left="237" w:right="125"/>
        <w:jc w:val="left"/>
      </w:pPr>
      <w:r>
        <w:rPr>
          <w:spacing w:val="-3"/>
        </w:rPr>
        <w:t>－</w:t>
      </w:r>
      <w:r>
        <w:rPr>
          <w:rFonts w:ascii="Arial" w:hAnsi="Arial" w:cs="Arial" w:eastAsia="Arial" w:hint="default"/>
          <w:spacing w:val="-3"/>
        </w:rPr>
        <w:t>2</w:t>
      </w:r>
      <w:r>
        <w:rPr>
          <w:spacing w:val="-3"/>
        </w:rPr>
        <w:t>－</w:t>
      </w:r>
      <w:r>
        <w:rPr>
          <w:rFonts w:ascii="Arial" w:hAnsi="Arial" w:cs="Arial" w:eastAsia="Arial" w:hint="default"/>
          <w:spacing w:val="-3"/>
        </w:rPr>
        <w:t>011/3</w:t>
      </w:r>
      <w:r>
        <w:rPr>
          <w:spacing w:val="-3"/>
        </w:rPr>
        <w:t>；</w:t>
      </w:r>
      <w:r>
        <w:rPr>
          <w:spacing w:val="2"/>
        </w:rPr>
        <w:t> </w:t>
      </w:r>
      <w:r>
        <w:rPr/>
        <w:t>并在全国核心期刊发表论文</w:t>
      </w:r>
      <w:r>
        <w:rPr>
          <w:rFonts w:ascii="Arial" w:hAnsi="Arial" w:cs="Arial" w:eastAsia="Arial" w:hint="default"/>
        </w:rPr>
        <w:t>5</w:t>
      </w:r>
      <w:r>
        <w:rPr/>
        <w:t>篇。现任本公司副总经理。</w:t>
      </w:r>
    </w:p>
    <w:p>
      <w:pPr>
        <w:spacing w:before="176"/>
        <w:ind w:left="237" w:right="125" w:firstLine="0"/>
        <w:jc w:val="left"/>
        <w:rPr>
          <w:rFonts w:ascii="宋体" w:hAnsi="宋体" w:cs="宋体" w:eastAsia="宋体" w:hint="default"/>
          <w:sz w:val="30"/>
          <w:szCs w:val="30"/>
        </w:rPr>
      </w:pPr>
      <w:r>
        <w:rPr>
          <w:rFonts w:ascii="宋体" w:hAnsi="宋体" w:cs="宋体" w:eastAsia="宋体" w:hint="default"/>
          <w:sz w:val="28"/>
          <w:szCs w:val="28"/>
        </w:rPr>
        <w:t>二、报告期内董事、监事、高管</w:t>
      </w:r>
      <w:r>
        <w:rPr>
          <w:rFonts w:ascii="宋体" w:hAnsi="宋体" w:cs="宋体" w:eastAsia="宋体" w:hint="default"/>
          <w:sz w:val="30"/>
          <w:szCs w:val="30"/>
        </w:rPr>
        <w:t>新聘和解聘情况</w:t>
      </w:r>
    </w:p>
    <w:p>
      <w:pPr>
        <w:pStyle w:val="BodyText"/>
        <w:spacing w:line="379" w:lineRule="auto" w:before="219"/>
        <w:ind w:left="237" w:right="238" w:firstLine="439"/>
        <w:jc w:val="both"/>
      </w:pPr>
      <w:r>
        <w:rPr>
          <w:rFonts w:ascii="Arial" w:hAnsi="Arial" w:cs="Arial" w:eastAsia="Arial" w:hint="default"/>
        </w:rPr>
        <w:t>2010</w:t>
      </w:r>
      <w:r>
        <w:rPr/>
        <w:t>年</w:t>
      </w:r>
      <w:r>
        <w:rPr>
          <w:rFonts w:ascii="Arial" w:hAnsi="Arial" w:cs="Arial" w:eastAsia="Arial" w:hint="default"/>
        </w:rPr>
        <w:t>8</w:t>
      </w:r>
      <w:r>
        <w:rPr/>
        <w:t>月</w:t>
      </w:r>
      <w:r>
        <w:rPr>
          <w:rFonts w:ascii="Arial" w:hAnsi="Arial" w:cs="Arial" w:eastAsia="Arial" w:hint="default"/>
        </w:rPr>
        <w:t>19</w:t>
      </w:r>
      <w:r>
        <w:rPr/>
        <w:t>日，公司第一届董事会第十八次会议，审议通过了《关于聘用马成斌任</w:t>
      </w:r>
      <w:r>
        <w:rPr>
          <w:w w:val="100"/>
        </w:rPr>
        <w:t> </w:t>
      </w:r>
      <w:r>
        <w:rPr>
          <w:spacing w:val="-5"/>
          <w:w w:val="100"/>
        </w:rPr>
        <w:t>公司副总经理的议案》，同时公司独立董事对聘任马成斌先生担任副总经理一职发表了独立</w:t>
      </w:r>
      <w:r>
        <w:rPr>
          <w:spacing w:val="-108"/>
          <w:w w:val="100"/>
        </w:rPr>
        <w:t> </w:t>
      </w:r>
      <w:r>
        <w:rPr>
          <w:spacing w:val="-108"/>
          <w:w w:val="100"/>
        </w:rPr>
      </w:r>
      <w:r>
        <w:rPr/>
        <w:t>意见，详见证监会指定创业板信息披露网站。</w:t>
      </w:r>
    </w:p>
    <w:p>
      <w:pPr>
        <w:pStyle w:val="BodyText"/>
        <w:spacing w:line="369" w:lineRule="auto" w:before="52"/>
        <w:ind w:left="237" w:right="125" w:firstLine="439"/>
        <w:jc w:val="left"/>
      </w:pPr>
      <w:r>
        <w:rPr>
          <w:rFonts w:ascii="Arial" w:hAnsi="Arial" w:cs="Arial" w:eastAsia="Arial" w:hint="default"/>
        </w:rPr>
        <w:t>2010</w:t>
      </w:r>
      <w:r>
        <w:rPr/>
        <w:t>年</w:t>
      </w:r>
      <w:r>
        <w:rPr>
          <w:rFonts w:ascii="Arial" w:hAnsi="Arial" w:cs="Arial" w:eastAsia="Arial" w:hint="default"/>
        </w:rPr>
        <w:t>11</w:t>
      </w:r>
      <w:r>
        <w:rPr/>
        <w:t>月</w:t>
      </w:r>
      <w:r>
        <w:rPr>
          <w:rFonts w:ascii="Arial" w:hAnsi="Arial" w:cs="Arial" w:eastAsia="Arial" w:hint="default"/>
        </w:rPr>
        <w:t>1</w:t>
      </w:r>
      <w:r>
        <w:rPr/>
        <w:t>日收到财务总监耿毅英女士的辞职申请，因个人身体健康原因，辞去财</w:t>
      </w:r>
      <w:r>
        <w:rPr>
          <w:w w:val="100"/>
        </w:rPr>
        <w:t> </w:t>
      </w:r>
      <w:r>
        <w:rPr>
          <w:spacing w:val="-3"/>
        </w:rPr>
        <w:t>务总监一职，耿毅英女士辞职后，仍担任公司董事。详见证监会指定创业板信息披露网站。</w:t>
      </w:r>
    </w:p>
    <w:p>
      <w:pPr>
        <w:pStyle w:val="Heading3"/>
        <w:spacing w:line="408" w:lineRule="auto" w:before="92"/>
        <w:ind w:left="237" w:right="125"/>
        <w:jc w:val="left"/>
      </w:pPr>
      <w:r>
        <w:rPr/>
        <w:pict>
          <v:shape style="position:absolute;margin-left:83.759995pt;margin-top:93.911034pt;width:445pt;height:150.7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84"/>
                    <w:gridCol w:w="1829"/>
                    <w:gridCol w:w="2659"/>
                    <w:gridCol w:w="2184"/>
                  </w:tblGrid>
                  <w:tr>
                    <w:trPr>
                      <w:trHeight w:val="497" w:hRule="exact"/>
                    </w:trPr>
                    <w:tc>
                      <w:tcPr>
                        <w:tcW w:w="21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8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2"/>
                          <w:jc w:val="center"/>
                          <w:rPr>
                            <w:rFonts w:ascii="宋体" w:hAnsi="宋体" w:cs="宋体" w:eastAsia="宋体" w:hint="default"/>
                            <w:sz w:val="18"/>
                            <w:szCs w:val="18"/>
                          </w:rPr>
                        </w:pPr>
                        <w:r>
                          <w:rPr>
                            <w:rFonts w:ascii="宋体" w:hAnsi="宋体" w:cs="宋体" w:eastAsia="宋体" w:hint="default"/>
                            <w:sz w:val="18"/>
                            <w:szCs w:val="18"/>
                          </w:rPr>
                          <w:t>本公司职务</w:t>
                        </w:r>
                      </w:p>
                    </w:tc>
                    <w:tc>
                      <w:tcPr>
                        <w:tcW w:w="26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任职单位</w:t>
                        </w:r>
                      </w:p>
                    </w:tc>
                    <w:tc>
                      <w:tcPr>
                        <w:tcW w:w="21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任职职务</w:t>
                        </w:r>
                      </w:p>
                    </w:tc>
                  </w:tr>
                  <w:tr>
                    <w:trPr>
                      <w:trHeight w:val="499" w:hRule="exact"/>
                    </w:trPr>
                    <w:tc>
                      <w:tcPr>
                        <w:tcW w:w="21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马立群</w:t>
                        </w:r>
                      </w:p>
                    </w:tc>
                    <w:tc>
                      <w:tcPr>
                        <w:tcW w:w="18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26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上海佳铭房地产有限公司</w:t>
                        </w:r>
                      </w:p>
                    </w:tc>
                    <w:tc>
                      <w:tcPr>
                        <w:tcW w:w="21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r>
                  <w:tr>
                    <w:trPr>
                      <w:trHeight w:val="497" w:hRule="exact"/>
                    </w:trPr>
                    <w:tc>
                      <w:tcPr>
                        <w:tcW w:w="21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田利明</w:t>
                        </w:r>
                      </w:p>
                    </w:tc>
                    <w:tc>
                      <w:tcPr>
                        <w:tcW w:w="18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6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中国染料工业协会</w:t>
                        </w:r>
                      </w:p>
                    </w:tc>
                    <w:tc>
                      <w:tcPr>
                        <w:tcW w:w="21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秘书长</w:t>
                        </w:r>
                      </w:p>
                    </w:tc>
                  </w:tr>
                  <w:tr>
                    <w:trPr>
                      <w:trHeight w:val="499" w:hRule="exact"/>
                    </w:trPr>
                    <w:tc>
                      <w:tcPr>
                        <w:tcW w:w="21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尚建平</w:t>
                        </w:r>
                      </w:p>
                    </w:tc>
                    <w:tc>
                      <w:tcPr>
                        <w:tcW w:w="18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6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上海百全律师事务所</w:t>
                        </w:r>
                      </w:p>
                    </w:tc>
                    <w:tc>
                      <w:tcPr>
                        <w:tcW w:w="21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主任、执行合伙人</w:t>
                        </w:r>
                      </w:p>
                    </w:tc>
                  </w:tr>
                  <w:tr>
                    <w:trPr>
                      <w:trHeight w:val="497" w:hRule="exact"/>
                    </w:trPr>
                    <w:tc>
                      <w:tcPr>
                        <w:tcW w:w="21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邹晖</w:t>
                        </w:r>
                      </w:p>
                    </w:tc>
                    <w:tc>
                      <w:tcPr>
                        <w:tcW w:w="18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6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中国注册会计师协会</w:t>
                        </w:r>
                      </w:p>
                    </w:tc>
                    <w:tc>
                      <w:tcPr>
                        <w:tcW w:w="21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监管部副主任</w:t>
                        </w:r>
                      </w:p>
                    </w:tc>
                  </w:tr>
                  <w:tr>
                    <w:trPr>
                      <w:trHeight w:val="497" w:hRule="exact"/>
                    </w:trPr>
                    <w:tc>
                      <w:tcPr>
                        <w:tcW w:w="21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王敬敏</w:t>
                        </w:r>
                      </w:p>
                    </w:tc>
                    <w:tc>
                      <w:tcPr>
                        <w:tcW w:w="18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26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烟台安诺其纺织材料有限公司</w:t>
                        </w:r>
                      </w:p>
                    </w:tc>
                    <w:tc>
                      <w:tcPr>
                        <w:tcW w:w="21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总经理</w:t>
                        </w:r>
                      </w:p>
                    </w:tc>
                  </w:tr>
                </w:tbl>
                <w:p>
                  <w:pPr/>
                </w:p>
              </w:txbxContent>
            </v:textbox>
            <w10:wrap type="none"/>
          </v:shape>
        </w:pict>
      </w:r>
      <w:r>
        <w:rPr>
          <w:spacing w:val="-3"/>
        </w:rPr>
        <w:t>三、报告期内，公司核心技术团队或关键技术人员（非董事、监事、高</w:t>
      </w:r>
      <w:r>
        <w:rPr>
          <w:spacing w:val="-94"/>
        </w:rPr>
        <w:t> </w:t>
      </w:r>
      <w:r>
        <w:rPr>
          <w:spacing w:val="-94"/>
        </w:rPr>
      </w:r>
      <w:r>
        <w:rPr/>
        <w:t>级管理人员）没有发生变动。</w:t>
      </w:r>
      <w:r>
        <w:rPr>
          <w:spacing w:val="-128"/>
        </w:rPr>
        <w:t> </w:t>
      </w:r>
      <w:r>
        <w:rPr>
          <w:spacing w:val="-128"/>
        </w:rPr>
      </w:r>
      <w:r>
        <w:rPr/>
        <w:t>四、董事、监事、高级管理人员在其他单位的任职或兼职情况</w:t>
      </w:r>
    </w:p>
    <w:p>
      <w:pPr>
        <w:spacing w:after="0" w:line="408" w:lineRule="auto"/>
        <w:jc w:val="left"/>
        <w:sectPr>
          <w:pgSz w:w="11900" w:h="16840"/>
          <w:pgMar w:header="877" w:footer="981" w:top="1100" w:bottom="1180" w:left="1560" w:right="1220"/>
        </w:sectPr>
      </w:pPr>
    </w:p>
    <w:p>
      <w:pPr>
        <w:spacing w:line="240" w:lineRule="auto" w:before="0"/>
        <w:rPr>
          <w:rFonts w:ascii="宋体" w:hAnsi="宋体" w:cs="宋体" w:eastAsia="宋体" w:hint="default"/>
          <w:sz w:val="20"/>
          <w:szCs w:val="20"/>
        </w:rPr>
      </w:pPr>
    </w:p>
    <w:p>
      <w:pPr>
        <w:pStyle w:val="Heading3"/>
        <w:spacing w:line="240" w:lineRule="auto" w:before="145"/>
        <w:ind w:left="237" w:right="125"/>
        <w:jc w:val="left"/>
      </w:pPr>
      <w:r>
        <w:rPr/>
        <w:t>五、员工情况</w:t>
      </w:r>
    </w:p>
    <w:p>
      <w:pPr>
        <w:pStyle w:val="BodyText"/>
        <w:spacing w:line="240" w:lineRule="auto" w:before="227"/>
        <w:ind w:left="676" w:right="125"/>
        <w:jc w:val="left"/>
      </w:pPr>
      <w:r>
        <w:rPr>
          <w:w w:val="100"/>
        </w:rPr>
        <w:t>截止</w:t>
      </w:r>
      <w:r>
        <w:rPr>
          <w:rFonts w:ascii="Arial" w:hAnsi="Arial" w:cs="Arial" w:eastAsia="Arial" w:hint="default"/>
          <w:spacing w:val="-1"/>
          <w:w w:val="100"/>
        </w:rPr>
        <w:t>2010</w:t>
      </w:r>
      <w:r>
        <w:rPr>
          <w:w w:val="100"/>
        </w:rPr>
        <w:t>年</w:t>
      </w:r>
      <w:r>
        <w:rPr>
          <w:rFonts w:ascii="Arial" w:hAnsi="Arial" w:cs="Arial" w:eastAsia="Arial" w:hint="default"/>
          <w:spacing w:val="-1"/>
          <w:w w:val="100"/>
        </w:rPr>
        <w:t>12</w:t>
      </w:r>
      <w:r>
        <w:rPr>
          <w:w w:val="100"/>
        </w:rPr>
        <w:t>月</w:t>
      </w:r>
      <w:r>
        <w:rPr>
          <w:rFonts w:ascii="Arial" w:hAnsi="Arial" w:cs="Arial" w:eastAsia="Arial" w:hint="default"/>
          <w:spacing w:val="-1"/>
          <w:w w:val="100"/>
        </w:rPr>
        <w:t>3</w:t>
      </w:r>
      <w:r>
        <w:rPr>
          <w:rFonts w:ascii="Arial" w:hAnsi="Arial" w:cs="Arial" w:eastAsia="Arial" w:hint="default"/>
          <w:spacing w:val="-3"/>
          <w:w w:val="100"/>
        </w:rPr>
        <w:t>1</w:t>
      </w:r>
      <w:r>
        <w:rPr>
          <w:w w:val="100"/>
        </w:rPr>
        <w:t>日</w:t>
      </w:r>
      <w:r>
        <w:rPr>
          <w:spacing w:val="-3"/>
          <w:w w:val="100"/>
        </w:rPr>
        <w:t>，</w:t>
      </w:r>
      <w:r>
        <w:rPr>
          <w:w w:val="100"/>
        </w:rPr>
        <w:t>公司共</w:t>
      </w:r>
      <w:r>
        <w:rPr>
          <w:spacing w:val="-3"/>
          <w:w w:val="100"/>
        </w:rPr>
        <w:t>有</w:t>
      </w:r>
      <w:r>
        <w:rPr>
          <w:w w:val="100"/>
        </w:rPr>
        <w:t>在册</w:t>
      </w:r>
      <w:r>
        <w:rPr>
          <w:spacing w:val="-3"/>
          <w:w w:val="100"/>
        </w:rPr>
        <w:t>员</w:t>
      </w:r>
      <w:r>
        <w:rPr>
          <w:w w:val="100"/>
        </w:rPr>
        <w:t>工</w:t>
      </w:r>
      <w:r>
        <w:rPr>
          <w:rFonts w:ascii="Arial" w:hAnsi="Arial" w:cs="Arial" w:eastAsia="Arial" w:hint="default"/>
          <w:spacing w:val="-1"/>
          <w:w w:val="100"/>
        </w:rPr>
        <w:t>303</w:t>
      </w:r>
      <w:r>
        <w:rPr>
          <w:spacing w:val="-3"/>
          <w:w w:val="100"/>
        </w:rPr>
        <w:t>人</w:t>
      </w:r>
      <w:r>
        <w:rPr>
          <w:w w:val="100"/>
        </w:rPr>
        <w:t>（含子</w:t>
      </w:r>
      <w:r>
        <w:rPr>
          <w:spacing w:val="-3"/>
          <w:w w:val="100"/>
        </w:rPr>
        <w:t>公</w:t>
      </w:r>
      <w:r>
        <w:rPr>
          <w:w w:val="100"/>
        </w:rPr>
        <w:t>司</w:t>
      </w:r>
      <w:r>
        <w:rPr>
          <w:spacing w:val="-111"/>
          <w:w w:val="100"/>
        </w:rPr>
        <w:t>）</w:t>
      </w:r>
      <w:r>
        <w:rPr>
          <w:w w:val="100"/>
        </w:rPr>
        <w:t>，</w:t>
      </w:r>
      <w:r>
        <w:rPr>
          <w:spacing w:val="-3"/>
          <w:w w:val="100"/>
        </w:rPr>
        <w:t>具</w:t>
      </w:r>
      <w:r>
        <w:rPr>
          <w:w w:val="100"/>
        </w:rPr>
        <w:t>体构</w:t>
      </w:r>
      <w:r>
        <w:rPr>
          <w:spacing w:val="-3"/>
          <w:w w:val="100"/>
        </w:rPr>
        <w:t>成</w:t>
      </w:r>
      <w:r>
        <w:rPr>
          <w:w w:val="100"/>
        </w:rPr>
        <w:t>情况如</w:t>
      </w:r>
      <w:r>
        <w:rPr>
          <w:spacing w:val="-3"/>
          <w:w w:val="100"/>
        </w:rPr>
        <w:t>下</w:t>
      </w:r>
      <w:r>
        <w:rPr>
          <w:w w:val="100"/>
        </w:rPr>
        <w:t>：</w:t>
      </w:r>
    </w:p>
    <w:p>
      <w:pPr>
        <w:pStyle w:val="Heading3"/>
        <w:spacing w:line="240" w:lineRule="auto" w:before="195"/>
        <w:ind w:left="237" w:right="125"/>
        <w:jc w:val="left"/>
      </w:pPr>
      <w:r>
        <w:rPr/>
        <w:t>（一）按专业结构划分</w:t>
      </w:r>
    </w:p>
    <w:p>
      <w:pPr>
        <w:spacing w:line="240" w:lineRule="auto" w:before="2"/>
        <w:rPr>
          <w:rFonts w:ascii="宋体" w:hAnsi="宋体" w:cs="宋体" w:eastAsia="宋体" w:hint="default"/>
          <w:sz w:val="13"/>
          <w:szCs w:val="13"/>
        </w:rPr>
      </w:pPr>
    </w:p>
    <w:tbl>
      <w:tblPr>
        <w:tblW w:w="0" w:type="auto"/>
        <w:jc w:val="left"/>
        <w:tblInd w:w="115" w:type="dxa"/>
        <w:tblLayout w:type="fixed"/>
        <w:tblCellMar>
          <w:top w:w="0" w:type="dxa"/>
          <w:left w:w="0" w:type="dxa"/>
          <w:bottom w:w="0" w:type="dxa"/>
          <w:right w:w="0" w:type="dxa"/>
        </w:tblCellMar>
        <w:tblLook w:val="01E0"/>
      </w:tblPr>
      <w:tblGrid>
        <w:gridCol w:w="2952"/>
        <w:gridCol w:w="2952"/>
        <w:gridCol w:w="2952"/>
      </w:tblGrid>
      <w:tr>
        <w:trPr>
          <w:trHeight w:val="497" w:hRule="exact"/>
        </w:trPr>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专业结构</w:t>
            </w:r>
          </w:p>
        </w:tc>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1279"/>
              <w:jc w:val="right"/>
              <w:rPr>
                <w:rFonts w:ascii="宋体" w:hAnsi="宋体" w:cs="宋体" w:eastAsia="宋体" w:hint="default"/>
                <w:sz w:val="18"/>
                <w:szCs w:val="18"/>
              </w:rPr>
            </w:pPr>
            <w:r>
              <w:rPr>
                <w:rFonts w:ascii="宋体" w:hAnsi="宋体" w:cs="宋体" w:eastAsia="宋体" w:hint="default"/>
                <w:sz w:val="18"/>
                <w:szCs w:val="18"/>
              </w:rPr>
              <w:t>人数</w:t>
            </w:r>
          </w:p>
        </w:tc>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Arial" w:hAnsi="Arial" w:cs="Arial" w:eastAsia="Arial" w:hint="default"/>
                <w:sz w:val="18"/>
                <w:szCs w:val="18"/>
              </w:rPr>
            </w:pPr>
            <w:r>
              <w:rPr>
                <w:rFonts w:ascii="宋体" w:hAnsi="宋体" w:cs="宋体" w:eastAsia="宋体" w:hint="default"/>
                <w:sz w:val="18"/>
                <w:szCs w:val="18"/>
              </w:rPr>
              <w:t>占员工总数的比例</w:t>
            </w:r>
            <w:r>
              <w:rPr>
                <w:rFonts w:ascii="Arial" w:hAnsi="Arial" w:cs="Arial" w:eastAsia="Arial" w:hint="default"/>
                <w:b/>
                <w:bCs/>
                <w:sz w:val="18"/>
                <w:szCs w:val="18"/>
              </w:rPr>
              <w:t>(%)</w:t>
            </w:r>
            <w:r>
              <w:rPr>
                <w:rFonts w:ascii="Arial" w:hAnsi="Arial" w:cs="Arial" w:eastAsia="Arial" w:hint="default"/>
                <w:sz w:val="18"/>
                <w:szCs w:val="18"/>
              </w:rPr>
            </w:r>
          </w:p>
        </w:tc>
      </w:tr>
      <w:tr>
        <w:trPr>
          <w:trHeight w:val="499" w:hRule="exact"/>
        </w:trPr>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1359"/>
              <w:jc w:val="right"/>
              <w:rPr>
                <w:rFonts w:ascii="Arial" w:hAnsi="Arial" w:cs="Arial" w:eastAsia="Arial" w:hint="default"/>
                <w:sz w:val="18"/>
                <w:szCs w:val="18"/>
              </w:rPr>
            </w:pPr>
            <w:r>
              <w:rPr>
                <w:rFonts w:ascii="Arial"/>
                <w:w w:val="95"/>
                <w:sz w:val="18"/>
              </w:rPr>
              <w:t>59</w:t>
            </w:r>
            <w:r>
              <w:rPr>
                <w:rFonts w:ascii="Arial"/>
                <w:sz w:val="18"/>
              </w:rPr>
            </w:r>
          </w:p>
        </w:tc>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1"/>
              <w:jc w:val="center"/>
              <w:rPr>
                <w:rFonts w:ascii="Arial" w:hAnsi="Arial" w:cs="Arial" w:eastAsia="Arial" w:hint="default"/>
                <w:sz w:val="18"/>
                <w:szCs w:val="18"/>
              </w:rPr>
            </w:pPr>
            <w:r>
              <w:rPr>
                <w:rFonts w:ascii="Arial"/>
                <w:sz w:val="18"/>
              </w:rPr>
              <w:t>19.47</w:t>
            </w:r>
          </w:p>
        </w:tc>
      </w:tr>
      <w:tr>
        <w:trPr>
          <w:trHeight w:val="497" w:hRule="exact"/>
        </w:trPr>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1359"/>
              <w:jc w:val="right"/>
              <w:rPr>
                <w:rFonts w:ascii="Arial" w:hAnsi="Arial" w:cs="Arial" w:eastAsia="Arial" w:hint="default"/>
                <w:sz w:val="18"/>
                <w:szCs w:val="18"/>
              </w:rPr>
            </w:pPr>
            <w:r>
              <w:rPr>
                <w:rFonts w:ascii="Arial"/>
                <w:w w:val="95"/>
                <w:sz w:val="18"/>
              </w:rPr>
              <w:t>51</w:t>
            </w:r>
            <w:r>
              <w:rPr>
                <w:rFonts w:ascii="Arial"/>
                <w:sz w:val="18"/>
              </w:rPr>
            </w:r>
          </w:p>
        </w:tc>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1"/>
              <w:jc w:val="center"/>
              <w:rPr>
                <w:rFonts w:ascii="Arial" w:hAnsi="Arial" w:cs="Arial" w:eastAsia="Arial" w:hint="default"/>
                <w:sz w:val="18"/>
                <w:szCs w:val="18"/>
              </w:rPr>
            </w:pPr>
            <w:r>
              <w:rPr>
                <w:rFonts w:ascii="Arial"/>
                <w:sz w:val="18"/>
              </w:rPr>
              <w:t>16.83</w:t>
            </w:r>
          </w:p>
        </w:tc>
      </w:tr>
      <w:tr>
        <w:trPr>
          <w:trHeight w:val="499" w:hRule="exact"/>
        </w:trPr>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1359"/>
              <w:jc w:val="right"/>
              <w:rPr>
                <w:rFonts w:ascii="Arial" w:hAnsi="Arial" w:cs="Arial" w:eastAsia="Arial" w:hint="default"/>
                <w:sz w:val="18"/>
                <w:szCs w:val="18"/>
              </w:rPr>
            </w:pPr>
            <w:r>
              <w:rPr>
                <w:rFonts w:ascii="Arial"/>
                <w:w w:val="95"/>
                <w:sz w:val="18"/>
              </w:rPr>
              <w:t>13</w:t>
            </w:r>
            <w:r>
              <w:rPr>
                <w:rFonts w:ascii="Arial"/>
                <w:sz w:val="18"/>
              </w:rPr>
            </w:r>
          </w:p>
        </w:tc>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1"/>
              <w:jc w:val="center"/>
              <w:rPr>
                <w:rFonts w:ascii="Arial" w:hAnsi="Arial" w:cs="Arial" w:eastAsia="Arial" w:hint="default"/>
                <w:sz w:val="18"/>
                <w:szCs w:val="18"/>
              </w:rPr>
            </w:pPr>
            <w:r>
              <w:rPr>
                <w:rFonts w:ascii="Arial"/>
                <w:sz w:val="18"/>
              </w:rPr>
              <w:t>4.29</w:t>
            </w:r>
          </w:p>
        </w:tc>
      </w:tr>
      <w:tr>
        <w:trPr>
          <w:trHeight w:val="497" w:hRule="exact"/>
        </w:trPr>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管理人员</w:t>
            </w:r>
          </w:p>
        </w:tc>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1359"/>
              <w:jc w:val="right"/>
              <w:rPr>
                <w:rFonts w:ascii="Arial" w:hAnsi="Arial" w:cs="Arial" w:eastAsia="Arial" w:hint="default"/>
                <w:sz w:val="18"/>
                <w:szCs w:val="18"/>
              </w:rPr>
            </w:pPr>
            <w:r>
              <w:rPr>
                <w:rFonts w:ascii="Arial"/>
                <w:w w:val="95"/>
                <w:sz w:val="18"/>
              </w:rPr>
              <w:t>74</w:t>
            </w:r>
            <w:r>
              <w:rPr>
                <w:rFonts w:ascii="Arial"/>
                <w:sz w:val="18"/>
              </w:rPr>
            </w:r>
          </w:p>
        </w:tc>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1"/>
              <w:jc w:val="center"/>
              <w:rPr>
                <w:rFonts w:ascii="Arial" w:hAnsi="Arial" w:cs="Arial" w:eastAsia="Arial" w:hint="default"/>
                <w:sz w:val="18"/>
                <w:szCs w:val="18"/>
              </w:rPr>
            </w:pPr>
            <w:r>
              <w:rPr>
                <w:rFonts w:ascii="Arial"/>
                <w:sz w:val="18"/>
              </w:rPr>
              <w:t>24.42</w:t>
            </w:r>
          </w:p>
        </w:tc>
      </w:tr>
      <w:tr>
        <w:trPr>
          <w:trHeight w:val="499" w:hRule="exact"/>
        </w:trPr>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1309"/>
              <w:jc w:val="right"/>
              <w:rPr>
                <w:rFonts w:ascii="Arial" w:hAnsi="Arial" w:cs="Arial" w:eastAsia="Arial" w:hint="default"/>
                <w:sz w:val="18"/>
                <w:szCs w:val="18"/>
              </w:rPr>
            </w:pPr>
            <w:r>
              <w:rPr>
                <w:rFonts w:ascii="Arial"/>
                <w:w w:val="95"/>
                <w:sz w:val="18"/>
              </w:rPr>
              <w:t>106</w:t>
            </w:r>
            <w:r>
              <w:rPr>
                <w:rFonts w:ascii="Arial"/>
                <w:sz w:val="18"/>
              </w:rPr>
            </w:r>
          </w:p>
        </w:tc>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1"/>
              <w:jc w:val="center"/>
              <w:rPr>
                <w:rFonts w:ascii="Arial" w:hAnsi="Arial" w:cs="Arial" w:eastAsia="Arial" w:hint="default"/>
                <w:sz w:val="18"/>
                <w:szCs w:val="18"/>
              </w:rPr>
            </w:pPr>
            <w:r>
              <w:rPr>
                <w:rFonts w:ascii="Arial"/>
                <w:sz w:val="18"/>
              </w:rPr>
              <w:t>34.99</w:t>
            </w:r>
          </w:p>
        </w:tc>
      </w:tr>
      <w:tr>
        <w:trPr>
          <w:trHeight w:val="497" w:hRule="exact"/>
        </w:trPr>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1309"/>
              <w:jc w:val="right"/>
              <w:rPr>
                <w:rFonts w:ascii="Arial" w:hAnsi="Arial" w:cs="Arial" w:eastAsia="Arial" w:hint="default"/>
                <w:sz w:val="18"/>
                <w:szCs w:val="18"/>
              </w:rPr>
            </w:pPr>
            <w:r>
              <w:rPr>
                <w:rFonts w:ascii="Arial"/>
                <w:w w:val="95"/>
                <w:sz w:val="18"/>
              </w:rPr>
              <w:t>303</w:t>
            </w:r>
            <w:r>
              <w:rPr>
                <w:rFonts w:ascii="Arial"/>
                <w:sz w:val="18"/>
              </w:rPr>
            </w:r>
          </w:p>
        </w:tc>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sz w:val="18"/>
              </w:rPr>
              <w:t>100</w:t>
            </w:r>
          </w:p>
        </w:tc>
      </w:tr>
    </w:tbl>
    <w:p>
      <w:pPr>
        <w:spacing w:line="240" w:lineRule="auto" w:before="8"/>
        <w:rPr>
          <w:rFonts w:ascii="宋体" w:hAnsi="宋体" w:cs="宋体" w:eastAsia="宋体" w:hint="default"/>
          <w:sz w:val="5"/>
          <w:szCs w:val="5"/>
        </w:rPr>
      </w:pPr>
    </w:p>
    <w:p>
      <w:pPr>
        <w:pStyle w:val="Heading3"/>
        <w:spacing w:line="240" w:lineRule="auto" w:before="14"/>
        <w:ind w:left="237" w:right="125"/>
        <w:jc w:val="left"/>
      </w:pPr>
      <w:r>
        <w:rPr/>
        <w:t>（二）按学历划分</w:t>
      </w:r>
    </w:p>
    <w:p>
      <w:pPr>
        <w:spacing w:line="240" w:lineRule="auto" w:before="2"/>
        <w:rPr>
          <w:rFonts w:ascii="宋体" w:hAnsi="宋体" w:cs="宋体" w:eastAsia="宋体" w:hint="default"/>
          <w:sz w:val="13"/>
          <w:szCs w:val="13"/>
        </w:rPr>
      </w:pPr>
    </w:p>
    <w:tbl>
      <w:tblPr>
        <w:tblW w:w="0" w:type="auto"/>
        <w:jc w:val="left"/>
        <w:tblInd w:w="115" w:type="dxa"/>
        <w:tblLayout w:type="fixed"/>
        <w:tblCellMar>
          <w:top w:w="0" w:type="dxa"/>
          <w:left w:w="0" w:type="dxa"/>
          <w:bottom w:w="0" w:type="dxa"/>
          <w:right w:w="0" w:type="dxa"/>
        </w:tblCellMar>
        <w:tblLook w:val="01E0"/>
      </w:tblPr>
      <w:tblGrid>
        <w:gridCol w:w="2952"/>
        <w:gridCol w:w="2952"/>
        <w:gridCol w:w="2952"/>
      </w:tblGrid>
      <w:tr>
        <w:trPr>
          <w:trHeight w:val="497" w:hRule="exact"/>
        </w:trPr>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学历</w:t>
            </w:r>
          </w:p>
        </w:tc>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1279"/>
              <w:jc w:val="right"/>
              <w:rPr>
                <w:rFonts w:ascii="宋体" w:hAnsi="宋体" w:cs="宋体" w:eastAsia="宋体" w:hint="default"/>
                <w:sz w:val="18"/>
                <w:szCs w:val="18"/>
              </w:rPr>
            </w:pPr>
            <w:r>
              <w:rPr>
                <w:rFonts w:ascii="宋体" w:hAnsi="宋体" w:cs="宋体" w:eastAsia="宋体" w:hint="default"/>
                <w:sz w:val="18"/>
                <w:szCs w:val="18"/>
              </w:rPr>
              <w:t>人数</w:t>
            </w:r>
          </w:p>
        </w:tc>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Arial" w:hAnsi="Arial" w:cs="Arial" w:eastAsia="Arial" w:hint="default"/>
                <w:sz w:val="18"/>
                <w:szCs w:val="18"/>
              </w:rPr>
            </w:pPr>
            <w:r>
              <w:rPr>
                <w:rFonts w:ascii="宋体" w:hAnsi="宋体" w:cs="宋体" w:eastAsia="宋体" w:hint="default"/>
                <w:sz w:val="18"/>
                <w:szCs w:val="18"/>
              </w:rPr>
              <w:t>占员工总数的比例</w:t>
            </w:r>
            <w:r>
              <w:rPr>
                <w:rFonts w:ascii="Arial" w:hAnsi="Arial" w:cs="Arial" w:eastAsia="Arial" w:hint="default"/>
                <w:b/>
                <w:bCs/>
                <w:sz w:val="18"/>
                <w:szCs w:val="18"/>
              </w:rPr>
              <w:t>(%)</w:t>
            </w:r>
            <w:r>
              <w:rPr>
                <w:rFonts w:ascii="Arial" w:hAnsi="Arial" w:cs="Arial" w:eastAsia="Arial" w:hint="default"/>
                <w:sz w:val="18"/>
                <w:szCs w:val="18"/>
              </w:rPr>
            </w:r>
          </w:p>
        </w:tc>
      </w:tr>
      <w:tr>
        <w:trPr>
          <w:trHeight w:val="499" w:hRule="exact"/>
        </w:trPr>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硕士及以上学历</w:t>
            </w:r>
          </w:p>
        </w:tc>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1359"/>
              <w:jc w:val="right"/>
              <w:rPr>
                <w:rFonts w:ascii="Arial" w:hAnsi="Arial" w:cs="Arial" w:eastAsia="Arial" w:hint="default"/>
                <w:sz w:val="18"/>
                <w:szCs w:val="18"/>
              </w:rPr>
            </w:pPr>
            <w:r>
              <w:rPr>
                <w:rFonts w:ascii="Arial"/>
                <w:w w:val="95"/>
                <w:sz w:val="18"/>
              </w:rPr>
              <w:t>16</w:t>
            </w:r>
            <w:r>
              <w:rPr>
                <w:rFonts w:ascii="Arial"/>
                <w:sz w:val="18"/>
              </w:rPr>
            </w:r>
          </w:p>
        </w:tc>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1"/>
              <w:jc w:val="center"/>
              <w:rPr>
                <w:rFonts w:ascii="Arial" w:hAnsi="Arial" w:cs="Arial" w:eastAsia="Arial" w:hint="default"/>
                <w:sz w:val="18"/>
                <w:szCs w:val="18"/>
              </w:rPr>
            </w:pPr>
            <w:r>
              <w:rPr>
                <w:rFonts w:ascii="Arial"/>
                <w:sz w:val="18"/>
              </w:rPr>
              <w:t>5.28</w:t>
            </w:r>
          </w:p>
        </w:tc>
      </w:tr>
      <w:tr>
        <w:trPr>
          <w:trHeight w:val="497" w:hRule="exact"/>
        </w:trPr>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大学学历</w:t>
            </w:r>
          </w:p>
        </w:tc>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1359"/>
              <w:jc w:val="right"/>
              <w:rPr>
                <w:rFonts w:ascii="Arial" w:hAnsi="Arial" w:cs="Arial" w:eastAsia="Arial" w:hint="default"/>
                <w:sz w:val="18"/>
                <w:szCs w:val="18"/>
              </w:rPr>
            </w:pPr>
            <w:r>
              <w:rPr>
                <w:rFonts w:ascii="Arial"/>
                <w:w w:val="95"/>
                <w:sz w:val="18"/>
              </w:rPr>
              <w:t>63</w:t>
            </w:r>
            <w:r>
              <w:rPr>
                <w:rFonts w:ascii="Arial"/>
                <w:sz w:val="18"/>
              </w:rPr>
            </w:r>
          </w:p>
        </w:tc>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1"/>
              <w:jc w:val="center"/>
              <w:rPr>
                <w:rFonts w:ascii="Arial" w:hAnsi="Arial" w:cs="Arial" w:eastAsia="Arial" w:hint="default"/>
                <w:sz w:val="18"/>
                <w:szCs w:val="18"/>
              </w:rPr>
            </w:pPr>
            <w:r>
              <w:rPr>
                <w:rFonts w:ascii="Arial"/>
                <w:sz w:val="18"/>
              </w:rPr>
              <w:t>20.79</w:t>
            </w:r>
          </w:p>
        </w:tc>
      </w:tr>
      <w:tr>
        <w:trPr>
          <w:trHeight w:val="499" w:hRule="exact"/>
        </w:trPr>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大专学历</w:t>
            </w:r>
          </w:p>
        </w:tc>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1359"/>
              <w:jc w:val="right"/>
              <w:rPr>
                <w:rFonts w:ascii="Arial" w:hAnsi="Arial" w:cs="Arial" w:eastAsia="Arial" w:hint="default"/>
                <w:sz w:val="18"/>
                <w:szCs w:val="18"/>
              </w:rPr>
            </w:pPr>
            <w:r>
              <w:rPr>
                <w:rFonts w:ascii="Arial"/>
                <w:w w:val="95"/>
                <w:sz w:val="18"/>
              </w:rPr>
              <w:t>71</w:t>
            </w:r>
            <w:r>
              <w:rPr>
                <w:rFonts w:ascii="Arial"/>
                <w:sz w:val="18"/>
              </w:rPr>
            </w:r>
          </w:p>
        </w:tc>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1"/>
              <w:jc w:val="center"/>
              <w:rPr>
                <w:rFonts w:ascii="Arial" w:hAnsi="Arial" w:cs="Arial" w:eastAsia="Arial" w:hint="default"/>
                <w:sz w:val="18"/>
                <w:szCs w:val="18"/>
              </w:rPr>
            </w:pPr>
            <w:r>
              <w:rPr>
                <w:rFonts w:ascii="Arial"/>
                <w:sz w:val="18"/>
              </w:rPr>
              <w:t>23.43</w:t>
            </w:r>
          </w:p>
        </w:tc>
      </w:tr>
      <w:tr>
        <w:trPr>
          <w:trHeight w:val="497" w:hRule="exact"/>
        </w:trPr>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大专以下学历</w:t>
            </w:r>
          </w:p>
        </w:tc>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1309"/>
              <w:jc w:val="right"/>
              <w:rPr>
                <w:rFonts w:ascii="Arial" w:hAnsi="Arial" w:cs="Arial" w:eastAsia="Arial" w:hint="default"/>
                <w:sz w:val="18"/>
                <w:szCs w:val="18"/>
              </w:rPr>
            </w:pPr>
            <w:r>
              <w:rPr>
                <w:rFonts w:ascii="Arial"/>
                <w:w w:val="95"/>
                <w:sz w:val="18"/>
              </w:rPr>
              <w:t>153</w:t>
            </w:r>
            <w:r>
              <w:rPr>
                <w:rFonts w:ascii="Arial"/>
                <w:sz w:val="18"/>
              </w:rPr>
            </w:r>
          </w:p>
        </w:tc>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1"/>
              <w:jc w:val="center"/>
              <w:rPr>
                <w:rFonts w:ascii="Arial" w:hAnsi="Arial" w:cs="Arial" w:eastAsia="Arial" w:hint="default"/>
                <w:sz w:val="18"/>
                <w:szCs w:val="18"/>
              </w:rPr>
            </w:pPr>
            <w:r>
              <w:rPr>
                <w:rFonts w:ascii="Arial"/>
                <w:sz w:val="18"/>
              </w:rPr>
              <w:t>50.50</w:t>
            </w:r>
          </w:p>
        </w:tc>
      </w:tr>
      <w:tr>
        <w:trPr>
          <w:trHeight w:val="497" w:hRule="exact"/>
        </w:trPr>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1309"/>
              <w:jc w:val="right"/>
              <w:rPr>
                <w:rFonts w:ascii="Arial" w:hAnsi="Arial" w:cs="Arial" w:eastAsia="Arial" w:hint="default"/>
                <w:sz w:val="18"/>
                <w:szCs w:val="18"/>
              </w:rPr>
            </w:pPr>
            <w:r>
              <w:rPr>
                <w:rFonts w:ascii="Arial"/>
                <w:w w:val="95"/>
                <w:sz w:val="18"/>
              </w:rPr>
              <w:t>303</w:t>
            </w:r>
            <w:r>
              <w:rPr>
                <w:rFonts w:ascii="Arial"/>
                <w:sz w:val="18"/>
              </w:rPr>
            </w:r>
          </w:p>
        </w:tc>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sz w:val="18"/>
              </w:rPr>
              <w:t>100</w:t>
            </w:r>
          </w:p>
        </w:tc>
      </w:tr>
    </w:tbl>
    <w:p>
      <w:pPr>
        <w:spacing w:line="240" w:lineRule="auto" w:before="8"/>
        <w:rPr>
          <w:rFonts w:ascii="宋体" w:hAnsi="宋体" w:cs="宋体" w:eastAsia="宋体" w:hint="default"/>
          <w:sz w:val="5"/>
          <w:szCs w:val="5"/>
        </w:rPr>
      </w:pPr>
    </w:p>
    <w:p>
      <w:pPr>
        <w:pStyle w:val="Heading3"/>
        <w:spacing w:line="240" w:lineRule="auto" w:before="14"/>
        <w:ind w:left="237" w:right="125"/>
        <w:jc w:val="left"/>
      </w:pPr>
      <w:r>
        <w:rPr/>
        <w:t>（三）按年龄划分</w:t>
      </w:r>
    </w:p>
    <w:p>
      <w:pPr>
        <w:spacing w:line="240" w:lineRule="auto" w:before="2"/>
        <w:rPr>
          <w:rFonts w:ascii="宋体" w:hAnsi="宋体" w:cs="宋体" w:eastAsia="宋体" w:hint="default"/>
          <w:sz w:val="13"/>
          <w:szCs w:val="13"/>
        </w:rPr>
      </w:pPr>
    </w:p>
    <w:tbl>
      <w:tblPr>
        <w:tblW w:w="0" w:type="auto"/>
        <w:jc w:val="left"/>
        <w:tblInd w:w="115" w:type="dxa"/>
        <w:tblLayout w:type="fixed"/>
        <w:tblCellMar>
          <w:top w:w="0" w:type="dxa"/>
          <w:left w:w="0" w:type="dxa"/>
          <w:bottom w:w="0" w:type="dxa"/>
          <w:right w:w="0" w:type="dxa"/>
        </w:tblCellMar>
        <w:tblLook w:val="01E0"/>
      </w:tblPr>
      <w:tblGrid>
        <w:gridCol w:w="2952"/>
        <w:gridCol w:w="2952"/>
        <w:gridCol w:w="2952"/>
      </w:tblGrid>
      <w:tr>
        <w:trPr>
          <w:trHeight w:val="499" w:hRule="exact"/>
        </w:trPr>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年龄区间</w:t>
            </w:r>
          </w:p>
        </w:tc>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1279"/>
              <w:jc w:val="right"/>
              <w:rPr>
                <w:rFonts w:ascii="宋体" w:hAnsi="宋体" w:cs="宋体" w:eastAsia="宋体" w:hint="default"/>
                <w:sz w:val="18"/>
                <w:szCs w:val="18"/>
              </w:rPr>
            </w:pPr>
            <w:r>
              <w:rPr>
                <w:rFonts w:ascii="宋体" w:hAnsi="宋体" w:cs="宋体" w:eastAsia="宋体" w:hint="default"/>
                <w:sz w:val="18"/>
                <w:szCs w:val="18"/>
              </w:rPr>
              <w:t>人数</w:t>
            </w:r>
          </w:p>
        </w:tc>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Arial" w:hAnsi="Arial" w:cs="Arial" w:eastAsia="Arial" w:hint="default"/>
                <w:sz w:val="18"/>
                <w:szCs w:val="18"/>
              </w:rPr>
            </w:pPr>
            <w:r>
              <w:rPr>
                <w:rFonts w:ascii="宋体" w:hAnsi="宋体" w:cs="宋体" w:eastAsia="宋体" w:hint="default"/>
                <w:sz w:val="18"/>
                <w:szCs w:val="18"/>
              </w:rPr>
              <w:t>占员工总数的比例</w:t>
            </w:r>
            <w:r>
              <w:rPr>
                <w:rFonts w:ascii="Arial" w:hAnsi="Arial" w:cs="Arial" w:eastAsia="Arial" w:hint="default"/>
                <w:b/>
                <w:bCs/>
                <w:sz w:val="18"/>
                <w:szCs w:val="18"/>
              </w:rPr>
              <w:t>(%)</w:t>
            </w:r>
            <w:r>
              <w:rPr>
                <w:rFonts w:ascii="Arial" w:hAnsi="Arial" w:cs="Arial" w:eastAsia="Arial" w:hint="default"/>
                <w:sz w:val="18"/>
                <w:szCs w:val="18"/>
              </w:rPr>
            </w:r>
          </w:p>
        </w:tc>
      </w:tr>
      <w:tr>
        <w:trPr>
          <w:trHeight w:val="497" w:hRule="exact"/>
        </w:trPr>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Arial" w:hAnsi="Arial" w:cs="Arial" w:eastAsia="Arial" w:hint="default"/>
                <w:sz w:val="18"/>
                <w:szCs w:val="18"/>
              </w:rPr>
              <w:t>30</w:t>
            </w:r>
            <w:r>
              <w:rPr>
                <w:rFonts w:ascii="宋体" w:hAnsi="宋体" w:cs="宋体" w:eastAsia="宋体" w:hint="default"/>
                <w:sz w:val="18"/>
                <w:szCs w:val="18"/>
              </w:rPr>
              <w:t>岁以下</w:t>
            </w:r>
          </w:p>
        </w:tc>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1323"/>
              <w:jc w:val="right"/>
              <w:rPr>
                <w:rFonts w:ascii="Arial" w:hAnsi="Arial" w:cs="Arial" w:eastAsia="Arial" w:hint="default"/>
                <w:sz w:val="18"/>
                <w:szCs w:val="18"/>
              </w:rPr>
            </w:pPr>
            <w:r>
              <w:rPr>
                <w:rFonts w:ascii="Arial"/>
                <w:spacing w:val="-10"/>
                <w:sz w:val="18"/>
              </w:rPr>
              <w:t>111</w:t>
            </w:r>
          </w:p>
        </w:tc>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1"/>
              <w:jc w:val="center"/>
              <w:rPr>
                <w:rFonts w:ascii="Arial" w:hAnsi="Arial" w:cs="Arial" w:eastAsia="Arial" w:hint="default"/>
                <w:sz w:val="18"/>
                <w:szCs w:val="18"/>
              </w:rPr>
            </w:pPr>
            <w:r>
              <w:rPr>
                <w:rFonts w:ascii="Arial"/>
                <w:sz w:val="18"/>
              </w:rPr>
              <w:t>36.63</w:t>
            </w:r>
          </w:p>
        </w:tc>
      </w:tr>
      <w:tr>
        <w:trPr>
          <w:trHeight w:val="499" w:hRule="exact"/>
        </w:trPr>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Arial" w:hAnsi="Arial" w:cs="Arial" w:eastAsia="Arial" w:hint="default"/>
                <w:sz w:val="18"/>
                <w:szCs w:val="18"/>
              </w:rPr>
              <w:t>31-40</w:t>
            </w:r>
            <w:r>
              <w:rPr>
                <w:rFonts w:ascii="宋体" w:hAnsi="宋体" w:cs="宋体" w:eastAsia="宋体" w:hint="default"/>
                <w:sz w:val="18"/>
                <w:szCs w:val="18"/>
              </w:rPr>
              <w:t>岁</w:t>
            </w:r>
          </w:p>
        </w:tc>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1309"/>
              <w:jc w:val="right"/>
              <w:rPr>
                <w:rFonts w:ascii="Arial" w:hAnsi="Arial" w:cs="Arial" w:eastAsia="Arial" w:hint="default"/>
                <w:sz w:val="18"/>
                <w:szCs w:val="18"/>
              </w:rPr>
            </w:pPr>
            <w:r>
              <w:rPr>
                <w:rFonts w:ascii="Arial"/>
                <w:w w:val="95"/>
                <w:sz w:val="18"/>
              </w:rPr>
              <w:t>100</w:t>
            </w:r>
            <w:r>
              <w:rPr>
                <w:rFonts w:ascii="Arial"/>
                <w:sz w:val="18"/>
              </w:rPr>
            </w:r>
          </w:p>
        </w:tc>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1"/>
              <w:jc w:val="center"/>
              <w:rPr>
                <w:rFonts w:ascii="Arial" w:hAnsi="Arial" w:cs="Arial" w:eastAsia="Arial" w:hint="default"/>
                <w:sz w:val="18"/>
                <w:szCs w:val="18"/>
              </w:rPr>
            </w:pPr>
            <w:r>
              <w:rPr>
                <w:rFonts w:ascii="Arial"/>
                <w:sz w:val="18"/>
              </w:rPr>
              <w:t>33.01</w:t>
            </w:r>
          </w:p>
        </w:tc>
      </w:tr>
      <w:tr>
        <w:trPr>
          <w:trHeight w:val="497" w:hRule="exact"/>
        </w:trPr>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Arial" w:hAnsi="Arial" w:cs="Arial" w:eastAsia="Arial" w:hint="default"/>
                <w:sz w:val="18"/>
                <w:szCs w:val="18"/>
              </w:rPr>
              <w:t>41-50</w:t>
            </w:r>
            <w:r>
              <w:rPr>
                <w:rFonts w:ascii="宋体" w:hAnsi="宋体" w:cs="宋体" w:eastAsia="宋体" w:hint="default"/>
                <w:sz w:val="18"/>
                <w:szCs w:val="18"/>
              </w:rPr>
              <w:t>岁</w:t>
            </w:r>
          </w:p>
        </w:tc>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1359"/>
              <w:jc w:val="right"/>
              <w:rPr>
                <w:rFonts w:ascii="Arial" w:hAnsi="Arial" w:cs="Arial" w:eastAsia="Arial" w:hint="default"/>
                <w:sz w:val="18"/>
                <w:szCs w:val="18"/>
              </w:rPr>
            </w:pPr>
            <w:r>
              <w:rPr>
                <w:rFonts w:ascii="Arial"/>
                <w:w w:val="95"/>
                <w:sz w:val="18"/>
              </w:rPr>
              <w:t>53</w:t>
            </w:r>
            <w:r>
              <w:rPr>
                <w:rFonts w:ascii="Arial"/>
                <w:sz w:val="18"/>
              </w:rPr>
            </w:r>
          </w:p>
        </w:tc>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1"/>
              <w:jc w:val="center"/>
              <w:rPr>
                <w:rFonts w:ascii="Arial" w:hAnsi="Arial" w:cs="Arial" w:eastAsia="Arial" w:hint="default"/>
                <w:sz w:val="18"/>
                <w:szCs w:val="18"/>
              </w:rPr>
            </w:pPr>
            <w:r>
              <w:rPr>
                <w:rFonts w:ascii="Arial"/>
                <w:sz w:val="18"/>
              </w:rPr>
              <w:t>17.49</w:t>
            </w:r>
          </w:p>
        </w:tc>
      </w:tr>
      <w:tr>
        <w:trPr>
          <w:trHeight w:val="499" w:hRule="exact"/>
        </w:trPr>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Arial" w:hAnsi="Arial" w:cs="Arial" w:eastAsia="Arial" w:hint="default"/>
                <w:sz w:val="18"/>
                <w:szCs w:val="18"/>
              </w:rPr>
              <w:t>50</w:t>
            </w:r>
            <w:r>
              <w:rPr>
                <w:rFonts w:ascii="宋体" w:hAnsi="宋体" w:cs="宋体" w:eastAsia="宋体" w:hint="default"/>
                <w:sz w:val="18"/>
                <w:szCs w:val="18"/>
              </w:rPr>
              <w:t>岁以上</w:t>
            </w:r>
          </w:p>
        </w:tc>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1359"/>
              <w:jc w:val="right"/>
              <w:rPr>
                <w:rFonts w:ascii="Arial" w:hAnsi="Arial" w:cs="Arial" w:eastAsia="Arial" w:hint="default"/>
                <w:sz w:val="18"/>
                <w:szCs w:val="18"/>
              </w:rPr>
            </w:pPr>
            <w:r>
              <w:rPr>
                <w:rFonts w:ascii="Arial"/>
                <w:w w:val="95"/>
                <w:sz w:val="18"/>
              </w:rPr>
              <w:t>39</w:t>
            </w:r>
            <w:r>
              <w:rPr>
                <w:rFonts w:ascii="Arial"/>
                <w:sz w:val="18"/>
              </w:rPr>
            </w:r>
          </w:p>
        </w:tc>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1"/>
              <w:jc w:val="center"/>
              <w:rPr>
                <w:rFonts w:ascii="Arial" w:hAnsi="Arial" w:cs="Arial" w:eastAsia="Arial" w:hint="default"/>
                <w:sz w:val="18"/>
                <w:szCs w:val="18"/>
              </w:rPr>
            </w:pPr>
            <w:r>
              <w:rPr>
                <w:rFonts w:ascii="Arial"/>
                <w:sz w:val="18"/>
              </w:rPr>
              <w:t>12.87</w:t>
            </w:r>
          </w:p>
        </w:tc>
      </w:tr>
      <w:tr>
        <w:trPr>
          <w:trHeight w:val="497" w:hRule="exact"/>
        </w:trPr>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1309"/>
              <w:jc w:val="right"/>
              <w:rPr>
                <w:rFonts w:ascii="Arial" w:hAnsi="Arial" w:cs="Arial" w:eastAsia="Arial" w:hint="default"/>
                <w:sz w:val="18"/>
                <w:szCs w:val="18"/>
              </w:rPr>
            </w:pPr>
            <w:r>
              <w:rPr>
                <w:rFonts w:ascii="Arial"/>
                <w:w w:val="95"/>
                <w:sz w:val="18"/>
              </w:rPr>
              <w:t>303</w:t>
            </w:r>
            <w:r>
              <w:rPr>
                <w:rFonts w:ascii="Arial"/>
                <w:sz w:val="18"/>
              </w:rPr>
            </w:r>
          </w:p>
        </w:tc>
        <w:tc>
          <w:tcPr>
            <w:tcW w:w="29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sz w:val="18"/>
              </w:rPr>
              <w:t>100</w:t>
            </w:r>
          </w:p>
        </w:tc>
      </w:tr>
    </w:tbl>
    <w:p>
      <w:pPr>
        <w:spacing w:after="0" w:line="240" w:lineRule="auto"/>
        <w:jc w:val="center"/>
        <w:rPr>
          <w:rFonts w:ascii="Arial" w:hAnsi="Arial" w:cs="Arial" w:eastAsia="Arial" w:hint="default"/>
          <w:sz w:val="18"/>
          <w:szCs w:val="18"/>
        </w:rPr>
        <w:sectPr>
          <w:pgSz w:w="11900" w:h="16840"/>
          <w:pgMar w:header="877" w:footer="981" w:top="1100" w:bottom="1180" w:left="1560" w:right="1220"/>
        </w:sectPr>
      </w:pPr>
    </w:p>
    <w:p>
      <w:pPr>
        <w:spacing w:line="240" w:lineRule="auto" w:before="1"/>
        <w:rPr>
          <w:rFonts w:ascii="宋体" w:hAnsi="宋体" w:cs="宋体" w:eastAsia="宋体" w:hint="default"/>
          <w:sz w:val="27"/>
          <w:szCs w:val="27"/>
        </w:rPr>
      </w:pPr>
    </w:p>
    <w:p>
      <w:pPr>
        <w:pStyle w:val="Heading1"/>
        <w:tabs>
          <w:tab w:pos="4097" w:val="left" w:leader="none"/>
        </w:tabs>
        <w:spacing w:line="460" w:lineRule="exact"/>
        <w:ind w:left="2657" w:right="0"/>
        <w:jc w:val="left"/>
      </w:pPr>
      <w:bookmarkStart w:name="_TOC_250003" w:id="7"/>
      <w:r>
        <w:rPr>
          <w:w w:val="95"/>
        </w:rPr>
        <w:t>第七节</w:t>
        <w:tab/>
      </w:r>
      <w:bookmarkEnd w:id="7"/>
      <w:r>
        <w:rPr/>
        <w:t>公司治理结构</w:t>
      </w:r>
    </w:p>
    <w:p>
      <w:pPr>
        <w:spacing w:line="240" w:lineRule="auto" w:before="7"/>
        <w:rPr>
          <w:rFonts w:ascii="宋体" w:hAnsi="宋体" w:cs="宋体" w:eastAsia="宋体" w:hint="default"/>
          <w:sz w:val="15"/>
          <w:szCs w:val="15"/>
        </w:rPr>
      </w:pPr>
    </w:p>
    <w:p>
      <w:pPr>
        <w:pStyle w:val="Heading3"/>
        <w:spacing w:line="240" w:lineRule="auto" w:before="14"/>
        <w:ind w:right="0"/>
        <w:jc w:val="both"/>
      </w:pPr>
      <w:r>
        <w:rPr/>
        <w:t>一、公司治理情况</w:t>
      </w:r>
    </w:p>
    <w:p>
      <w:pPr>
        <w:pStyle w:val="BodyText"/>
        <w:spacing w:line="391" w:lineRule="auto" w:before="227"/>
        <w:ind w:right="155" w:firstLine="439"/>
        <w:jc w:val="both"/>
      </w:pPr>
      <w:r>
        <w:rPr/>
        <w:t>报告期内，公司严格按照《公司法》、《证券法》、《上市公司治理准则》、《深圳</w:t>
      </w:r>
      <w:r>
        <w:rPr>
          <w:w w:val="100"/>
        </w:rPr>
        <w:t> </w:t>
      </w:r>
      <w:r>
        <w:rPr/>
        <w:t>证券交易所创业板股票上市规则》、《深圳证券交易所创业板上市公司规范运作指引》等</w:t>
      </w:r>
      <w:r>
        <w:rPr>
          <w:spacing w:val="-57"/>
        </w:rPr>
        <w:t> </w:t>
      </w:r>
      <w:r>
        <w:rPr>
          <w:spacing w:val="-57"/>
        </w:rPr>
      </w:r>
      <w:r>
        <w:rPr/>
        <w:t>法律、法规和中国证监会有关法律法规等的要求，不断完善公司的法人治理结构，建立健</w:t>
      </w:r>
      <w:r>
        <w:rPr>
          <w:spacing w:val="-57"/>
        </w:rPr>
        <w:t> </w:t>
      </w:r>
      <w:r>
        <w:rPr>
          <w:spacing w:val="-57"/>
        </w:rPr>
      </w:r>
      <w:r>
        <w:rPr/>
        <w:t>全公司内部管理和控制制度，持续深入开展公司治理活动，促进了公司规范运作，提高了</w:t>
      </w:r>
      <w:r>
        <w:rPr>
          <w:spacing w:val="-57"/>
        </w:rPr>
        <w:t> </w:t>
      </w:r>
      <w:r>
        <w:rPr>
          <w:spacing w:val="-57"/>
        </w:rPr>
      </w:r>
      <w:r>
        <w:rPr/>
        <w:t>公司治理水平。截至报告期末，公司治理的实际状况符合《上市公司治理准则》和《深圳</w:t>
      </w:r>
      <w:r>
        <w:rPr>
          <w:spacing w:val="-57"/>
        </w:rPr>
        <w:t> </w:t>
      </w:r>
      <w:r>
        <w:rPr>
          <w:spacing w:val="-57"/>
        </w:rPr>
      </w:r>
      <w:r>
        <w:rPr/>
        <w:t>证券交易所创业板上市公司规范运作指引》的要求。</w:t>
      </w:r>
    </w:p>
    <w:p>
      <w:pPr>
        <w:pStyle w:val="BodyText"/>
        <w:spacing w:line="240" w:lineRule="auto" w:before="41"/>
        <w:ind w:left="0" w:right="98"/>
        <w:jc w:val="right"/>
      </w:pPr>
      <w:r>
        <w:rPr>
          <w:rFonts w:ascii="Arial" w:hAnsi="Arial" w:cs="Arial" w:eastAsia="Arial" w:hint="default"/>
          <w:spacing w:val="-1"/>
        </w:rPr>
        <w:t>1</w:t>
      </w:r>
      <w:r>
        <w:rPr>
          <w:spacing w:val="-1"/>
        </w:rPr>
        <w:t>、关于股东与股东大会：公司严格按照《上市公司股东大会规则》、《公司章程》、</w:t>
      </w:r>
    </w:p>
    <w:p>
      <w:pPr>
        <w:pStyle w:val="BodyText"/>
        <w:spacing w:line="391" w:lineRule="auto" w:before="164"/>
        <w:ind w:right="155"/>
        <w:jc w:val="both"/>
      </w:pPr>
      <w:r>
        <w:rPr/>
        <w:t>《股东大会议事规则》等规定和要求，规范地召集、召开股东大会，平等对待所有股东，</w:t>
      </w:r>
      <w:r>
        <w:rPr>
          <w:spacing w:val="-57"/>
        </w:rPr>
        <w:t> </w:t>
      </w:r>
      <w:r>
        <w:rPr>
          <w:spacing w:val="-57"/>
        </w:rPr>
      </w:r>
      <w:r>
        <w:rPr/>
        <w:t>并尽可能为股东参加股东大会提供便利，使其充分行使股东权利。</w:t>
      </w:r>
    </w:p>
    <w:p>
      <w:pPr>
        <w:pStyle w:val="BodyText"/>
        <w:spacing w:line="379" w:lineRule="auto" w:before="41"/>
        <w:ind w:right="155" w:firstLine="439"/>
        <w:jc w:val="right"/>
      </w:pPr>
      <w:r>
        <w:rPr>
          <w:rFonts w:ascii="Arial" w:hAnsi="Arial" w:cs="Arial" w:eastAsia="Arial" w:hint="default"/>
          <w:spacing w:val="-3"/>
        </w:rPr>
        <w:t>2</w:t>
      </w:r>
      <w:r>
        <w:rPr>
          <w:spacing w:val="-3"/>
        </w:rPr>
        <w:t>、关于公司与控股股东：公司控股股东严格规范自己的行为，没有超越股东大会直接</w:t>
      </w:r>
      <w:r>
        <w:rPr>
          <w:w w:val="100"/>
        </w:rPr>
        <w:t> </w:t>
      </w:r>
      <w:r>
        <w:rPr/>
        <w:t>或间接干预公司的决策和经营活动。公司拥有独立完整的业务和自主经营能力，在业务、</w:t>
      </w:r>
      <w:r>
        <w:rPr>
          <w:spacing w:val="-71"/>
        </w:rPr>
        <w:t> </w:t>
      </w:r>
      <w:r>
        <w:rPr>
          <w:spacing w:val="-71"/>
        </w:rPr>
      </w:r>
      <w:r>
        <w:rPr>
          <w:spacing w:val="-1"/>
        </w:rPr>
        <w:t>人员、资产、机构、财务上独立于控股股东，公司董事会、监事会和内部机构独立运作。</w:t>
      </w:r>
      <w:r>
        <w:rPr>
          <w:w w:val="100"/>
        </w:rPr>
        <w:t> </w:t>
      </w:r>
      <w:r>
        <w:rPr>
          <w:rFonts w:ascii="Arial" w:hAnsi="Arial" w:cs="Arial" w:eastAsia="Arial" w:hint="default"/>
          <w:spacing w:val="-4"/>
        </w:rPr>
        <w:t>3</w:t>
      </w:r>
      <w:r>
        <w:rPr>
          <w:spacing w:val="-4"/>
        </w:rPr>
        <w:t>、关于董事和董事会：公司董事会设董事</w:t>
      </w:r>
      <w:r>
        <w:rPr>
          <w:rFonts w:ascii="Arial" w:hAnsi="Arial" w:cs="Arial" w:eastAsia="Arial" w:hint="default"/>
          <w:spacing w:val="-4"/>
        </w:rPr>
        <w:t>9</w:t>
      </w:r>
      <w:r>
        <w:rPr>
          <w:spacing w:val="-4"/>
        </w:rPr>
        <w:t>名，其中独立董事</w:t>
      </w:r>
      <w:r>
        <w:rPr>
          <w:rFonts w:ascii="Arial" w:hAnsi="Arial" w:cs="Arial" w:eastAsia="Arial" w:hint="default"/>
          <w:spacing w:val="-4"/>
        </w:rPr>
        <w:t>3</w:t>
      </w:r>
      <w:r>
        <w:rPr>
          <w:spacing w:val="-4"/>
        </w:rPr>
        <w:t>名，董事会的人数及人</w:t>
      </w:r>
      <w:r>
        <w:rPr>
          <w:w w:val="100"/>
        </w:rPr>
        <w:t> </w:t>
      </w:r>
      <w:r>
        <w:rPr/>
        <w:t>员构成符合法律、法规和《公司章程》的要求。各位董事能够依据《董事会议事规则》、</w:t>
      </w:r>
    </w:p>
    <w:p>
      <w:pPr>
        <w:pStyle w:val="BodyText"/>
        <w:spacing w:line="391" w:lineRule="auto" w:before="52"/>
        <w:ind w:right="155"/>
        <w:jc w:val="both"/>
      </w:pPr>
      <w:r>
        <w:rPr/>
        <w:t>《独立董事制度》、《深圳证券交易所创业板上市公司规范运作指引》等开展工作，出席</w:t>
      </w:r>
      <w:r>
        <w:rPr>
          <w:spacing w:val="-57"/>
        </w:rPr>
        <w:t> </w:t>
      </w:r>
      <w:r>
        <w:rPr>
          <w:spacing w:val="-57"/>
        </w:rPr>
      </w:r>
      <w:r>
        <w:rPr/>
        <w:t>董事会和股东大会，勤勉尽责地履行职责和义务，同时积极参加相关培训，熟悉相关法律</w:t>
      </w:r>
      <w:r>
        <w:rPr>
          <w:spacing w:val="-57"/>
        </w:rPr>
        <w:t> </w:t>
      </w:r>
      <w:r>
        <w:rPr>
          <w:spacing w:val="-57"/>
        </w:rPr>
      </w:r>
      <w:r>
        <w:rPr/>
        <w:t>法规。</w:t>
      </w:r>
    </w:p>
    <w:p>
      <w:pPr>
        <w:pStyle w:val="BodyText"/>
        <w:spacing w:line="384" w:lineRule="auto" w:before="41"/>
        <w:ind w:right="155" w:firstLine="439"/>
        <w:jc w:val="both"/>
      </w:pPr>
      <w:r>
        <w:rPr>
          <w:rFonts w:ascii="Arial" w:hAnsi="Arial" w:cs="Arial" w:eastAsia="Arial" w:hint="default"/>
          <w:spacing w:val="-4"/>
        </w:rPr>
        <w:t>4</w:t>
      </w:r>
      <w:r>
        <w:rPr>
          <w:spacing w:val="-4"/>
        </w:rPr>
        <w:t>、关于监事和监事会：公司监事会设监事</w:t>
      </w:r>
      <w:r>
        <w:rPr>
          <w:rFonts w:ascii="Arial" w:hAnsi="Arial" w:cs="Arial" w:eastAsia="Arial" w:hint="default"/>
          <w:spacing w:val="-4"/>
        </w:rPr>
        <w:t>3</w:t>
      </w:r>
      <w:r>
        <w:rPr>
          <w:spacing w:val="-4"/>
        </w:rPr>
        <w:t>名，其中职工监事</w:t>
      </w:r>
      <w:r>
        <w:rPr>
          <w:rFonts w:ascii="Arial" w:hAnsi="Arial" w:cs="Arial" w:eastAsia="Arial" w:hint="default"/>
          <w:spacing w:val="-4"/>
        </w:rPr>
        <w:t>1</w:t>
      </w:r>
      <w:r>
        <w:rPr>
          <w:spacing w:val="-4"/>
        </w:rPr>
        <w:t>名，监事会的人数和构</w:t>
      </w:r>
      <w:r>
        <w:rPr>
          <w:w w:val="100"/>
        </w:rPr>
        <w:t> </w:t>
      </w:r>
      <w:r>
        <w:rPr/>
        <w:t>成符合法律、法规的要求。各位监事能够按照《监事会议事规则》的要求，认真履行自己</w:t>
      </w:r>
      <w:r>
        <w:rPr>
          <w:spacing w:val="-57"/>
        </w:rPr>
        <w:t> </w:t>
      </w:r>
      <w:r>
        <w:rPr>
          <w:spacing w:val="-57"/>
        </w:rPr>
      </w:r>
      <w:r>
        <w:rPr/>
        <w:t>的职责，对公司重大事项、关联交易、财务状况以及董事、高管人员履行职责的合法合规</w:t>
      </w:r>
      <w:r>
        <w:rPr>
          <w:spacing w:val="-57"/>
        </w:rPr>
        <w:t> </w:t>
      </w:r>
      <w:r>
        <w:rPr>
          <w:spacing w:val="-57"/>
        </w:rPr>
      </w:r>
      <w:r>
        <w:rPr/>
        <w:t>性进行监督。</w:t>
      </w:r>
    </w:p>
    <w:p>
      <w:pPr>
        <w:pStyle w:val="BodyText"/>
        <w:spacing w:line="379" w:lineRule="auto" w:before="48"/>
        <w:ind w:right="155" w:firstLine="439"/>
        <w:jc w:val="both"/>
      </w:pPr>
      <w:r>
        <w:rPr>
          <w:rFonts w:ascii="Arial" w:hAnsi="Arial" w:cs="Arial" w:eastAsia="Arial" w:hint="default"/>
          <w:spacing w:val="-3"/>
        </w:rPr>
        <w:t>5</w:t>
      </w:r>
      <w:r>
        <w:rPr>
          <w:spacing w:val="-3"/>
        </w:rPr>
        <w:t>、关于绩效评价与激励约束机制：公司正逐步建立和完善公正、透明的高级管理人员</w:t>
      </w:r>
      <w:r>
        <w:rPr>
          <w:w w:val="100"/>
        </w:rPr>
        <w:t> </w:t>
      </w:r>
      <w:r>
        <w:rPr/>
        <w:t>的绩效考核标准和激励约束机制。高级管理人员的聘任公开、透明，符合法律、法规的规</w:t>
      </w:r>
      <w:r>
        <w:rPr>
          <w:spacing w:val="-57"/>
        </w:rPr>
        <w:t> </w:t>
      </w:r>
      <w:r>
        <w:rPr>
          <w:spacing w:val="-57"/>
        </w:rPr>
      </w:r>
      <w:r>
        <w:rPr/>
        <w:t>定。</w:t>
      </w:r>
    </w:p>
    <w:p>
      <w:pPr>
        <w:pStyle w:val="BodyText"/>
        <w:spacing w:line="379" w:lineRule="auto" w:before="52"/>
        <w:ind w:right="155" w:firstLine="439"/>
        <w:jc w:val="both"/>
      </w:pPr>
      <w:r>
        <w:rPr>
          <w:rFonts w:ascii="Arial" w:hAnsi="Arial" w:cs="Arial" w:eastAsia="Arial" w:hint="default"/>
          <w:spacing w:val="-3"/>
        </w:rPr>
        <w:t>6</w:t>
      </w:r>
      <w:r>
        <w:rPr>
          <w:spacing w:val="-3"/>
        </w:rPr>
        <w:t>、关于信息披露与透明度：公司严格按照有关法律法规以及《信息披露制度》、《投</w:t>
      </w:r>
      <w:r>
        <w:rPr>
          <w:w w:val="100"/>
        </w:rPr>
        <w:t> </w:t>
      </w:r>
      <w:r>
        <w:rPr/>
        <w:t>资者关系管理制度》等的要求，真实、准确、及时、公平、完整地披露有关信息；并指定</w:t>
      </w:r>
      <w:r>
        <w:rPr>
          <w:spacing w:val="-57"/>
        </w:rPr>
        <w:t> </w:t>
      </w:r>
      <w:r>
        <w:rPr>
          <w:spacing w:val="-57"/>
        </w:rPr>
      </w:r>
      <w:r>
        <w:rPr>
          <w:spacing w:val="-3"/>
        </w:rPr>
        <w:t>公司董事会秘书负责信息披露工作，协调公司与投资者的关系</w:t>
      </w:r>
      <w:r>
        <w:rPr>
          <w:rFonts w:ascii="Arial" w:hAnsi="Arial" w:cs="Arial" w:eastAsia="Arial" w:hint="default"/>
          <w:spacing w:val="-3"/>
        </w:rPr>
        <w:t>,</w:t>
      </w:r>
      <w:r>
        <w:rPr>
          <w:spacing w:val="-3"/>
        </w:rPr>
        <w:t>接待股东来访</w:t>
      </w:r>
      <w:r>
        <w:rPr>
          <w:rFonts w:ascii="Arial" w:hAnsi="Arial" w:cs="Arial" w:eastAsia="Arial" w:hint="default"/>
          <w:spacing w:val="-3"/>
        </w:rPr>
        <w:t>,</w:t>
      </w:r>
      <w:r>
        <w:rPr>
          <w:spacing w:val="-3"/>
        </w:rPr>
        <w:t>回答投资者咨</w:t>
      </w:r>
    </w:p>
    <w:p>
      <w:pPr>
        <w:spacing w:after="0" w:line="379" w:lineRule="auto"/>
        <w:jc w:val="both"/>
        <w:sectPr>
          <w:pgSz w:w="11900" w:h="16840"/>
          <w:pgMar w:header="877" w:footer="981" w:top="1100" w:bottom="1180" w:left="1660" w:right="1300"/>
        </w:sectPr>
      </w:pPr>
    </w:p>
    <w:p>
      <w:pPr>
        <w:spacing w:line="240" w:lineRule="auto" w:before="4"/>
        <w:rPr>
          <w:rFonts w:ascii="宋体" w:hAnsi="宋体" w:cs="宋体" w:eastAsia="宋体" w:hint="default"/>
          <w:sz w:val="26"/>
          <w:szCs w:val="26"/>
        </w:rPr>
      </w:pPr>
    </w:p>
    <w:p>
      <w:pPr>
        <w:pStyle w:val="BodyText"/>
        <w:spacing w:line="391" w:lineRule="auto"/>
        <w:ind w:left="237" w:right="235"/>
        <w:jc w:val="both"/>
      </w:pPr>
      <w:r>
        <w:rPr/>
        <w:t>询，向投资者提供公司已披露的资料；并指定《证券时报》和中国证监会指定的创业板信</w:t>
      </w:r>
      <w:r>
        <w:rPr>
          <w:spacing w:val="-57"/>
        </w:rPr>
        <w:t> </w:t>
      </w:r>
      <w:r>
        <w:rPr>
          <w:spacing w:val="-57"/>
        </w:rPr>
      </w:r>
      <w:r>
        <w:rPr/>
        <w:t>息披露网站为公司信息披露的指定报纸和网站，确保公司所有股东能够以平等的机会获得</w:t>
      </w:r>
      <w:r>
        <w:rPr>
          <w:spacing w:val="-57"/>
        </w:rPr>
        <w:t> </w:t>
      </w:r>
      <w:r>
        <w:rPr>
          <w:spacing w:val="-57"/>
        </w:rPr>
      </w:r>
      <w:r>
        <w:rPr/>
        <w:t>信息。</w:t>
      </w:r>
    </w:p>
    <w:p>
      <w:pPr>
        <w:pStyle w:val="BodyText"/>
        <w:spacing w:line="369" w:lineRule="auto" w:before="41"/>
        <w:ind w:left="237" w:right="125" w:firstLine="439"/>
        <w:jc w:val="left"/>
      </w:pPr>
      <w:r>
        <w:rPr>
          <w:rFonts w:ascii="Arial" w:hAnsi="Arial" w:cs="Arial" w:eastAsia="Arial" w:hint="default"/>
          <w:spacing w:val="-1"/>
        </w:rPr>
        <w:t>7</w:t>
      </w:r>
      <w:r>
        <w:rPr>
          <w:spacing w:val="-1"/>
        </w:rPr>
        <w:t>、关于相关利益者：公司充分尊重和维护相关利益者的合法权益，实现股东、员工、</w:t>
      </w:r>
      <w:r>
        <w:rPr>
          <w:w w:val="100"/>
        </w:rPr>
        <w:t> </w:t>
      </w:r>
      <w:r>
        <w:rPr/>
        <w:t>社会等各方利益的协调平衡，共同推动公司持续、健康的发展。</w:t>
      </w:r>
    </w:p>
    <w:p>
      <w:pPr>
        <w:pStyle w:val="Heading3"/>
        <w:spacing w:line="240" w:lineRule="auto" w:before="92"/>
        <w:ind w:left="237" w:right="125"/>
        <w:jc w:val="left"/>
      </w:pPr>
      <w:r>
        <w:rPr/>
        <w:t>二、公司董事长、独立董事及其他董事履行职责情况</w:t>
      </w:r>
    </w:p>
    <w:p>
      <w:pPr>
        <w:pStyle w:val="BodyText"/>
        <w:spacing w:line="240" w:lineRule="auto" w:before="227"/>
        <w:ind w:left="676" w:right="125"/>
        <w:jc w:val="left"/>
      </w:pPr>
      <w:r>
        <w:rPr>
          <w:rFonts w:ascii="Arial" w:hAnsi="Arial" w:cs="Arial" w:eastAsia="Arial" w:hint="default"/>
          <w:spacing w:val="-11"/>
        </w:rPr>
        <w:t>1</w:t>
      </w:r>
      <w:r>
        <w:rPr>
          <w:spacing w:val="-11"/>
        </w:rPr>
        <w:t>、报告期内，公司全体董事严格按照《公司法》、《证券法》、《上市公司治理准则》、</w:t>
      </w:r>
    </w:p>
    <w:p>
      <w:pPr>
        <w:pStyle w:val="BodyText"/>
        <w:spacing w:line="391" w:lineRule="auto" w:before="164"/>
        <w:ind w:left="237" w:right="125"/>
        <w:jc w:val="left"/>
      </w:pPr>
      <w:r>
        <w:rPr>
          <w:spacing w:val="-3"/>
        </w:rPr>
        <w:t>《深圳证券交易所创业板上市公司规范运作指引》等有关法律法规和《公司章程》的规定，</w:t>
      </w:r>
      <w:r>
        <w:rPr>
          <w:spacing w:val="-54"/>
        </w:rPr>
        <w:t> </w:t>
      </w:r>
      <w:r>
        <w:rPr>
          <w:spacing w:val="-54"/>
        </w:rPr>
      </w:r>
      <w:r>
        <w:rPr/>
        <w:t>勤勉尽责地履行董事的职责，持续关注公司经营状况，遵守董事行为规范，积极参加相关</w:t>
      </w:r>
      <w:r>
        <w:rPr>
          <w:spacing w:val="-57"/>
        </w:rPr>
        <w:t> </w:t>
      </w:r>
      <w:r>
        <w:rPr>
          <w:spacing w:val="-57"/>
        </w:rPr>
      </w:r>
      <w:r>
        <w:rPr/>
        <w:t>培训，提高规范运作水平，发挥各自的专业特长，积极地履行职责。董事在董事会会议投</w:t>
      </w:r>
      <w:r>
        <w:rPr>
          <w:spacing w:val="-57"/>
        </w:rPr>
        <w:t> </w:t>
      </w:r>
      <w:r>
        <w:rPr>
          <w:spacing w:val="-57"/>
        </w:rPr>
      </w:r>
      <w:r>
        <w:rPr/>
        <w:t>票表决重大事项或其他对公司有重大影响的事项时，严格遵循公司董事会议事规则的有关</w:t>
      </w:r>
      <w:r>
        <w:rPr>
          <w:spacing w:val="-57"/>
        </w:rPr>
        <w:t> </w:t>
      </w:r>
      <w:r>
        <w:rPr>
          <w:spacing w:val="-57"/>
        </w:rPr>
      </w:r>
      <w:r>
        <w:rPr/>
        <w:t>审议规定，审慎决策，切实保护公司和股东特别是社会公众股股东的利益。</w:t>
      </w:r>
    </w:p>
    <w:p>
      <w:pPr>
        <w:pStyle w:val="BodyText"/>
        <w:spacing w:line="384" w:lineRule="auto" w:before="41"/>
        <w:ind w:left="237" w:right="178" w:firstLine="439"/>
        <w:jc w:val="both"/>
      </w:pPr>
      <w:r>
        <w:rPr>
          <w:rFonts w:ascii="Arial" w:hAnsi="Arial" w:cs="Arial" w:eastAsia="Arial" w:hint="default"/>
          <w:spacing w:val="-1"/>
        </w:rPr>
        <w:t>2</w:t>
      </w:r>
      <w:r>
        <w:rPr>
          <w:spacing w:val="-1"/>
        </w:rPr>
        <w:t>、报告期内，公司董事长严格按照法律法规和《公司章程》的要求，依法行使权力，</w:t>
      </w:r>
      <w:r>
        <w:rPr>
          <w:w w:val="100"/>
        </w:rPr>
        <w:t> </w:t>
      </w:r>
      <w:r>
        <w:rPr/>
        <w:t>履行职责：全力加强董事会建设，依法召集、主持董事会会议并督促董事亲自出席，严格</w:t>
      </w:r>
      <w:r>
        <w:rPr>
          <w:spacing w:val="-57"/>
        </w:rPr>
        <w:t> </w:t>
      </w:r>
      <w:r>
        <w:rPr>
          <w:spacing w:val="-57"/>
        </w:rPr>
      </w:r>
      <w:r>
        <w:rPr/>
        <w:t>执行董事会集体决策机制，并为独立董事和董事会秘书履行职责创造良好条件。积极推动</w:t>
      </w:r>
      <w:r>
        <w:rPr>
          <w:spacing w:val="-57"/>
        </w:rPr>
        <w:t> </w:t>
      </w:r>
      <w:r>
        <w:rPr>
          <w:spacing w:val="-57"/>
        </w:rPr>
      </w:r>
      <w:r>
        <w:rPr/>
        <w:t>公司治理工作和内部控制建设，督促执行股东大会和董事会各项决议，确保董事会依法正</w:t>
      </w:r>
      <w:r>
        <w:rPr>
          <w:spacing w:val="-57"/>
        </w:rPr>
        <w:t> </w:t>
      </w:r>
      <w:r>
        <w:rPr>
          <w:spacing w:val="-57"/>
        </w:rPr>
      </w:r>
      <w:r>
        <w:rPr/>
        <w:t>常运作。</w:t>
      </w:r>
    </w:p>
    <w:p>
      <w:pPr>
        <w:pStyle w:val="BodyText"/>
        <w:spacing w:line="386" w:lineRule="auto" w:before="48"/>
        <w:ind w:left="237" w:right="125" w:firstLine="439"/>
        <w:jc w:val="left"/>
      </w:pPr>
      <w:r>
        <w:rPr>
          <w:rFonts w:ascii="Arial" w:hAnsi="Arial" w:cs="Arial" w:eastAsia="Arial" w:hint="default"/>
          <w:spacing w:val="-3"/>
        </w:rPr>
        <w:t>3</w:t>
      </w:r>
      <w:r>
        <w:rPr>
          <w:spacing w:val="-3"/>
        </w:rPr>
        <w:t>、报告期内，公司独立董事田利明先生、尚建平先生、邹晖女士能够严格按照有关法</w:t>
      </w:r>
      <w:r>
        <w:rPr>
          <w:w w:val="100"/>
        </w:rPr>
        <w:t> </w:t>
      </w:r>
      <w:r>
        <w:rPr/>
        <w:t>律法规、《公司章程》、《独立董事制度》等的规定，本着对公司、股东负责的态度，勤</w:t>
      </w:r>
      <w:r>
        <w:rPr>
          <w:spacing w:val="-57"/>
        </w:rPr>
        <w:t> </w:t>
      </w:r>
      <w:r>
        <w:rPr>
          <w:spacing w:val="-57"/>
        </w:rPr>
      </w:r>
      <w:r>
        <w:rPr/>
        <w:t>勉尽责，忠实履行职责，积极出席相关会议，认真审议各项议案，客观地发表自己的看法</w:t>
      </w:r>
      <w:r>
        <w:rPr>
          <w:spacing w:val="-57"/>
        </w:rPr>
        <w:t> </w:t>
      </w:r>
      <w:r>
        <w:rPr>
          <w:spacing w:val="-57"/>
        </w:rPr>
      </w:r>
      <w:r>
        <w:rPr>
          <w:spacing w:val="-3"/>
        </w:rPr>
        <w:t>及观点，深入了解公司运营状况、内部控制的建设及董事会决议、股东会决议的执行情况，</w:t>
      </w:r>
      <w:r>
        <w:rPr>
          <w:spacing w:val="-54"/>
        </w:rPr>
        <w:t> </w:t>
      </w:r>
      <w:r>
        <w:rPr>
          <w:spacing w:val="-54"/>
        </w:rPr>
      </w:r>
      <w:r>
        <w:rPr/>
        <w:t>并利用自己的专业知识做出独立、公正的判断。在报告期内，对公司发生的凡需要独立董</w:t>
      </w:r>
      <w:r>
        <w:rPr>
          <w:spacing w:val="-57"/>
        </w:rPr>
        <w:t> </w:t>
      </w:r>
      <w:r>
        <w:rPr>
          <w:spacing w:val="-57"/>
        </w:rPr>
      </w:r>
      <w:r>
        <w:rPr/>
        <w:t>事发表意见的事项发表独立董事意见，不受公司和控股股东的影响，切实维护了中小股东</w:t>
      </w:r>
      <w:r>
        <w:rPr>
          <w:spacing w:val="-57"/>
        </w:rPr>
        <w:t> </w:t>
      </w:r>
      <w:r>
        <w:rPr>
          <w:spacing w:val="-57"/>
        </w:rPr>
      </w:r>
      <w:r>
        <w:rPr/>
        <w:t>的利益。报告期内，公司三名独立董事对公司董事会的议案及公司其他事项均没有提出异</w:t>
      </w:r>
      <w:r>
        <w:rPr>
          <w:spacing w:val="-57"/>
        </w:rPr>
        <w:t> </w:t>
      </w:r>
      <w:r>
        <w:rPr>
          <w:spacing w:val="-57"/>
        </w:rPr>
      </w:r>
      <w:r>
        <w:rPr/>
        <w:t>议。</w:t>
      </w:r>
    </w:p>
    <w:p>
      <w:pPr>
        <w:pStyle w:val="BodyText"/>
        <w:spacing w:line="240" w:lineRule="auto" w:before="46"/>
        <w:ind w:left="676" w:right="125"/>
        <w:jc w:val="left"/>
      </w:pPr>
      <w:r>
        <w:rPr>
          <w:rFonts w:ascii="Arial" w:hAnsi="Arial" w:cs="Arial" w:eastAsia="Arial" w:hint="default"/>
        </w:rPr>
        <w:t>4</w:t>
      </w:r>
      <w:r>
        <w:rPr/>
        <w:t>、报告期内，公司董事出席董事会情况如下：</w:t>
      </w:r>
    </w:p>
    <w:p>
      <w:pPr>
        <w:spacing w:line="240" w:lineRule="auto" w:before="5"/>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313"/>
        <w:gridCol w:w="1469"/>
        <w:gridCol w:w="802"/>
        <w:gridCol w:w="970"/>
        <w:gridCol w:w="1121"/>
        <w:gridCol w:w="970"/>
        <w:gridCol w:w="648"/>
        <w:gridCol w:w="1565"/>
      </w:tblGrid>
      <w:tr>
        <w:trPr>
          <w:trHeight w:val="965" w:hRule="exact"/>
        </w:trPr>
        <w:tc>
          <w:tcPr>
            <w:tcW w:w="13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206" w:right="0" w:hanging="92"/>
              <w:jc w:val="left"/>
              <w:rPr>
                <w:rFonts w:ascii="宋体" w:hAnsi="宋体" w:cs="宋体" w:eastAsia="宋体" w:hint="default"/>
                <w:sz w:val="18"/>
                <w:szCs w:val="18"/>
              </w:rPr>
            </w:pPr>
            <w:r>
              <w:rPr>
                <w:rFonts w:ascii="宋体" w:hAnsi="宋体" w:cs="宋体" w:eastAsia="宋体" w:hint="default"/>
                <w:sz w:val="18"/>
                <w:szCs w:val="18"/>
              </w:rPr>
              <w:t>应出席</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次数</w:t>
            </w:r>
          </w:p>
        </w:tc>
        <w:tc>
          <w:tcPr>
            <w:tcW w:w="9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现场出席</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次数</w:t>
            </w:r>
          </w:p>
        </w:tc>
        <w:tc>
          <w:tcPr>
            <w:tcW w:w="11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184" w:right="0" w:hanging="89"/>
              <w:jc w:val="left"/>
              <w:rPr>
                <w:rFonts w:ascii="宋体" w:hAnsi="宋体" w:cs="宋体" w:eastAsia="宋体" w:hint="default"/>
                <w:sz w:val="18"/>
                <w:szCs w:val="18"/>
              </w:rPr>
            </w:pPr>
            <w:r>
              <w:rPr>
                <w:rFonts w:ascii="宋体" w:hAnsi="宋体" w:cs="宋体" w:eastAsia="宋体" w:hint="default"/>
                <w:sz w:val="18"/>
                <w:szCs w:val="18"/>
              </w:rPr>
              <w:t>以通讯方式</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参加会议</w:t>
            </w:r>
          </w:p>
        </w:tc>
        <w:tc>
          <w:tcPr>
            <w:tcW w:w="9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委托出席</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次数</w:t>
            </w:r>
          </w:p>
        </w:tc>
        <w:tc>
          <w:tcPr>
            <w:tcW w:w="6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129" w:right="0"/>
              <w:jc w:val="left"/>
              <w:rPr>
                <w:rFonts w:ascii="宋体" w:hAnsi="宋体" w:cs="宋体" w:eastAsia="宋体" w:hint="default"/>
                <w:sz w:val="18"/>
                <w:szCs w:val="18"/>
              </w:rPr>
            </w:pPr>
            <w:r>
              <w:rPr>
                <w:rFonts w:ascii="宋体" w:hAnsi="宋体" w:cs="宋体" w:eastAsia="宋体" w:hint="default"/>
                <w:sz w:val="18"/>
                <w:szCs w:val="18"/>
              </w:rPr>
              <w:t>缺席</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次数</w:t>
            </w:r>
          </w:p>
        </w:tc>
        <w:tc>
          <w:tcPr>
            <w:tcW w:w="15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227" w:right="0" w:hanging="89"/>
              <w:jc w:val="left"/>
              <w:rPr>
                <w:rFonts w:ascii="宋体" w:hAnsi="宋体" w:cs="宋体" w:eastAsia="宋体" w:hint="default"/>
                <w:sz w:val="18"/>
                <w:szCs w:val="18"/>
              </w:rPr>
            </w:pPr>
            <w:r>
              <w:rPr>
                <w:rFonts w:ascii="宋体" w:hAnsi="宋体" w:cs="宋体" w:eastAsia="宋体" w:hint="default"/>
                <w:sz w:val="18"/>
                <w:szCs w:val="18"/>
              </w:rPr>
              <w:t>是否连续两日未</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亲自出席会议</w:t>
            </w:r>
          </w:p>
        </w:tc>
      </w:tr>
      <w:tr>
        <w:trPr>
          <w:trHeight w:val="497" w:hRule="exact"/>
        </w:trPr>
        <w:tc>
          <w:tcPr>
            <w:tcW w:w="13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纪立军</w:t>
            </w: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8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sz w:val="18"/>
              </w:rPr>
              <w:t>11</w:t>
            </w:r>
          </w:p>
        </w:tc>
        <w:tc>
          <w:tcPr>
            <w:tcW w:w="9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w w:val="99"/>
                <w:sz w:val="18"/>
              </w:rPr>
              <w:t>9</w:t>
            </w:r>
            <w:r>
              <w:rPr>
                <w:rFonts w:ascii="Arial"/>
                <w:sz w:val="18"/>
              </w:rPr>
            </w:r>
          </w:p>
        </w:tc>
        <w:tc>
          <w:tcPr>
            <w:tcW w:w="11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1"/>
              <w:jc w:val="center"/>
              <w:rPr>
                <w:rFonts w:ascii="Arial" w:hAnsi="Arial" w:cs="Arial" w:eastAsia="Arial" w:hint="default"/>
                <w:sz w:val="18"/>
                <w:szCs w:val="18"/>
              </w:rPr>
            </w:pPr>
            <w:r>
              <w:rPr>
                <w:rFonts w:ascii="Arial"/>
                <w:w w:val="99"/>
                <w:sz w:val="18"/>
              </w:rPr>
              <w:t>2</w:t>
            </w:r>
            <w:r>
              <w:rPr>
                <w:rFonts w:ascii="Arial"/>
                <w:sz w:val="18"/>
              </w:rPr>
            </w:r>
          </w:p>
        </w:tc>
        <w:tc>
          <w:tcPr>
            <w:tcW w:w="9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w w:val="99"/>
                <w:sz w:val="18"/>
              </w:rPr>
              <w:t>0</w:t>
            </w:r>
            <w:r>
              <w:rPr>
                <w:rFonts w:ascii="Arial"/>
                <w:sz w:val="18"/>
              </w:rPr>
            </w:r>
          </w:p>
        </w:tc>
        <w:tc>
          <w:tcPr>
            <w:tcW w:w="6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w w:val="99"/>
                <w:sz w:val="18"/>
              </w:rPr>
              <w:t>0</w:t>
            </w:r>
            <w:r>
              <w:rPr>
                <w:rFonts w:ascii="Arial"/>
                <w:sz w:val="18"/>
              </w:rPr>
            </w:r>
          </w:p>
        </w:tc>
        <w:tc>
          <w:tcPr>
            <w:tcW w:w="15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footerReference w:type="default" r:id="rId43"/>
          <w:pgSz w:w="11900" w:h="16840"/>
          <w:pgMar w:footer="981" w:header="877" w:top="1100" w:bottom="1180" w:left="1560" w:right="1220"/>
          <w:pgNumType w:start="50"/>
        </w:sectPr>
      </w:pPr>
    </w:p>
    <w:p>
      <w:pPr>
        <w:spacing w:line="240" w:lineRule="auto" w:before="8"/>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1313"/>
        <w:gridCol w:w="1469"/>
        <w:gridCol w:w="802"/>
        <w:gridCol w:w="970"/>
        <w:gridCol w:w="1121"/>
        <w:gridCol w:w="970"/>
        <w:gridCol w:w="648"/>
        <w:gridCol w:w="1565"/>
      </w:tblGrid>
      <w:tr>
        <w:trPr>
          <w:trHeight w:val="497" w:hRule="exact"/>
        </w:trPr>
        <w:tc>
          <w:tcPr>
            <w:tcW w:w="13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臧少玉</w:t>
            </w: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8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sz w:val="18"/>
              </w:rPr>
              <w:t>11</w:t>
            </w:r>
          </w:p>
        </w:tc>
        <w:tc>
          <w:tcPr>
            <w:tcW w:w="9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w w:val="99"/>
                <w:sz w:val="18"/>
              </w:rPr>
              <w:t>9</w:t>
            </w:r>
            <w:r>
              <w:rPr>
                <w:rFonts w:ascii="Arial"/>
                <w:sz w:val="18"/>
              </w:rPr>
            </w:r>
          </w:p>
        </w:tc>
        <w:tc>
          <w:tcPr>
            <w:tcW w:w="11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1"/>
              <w:jc w:val="center"/>
              <w:rPr>
                <w:rFonts w:ascii="Arial" w:hAnsi="Arial" w:cs="Arial" w:eastAsia="Arial" w:hint="default"/>
                <w:sz w:val="18"/>
                <w:szCs w:val="18"/>
              </w:rPr>
            </w:pPr>
            <w:r>
              <w:rPr>
                <w:rFonts w:ascii="Arial"/>
                <w:w w:val="99"/>
                <w:sz w:val="18"/>
              </w:rPr>
              <w:t>2</w:t>
            </w:r>
            <w:r>
              <w:rPr>
                <w:rFonts w:ascii="Arial"/>
                <w:sz w:val="18"/>
              </w:rPr>
            </w:r>
          </w:p>
        </w:tc>
        <w:tc>
          <w:tcPr>
            <w:tcW w:w="9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w w:val="99"/>
                <w:sz w:val="18"/>
              </w:rPr>
              <w:t>0</w:t>
            </w:r>
            <w:r>
              <w:rPr>
                <w:rFonts w:ascii="Arial"/>
                <w:sz w:val="18"/>
              </w:rPr>
            </w:r>
          </w:p>
        </w:tc>
        <w:tc>
          <w:tcPr>
            <w:tcW w:w="6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257"/>
              <w:jc w:val="right"/>
              <w:rPr>
                <w:rFonts w:ascii="Arial" w:hAnsi="Arial" w:cs="Arial" w:eastAsia="Arial" w:hint="default"/>
                <w:sz w:val="18"/>
                <w:szCs w:val="18"/>
              </w:rPr>
            </w:pPr>
            <w:r>
              <w:rPr>
                <w:rFonts w:ascii="Arial"/>
                <w:w w:val="99"/>
                <w:sz w:val="18"/>
              </w:rPr>
              <w:t>0</w:t>
            </w:r>
            <w:r>
              <w:rPr>
                <w:rFonts w:ascii="Arial"/>
                <w:sz w:val="18"/>
              </w:rPr>
            </w:r>
          </w:p>
        </w:tc>
        <w:tc>
          <w:tcPr>
            <w:tcW w:w="15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499" w:hRule="exact"/>
        </w:trPr>
        <w:tc>
          <w:tcPr>
            <w:tcW w:w="13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缪融</w:t>
            </w: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8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sz w:val="18"/>
              </w:rPr>
              <w:t>11</w:t>
            </w:r>
          </w:p>
        </w:tc>
        <w:tc>
          <w:tcPr>
            <w:tcW w:w="9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w w:val="99"/>
                <w:sz w:val="18"/>
              </w:rPr>
              <w:t>9</w:t>
            </w:r>
            <w:r>
              <w:rPr>
                <w:rFonts w:ascii="Arial"/>
                <w:sz w:val="18"/>
              </w:rPr>
            </w:r>
          </w:p>
        </w:tc>
        <w:tc>
          <w:tcPr>
            <w:tcW w:w="11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1"/>
              <w:jc w:val="center"/>
              <w:rPr>
                <w:rFonts w:ascii="Arial" w:hAnsi="Arial" w:cs="Arial" w:eastAsia="Arial" w:hint="default"/>
                <w:sz w:val="18"/>
                <w:szCs w:val="18"/>
              </w:rPr>
            </w:pPr>
            <w:r>
              <w:rPr>
                <w:rFonts w:ascii="Arial"/>
                <w:w w:val="99"/>
                <w:sz w:val="18"/>
              </w:rPr>
              <w:t>2</w:t>
            </w:r>
            <w:r>
              <w:rPr>
                <w:rFonts w:ascii="Arial"/>
                <w:sz w:val="18"/>
              </w:rPr>
            </w:r>
          </w:p>
        </w:tc>
        <w:tc>
          <w:tcPr>
            <w:tcW w:w="9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w w:val="99"/>
                <w:sz w:val="18"/>
              </w:rPr>
              <w:t>0</w:t>
            </w:r>
            <w:r>
              <w:rPr>
                <w:rFonts w:ascii="Arial"/>
                <w:sz w:val="18"/>
              </w:rPr>
            </w:r>
          </w:p>
        </w:tc>
        <w:tc>
          <w:tcPr>
            <w:tcW w:w="6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257"/>
              <w:jc w:val="right"/>
              <w:rPr>
                <w:rFonts w:ascii="Arial" w:hAnsi="Arial" w:cs="Arial" w:eastAsia="Arial" w:hint="default"/>
                <w:sz w:val="18"/>
                <w:szCs w:val="18"/>
              </w:rPr>
            </w:pPr>
            <w:r>
              <w:rPr>
                <w:rFonts w:ascii="Arial"/>
                <w:w w:val="99"/>
                <w:sz w:val="18"/>
              </w:rPr>
              <w:t>0</w:t>
            </w:r>
            <w:r>
              <w:rPr>
                <w:rFonts w:ascii="Arial"/>
                <w:sz w:val="18"/>
              </w:rPr>
            </w:r>
          </w:p>
        </w:tc>
        <w:tc>
          <w:tcPr>
            <w:tcW w:w="15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497" w:hRule="exact"/>
        </w:trPr>
        <w:tc>
          <w:tcPr>
            <w:tcW w:w="13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王宏道</w:t>
            </w: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8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sz w:val="18"/>
              </w:rPr>
              <w:t>11</w:t>
            </w:r>
          </w:p>
        </w:tc>
        <w:tc>
          <w:tcPr>
            <w:tcW w:w="9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w w:val="99"/>
                <w:sz w:val="18"/>
              </w:rPr>
              <w:t>9</w:t>
            </w:r>
            <w:r>
              <w:rPr>
                <w:rFonts w:ascii="Arial"/>
                <w:sz w:val="18"/>
              </w:rPr>
            </w:r>
          </w:p>
        </w:tc>
        <w:tc>
          <w:tcPr>
            <w:tcW w:w="11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1"/>
              <w:jc w:val="center"/>
              <w:rPr>
                <w:rFonts w:ascii="Arial" w:hAnsi="Arial" w:cs="Arial" w:eastAsia="Arial" w:hint="default"/>
                <w:sz w:val="18"/>
                <w:szCs w:val="18"/>
              </w:rPr>
            </w:pPr>
            <w:r>
              <w:rPr>
                <w:rFonts w:ascii="Arial"/>
                <w:w w:val="99"/>
                <w:sz w:val="18"/>
              </w:rPr>
              <w:t>2</w:t>
            </w:r>
            <w:r>
              <w:rPr>
                <w:rFonts w:ascii="Arial"/>
                <w:sz w:val="18"/>
              </w:rPr>
            </w:r>
          </w:p>
        </w:tc>
        <w:tc>
          <w:tcPr>
            <w:tcW w:w="9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w w:val="99"/>
                <w:sz w:val="18"/>
              </w:rPr>
              <w:t>0</w:t>
            </w:r>
            <w:r>
              <w:rPr>
                <w:rFonts w:ascii="Arial"/>
                <w:sz w:val="18"/>
              </w:rPr>
            </w:r>
          </w:p>
        </w:tc>
        <w:tc>
          <w:tcPr>
            <w:tcW w:w="6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257"/>
              <w:jc w:val="right"/>
              <w:rPr>
                <w:rFonts w:ascii="Arial" w:hAnsi="Arial" w:cs="Arial" w:eastAsia="Arial" w:hint="default"/>
                <w:sz w:val="18"/>
                <w:szCs w:val="18"/>
              </w:rPr>
            </w:pPr>
            <w:r>
              <w:rPr>
                <w:rFonts w:ascii="Arial"/>
                <w:w w:val="99"/>
                <w:sz w:val="18"/>
              </w:rPr>
              <w:t>0</w:t>
            </w:r>
            <w:r>
              <w:rPr>
                <w:rFonts w:ascii="Arial"/>
                <w:sz w:val="18"/>
              </w:rPr>
            </w:r>
          </w:p>
        </w:tc>
        <w:tc>
          <w:tcPr>
            <w:tcW w:w="15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499" w:hRule="exact"/>
        </w:trPr>
        <w:tc>
          <w:tcPr>
            <w:tcW w:w="13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耿毅英</w:t>
            </w: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sz w:val="18"/>
              </w:rPr>
              <w:t>11</w:t>
            </w:r>
          </w:p>
        </w:tc>
        <w:tc>
          <w:tcPr>
            <w:tcW w:w="9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w w:val="99"/>
                <w:sz w:val="18"/>
              </w:rPr>
              <w:t>9</w:t>
            </w:r>
            <w:r>
              <w:rPr>
                <w:rFonts w:ascii="Arial"/>
                <w:sz w:val="18"/>
              </w:rPr>
            </w:r>
          </w:p>
        </w:tc>
        <w:tc>
          <w:tcPr>
            <w:tcW w:w="11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1"/>
              <w:jc w:val="center"/>
              <w:rPr>
                <w:rFonts w:ascii="Arial" w:hAnsi="Arial" w:cs="Arial" w:eastAsia="Arial" w:hint="default"/>
                <w:sz w:val="18"/>
                <w:szCs w:val="18"/>
              </w:rPr>
            </w:pPr>
            <w:r>
              <w:rPr>
                <w:rFonts w:ascii="Arial"/>
                <w:w w:val="99"/>
                <w:sz w:val="18"/>
              </w:rPr>
              <w:t>2</w:t>
            </w:r>
            <w:r>
              <w:rPr>
                <w:rFonts w:ascii="Arial"/>
                <w:sz w:val="18"/>
              </w:rPr>
            </w:r>
          </w:p>
        </w:tc>
        <w:tc>
          <w:tcPr>
            <w:tcW w:w="9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w w:val="99"/>
                <w:sz w:val="18"/>
              </w:rPr>
              <w:t>0</w:t>
            </w:r>
            <w:r>
              <w:rPr>
                <w:rFonts w:ascii="Arial"/>
                <w:sz w:val="18"/>
              </w:rPr>
            </w:r>
          </w:p>
        </w:tc>
        <w:tc>
          <w:tcPr>
            <w:tcW w:w="6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257"/>
              <w:jc w:val="right"/>
              <w:rPr>
                <w:rFonts w:ascii="Arial" w:hAnsi="Arial" w:cs="Arial" w:eastAsia="Arial" w:hint="default"/>
                <w:sz w:val="18"/>
                <w:szCs w:val="18"/>
              </w:rPr>
            </w:pPr>
            <w:r>
              <w:rPr>
                <w:rFonts w:ascii="Arial"/>
                <w:w w:val="99"/>
                <w:sz w:val="18"/>
              </w:rPr>
              <w:t>0</w:t>
            </w:r>
            <w:r>
              <w:rPr>
                <w:rFonts w:ascii="Arial"/>
                <w:sz w:val="18"/>
              </w:rPr>
            </w:r>
          </w:p>
        </w:tc>
        <w:tc>
          <w:tcPr>
            <w:tcW w:w="15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497" w:hRule="exact"/>
        </w:trPr>
        <w:tc>
          <w:tcPr>
            <w:tcW w:w="13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马立群</w:t>
            </w: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sz w:val="18"/>
              </w:rPr>
              <w:t>11</w:t>
            </w:r>
          </w:p>
        </w:tc>
        <w:tc>
          <w:tcPr>
            <w:tcW w:w="9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w w:val="99"/>
                <w:sz w:val="18"/>
              </w:rPr>
              <w:t>8</w:t>
            </w:r>
            <w:r>
              <w:rPr>
                <w:rFonts w:ascii="Arial"/>
                <w:sz w:val="18"/>
              </w:rPr>
            </w:r>
          </w:p>
        </w:tc>
        <w:tc>
          <w:tcPr>
            <w:tcW w:w="11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1"/>
              <w:jc w:val="center"/>
              <w:rPr>
                <w:rFonts w:ascii="Arial" w:hAnsi="Arial" w:cs="Arial" w:eastAsia="Arial" w:hint="default"/>
                <w:sz w:val="18"/>
                <w:szCs w:val="18"/>
              </w:rPr>
            </w:pPr>
            <w:r>
              <w:rPr>
                <w:rFonts w:ascii="Arial"/>
                <w:w w:val="99"/>
                <w:sz w:val="18"/>
              </w:rPr>
              <w:t>3</w:t>
            </w:r>
            <w:r>
              <w:rPr>
                <w:rFonts w:ascii="Arial"/>
                <w:sz w:val="18"/>
              </w:rPr>
            </w:r>
          </w:p>
        </w:tc>
        <w:tc>
          <w:tcPr>
            <w:tcW w:w="9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w w:val="99"/>
                <w:sz w:val="18"/>
              </w:rPr>
              <w:t>0</w:t>
            </w:r>
            <w:r>
              <w:rPr>
                <w:rFonts w:ascii="Arial"/>
                <w:sz w:val="18"/>
              </w:rPr>
            </w:r>
          </w:p>
        </w:tc>
        <w:tc>
          <w:tcPr>
            <w:tcW w:w="6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257"/>
              <w:jc w:val="right"/>
              <w:rPr>
                <w:rFonts w:ascii="Arial" w:hAnsi="Arial" w:cs="Arial" w:eastAsia="Arial" w:hint="default"/>
                <w:sz w:val="18"/>
                <w:szCs w:val="18"/>
              </w:rPr>
            </w:pPr>
            <w:r>
              <w:rPr>
                <w:rFonts w:ascii="Arial"/>
                <w:w w:val="99"/>
                <w:sz w:val="18"/>
              </w:rPr>
              <w:t>0</w:t>
            </w:r>
            <w:r>
              <w:rPr>
                <w:rFonts w:ascii="Arial"/>
                <w:sz w:val="18"/>
              </w:rPr>
            </w:r>
          </w:p>
        </w:tc>
        <w:tc>
          <w:tcPr>
            <w:tcW w:w="15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499" w:hRule="exact"/>
        </w:trPr>
        <w:tc>
          <w:tcPr>
            <w:tcW w:w="13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田利明</w:t>
            </w: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sz w:val="18"/>
              </w:rPr>
              <w:t>11</w:t>
            </w:r>
          </w:p>
        </w:tc>
        <w:tc>
          <w:tcPr>
            <w:tcW w:w="9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w w:val="99"/>
                <w:sz w:val="18"/>
              </w:rPr>
              <w:t>7</w:t>
            </w:r>
            <w:r>
              <w:rPr>
                <w:rFonts w:ascii="Arial"/>
                <w:sz w:val="18"/>
              </w:rPr>
            </w:r>
          </w:p>
        </w:tc>
        <w:tc>
          <w:tcPr>
            <w:tcW w:w="11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1"/>
              <w:jc w:val="center"/>
              <w:rPr>
                <w:rFonts w:ascii="Arial" w:hAnsi="Arial" w:cs="Arial" w:eastAsia="Arial" w:hint="default"/>
                <w:sz w:val="18"/>
                <w:szCs w:val="18"/>
              </w:rPr>
            </w:pPr>
            <w:r>
              <w:rPr>
                <w:rFonts w:ascii="Arial"/>
                <w:w w:val="99"/>
                <w:sz w:val="18"/>
              </w:rPr>
              <w:t>3</w:t>
            </w:r>
            <w:r>
              <w:rPr>
                <w:rFonts w:ascii="Arial"/>
                <w:sz w:val="18"/>
              </w:rPr>
            </w:r>
          </w:p>
        </w:tc>
        <w:tc>
          <w:tcPr>
            <w:tcW w:w="9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w w:val="99"/>
                <w:sz w:val="18"/>
              </w:rPr>
              <w:t>1</w:t>
            </w:r>
            <w:r>
              <w:rPr>
                <w:rFonts w:ascii="Arial"/>
                <w:sz w:val="18"/>
              </w:rPr>
            </w:r>
          </w:p>
        </w:tc>
        <w:tc>
          <w:tcPr>
            <w:tcW w:w="6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257"/>
              <w:jc w:val="right"/>
              <w:rPr>
                <w:rFonts w:ascii="Arial" w:hAnsi="Arial" w:cs="Arial" w:eastAsia="Arial" w:hint="default"/>
                <w:sz w:val="18"/>
                <w:szCs w:val="18"/>
              </w:rPr>
            </w:pPr>
            <w:r>
              <w:rPr>
                <w:rFonts w:ascii="Arial"/>
                <w:w w:val="99"/>
                <w:sz w:val="18"/>
              </w:rPr>
              <w:t>0</w:t>
            </w:r>
            <w:r>
              <w:rPr>
                <w:rFonts w:ascii="Arial"/>
                <w:sz w:val="18"/>
              </w:rPr>
            </w:r>
          </w:p>
        </w:tc>
        <w:tc>
          <w:tcPr>
            <w:tcW w:w="15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497" w:hRule="exact"/>
        </w:trPr>
        <w:tc>
          <w:tcPr>
            <w:tcW w:w="13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尚建平</w:t>
            </w: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sz w:val="18"/>
              </w:rPr>
              <w:t>11</w:t>
            </w:r>
          </w:p>
        </w:tc>
        <w:tc>
          <w:tcPr>
            <w:tcW w:w="9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w w:val="99"/>
                <w:sz w:val="18"/>
              </w:rPr>
              <w:t>8</w:t>
            </w:r>
            <w:r>
              <w:rPr>
                <w:rFonts w:ascii="Arial"/>
                <w:sz w:val="18"/>
              </w:rPr>
            </w:r>
          </w:p>
        </w:tc>
        <w:tc>
          <w:tcPr>
            <w:tcW w:w="11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1"/>
              <w:jc w:val="center"/>
              <w:rPr>
                <w:rFonts w:ascii="Arial" w:hAnsi="Arial" w:cs="Arial" w:eastAsia="Arial" w:hint="default"/>
                <w:sz w:val="18"/>
                <w:szCs w:val="18"/>
              </w:rPr>
            </w:pPr>
            <w:r>
              <w:rPr>
                <w:rFonts w:ascii="Arial"/>
                <w:w w:val="99"/>
                <w:sz w:val="18"/>
              </w:rPr>
              <w:t>3</w:t>
            </w:r>
            <w:r>
              <w:rPr>
                <w:rFonts w:ascii="Arial"/>
                <w:sz w:val="18"/>
              </w:rPr>
            </w:r>
          </w:p>
        </w:tc>
        <w:tc>
          <w:tcPr>
            <w:tcW w:w="9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w w:val="99"/>
                <w:sz w:val="18"/>
              </w:rPr>
              <w:t>0</w:t>
            </w:r>
            <w:r>
              <w:rPr>
                <w:rFonts w:ascii="Arial"/>
                <w:sz w:val="18"/>
              </w:rPr>
            </w:r>
          </w:p>
        </w:tc>
        <w:tc>
          <w:tcPr>
            <w:tcW w:w="6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257"/>
              <w:jc w:val="right"/>
              <w:rPr>
                <w:rFonts w:ascii="Arial" w:hAnsi="Arial" w:cs="Arial" w:eastAsia="Arial" w:hint="default"/>
                <w:sz w:val="18"/>
                <w:szCs w:val="18"/>
              </w:rPr>
            </w:pPr>
            <w:r>
              <w:rPr>
                <w:rFonts w:ascii="Arial"/>
                <w:w w:val="99"/>
                <w:sz w:val="18"/>
              </w:rPr>
              <w:t>0</w:t>
            </w:r>
            <w:r>
              <w:rPr>
                <w:rFonts w:ascii="Arial"/>
                <w:sz w:val="18"/>
              </w:rPr>
            </w:r>
          </w:p>
        </w:tc>
        <w:tc>
          <w:tcPr>
            <w:tcW w:w="15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499" w:hRule="exact"/>
        </w:trPr>
        <w:tc>
          <w:tcPr>
            <w:tcW w:w="13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邹晖</w:t>
            </w: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left="90" w:right="0"/>
              <w:jc w:val="center"/>
              <w:rPr>
                <w:rFonts w:ascii="Arial" w:hAnsi="Arial" w:cs="Arial" w:eastAsia="Arial" w:hint="default"/>
                <w:sz w:val="18"/>
                <w:szCs w:val="18"/>
              </w:rPr>
            </w:pPr>
            <w:r>
              <w:rPr>
                <w:rFonts w:ascii="Arial"/>
                <w:w w:val="99"/>
                <w:sz w:val="18"/>
              </w:rPr>
              <w:t>8</w:t>
            </w:r>
            <w:r>
              <w:rPr>
                <w:rFonts w:ascii="Arial"/>
                <w:sz w:val="18"/>
              </w:rPr>
            </w:r>
          </w:p>
        </w:tc>
        <w:tc>
          <w:tcPr>
            <w:tcW w:w="9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w w:val="99"/>
                <w:sz w:val="18"/>
              </w:rPr>
              <w:t>5</w:t>
            </w:r>
            <w:r>
              <w:rPr>
                <w:rFonts w:ascii="Arial"/>
                <w:sz w:val="18"/>
              </w:rPr>
            </w:r>
          </w:p>
        </w:tc>
        <w:tc>
          <w:tcPr>
            <w:tcW w:w="11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1"/>
              <w:jc w:val="center"/>
              <w:rPr>
                <w:rFonts w:ascii="Arial" w:hAnsi="Arial" w:cs="Arial" w:eastAsia="Arial" w:hint="default"/>
                <w:sz w:val="18"/>
                <w:szCs w:val="18"/>
              </w:rPr>
            </w:pPr>
            <w:r>
              <w:rPr>
                <w:rFonts w:ascii="Arial"/>
                <w:w w:val="99"/>
                <w:sz w:val="18"/>
              </w:rPr>
              <w:t>3</w:t>
            </w:r>
            <w:r>
              <w:rPr>
                <w:rFonts w:ascii="Arial"/>
                <w:sz w:val="18"/>
              </w:rPr>
            </w:r>
          </w:p>
        </w:tc>
        <w:tc>
          <w:tcPr>
            <w:tcW w:w="9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w w:val="99"/>
                <w:sz w:val="18"/>
              </w:rPr>
              <w:t>0</w:t>
            </w:r>
            <w:r>
              <w:rPr>
                <w:rFonts w:ascii="Arial"/>
                <w:sz w:val="18"/>
              </w:rPr>
            </w:r>
          </w:p>
        </w:tc>
        <w:tc>
          <w:tcPr>
            <w:tcW w:w="6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259"/>
              <w:jc w:val="right"/>
              <w:rPr>
                <w:rFonts w:ascii="Arial" w:hAnsi="Arial" w:cs="Arial" w:eastAsia="Arial" w:hint="default"/>
                <w:sz w:val="18"/>
                <w:szCs w:val="18"/>
              </w:rPr>
            </w:pPr>
            <w:r>
              <w:rPr>
                <w:rFonts w:ascii="Arial"/>
                <w:w w:val="99"/>
                <w:sz w:val="18"/>
              </w:rPr>
              <w:t>0</w:t>
            </w:r>
            <w:r>
              <w:rPr>
                <w:rFonts w:ascii="Arial"/>
                <w:sz w:val="18"/>
              </w:rPr>
            </w:r>
          </w:p>
        </w:tc>
        <w:tc>
          <w:tcPr>
            <w:tcW w:w="15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497" w:hRule="exact"/>
        </w:trPr>
        <w:tc>
          <w:tcPr>
            <w:tcW w:w="13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卫淙平</w:t>
            </w: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w w:val="99"/>
                <w:sz w:val="18"/>
              </w:rPr>
              <w:t>2</w:t>
            </w:r>
            <w:r>
              <w:rPr>
                <w:rFonts w:ascii="Arial"/>
                <w:sz w:val="18"/>
              </w:rPr>
            </w:r>
          </w:p>
        </w:tc>
        <w:tc>
          <w:tcPr>
            <w:tcW w:w="9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w w:val="99"/>
                <w:sz w:val="18"/>
              </w:rPr>
              <w:t>2</w:t>
            </w:r>
            <w:r>
              <w:rPr>
                <w:rFonts w:ascii="Arial"/>
                <w:sz w:val="18"/>
              </w:rPr>
            </w:r>
          </w:p>
        </w:tc>
        <w:tc>
          <w:tcPr>
            <w:tcW w:w="11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1"/>
              <w:jc w:val="center"/>
              <w:rPr>
                <w:rFonts w:ascii="Arial" w:hAnsi="Arial" w:cs="Arial" w:eastAsia="Arial" w:hint="default"/>
                <w:sz w:val="18"/>
                <w:szCs w:val="18"/>
              </w:rPr>
            </w:pPr>
            <w:r>
              <w:rPr>
                <w:rFonts w:ascii="Arial"/>
                <w:w w:val="99"/>
                <w:sz w:val="18"/>
              </w:rPr>
              <w:t>0</w:t>
            </w:r>
            <w:r>
              <w:rPr>
                <w:rFonts w:ascii="Arial"/>
                <w:sz w:val="18"/>
              </w:rPr>
            </w:r>
          </w:p>
        </w:tc>
        <w:tc>
          <w:tcPr>
            <w:tcW w:w="9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w w:val="99"/>
                <w:sz w:val="18"/>
              </w:rPr>
              <w:t>0</w:t>
            </w:r>
            <w:r>
              <w:rPr>
                <w:rFonts w:ascii="Arial"/>
                <w:sz w:val="18"/>
              </w:rPr>
            </w:r>
          </w:p>
        </w:tc>
        <w:tc>
          <w:tcPr>
            <w:tcW w:w="6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257"/>
              <w:jc w:val="right"/>
              <w:rPr>
                <w:rFonts w:ascii="Arial" w:hAnsi="Arial" w:cs="Arial" w:eastAsia="Arial" w:hint="default"/>
                <w:sz w:val="18"/>
                <w:szCs w:val="18"/>
              </w:rPr>
            </w:pPr>
            <w:r>
              <w:rPr>
                <w:rFonts w:ascii="Arial"/>
                <w:w w:val="99"/>
                <w:sz w:val="18"/>
              </w:rPr>
              <w:t>0</w:t>
            </w:r>
            <w:r>
              <w:rPr>
                <w:rFonts w:ascii="Arial"/>
                <w:sz w:val="18"/>
              </w:rPr>
            </w:r>
          </w:p>
        </w:tc>
        <w:tc>
          <w:tcPr>
            <w:tcW w:w="15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bl>
    <w:p>
      <w:pPr>
        <w:spacing w:line="240" w:lineRule="auto" w:before="8"/>
        <w:rPr>
          <w:rFonts w:ascii="宋体" w:hAnsi="宋体" w:cs="宋体" w:eastAsia="宋体" w:hint="default"/>
          <w:sz w:val="5"/>
          <w:szCs w:val="5"/>
        </w:rPr>
      </w:pPr>
    </w:p>
    <w:p>
      <w:pPr>
        <w:pStyle w:val="Heading3"/>
        <w:spacing w:line="240" w:lineRule="auto" w:before="14"/>
        <w:ind w:left="227" w:right="4933"/>
        <w:jc w:val="center"/>
      </w:pPr>
      <w:r>
        <w:rPr/>
        <w:t>三、报告期内股东大会运作情况</w:t>
      </w:r>
    </w:p>
    <w:p>
      <w:pPr>
        <w:pStyle w:val="BodyText"/>
        <w:spacing w:line="240" w:lineRule="auto" w:before="227"/>
        <w:ind w:left="676" w:right="125"/>
        <w:jc w:val="left"/>
      </w:pPr>
      <w:r>
        <w:rPr>
          <w:spacing w:val="-8"/>
        </w:rPr>
        <w:t>报告期内，公司共召开了三次股东大会。会议的召集、召开与表决程序符合《公司法》、</w:t>
      </w:r>
    </w:p>
    <w:p>
      <w:pPr>
        <w:pStyle w:val="BodyText"/>
        <w:spacing w:line="240" w:lineRule="auto" w:before="180"/>
        <w:ind w:left="237" w:right="125"/>
        <w:jc w:val="left"/>
      </w:pPr>
      <w:r>
        <w:rPr/>
        <w:t>《公司章程》等法律、法规及规范性文件的规定。股东大会召开情况如下：</w:t>
      </w:r>
    </w:p>
    <w:p>
      <w:pPr>
        <w:spacing w:line="240" w:lineRule="auto" w:before="1"/>
        <w:rPr>
          <w:rFonts w:ascii="宋体" w:hAnsi="宋体" w:cs="宋体" w:eastAsia="宋体" w:hint="default"/>
          <w:sz w:val="16"/>
          <w:szCs w:val="16"/>
        </w:rPr>
      </w:pPr>
    </w:p>
    <w:p>
      <w:pPr>
        <w:spacing w:before="0"/>
        <w:ind w:left="237" w:right="125" w:firstLine="0"/>
        <w:jc w:val="left"/>
        <w:rPr>
          <w:rFonts w:ascii="宋体" w:hAnsi="宋体" w:cs="宋体" w:eastAsia="宋体" w:hint="default"/>
          <w:sz w:val="28"/>
          <w:szCs w:val="28"/>
        </w:rPr>
      </w:pPr>
      <w:r>
        <w:rPr>
          <w:rFonts w:ascii="宋体" w:hAnsi="宋体" w:cs="宋体" w:eastAsia="宋体" w:hint="default"/>
          <w:sz w:val="28"/>
          <w:szCs w:val="28"/>
        </w:rPr>
        <w:t>（一）</w:t>
      </w:r>
      <w:r>
        <w:rPr>
          <w:rFonts w:ascii="Arial" w:hAnsi="Arial" w:cs="Arial" w:eastAsia="Arial" w:hint="default"/>
          <w:b/>
          <w:bCs/>
          <w:sz w:val="28"/>
          <w:szCs w:val="28"/>
        </w:rPr>
        <w:t>2009</w:t>
      </w:r>
      <w:r>
        <w:rPr>
          <w:rFonts w:ascii="宋体" w:hAnsi="宋体" w:cs="宋体" w:eastAsia="宋体" w:hint="default"/>
          <w:sz w:val="28"/>
          <w:szCs w:val="28"/>
        </w:rPr>
        <w:t>年度股东大会</w:t>
      </w:r>
    </w:p>
    <w:p>
      <w:pPr>
        <w:pStyle w:val="BodyText"/>
        <w:spacing w:line="369" w:lineRule="auto" w:before="207"/>
        <w:ind w:left="237" w:right="237" w:firstLine="439"/>
        <w:jc w:val="both"/>
      </w:pPr>
      <w:r>
        <w:rPr>
          <w:rFonts w:ascii="Arial" w:hAnsi="Arial" w:cs="Arial" w:eastAsia="Arial" w:hint="default"/>
        </w:rPr>
        <w:t>2010</w:t>
      </w:r>
      <w:r>
        <w:rPr/>
        <w:t>年</w:t>
      </w:r>
      <w:r>
        <w:rPr>
          <w:rFonts w:ascii="Arial" w:hAnsi="Arial" w:cs="Arial" w:eastAsia="Arial" w:hint="default"/>
        </w:rPr>
        <w:t>2</w:t>
      </w:r>
      <w:r>
        <w:rPr/>
        <w:t>月</w:t>
      </w:r>
      <w:r>
        <w:rPr>
          <w:rFonts w:ascii="Arial" w:hAnsi="Arial" w:cs="Arial" w:eastAsia="Arial" w:hint="default"/>
        </w:rPr>
        <w:t>5</w:t>
      </w:r>
      <w:r>
        <w:rPr/>
        <w:t>日，上海安诺其纺织化工股份有限公司在上海市青浦工业园区崧华路</w:t>
      </w:r>
      <w:r>
        <w:rPr>
          <w:rFonts w:ascii="Arial" w:hAnsi="Arial" w:cs="Arial" w:eastAsia="Arial" w:hint="default"/>
        </w:rPr>
        <w:t>881</w:t>
      </w:r>
      <w:r>
        <w:rPr>
          <w:rFonts w:ascii="Arial" w:hAnsi="Arial" w:cs="Arial" w:eastAsia="Arial" w:hint="default"/>
          <w:w w:val="100"/>
        </w:rPr>
        <w:t> </w:t>
      </w:r>
      <w:r>
        <w:rPr>
          <w:spacing w:val="-1"/>
        </w:rPr>
        <w:t>号公司会议室以现场表决方式召开了</w:t>
      </w:r>
      <w:r>
        <w:rPr>
          <w:rFonts w:ascii="Arial" w:hAnsi="Arial" w:cs="Arial" w:eastAsia="Arial" w:hint="default"/>
          <w:spacing w:val="-1"/>
        </w:rPr>
        <w:t>2009</w:t>
      </w:r>
      <w:r>
        <w:rPr>
          <w:spacing w:val="-1"/>
        </w:rPr>
        <w:t>年度股东大会，本次股东大会由董事会召集，出</w:t>
      </w:r>
      <w:r>
        <w:rPr>
          <w:spacing w:val="-68"/>
        </w:rPr>
        <w:t> </w:t>
      </w:r>
      <w:r>
        <w:rPr>
          <w:spacing w:val="-68"/>
        </w:rPr>
      </w:r>
      <w:r>
        <w:rPr/>
        <w:t>席会议的股东或股东代表共</w:t>
      </w:r>
      <w:r>
        <w:rPr>
          <w:rFonts w:ascii="Arial" w:hAnsi="Arial" w:cs="Arial" w:eastAsia="Arial" w:hint="default"/>
        </w:rPr>
        <w:t>24</w:t>
      </w:r>
      <w:r>
        <w:rPr/>
        <w:t>名，代表公司股份</w:t>
      </w:r>
      <w:r>
        <w:rPr>
          <w:rFonts w:ascii="Arial" w:hAnsi="Arial" w:cs="Arial" w:eastAsia="Arial" w:hint="default"/>
        </w:rPr>
        <w:t>80,000,000</w:t>
      </w:r>
      <w:r>
        <w:rPr/>
        <w:t>股，占公司有表决权股份总数</w:t>
      </w:r>
      <w:r>
        <w:rPr>
          <w:spacing w:val="-88"/>
        </w:rPr>
        <w:t> </w:t>
      </w:r>
      <w:r>
        <w:rPr>
          <w:spacing w:val="-3"/>
        </w:rPr>
        <w:t>的</w:t>
      </w:r>
      <w:r>
        <w:rPr>
          <w:rFonts w:ascii="Arial" w:hAnsi="Arial" w:cs="Arial" w:eastAsia="Arial" w:hint="default"/>
          <w:spacing w:val="-3"/>
        </w:rPr>
        <w:t>100%</w:t>
      </w:r>
      <w:r>
        <w:rPr>
          <w:spacing w:val="-3"/>
        </w:rPr>
        <w:t>，会议的召集、召开符合《公司法》和《公司章程》的规定，会议由董事长纪立军</w:t>
      </w:r>
      <w:r>
        <w:rPr>
          <w:spacing w:val="-60"/>
        </w:rPr>
        <w:t> </w:t>
      </w:r>
      <w:r>
        <w:rPr>
          <w:spacing w:val="-60"/>
        </w:rPr>
      </w:r>
      <w:r>
        <w:rPr/>
        <w:t>先生主持。</w:t>
      </w:r>
    </w:p>
    <w:p>
      <w:pPr>
        <w:pStyle w:val="BodyText"/>
        <w:spacing w:line="240" w:lineRule="auto" w:before="61"/>
        <w:ind w:left="676" w:right="125"/>
        <w:jc w:val="left"/>
      </w:pPr>
      <w:r>
        <w:rPr/>
        <w:t>本次股东大会逐项审议并表决通过了下列议案：</w:t>
      </w:r>
    </w:p>
    <w:p>
      <w:pPr>
        <w:pStyle w:val="BodyText"/>
        <w:spacing w:line="240" w:lineRule="auto" w:before="180"/>
        <w:ind w:left="676" w:right="125"/>
        <w:jc w:val="left"/>
      </w:pPr>
      <w:r>
        <w:rPr>
          <w:rFonts w:ascii="Arial" w:hAnsi="Arial" w:cs="Arial" w:eastAsia="Arial" w:hint="default"/>
        </w:rPr>
        <w:t>1</w:t>
      </w:r>
      <w:r>
        <w:rPr/>
        <w:t>．《</w:t>
      </w:r>
      <w:r>
        <w:rPr>
          <w:rFonts w:ascii="Arial" w:hAnsi="Arial" w:cs="Arial" w:eastAsia="Arial" w:hint="default"/>
        </w:rPr>
        <w:t>2009</w:t>
      </w:r>
      <w:r>
        <w:rPr/>
        <w:t>年度董事会工作报告》</w:t>
      </w:r>
    </w:p>
    <w:p>
      <w:pPr>
        <w:pStyle w:val="BodyText"/>
        <w:spacing w:line="240" w:lineRule="auto" w:before="164"/>
        <w:ind w:left="676" w:right="125"/>
        <w:jc w:val="left"/>
      </w:pPr>
      <w:r>
        <w:rPr>
          <w:rFonts w:ascii="Arial" w:hAnsi="Arial" w:cs="Arial" w:eastAsia="Arial" w:hint="default"/>
        </w:rPr>
        <w:t>2</w:t>
      </w:r>
      <w:r>
        <w:rPr/>
        <w:t>．《</w:t>
      </w:r>
      <w:r>
        <w:rPr>
          <w:rFonts w:ascii="Arial" w:hAnsi="Arial" w:cs="Arial" w:eastAsia="Arial" w:hint="default"/>
        </w:rPr>
        <w:t>2009</w:t>
      </w:r>
      <w:r>
        <w:rPr/>
        <w:t>年度监事会工作报告》</w:t>
      </w:r>
    </w:p>
    <w:p>
      <w:pPr>
        <w:pStyle w:val="BodyText"/>
        <w:spacing w:line="240" w:lineRule="auto" w:before="164"/>
        <w:ind w:left="676" w:right="125"/>
        <w:jc w:val="left"/>
      </w:pPr>
      <w:r>
        <w:rPr>
          <w:rFonts w:ascii="Arial" w:hAnsi="Arial" w:cs="Arial" w:eastAsia="Arial" w:hint="default"/>
        </w:rPr>
        <w:t>3</w:t>
      </w:r>
      <w:r>
        <w:rPr/>
        <w:t>．《</w:t>
      </w:r>
      <w:r>
        <w:rPr>
          <w:rFonts w:ascii="Arial" w:hAnsi="Arial" w:cs="Arial" w:eastAsia="Arial" w:hint="default"/>
        </w:rPr>
        <w:t>2009</w:t>
      </w:r>
      <w:r>
        <w:rPr/>
        <w:t>年度财务决算报告》</w:t>
      </w:r>
    </w:p>
    <w:p>
      <w:pPr>
        <w:pStyle w:val="BodyText"/>
        <w:spacing w:line="240" w:lineRule="auto" w:before="164"/>
        <w:ind w:left="676" w:right="125"/>
        <w:jc w:val="left"/>
      </w:pPr>
      <w:r>
        <w:rPr>
          <w:rFonts w:ascii="Arial" w:hAnsi="Arial" w:cs="Arial" w:eastAsia="Arial" w:hint="default"/>
        </w:rPr>
        <w:t>4</w:t>
      </w:r>
      <w:r>
        <w:rPr/>
        <w:t>．《</w:t>
      </w:r>
      <w:r>
        <w:rPr>
          <w:rFonts w:ascii="Arial" w:hAnsi="Arial" w:cs="Arial" w:eastAsia="Arial" w:hint="default"/>
        </w:rPr>
        <w:t>2009</w:t>
      </w:r>
      <w:r>
        <w:rPr/>
        <w:t>年度利润分配方案》</w:t>
      </w:r>
    </w:p>
    <w:p>
      <w:pPr>
        <w:pStyle w:val="BodyText"/>
        <w:spacing w:line="240" w:lineRule="auto" w:before="164"/>
        <w:ind w:left="676" w:right="125"/>
        <w:jc w:val="left"/>
      </w:pPr>
      <w:r>
        <w:rPr>
          <w:rFonts w:ascii="Arial" w:hAnsi="Arial" w:cs="Arial" w:eastAsia="Arial" w:hint="default"/>
        </w:rPr>
        <w:t>5</w:t>
      </w:r>
      <w:r>
        <w:rPr/>
        <w:t>．《公司</w:t>
      </w:r>
      <w:r>
        <w:rPr>
          <w:rFonts w:ascii="Arial" w:hAnsi="Arial" w:cs="Arial" w:eastAsia="Arial" w:hint="default"/>
        </w:rPr>
        <w:t>2009</w:t>
      </w:r>
      <w:r>
        <w:rPr/>
        <w:t>年年度报告》</w:t>
      </w:r>
    </w:p>
    <w:p>
      <w:pPr>
        <w:pStyle w:val="BodyText"/>
        <w:spacing w:line="240" w:lineRule="auto" w:before="164"/>
        <w:ind w:left="676" w:right="125"/>
        <w:jc w:val="left"/>
      </w:pPr>
      <w:r>
        <w:rPr>
          <w:rFonts w:ascii="Arial" w:hAnsi="Arial" w:cs="Arial" w:eastAsia="Arial" w:hint="default"/>
        </w:rPr>
        <w:t>6</w:t>
      </w:r>
      <w:r>
        <w:rPr/>
        <w:t>．《关于聘请公司</w:t>
      </w:r>
      <w:r>
        <w:rPr>
          <w:rFonts w:ascii="Arial" w:hAnsi="Arial" w:cs="Arial" w:eastAsia="Arial" w:hint="default"/>
        </w:rPr>
        <w:t>2010</w:t>
      </w:r>
      <w:r>
        <w:rPr/>
        <w:t>年度审计机构的议案》</w:t>
      </w:r>
    </w:p>
    <w:p>
      <w:pPr>
        <w:pStyle w:val="BodyText"/>
        <w:spacing w:line="240" w:lineRule="auto" w:before="164"/>
        <w:ind w:left="676" w:right="125"/>
        <w:jc w:val="left"/>
      </w:pPr>
      <w:r>
        <w:rPr>
          <w:rFonts w:ascii="Arial" w:hAnsi="Arial" w:cs="Arial" w:eastAsia="Arial" w:hint="default"/>
        </w:rPr>
        <w:t>7</w:t>
      </w:r>
      <w:r>
        <w:rPr/>
        <w:t>．《</w:t>
      </w:r>
      <w:r>
        <w:rPr>
          <w:rFonts w:ascii="Arial" w:hAnsi="Arial" w:cs="Arial" w:eastAsia="Arial" w:hint="default"/>
        </w:rPr>
        <w:t>&lt;</w:t>
      </w:r>
      <w:r>
        <w:rPr/>
        <w:t>公司章程</w:t>
      </w:r>
      <w:r>
        <w:rPr>
          <w:rFonts w:ascii="Arial" w:hAnsi="Arial" w:cs="Arial" w:eastAsia="Arial" w:hint="default"/>
        </w:rPr>
        <w:t>&gt;</w:t>
      </w:r>
      <w:r>
        <w:rPr/>
        <w:t>（草案）修正案》</w:t>
      </w:r>
    </w:p>
    <w:p>
      <w:pPr>
        <w:pStyle w:val="BodyText"/>
        <w:spacing w:line="240" w:lineRule="auto" w:before="164"/>
        <w:ind w:left="676" w:right="125"/>
        <w:jc w:val="left"/>
      </w:pPr>
      <w:r>
        <w:rPr>
          <w:rFonts w:ascii="Arial" w:hAnsi="Arial" w:cs="Arial" w:eastAsia="Arial" w:hint="default"/>
        </w:rPr>
        <w:t>8</w:t>
      </w:r>
      <w:r>
        <w:rPr/>
        <w:t>．审议《</w:t>
      </w:r>
      <w:r>
        <w:rPr>
          <w:rFonts w:ascii="Arial" w:hAnsi="Arial" w:cs="Arial" w:eastAsia="Arial" w:hint="default"/>
        </w:rPr>
        <w:t>&lt;</w:t>
      </w:r>
      <w:r>
        <w:rPr/>
        <w:t>董事会议事规则</w:t>
      </w:r>
      <w:r>
        <w:rPr>
          <w:rFonts w:ascii="Arial" w:hAnsi="Arial" w:cs="Arial" w:eastAsia="Arial" w:hint="default"/>
        </w:rPr>
        <w:t>&gt;</w:t>
      </w:r>
      <w:r>
        <w:rPr/>
        <w:t>修正案》</w:t>
      </w:r>
    </w:p>
    <w:p>
      <w:pPr>
        <w:pStyle w:val="BodyText"/>
        <w:spacing w:line="240" w:lineRule="auto" w:before="164"/>
        <w:ind w:left="676" w:right="125"/>
        <w:jc w:val="left"/>
      </w:pPr>
      <w:r>
        <w:rPr>
          <w:rFonts w:ascii="Arial" w:hAnsi="Arial" w:cs="Arial" w:eastAsia="Arial" w:hint="default"/>
        </w:rPr>
        <w:t>9</w:t>
      </w:r>
      <w:r>
        <w:rPr/>
        <w:t>．审议《</w:t>
      </w:r>
      <w:r>
        <w:rPr>
          <w:rFonts w:ascii="Arial" w:hAnsi="Arial" w:cs="Arial" w:eastAsia="Arial" w:hint="default"/>
        </w:rPr>
        <w:t>&lt;</w:t>
      </w:r>
      <w:r>
        <w:rPr/>
        <w:t>独立董事工作细则</w:t>
      </w:r>
      <w:r>
        <w:rPr>
          <w:rFonts w:ascii="Arial" w:hAnsi="Arial" w:cs="Arial" w:eastAsia="Arial" w:hint="default"/>
        </w:rPr>
        <w:t>&gt;</w:t>
      </w:r>
      <w:r>
        <w:rPr/>
        <w:t>修正案》</w:t>
      </w:r>
    </w:p>
    <w:p>
      <w:pPr>
        <w:spacing w:after="0" w:line="240" w:lineRule="auto"/>
        <w:jc w:val="left"/>
        <w:sectPr>
          <w:pgSz w:w="11900" w:h="16840"/>
          <w:pgMar w:header="877" w:footer="981" w:top="1100" w:bottom="1180" w:left="1560" w:right="1220"/>
        </w:sectPr>
      </w:pPr>
    </w:p>
    <w:p>
      <w:pPr>
        <w:spacing w:line="240" w:lineRule="auto" w:before="4"/>
        <w:rPr>
          <w:rFonts w:ascii="宋体" w:hAnsi="宋体" w:cs="宋体" w:eastAsia="宋体" w:hint="default"/>
          <w:sz w:val="26"/>
          <w:szCs w:val="26"/>
        </w:rPr>
      </w:pPr>
    </w:p>
    <w:p>
      <w:pPr>
        <w:pStyle w:val="BodyText"/>
        <w:spacing w:line="240" w:lineRule="auto"/>
        <w:ind w:left="576" w:right="0"/>
        <w:jc w:val="left"/>
      </w:pPr>
      <w:r>
        <w:rPr>
          <w:rFonts w:ascii="Arial" w:hAnsi="Arial" w:cs="Arial" w:eastAsia="Arial" w:hint="default"/>
        </w:rPr>
        <w:t>10</w:t>
      </w:r>
      <w:r>
        <w:rPr/>
        <w:t>．审议《</w:t>
      </w:r>
      <w:r>
        <w:rPr>
          <w:rFonts w:ascii="Arial" w:hAnsi="Arial" w:cs="Arial" w:eastAsia="Arial" w:hint="default"/>
        </w:rPr>
        <w:t>&lt;</w:t>
      </w:r>
      <w:r>
        <w:rPr/>
        <w:t>董监高持股变动管理办法</w:t>
      </w:r>
      <w:r>
        <w:rPr>
          <w:rFonts w:ascii="Arial" w:hAnsi="Arial" w:cs="Arial" w:eastAsia="Arial" w:hint="default"/>
        </w:rPr>
        <w:t>&gt;</w:t>
      </w:r>
      <w:r>
        <w:rPr/>
        <w:t>修正案》</w:t>
      </w:r>
    </w:p>
    <w:p>
      <w:pPr>
        <w:pStyle w:val="BodyText"/>
        <w:spacing w:line="240" w:lineRule="auto" w:before="164"/>
        <w:ind w:left="576" w:right="0"/>
        <w:jc w:val="left"/>
      </w:pPr>
      <w:r>
        <w:rPr>
          <w:rFonts w:ascii="Arial" w:hAnsi="Arial" w:cs="Arial" w:eastAsia="Arial" w:hint="default"/>
        </w:rPr>
        <w:t>11</w:t>
      </w:r>
      <w:r>
        <w:rPr/>
        <w:t>．审议《</w:t>
      </w:r>
      <w:r>
        <w:rPr>
          <w:rFonts w:ascii="Arial" w:hAnsi="Arial" w:cs="Arial" w:eastAsia="Arial" w:hint="default"/>
        </w:rPr>
        <w:t>&lt;</w:t>
      </w:r>
      <w:r>
        <w:rPr/>
        <w:t>关联交易决策制度</w:t>
      </w:r>
      <w:r>
        <w:rPr>
          <w:rFonts w:ascii="Arial" w:hAnsi="Arial" w:cs="Arial" w:eastAsia="Arial" w:hint="default"/>
        </w:rPr>
        <w:t>&gt;</w:t>
      </w:r>
      <w:r>
        <w:rPr/>
        <w:t>修正案》</w:t>
      </w:r>
    </w:p>
    <w:p>
      <w:pPr>
        <w:pStyle w:val="BodyText"/>
        <w:spacing w:line="240" w:lineRule="auto" w:before="164"/>
        <w:ind w:left="576" w:right="0"/>
        <w:jc w:val="left"/>
      </w:pPr>
      <w:r>
        <w:rPr>
          <w:rFonts w:ascii="Arial" w:hAnsi="Arial" w:cs="Arial" w:eastAsia="Arial" w:hint="default"/>
        </w:rPr>
        <w:t>12</w:t>
      </w:r>
      <w:r>
        <w:rPr/>
        <w:t>．审议《</w:t>
      </w:r>
      <w:r>
        <w:rPr>
          <w:rFonts w:ascii="Arial" w:hAnsi="Arial" w:cs="Arial" w:eastAsia="Arial" w:hint="default"/>
        </w:rPr>
        <w:t>&lt;</w:t>
      </w:r>
      <w:r>
        <w:rPr/>
        <w:t>累积投票制实施细则</w:t>
      </w:r>
      <w:r>
        <w:rPr>
          <w:rFonts w:ascii="Arial" w:hAnsi="Arial" w:cs="Arial" w:eastAsia="Arial" w:hint="default"/>
        </w:rPr>
        <w:t>&gt;</w:t>
      </w:r>
      <w:r>
        <w:rPr/>
        <w:t>修正案》</w:t>
      </w:r>
    </w:p>
    <w:p>
      <w:pPr>
        <w:pStyle w:val="BodyText"/>
        <w:spacing w:line="240" w:lineRule="auto" w:before="164"/>
        <w:ind w:left="576" w:right="0"/>
        <w:jc w:val="left"/>
      </w:pPr>
      <w:r>
        <w:rPr>
          <w:rFonts w:ascii="Arial" w:hAnsi="Arial" w:cs="Arial" w:eastAsia="Arial" w:hint="default"/>
        </w:rPr>
        <w:t>13</w:t>
      </w:r>
      <w:r>
        <w:rPr/>
        <w:t>．审议《</w:t>
      </w:r>
      <w:r>
        <w:rPr>
          <w:rFonts w:ascii="Arial" w:hAnsi="Arial" w:cs="Arial" w:eastAsia="Arial" w:hint="default"/>
        </w:rPr>
        <w:t>&lt;</w:t>
      </w:r>
      <w:r>
        <w:rPr/>
        <w:t>募集资金管理制度</w:t>
      </w:r>
      <w:r>
        <w:rPr>
          <w:rFonts w:ascii="Arial" w:hAnsi="Arial" w:cs="Arial" w:eastAsia="Arial" w:hint="default"/>
        </w:rPr>
        <w:t>&gt;</w:t>
      </w:r>
      <w:r>
        <w:rPr/>
        <w:t>修正案》</w:t>
      </w:r>
    </w:p>
    <w:p>
      <w:pPr>
        <w:spacing w:before="195"/>
        <w:ind w:left="137" w:right="0" w:firstLine="0"/>
        <w:jc w:val="left"/>
        <w:rPr>
          <w:rFonts w:ascii="宋体" w:hAnsi="宋体" w:cs="宋体" w:eastAsia="宋体" w:hint="default"/>
          <w:sz w:val="28"/>
          <w:szCs w:val="28"/>
        </w:rPr>
      </w:pPr>
      <w:r>
        <w:rPr>
          <w:rFonts w:ascii="宋体" w:hAnsi="宋体" w:cs="宋体" w:eastAsia="宋体" w:hint="default"/>
          <w:sz w:val="28"/>
          <w:szCs w:val="28"/>
        </w:rPr>
        <w:t>（二）</w:t>
      </w:r>
      <w:r>
        <w:rPr>
          <w:rFonts w:ascii="Arial" w:hAnsi="Arial" w:cs="Arial" w:eastAsia="Arial" w:hint="default"/>
          <w:b/>
          <w:bCs/>
          <w:sz w:val="28"/>
          <w:szCs w:val="28"/>
        </w:rPr>
        <w:t>2010</w:t>
      </w:r>
      <w:r>
        <w:rPr>
          <w:rFonts w:ascii="宋体" w:hAnsi="宋体" w:cs="宋体" w:eastAsia="宋体" w:hint="default"/>
          <w:sz w:val="28"/>
          <w:szCs w:val="28"/>
        </w:rPr>
        <w:t>年第一次临时股东大会</w:t>
      </w:r>
    </w:p>
    <w:p>
      <w:pPr>
        <w:pStyle w:val="BodyText"/>
        <w:spacing w:line="369" w:lineRule="auto" w:before="207"/>
        <w:ind w:right="118" w:firstLine="439"/>
        <w:jc w:val="both"/>
      </w:pPr>
      <w:r>
        <w:rPr>
          <w:rFonts w:ascii="Arial" w:hAnsi="Arial" w:cs="Arial" w:eastAsia="Arial" w:hint="default"/>
          <w:spacing w:val="-3"/>
        </w:rPr>
        <w:t>2010</w:t>
      </w:r>
      <w:r>
        <w:rPr>
          <w:spacing w:val="-3"/>
        </w:rPr>
        <w:t>年</w:t>
      </w:r>
      <w:r>
        <w:rPr>
          <w:rFonts w:ascii="Arial" w:hAnsi="Arial" w:cs="Arial" w:eastAsia="Arial" w:hint="default"/>
          <w:spacing w:val="-3"/>
        </w:rPr>
        <w:t>2</w:t>
      </w:r>
      <w:r>
        <w:rPr>
          <w:spacing w:val="-3"/>
        </w:rPr>
        <w:t>月</w:t>
      </w:r>
      <w:r>
        <w:rPr>
          <w:rFonts w:ascii="Arial" w:hAnsi="Arial" w:cs="Arial" w:eastAsia="Arial" w:hint="default"/>
          <w:spacing w:val="-3"/>
        </w:rPr>
        <w:t>20</w:t>
      </w:r>
      <w:r>
        <w:rPr>
          <w:spacing w:val="-3"/>
        </w:rPr>
        <w:t>日，上海安诺其纺织化工股份有限公司在上海市青浦工业园区崧华路</w:t>
      </w:r>
      <w:r>
        <w:rPr>
          <w:rFonts w:ascii="Arial" w:hAnsi="Arial" w:cs="Arial" w:eastAsia="Arial" w:hint="default"/>
          <w:spacing w:val="-3"/>
        </w:rPr>
        <w:t>881</w:t>
      </w:r>
      <w:r>
        <w:rPr>
          <w:rFonts w:ascii="Arial" w:hAnsi="Arial" w:cs="Arial" w:eastAsia="Arial" w:hint="default"/>
          <w:w w:val="100"/>
        </w:rPr>
        <w:t> </w:t>
      </w:r>
      <w:r>
        <w:rPr>
          <w:spacing w:val="-1"/>
        </w:rPr>
        <w:t>号公司会议室以现场表决方式召开了</w:t>
      </w:r>
      <w:r>
        <w:rPr>
          <w:rFonts w:ascii="Arial" w:hAnsi="Arial" w:cs="Arial" w:eastAsia="Arial" w:hint="default"/>
          <w:spacing w:val="-1"/>
        </w:rPr>
        <w:t>2010</w:t>
      </w:r>
      <w:r>
        <w:rPr>
          <w:spacing w:val="-1"/>
        </w:rPr>
        <w:t>年第一次临时股东大会，本次股东大会由董事会</w:t>
      </w:r>
      <w:r>
        <w:rPr>
          <w:spacing w:val="-68"/>
        </w:rPr>
        <w:t> </w:t>
      </w:r>
      <w:r>
        <w:rPr>
          <w:spacing w:val="-68"/>
        </w:rPr>
      </w:r>
      <w:r>
        <w:rPr/>
        <w:t>召集，出席会议的股东或股东代表共</w:t>
      </w:r>
      <w:r>
        <w:rPr>
          <w:rFonts w:ascii="Arial" w:hAnsi="Arial" w:cs="Arial" w:eastAsia="Arial" w:hint="default"/>
        </w:rPr>
        <w:t>24</w:t>
      </w:r>
      <w:r>
        <w:rPr/>
        <w:t>名，代表公司股份</w:t>
      </w:r>
      <w:r>
        <w:rPr>
          <w:rFonts w:ascii="Arial" w:hAnsi="Arial" w:cs="Arial" w:eastAsia="Arial" w:hint="default"/>
        </w:rPr>
        <w:t>80,000,000</w:t>
      </w:r>
      <w:r>
        <w:rPr/>
        <w:t>股，占公司有表决权</w:t>
      </w:r>
      <w:r>
        <w:rPr>
          <w:spacing w:val="-89"/>
        </w:rPr>
        <w:t> </w:t>
      </w:r>
      <w:r>
        <w:rPr>
          <w:spacing w:val="-3"/>
        </w:rPr>
        <w:t>股份总数的</w:t>
      </w:r>
      <w:r>
        <w:rPr>
          <w:rFonts w:ascii="Arial" w:hAnsi="Arial" w:cs="Arial" w:eastAsia="Arial" w:hint="default"/>
          <w:spacing w:val="-3"/>
        </w:rPr>
        <w:t>100%</w:t>
      </w:r>
      <w:r>
        <w:rPr>
          <w:spacing w:val="-3"/>
        </w:rPr>
        <w:t>，会议的召集、召开符合《公司法》和《公司章程》的规定，会议由董事</w:t>
      </w:r>
      <w:r>
        <w:rPr>
          <w:spacing w:val="-63"/>
        </w:rPr>
        <w:t> </w:t>
      </w:r>
      <w:r>
        <w:rPr>
          <w:spacing w:val="-63"/>
        </w:rPr>
      </w:r>
      <w:r>
        <w:rPr/>
        <w:t>长纪立军先生主持。本次股东大会审议并表决通过了《关于选举独立董事的议案》。</w:t>
      </w:r>
    </w:p>
    <w:p>
      <w:pPr>
        <w:spacing w:before="92"/>
        <w:ind w:left="137" w:right="0" w:firstLine="0"/>
        <w:jc w:val="left"/>
        <w:rPr>
          <w:rFonts w:ascii="宋体" w:hAnsi="宋体" w:cs="宋体" w:eastAsia="宋体" w:hint="default"/>
          <w:sz w:val="28"/>
          <w:szCs w:val="28"/>
        </w:rPr>
      </w:pPr>
      <w:r>
        <w:rPr>
          <w:rFonts w:ascii="宋体" w:hAnsi="宋体" w:cs="宋体" w:eastAsia="宋体" w:hint="default"/>
          <w:sz w:val="28"/>
          <w:szCs w:val="28"/>
        </w:rPr>
        <w:t>（三）</w:t>
      </w:r>
      <w:r>
        <w:rPr>
          <w:rFonts w:ascii="Arial" w:hAnsi="Arial" w:cs="Arial" w:eastAsia="Arial" w:hint="default"/>
          <w:b/>
          <w:bCs/>
          <w:sz w:val="28"/>
          <w:szCs w:val="28"/>
        </w:rPr>
        <w:t>2010</w:t>
      </w:r>
      <w:r>
        <w:rPr>
          <w:rFonts w:ascii="宋体" w:hAnsi="宋体" w:cs="宋体" w:eastAsia="宋体" w:hint="default"/>
          <w:sz w:val="28"/>
          <w:szCs w:val="28"/>
        </w:rPr>
        <w:t>年第二次临时股东大会</w:t>
      </w:r>
    </w:p>
    <w:p>
      <w:pPr>
        <w:pStyle w:val="BodyText"/>
        <w:spacing w:line="369" w:lineRule="auto" w:before="207"/>
        <w:ind w:right="115" w:firstLine="439"/>
        <w:jc w:val="both"/>
      </w:pPr>
      <w:r>
        <w:rPr>
          <w:rFonts w:ascii="Arial" w:hAnsi="Arial" w:cs="Arial" w:eastAsia="Arial" w:hint="default"/>
        </w:rPr>
        <w:t>2010</w:t>
      </w:r>
      <w:r>
        <w:rPr/>
        <w:t>年</w:t>
      </w:r>
      <w:r>
        <w:rPr>
          <w:rFonts w:ascii="Arial" w:hAnsi="Arial" w:cs="Arial" w:eastAsia="Arial" w:hint="default"/>
        </w:rPr>
        <w:t>7</w:t>
      </w:r>
      <w:r>
        <w:rPr/>
        <w:t>月</w:t>
      </w:r>
      <w:r>
        <w:rPr>
          <w:rFonts w:ascii="Arial" w:hAnsi="Arial" w:cs="Arial" w:eastAsia="Arial" w:hint="default"/>
        </w:rPr>
        <w:t>12</w:t>
      </w:r>
      <w:r>
        <w:rPr/>
        <w:t>日上午</w:t>
      </w:r>
      <w:r>
        <w:rPr>
          <w:rFonts w:ascii="Arial" w:hAnsi="Arial" w:cs="Arial" w:eastAsia="Arial" w:hint="default"/>
        </w:rPr>
        <w:t>9</w:t>
      </w:r>
      <w:r>
        <w:rPr/>
        <w:t>时</w:t>
      </w:r>
      <w:r>
        <w:rPr>
          <w:rFonts w:ascii="Arial" w:hAnsi="Arial" w:cs="Arial" w:eastAsia="Arial" w:hint="default"/>
        </w:rPr>
        <w:t>30</w:t>
      </w:r>
      <w:r>
        <w:rPr/>
        <w:t>分，上海安诺其纺织化工股份有限公司在上海青浦宾馆</w:t>
      </w:r>
      <w:r>
        <w:rPr>
          <w:rFonts w:ascii="Arial" w:hAnsi="Arial" w:cs="Arial" w:eastAsia="Arial" w:hint="default"/>
        </w:rPr>
        <w:t>3</w:t>
      </w:r>
      <w:r>
        <w:rPr/>
        <w:t>楼</w:t>
      </w:r>
      <w:r>
        <w:rPr>
          <w:w w:val="100"/>
        </w:rPr>
        <w:t> </w:t>
      </w:r>
      <w:r>
        <w:rPr>
          <w:spacing w:val="2"/>
        </w:rPr>
        <w:t>大会场召开</w:t>
      </w:r>
      <w:r>
        <w:rPr>
          <w:rFonts w:ascii="Arial" w:hAnsi="Arial" w:cs="Arial" w:eastAsia="Arial" w:hint="default"/>
          <w:spacing w:val="2"/>
        </w:rPr>
        <w:t>2010</w:t>
      </w:r>
      <w:r>
        <w:rPr>
          <w:spacing w:val="2"/>
        </w:rPr>
        <w:t>年第二次股东大会，出席本次股东大会的股东及股东授权委托代表共</w:t>
      </w:r>
      <w:r>
        <w:rPr>
          <w:rFonts w:ascii="Arial" w:hAnsi="Arial" w:cs="Arial" w:eastAsia="Arial" w:hint="default"/>
          <w:spacing w:val="2"/>
        </w:rPr>
        <w:t>13</w:t>
      </w:r>
      <w:r>
        <w:rPr>
          <w:rFonts w:ascii="Arial" w:hAnsi="Arial" w:cs="Arial" w:eastAsia="Arial" w:hint="default"/>
          <w:spacing w:val="30"/>
        </w:rPr>
        <w:t> </w:t>
      </w:r>
      <w:r>
        <w:rPr>
          <w:rFonts w:ascii="Arial" w:hAnsi="Arial" w:cs="Arial" w:eastAsia="Arial" w:hint="default"/>
          <w:spacing w:val="30"/>
        </w:rPr>
      </w:r>
      <w:r>
        <w:rPr>
          <w:spacing w:val="-2"/>
        </w:rPr>
        <w:t>名，代表有表决权的股份</w:t>
      </w:r>
      <w:r>
        <w:rPr>
          <w:rFonts w:ascii="Arial" w:hAnsi="Arial" w:cs="Arial" w:eastAsia="Arial" w:hint="default"/>
          <w:spacing w:val="-2"/>
        </w:rPr>
        <w:t>78,484,503</w:t>
      </w:r>
      <w:r>
        <w:rPr>
          <w:spacing w:val="-2"/>
        </w:rPr>
        <w:t>股，占公司股份总数的</w:t>
      </w:r>
      <w:r>
        <w:rPr>
          <w:rFonts w:ascii="Arial" w:hAnsi="Arial" w:cs="Arial" w:eastAsia="Arial" w:hint="default"/>
          <w:spacing w:val="-2"/>
        </w:rPr>
        <w:t>73.35%</w:t>
      </w:r>
      <w:r>
        <w:rPr>
          <w:spacing w:val="-2"/>
        </w:rPr>
        <w:t>。会议的召集、召开符</w:t>
      </w:r>
      <w:r>
        <w:rPr>
          <w:spacing w:val="-58"/>
        </w:rPr>
        <w:t> </w:t>
      </w:r>
      <w:r>
        <w:rPr>
          <w:spacing w:val="-58"/>
        </w:rPr>
      </w:r>
      <w:r>
        <w:rPr/>
        <w:t>合《公司法》和《公司章程》的规定，会议由董事长纪立军先生主持。</w:t>
      </w:r>
    </w:p>
    <w:p>
      <w:pPr>
        <w:pStyle w:val="BodyText"/>
        <w:spacing w:line="240" w:lineRule="auto" w:before="61"/>
        <w:ind w:left="576" w:right="0"/>
        <w:jc w:val="left"/>
      </w:pPr>
      <w:r>
        <w:rPr/>
        <w:t>本次股东大会采取记名投票的方式，逐项审议并表决通过了下列议案：</w:t>
      </w:r>
    </w:p>
    <w:p>
      <w:pPr>
        <w:pStyle w:val="BodyText"/>
        <w:spacing w:line="240" w:lineRule="auto" w:before="180"/>
        <w:ind w:left="576" w:right="0"/>
        <w:jc w:val="left"/>
      </w:pPr>
      <w:r>
        <w:rPr>
          <w:rFonts w:ascii="Arial" w:hAnsi="Arial" w:cs="Arial" w:eastAsia="Arial" w:hint="default"/>
        </w:rPr>
        <w:t>1</w:t>
      </w:r>
      <w:r>
        <w:rPr/>
        <w:t>．《关于公司首次公开发行股票后注册资本变更的议案》</w:t>
      </w:r>
    </w:p>
    <w:p>
      <w:pPr>
        <w:pStyle w:val="BodyText"/>
        <w:spacing w:line="240" w:lineRule="auto" w:before="164"/>
        <w:ind w:left="576" w:right="0"/>
        <w:jc w:val="left"/>
      </w:pPr>
      <w:r>
        <w:rPr>
          <w:rFonts w:ascii="Arial" w:hAnsi="Arial" w:cs="Arial" w:eastAsia="Arial" w:hint="default"/>
        </w:rPr>
        <w:t>2</w:t>
      </w:r>
      <w:r>
        <w:rPr/>
        <w:t>．《公司章程（草案）修正案》</w:t>
      </w:r>
    </w:p>
    <w:p>
      <w:pPr>
        <w:pStyle w:val="Heading3"/>
        <w:spacing w:line="240" w:lineRule="auto" w:before="195"/>
        <w:ind w:right="0"/>
        <w:jc w:val="left"/>
      </w:pPr>
      <w:r>
        <w:rPr/>
        <w:t>四、报告期董事会运行情况</w:t>
      </w:r>
    </w:p>
    <w:p>
      <w:pPr>
        <w:spacing w:line="240" w:lineRule="auto" w:before="9"/>
        <w:rPr>
          <w:rFonts w:ascii="宋体" w:hAnsi="宋体" w:cs="宋体" w:eastAsia="宋体" w:hint="default"/>
          <w:sz w:val="19"/>
          <w:szCs w:val="19"/>
        </w:rPr>
      </w:pPr>
    </w:p>
    <w:p>
      <w:pPr>
        <w:pStyle w:val="Heading3"/>
        <w:spacing w:line="240" w:lineRule="auto"/>
        <w:ind w:right="0"/>
        <w:jc w:val="left"/>
      </w:pPr>
      <w:r>
        <w:rPr/>
        <w:t>（一）董事会的会议情况及决议内容：</w:t>
      </w:r>
    </w:p>
    <w:p>
      <w:pPr>
        <w:pStyle w:val="BodyText"/>
        <w:spacing w:line="379" w:lineRule="auto" w:before="227"/>
        <w:ind w:right="118" w:firstLine="439"/>
        <w:jc w:val="both"/>
      </w:pPr>
      <w:r>
        <w:rPr/>
        <w:t>报告期内，公司召开了第一届董事会第十一次会议至第二十次会议和一次临时董事会</w:t>
      </w:r>
      <w:r>
        <w:rPr>
          <w:w w:val="100"/>
        </w:rPr>
        <w:t> </w:t>
      </w:r>
      <w:r>
        <w:rPr>
          <w:spacing w:val="-11"/>
          <w:w w:val="100"/>
        </w:rPr>
        <w:t>共</w:t>
      </w:r>
      <w:r>
        <w:rPr>
          <w:rFonts w:ascii="Arial" w:hAnsi="Arial" w:cs="Arial" w:eastAsia="Arial" w:hint="default"/>
          <w:spacing w:val="-11"/>
          <w:w w:val="100"/>
        </w:rPr>
        <w:t>11</w:t>
      </w:r>
      <w:r>
        <w:rPr>
          <w:spacing w:val="-11"/>
          <w:w w:val="100"/>
        </w:rPr>
        <w:t>次董事会会议。董事会的的召开和表决程序符合《公司法》、《公司章程》、《董事会议</w:t>
      </w:r>
      <w:r>
        <w:rPr>
          <w:spacing w:val="-90"/>
          <w:w w:val="100"/>
        </w:rPr>
        <w:t> </w:t>
      </w:r>
      <w:r>
        <w:rPr>
          <w:spacing w:val="-90"/>
          <w:w w:val="100"/>
        </w:rPr>
      </w:r>
      <w:r>
        <w:rPr/>
        <w:t>事规则》等的有关规定。</w:t>
      </w:r>
    </w:p>
    <w:p>
      <w:pPr>
        <w:pStyle w:val="BodyText"/>
        <w:spacing w:line="369" w:lineRule="auto" w:before="52"/>
        <w:ind w:left="576" w:right="0"/>
        <w:jc w:val="left"/>
      </w:pPr>
      <w:r>
        <w:rPr>
          <w:rFonts w:ascii="Arial" w:hAnsi="Arial" w:cs="Arial" w:eastAsia="Arial" w:hint="default"/>
        </w:rPr>
        <w:t>1</w:t>
      </w:r>
      <w:r>
        <w:rPr/>
        <w:t>、第一届董事会第十一次会议</w:t>
      </w:r>
      <w:r>
        <w:rPr>
          <w:w w:val="100"/>
        </w:rPr>
        <w:t> </w:t>
      </w:r>
      <w:r>
        <w:rPr/>
        <w:t>第一届董事会第十一次会议于</w:t>
      </w:r>
      <w:r>
        <w:rPr>
          <w:rFonts w:ascii="Arial" w:hAnsi="Arial" w:cs="Arial" w:eastAsia="Arial" w:hint="default"/>
        </w:rPr>
        <w:t>2010</w:t>
      </w:r>
      <w:r>
        <w:rPr/>
        <w:t>年</w:t>
      </w:r>
      <w:r>
        <w:rPr>
          <w:rFonts w:ascii="Arial" w:hAnsi="Arial" w:cs="Arial" w:eastAsia="Arial" w:hint="default"/>
        </w:rPr>
        <w:t>1</w:t>
      </w:r>
      <w:r>
        <w:rPr/>
        <w:t>月</w:t>
      </w:r>
      <w:r>
        <w:rPr>
          <w:rFonts w:ascii="Arial" w:hAnsi="Arial" w:cs="Arial" w:eastAsia="Arial" w:hint="default"/>
        </w:rPr>
        <w:t>12</w:t>
      </w:r>
      <w:r>
        <w:rPr/>
        <w:t>日于公司会议室以现场表决方式召开，会</w:t>
      </w:r>
    </w:p>
    <w:p>
      <w:pPr>
        <w:pStyle w:val="BodyText"/>
        <w:spacing w:line="240" w:lineRule="auto" w:before="31"/>
        <w:ind w:right="0"/>
        <w:jc w:val="left"/>
      </w:pPr>
      <w:r>
        <w:rPr/>
        <w:t>议审议通过了如下议案：</w:t>
      </w:r>
    </w:p>
    <w:p>
      <w:pPr>
        <w:pStyle w:val="BodyText"/>
        <w:spacing w:line="240" w:lineRule="auto" w:before="180"/>
        <w:ind w:left="576" w:right="0"/>
        <w:jc w:val="left"/>
      </w:pPr>
      <w:r>
        <w:rPr>
          <w:w w:val="100"/>
        </w:rPr>
        <w:t>（</w:t>
      </w:r>
      <w:r>
        <w:rPr>
          <w:rFonts w:ascii="Arial" w:hAnsi="Arial" w:cs="Arial" w:eastAsia="Arial" w:hint="default"/>
          <w:spacing w:val="-1"/>
          <w:w w:val="100"/>
        </w:rPr>
        <w:t>1</w:t>
      </w:r>
      <w:r>
        <w:rPr>
          <w:spacing w:val="-111"/>
          <w:w w:val="100"/>
        </w:rPr>
        <w:t>）</w:t>
      </w:r>
      <w:r>
        <w:rPr>
          <w:w w:val="100"/>
        </w:rPr>
        <w:t>《总</w:t>
      </w:r>
      <w:r>
        <w:rPr>
          <w:spacing w:val="-3"/>
          <w:w w:val="100"/>
        </w:rPr>
        <w:t>经</w:t>
      </w:r>
      <w:r>
        <w:rPr>
          <w:w w:val="100"/>
        </w:rPr>
        <w:t>理</w:t>
      </w:r>
      <w:r>
        <w:rPr>
          <w:rFonts w:ascii="Arial" w:hAnsi="Arial" w:cs="Arial" w:eastAsia="Arial" w:hint="default"/>
          <w:spacing w:val="-1"/>
          <w:w w:val="100"/>
        </w:rPr>
        <w:t>2009</w:t>
      </w:r>
      <w:r>
        <w:rPr>
          <w:spacing w:val="-3"/>
          <w:w w:val="100"/>
        </w:rPr>
        <w:t>年度</w:t>
      </w:r>
      <w:r>
        <w:rPr>
          <w:w w:val="100"/>
        </w:rPr>
        <w:t>工作报</w:t>
      </w:r>
      <w:r>
        <w:rPr>
          <w:spacing w:val="-3"/>
          <w:w w:val="100"/>
        </w:rPr>
        <w:t>告</w:t>
      </w:r>
      <w:r>
        <w:rPr>
          <w:w w:val="100"/>
        </w:rPr>
        <w:t>和</w:t>
      </w:r>
      <w:r>
        <w:rPr>
          <w:rFonts w:ascii="Arial" w:hAnsi="Arial" w:cs="Arial" w:eastAsia="Arial" w:hint="default"/>
          <w:spacing w:val="-1"/>
          <w:w w:val="100"/>
        </w:rPr>
        <w:t>2010</w:t>
      </w:r>
      <w:r>
        <w:rPr>
          <w:w w:val="100"/>
        </w:rPr>
        <w:t>年</w:t>
      </w:r>
      <w:r>
        <w:rPr>
          <w:spacing w:val="-3"/>
          <w:w w:val="100"/>
        </w:rPr>
        <w:t>度经</w:t>
      </w:r>
      <w:r>
        <w:rPr>
          <w:w w:val="100"/>
        </w:rPr>
        <w:t>营计划》</w:t>
      </w:r>
    </w:p>
    <w:p>
      <w:pPr>
        <w:pStyle w:val="BodyText"/>
        <w:spacing w:line="240" w:lineRule="auto" w:before="164"/>
        <w:ind w:left="576" w:right="0"/>
        <w:jc w:val="left"/>
      </w:pPr>
      <w:r>
        <w:rPr>
          <w:w w:val="100"/>
        </w:rPr>
        <w:t>（</w:t>
      </w:r>
      <w:r>
        <w:rPr>
          <w:rFonts w:ascii="Arial" w:hAnsi="Arial" w:cs="Arial" w:eastAsia="Arial" w:hint="default"/>
          <w:spacing w:val="-1"/>
          <w:w w:val="100"/>
        </w:rPr>
        <w:t>2</w:t>
      </w:r>
      <w:r>
        <w:rPr>
          <w:spacing w:val="-111"/>
          <w:w w:val="100"/>
        </w:rPr>
        <w:t>）</w:t>
      </w:r>
      <w:r>
        <w:rPr>
          <w:w w:val="100"/>
        </w:rPr>
        <w:t>《董</w:t>
      </w:r>
      <w:r>
        <w:rPr>
          <w:spacing w:val="-3"/>
          <w:w w:val="100"/>
        </w:rPr>
        <w:t>事</w:t>
      </w:r>
      <w:r>
        <w:rPr>
          <w:w w:val="100"/>
        </w:rPr>
        <w:t>会</w:t>
      </w:r>
      <w:r>
        <w:rPr>
          <w:rFonts w:ascii="Arial" w:hAnsi="Arial" w:cs="Arial" w:eastAsia="Arial" w:hint="default"/>
          <w:spacing w:val="-1"/>
          <w:w w:val="100"/>
        </w:rPr>
        <w:t>2009</w:t>
      </w:r>
      <w:r>
        <w:rPr>
          <w:spacing w:val="-3"/>
          <w:w w:val="100"/>
        </w:rPr>
        <w:t>年度</w:t>
      </w:r>
      <w:r>
        <w:rPr>
          <w:w w:val="100"/>
        </w:rPr>
        <w:t>工作报</w:t>
      </w:r>
      <w:r>
        <w:rPr>
          <w:spacing w:val="-3"/>
          <w:w w:val="100"/>
        </w:rPr>
        <w:t>告</w:t>
      </w:r>
      <w:r>
        <w:rPr>
          <w:w w:val="100"/>
        </w:rPr>
        <w:t>》</w:t>
      </w:r>
    </w:p>
    <w:p>
      <w:pPr>
        <w:spacing w:after="0" w:line="240" w:lineRule="auto"/>
        <w:jc w:val="left"/>
        <w:sectPr>
          <w:pgSz w:w="11900" w:h="16840"/>
          <w:pgMar w:header="877" w:footer="981" w:top="1100" w:bottom="1180" w:left="1660" w:right="1340"/>
        </w:sectPr>
      </w:pPr>
    </w:p>
    <w:p>
      <w:pPr>
        <w:spacing w:line="240" w:lineRule="auto" w:before="4"/>
        <w:rPr>
          <w:rFonts w:ascii="宋体" w:hAnsi="宋体" w:cs="宋体" w:eastAsia="宋体" w:hint="default"/>
          <w:sz w:val="26"/>
          <w:szCs w:val="26"/>
        </w:rPr>
      </w:pPr>
    </w:p>
    <w:p>
      <w:pPr>
        <w:pStyle w:val="BodyText"/>
        <w:spacing w:line="240" w:lineRule="auto"/>
        <w:ind w:left="576" w:right="0"/>
        <w:jc w:val="left"/>
      </w:pPr>
      <w:r>
        <w:rPr>
          <w:w w:val="100"/>
        </w:rPr>
        <w:t>（</w:t>
      </w:r>
      <w:r>
        <w:rPr>
          <w:rFonts w:ascii="Arial" w:hAnsi="Arial" w:cs="Arial" w:eastAsia="Arial" w:hint="default"/>
          <w:spacing w:val="-1"/>
          <w:w w:val="100"/>
        </w:rPr>
        <w:t>3</w:t>
      </w:r>
      <w:r>
        <w:rPr>
          <w:spacing w:val="-111"/>
          <w:w w:val="100"/>
        </w:rPr>
        <w:t>）</w:t>
      </w:r>
      <w:r>
        <w:rPr>
          <w:w w:val="100"/>
        </w:rPr>
        <w:t>《</w:t>
      </w:r>
      <w:r>
        <w:rPr>
          <w:rFonts w:ascii="Arial" w:hAnsi="Arial" w:cs="Arial" w:eastAsia="Arial" w:hint="default"/>
          <w:spacing w:val="-1"/>
          <w:w w:val="100"/>
        </w:rPr>
        <w:t>2009</w:t>
      </w:r>
      <w:r>
        <w:rPr>
          <w:spacing w:val="-3"/>
          <w:w w:val="100"/>
        </w:rPr>
        <w:t>年</w:t>
      </w:r>
      <w:r>
        <w:rPr>
          <w:w w:val="100"/>
        </w:rPr>
        <w:t>度财</w:t>
      </w:r>
      <w:r>
        <w:rPr>
          <w:spacing w:val="-3"/>
          <w:w w:val="100"/>
        </w:rPr>
        <w:t>务决</w:t>
      </w:r>
      <w:r>
        <w:rPr>
          <w:w w:val="100"/>
        </w:rPr>
        <w:t>算报告》</w:t>
      </w:r>
    </w:p>
    <w:p>
      <w:pPr>
        <w:pStyle w:val="BodyText"/>
        <w:spacing w:line="240" w:lineRule="auto" w:before="164"/>
        <w:ind w:left="576" w:right="0"/>
        <w:jc w:val="left"/>
      </w:pPr>
      <w:r>
        <w:rPr>
          <w:w w:val="100"/>
        </w:rPr>
        <w:t>（</w:t>
      </w:r>
      <w:r>
        <w:rPr>
          <w:rFonts w:ascii="Arial" w:hAnsi="Arial" w:cs="Arial" w:eastAsia="Arial" w:hint="default"/>
          <w:spacing w:val="-1"/>
          <w:w w:val="100"/>
        </w:rPr>
        <w:t>4</w:t>
      </w:r>
      <w:r>
        <w:rPr>
          <w:spacing w:val="-111"/>
          <w:w w:val="100"/>
        </w:rPr>
        <w:t>）</w:t>
      </w:r>
      <w:r>
        <w:rPr>
          <w:w w:val="100"/>
        </w:rPr>
        <w:t>《</w:t>
      </w:r>
      <w:r>
        <w:rPr>
          <w:rFonts w:ascii="Arial" w:hAnsi="Arial" w:cs="Arial" w:eastAsia="Arial" w:hint="default"/>
          <w:spacing w:val="-1"/>
          <w:w w:val="100"/>
        </w:rPr>
        <w:t>2010</w:t>
      </w:r>
      <w:r>
        <w:rPr>
          <w:spacing w:val="-3"/>
          <w:w w:val="100"/>
        </w:rPr>
        <w:t>年</w:t>
      </w:r>
      <w:r>
        <w:rPr>
          <w:w w:val="100"/>
        </w:rPr>
        <w:t>度财</w:t>
      </w:r>
      <w:r>
        <w:rPr>
          <w:spacing w:val="-3"/>
          <w:w w:val="100"/>
        </w:rPr>
        <w:t>务预</w:t>
      </w:r>
      <w:r>
        <w:rPr>
          <w:w w:val="100"/>
        </w:rPr>
        <w:t>算报告》</w:t>
      </w:r>
    </w:p>
    <w:p>
      <w:pPr>
        <w:pStyle w:val="BodyText"/>
        <w:spacing w:line="240" w:lineRule="auto" w:before="164"/>
        <w:ind w:left="576" w:right="0"/>
        <w:jc w:val="left"/>
      </w:pPr>
      <w:r>
        <w:rPr>
          <w:w w:val="100"/>
        </w:rPr>
        <w:t>（</w:t>
      </w:r>
      <w:r>
        <w:rPr>
          <w:rFonts w:ascii="Arial" w:hAnsi="Arial" w:cs="Arial" w:eastAsia="Arial" w:hint="default"/>
          <w:spacing w:val="-1"/>
          <w:w w:val="100"/>
        </w:rPr>
        <w:t>5</w:t>
      </w:r>
      <w:r>
        <w:rPr>
          <w:spacing w:val="-111"/>
          <w:w w:val="100"/>
        </w:rPr>
        <w:t>）</w:t>
      </w:r>
      <w:r>
        <w:rPr>
          <w:w w:val="100"/>
        </w:rPr>
        <w:t>《</w:t>
      </w:r>
      <w:r>
        <w:rPr>
          <w:rFonts w:ascii="Arial" w:hAnsi="Arial" w:cs="Arial" w:eastAsia="Arial" w:hint="default"/>
          <w:spacing w:val="-1"/>
          <w:w w:val="100"/>
        </w:rPr>
        <w:t>2009</w:t>
      </w:r>
      <w:r>
        <w:rPr>
          <w:spacing w:val="-3"/>
          <w:w w:val="100"/>
        </w:rPr>
        <w:t>年</w:t>
      </w:r>
      <w:r>
        <w:rPr>
          <w:w w:val="100"/>
        </w:rPr>
        <w:t>度利</w:t>
      </w:r>
      <w:r>
        <w:rPr>
          <w:spacing w:val="-3"/>
          <w:w w:val="100"/>
        </w:rPr>
        <w:t>润分</w:t>
      </w:r>
      <w:r>
        <w:rPr>
          <w:w w:val="100"/>
        </w:rPr>
        <w:t>配方案》</w:t>
      </w:r>
    </w:p>
    <w:p>
      <w:pPr>
        <w:pStyle w:val="BodyText"/>
        <w:spacing w:line="240" w:lineRule="auto" w:before="164"/>
        <w:ind w:left="576" w:right="0"/>
        <w:jc w:val="left"/>
      </w:pPr>
      <w:r>
        <w:rPr>
          <w:w w:val="100"/>
        </w:rPr>
        <w:t>（</w:t>
      </w:r>
      <w:r>
        <w:rPr>
          <w:rFonts w:ascii="Arial" w:hAnsi="Arial" w:cs="Arial" w:eastAsia="Arial" w:hint="default"/>
          <w:spacing w:val="-1"/>
          <w:w w:val="100"/>
        </w:rPr>
        <w:t>6</w:t>
      </w:r>
      <w:r>
        <w:rPr>
          <w:spacing w:val="-111"/>
          <w:w w:val="100"/>
        </w:rPr>
        <w:t>）</w:t>
      </w:r>
      <w:r>
        <w:rPr>
          <w:w w:val="100"/>
        </w:rPr>
        <w:t>《公司</w:t>
      </w:r>
      <w:r>
        <w:rPr>
          <w:rFonts w:ascii="Arial" w:hAnsi="Arial" w:cs="Arial" w:eastAsia="Arial" w:hint="default"/>
          <w:spacing w:val="-3"/>
          <w:w w:val="100"/>
        </w:rPr>
        <w:t>2</w:t>
      </w:r>
      <w:r>
        <w:rPr>
          <w:rFonts w:ascii="Arial" w:hAnsi="Arial" w:cs="Arial" w:eastAsia="Arial" w:hint="default"/>
          <w:spacing w:val="-1"/>
          <w:w w:val="100"/>
        </w:rPr>
        <w:t>007</w:t>
      </w:r>
      <w:r>
        <w:rPr>
          <w:w w:val="100"/>
        </w:rPr>
        <w:t>年</w:t>
      </w:r>
      <w:r>
        <w:rPr>
          <w:spacing w:val="-3"/>
          <w:w w:val="100"/>
        </w:rPr>
        <w:t>度</w:t>
      </w:r>
      <w:r>
        <w:rPr>
          <w:w w:val="100"/>
        </w:rPr>
        <w:t>、</w:t>
      </w:r>
      <w:r>
        <w:rPr>
          <w:rFonts w:ascii="Arial" w:hAnsi="Arial" w:cs="Arial" w:eastAsia="Arial" w:hint="default"/>
          <w:spacing w:val="-3"/>
          <w:w w:val="100"/>
        </w:rPr>
        <w:t>2</w:t>
      </w:r>
      <w:r>
        <w:rPr>
          <w:rFonts w:ascii="Arial" w:hAnsi="Arial" w:cs="Arial" w:eastAsia="Arial" w:hint="default"/>
          <w:spacing w:val="-1"/>
          <w:w w:val="100"/>
        </w:rPr>
        <w:t>008</w:t>
      </w:r>
      <w:r>
        <w:rPr>
          <w:w w:val="100"/>
        </w:rPr>
        <w:t>年度、</w:t>
      </w:r>
      <w:r>
        <w:rPr>
          <w:rFonts w:ascii="Arial" w:hAnsi="Arial" w:cs="Arial" w:eastAsia="Arial" w:hint="default"/>
          <w:spacing w:val="-1"/>
          <w:w w:val="100"/>
        </w:rPr>
        <w:t>2009</w:t>
      </w:r>
      <w:r>
        <w:rPr>
          <w:spacing w:val="-3"/>
          <w:w w:val="100"/>
        </w:rPr>
        <w:t>年</w:t>
      </w:r>
      <w:r>
        <w:rPr>
          <w:w w:val="100"/>
        </w:rPr>
        <w:t>度财</w:t>
      </w:r>
      <w:r>
        <w:rPr>
          <w:spacing w:val="-3"/>
          <w:w w:val="100"/>
        </w:rPr>
        <w:t>务</w:t>
      </w:r>
      <w:r>
        <w:rPr>
          <w:w w:val="100"/>
        </w:rPr>
        <w:t>报表和</w:t>
      </w:r>
      <w:r>
        <w:rPr>
          <w:spacing w:val="-3"/>
          <w:w w:val="100"/>
        </w:rPr>
        <w:t>审</w:t>
      </w:r>
      <w:r>
        <w:rPr>
          <w:w w:val="100"/>
        </w:rPr>
        <w:t>计报</w:t>
      </w:r>
      <w:r>
        <w:rPr>
          <w:spacing w:val="-3"/>
          <w:w w:val="100"/>
        </w:rPr>
        <w:t>告</w:t>
      </w:r>
      <w:r>
        <w:rPr>
          <w:w w:val="100"/>
        </w:rPr>
        <w:t>》</w:t>
      </w:r>
    </w:p>
    <w:p>
      <w:pPr>
        <w:pStyle w:val="BodyText"/>
        <w:spacing w:line="240" w:lineRule="auto" w:before="164"/>
        <w:ind w:left="576" w:right="0"/>
        <w:jc w:val="left"/>
      </w:pPr>
      <w:r>
        <w:rPr>
          <w:w w:val="100"/>
        </w:rPr>
        <w:t>（</w:t>
      </w:r>
      <w:r>
        <w:rPr>
          <w:rFonts w:ascii="Arial" w:hAnsi="Arial" w:cs="Arial" w:eastAsia="Arial" w:hint="default"/>
          <w:spacing w:val="-1"/>
          <w:w w:val="100"/>
        </w:rPr>
        <w:t>7</w:t>
      </w:r>
      <w:r>
        <w:rPr>
          <w:spacing w:val="-111"/>
          <w:w w:val="100"/>
        </w:rPr>
        <w:t>）</w:t>
      </w:r>
      <w:r>
        <w:rPr>
          <w:w w:val="100"/>
        </w:rPr>
        <w:t>《公司</w:t>
      </w:r>
      <w:r>
        <w:rPr>
          <w:rFonts w:ascii="Arial" w:hAnsi="Arial" w:cs="Arial" w:eastAsia="Arial" w:hint="default"/>
          <w:spacing w:val="-3"/>
          <w:w w:val="100"/>
        </w:rPr>
        <w:t>2</w:t>
      </w:r>
      <w:r>
        <w:rPr>
          <w:rFonts w:ascii="Arial" w:hAnsi="Arial" w:cs="Arial" w:eastAsia="Arial" w:hint="default"/>
          <w:spacing w:val="-1"/>
          <w:w w:val="100"/>
        </w:rPr>
        <w:t>009</w:t>
      </w:r>
      <w:r>
        <w:rPr>
          <w:w w:val="100"/>
        </w:rPr>
        <w:t>年</w:t>
      </w:r>
      <w:r>
        <w:rPr>
          <w:spacing w:val="-3"/>
          <w:w w:val="100"/>
        </w:rPr>
        <w:t>度内</w:t>
      </w:r>
      <w:r>
        <w:rPr>
          <w:w w:val="100"/>
        </w:rPr>
        <w:t>部控制</w:t>
      </w:r>
      <w:r>
        <w:rPr>
          <w:spacing w:val="-3"/>
          <w:w w:val="100"/>
        </w:rPr>
        <w:t>自</w:t>
      </w:r>
      <w:r>
        <w:rPr>
          <w:w w:val="100"/>
        </w:rPr>
        <w:t>我评</w:t>
      </w:r>
      <w:r>
        <w:rPr>
          <w:spacing w:val="-3"/>
          <w:w w:val="100"/>
        </w:rPr>
        <w:t>价</w:t>
      </w:r>
      <w:r>
        <w:rPr>
          <w:w w:val="100"/>
        </w:rPr>
        <w:t>报告》</w:t>
      </w:r>
    </w:p>
    <w:p>
      <w:pPr>
        <w:pStyle w:val="BodyText"/>
        <w:spacing w:line="240" w:lineRule="auto" w:before="164"/>
        <w:ind w:left="576" w:right="0"/>
        <w:jc w:val="left"/>
      </w:pPr>
      <w:r>
        <w:rPr>
          <w:w w:val="100"/>
        </w:rPr>
        <w:t>（</w:t>
      </w:r>
      <w:r>
        <w:rPr>
          <w:rFonts w:ascii="Arial" w:hAnsi="Arial" w:cs="Arial" w:eastAsia="Arial" w:hint="default"/>
          <w:spacing w:val="-1"/>
          <w:w w:val="100"/>
        </w:rPr>
        <w:t>8</w:t>
      </w:r>
      <w:r>
        <w:rPr>
          <w:spacing w:val="-111"/>
          <w:w w:val="100"/>
        </w:rPr>
        <w:t>）</w:t>
      </w:r>
      <w:r>
        <w:rPr>
          <w:w w:val="100"/>
        </w:rPr>
        <w:t>《公司</w:t>
      </w:r>
      <w:r>
        <w:rPr>
          <w:rFonts w:ascii="Arial" w:hAnsi="Arial" w:cs="Arial" w:eastAsia="Arial" w:hint="default"/>
          <w:spacing w:val="-3"/>
          <w:w w:val="100"/>
        </w:rPr>
        <w:t>2</w:t>
      </w:r>
      <w:r>
        <w:rPr>
          <w:rFonts w:ascii="Arial" w:hAnsi="Arial" w:cs="Arial" w:eastAsia="Arial" w:hint="default"/>
          <w:spacing w:val="-1"/>
          <w:w w:val="100"/>
        </w:rPr>
        <w:t>009</w:t>
      </w:r>
      <w:r>
        <w:rPr>
          <w:w w:val="100"/>
        </w:rPr>
        <w:t>年</w:t>
      </w:r>
      <w:r>
        <w:rPr>
          <w:spacing w:val="-3"/>
          <w:w w:val="100"/>
        </w:rPr>
        <w:t>年度</w:t>
      </w:r>
      <w:r>
        <w:rPr>
          <w:w w:val="100"/>
        </w:rPr>
        <w:t>报告》</w:t>
      </w:r>
    </w:p>
    <w:p>
      <w:pPr>
        <w:pStyle w:val="BodyText"/>
        <w:spacing w:line="240" w:lineRule="auto" w:before="164"/>
        <w:ind w:left="576" w:right="0"/>
        <w:jc w:val="left"/>
      </w:pPr>
      <w:r>
        <w:rPr>
          <w:w w:val="100"/>
        </w:rPr>
        <w:t>（</w:t>
      </w:r>
      <w:r>
        <w:rPr>
          <w:rFonts w:ascii="Arial" w:hAnsi="Arial" w:cs="Arial" w:eastAsia="Arial" w:hint="default"/>
          <w:spacing w:val="-1"/>
          <w:w w:val="100"/>
        </w:rPr>
        <w:t>9</w:t>
      </w:r>
      <w:r>
        <w:rPr>
          <w:spacing w:val="-111"/>
          <w:w w:val="100"/>
        </w:rPr>
        <w:t>）</w:t>
      </w:r>
      <w:r>
        <w:rPr>
          <w:w w:val="100"/>
        </w:rPr>
        <w:t>《</w:t>
      </w:r>
      <w:r>
        <w:rPr>
          <w:rFonts w:ascii="Arial" w:hAnsi="Arial" w:cs="Arial" w:eastAsia="Arial" w:hint="default"/>
          <w:spacing w:val="-1"/>
          <w:w w:val="100"/>
        </w:rPr>
        <w:t>2010</w:t>
      </w:r>
      <w:r>
        <w:rPr>
          <w:spacing w:val="-3"/>
          <w:w w:val="100"/>
        </w:rPr>
        <w:t>年</w:t>
      </w:r>
      <w:r>
        <w:rPr>
          <w:w w:val="100"/>
        </w:rPr>
        <w:t>度公</w:t>
      </w:r>
      <w:r>
        <w:rPr>
          <w:spacing w:val="-3"/>
          <w:w w:val="100"/>
        </w:rPr>
        <w:t>司内</w:t>
      </w:r>
      <w:r>
        <w:rPr>
          <w:w w:val="100"/>
        </w:rPr>
        <w:t>部审计</w:t>
      </w:r>
      <w:r>
        <w:rPr>
          <w:spacing w:val="-3"/>
          <w:w w:val="100"/>
        </w:rPr>
        <w:t>工</w:t>
      </w:r>
      <w:r>
        <w:rPr>
          <w:w w:val="100"/>
        </w:rPr>
        <w:t>作计</w:t>
      </w:r>
      <w:r>
        <w:rPr>
          <w:spacing w:val="-3"/>
          <w:w w:val="100"/>
        </w:rPr>
        <w:t>划</w:t>
      </w:r>
      <w:r>
        <w:rPr>
          <w:w w:val="100"/>
        </w:rPr>
        <w:t>》</w:t>
      </w:r>
    </w:p>
    <w:p>
      <w:pPr>
        <w:pStyle w:val="BodyText"/>
        <w:spacing w:line="240" w:lineRule="auto" w:before="164"/>
        <w:ind w:left="576" w:right="0"/>
        <w:jc w:val="left"/>
      </w:pPr>
      <w:r>
        <w:rPr>
          <w:w w:val="100"/>
        </w:rPr>
        <w:t>（</w:t>
      </w:r>
      <w:r>
        <w:rPr>
          <w:rFonts w:ascii="Arial" w:hAnsi="Arial" w:cs="Arial" w:eastAsia="Arial" w:hint="default"/>
          <w:spacing w:val="-1"/>
          <w:w w:val="100"/>
        </w:rPr>
        <w:t>10</w:t>
      </w:r>
      <w:r>
        <w:rPr>
          <w:spacing w:val="-111"/>
          <w:w w:val="100"/>
        </w:rPr>
        <w:t>）</w:t>
      </w:r>
      <w:r>
        <w:rPr>
          <w:w w:val="100"/>
        </w:rPr>
        <w:t>《关</w:t>
      </w:r>
      <w:r>
        <w:rPr>
          <w:spacing w:val="-3"/>
          <w:w w:val="100"/>
        </w:rPr>
        <w:t>于</w:t>
      </w:r>
      <w:r>
        <w:rPr>
          <w:w w:val="100"/>
        </w:rPr>
        <w:t>聘请</w:t>
      </w:r>
      <w:r>
        <w:rPr>
          <w:spacing w:val="-3"/>
          <w:w w:val="100"/>
        </w:rPr>
        <w:t>公</w:t>
      </w:r>
      <w:r>
        <w:rPr>
          <w:w w:val="100"/>
        </w:rPr>
        <w:t>司</w:t>
      </w:r>
      <w:r>
        <w:rPr>
          <w:rFonts w:ascii="Arial" w:hAnsi="Arial" w:cs="Arial" w:eastAsia="Arial" w:hint="default"/>
          <w:spacing w:val="-1"/>
          <w:w w:val="100"/>
        </w:rPr>
        <w:t>2</w:t>
      </w:r>
      <w:r>
        <w:rPr>
          <w:rFonts w:ascii="Arial" w:hAnsi="Arial" w:cs="Arial" w:eastAsia="Arial" w:hint="default"/>
          <w:spacing w:val="-3"/>
          <w:w w:val="100"/>
        </w:rPr>
        <w:t>0</w:t>
      </w:r>
      <w:r>
        <w:rPr>
          <w:rFonts w:ascii="Arial" w:hAnsi="Arial" w:cs="Arial" w:eastAsia="Arial" w:hint="default"/>
          <w:spacing w:val="-1"/>
          <w:w w:val="100"/>
        </w:rPr>
        <w:t>10</w:t>
      </w:r>
      <w:r>
        <w:rPr>
          <w:w w:val="100"/>
        </w:rPr>
        <w:t>年度审</w:t>
      </w:r>
      <w:r>
        <w:rPr>
          <w:spacing w:val="-3"/>
          <w:w w:val="100"/>
        </w:rPr>
        <w:t>计</w:t>
      </w:r>
      <w:r>
        <w:rPr>
          <w:w w:val="100"/>
        </w:rPr>
        <w:t>机构</w:t>
      </w:r>
      <w:r>
        <w:rPr>
          <w:spacing w:val="-3"/>
          <w:w w:val="100"/>
        </w:rPr>
        <w:t>的</w:t>
      </w:r>
      <w:r>
        <w:rPr>
          <w:w w:val="100"/>
        </w:rPr>
        <w:t>议案》</w:t>
      </w:r>
    </w:p>
    <w:p>
      <w:pPr>
        <w:pStyle w:val="BodyText"/>
        <w:spacing w:line="240" w:lineRule="auto" w:before="164"/>
        <w:ind w:left="576" w:right="0"/>
        <w:jc w:val="left"/>
      </w:pPr>
      <w:r>
        <w:rPr>
          <w:w w:val="100"/>
        </w:rPr>
        <w:t>（</w:t>
      </w:r>
      <w:r>
        <w:rPr>
          <w:rFonts w:ascii="Arial" w:hAnsi="Arial" w:cs="Arial" w:eastAsia="Arial" w:hint="default"/>
          <w:spacing w:val="-18"/>
          <w:w w:val="100"/>
        </w:rPr>
        <w:t>1</w:t>
      </w:r>
      <w:r>
        <w:rPr>
          <w:rFonts w:ascii="Arial" w:hAnsi="Arial" w:cs="Arial" w:eastAsia="Arial" w:hint="default"/>
          <w:spacing w:val="-1"/>
          <w:w w:val="100"/>
        </w:rPr>
        <w:t>1</w:t>
      </w:r>
      <w:r>
        <w:rPr>
          <w:spacing w:val="-111"/>
          <w:w w:val="100"/>
        </w:rPr>
        <w:t>）</w:t>
      </w:r>
      <w:r>
        <w:rPr>
          <w:w w:val="100"/>
        </w:rPr>
        <w:t>《</w:t>
      </w:r>
      <w:r>
        <w:rPr>
          <w:rFonts w:ascii="Arial" w:hAnsi="Arial" w:cs="Arial" w:eastAsia="Arial" w:hint="default"/>
          <w:w w:val="100"/>
        </w:rPr>
        <w:t>&lt;</w:t>
      </w:r>
      <w:r>
        <w:rPr>
          <w:spacing w:val="-3"/>
          <w:w w:val="100"/>
        </w:rPr>
        <w:t>公</w:t>
      </w:r>
      <w:r>
        <w:rPr>
          <w:w w:val="100"/>
        </w:rPr>
        <w:t>司章</w:t>
      </w:r>
      <w:r>
        <w:rPr>
          <w:spacing w:val="-3"/>
          <w:w w:val="100"/>
        </w:rPr>
        <w:t>程</w:t>
      </w:r>
      <w:r>
        <w:rPr>
          <w:rFonts w:ascii="Arial" w:hAnsi="Arial" w:cs="Arial" w:eastAsia="Arial" w:hint="default"/>
          <w:w w:val="100"/>
        </w:rPr>
        <w:t>&gt;</w:t>
      </w:r>
      <w:r>
        <w:rPr>
          <w:spacing w:val="-3"/>
          <w:w w:val="100"/>
        </w:rPr>
        <w:t>（草</w:t>
      </w:r>
      <w:r>
        <w:rPr>
          <w:w w:val="100"/>
        </w:rPr>
        <w:t>案）修</w:t>
      </w:r>
      <w:r>
        <w:rPr>
          <w:spacing w:val="-3"/>
          <w:w w:val="100"/>
        </w:rPr>
        <w:t>正</w:t>
      </w:r>
      <w:r>
        <w:rPr>
          <w:w w:val="100"/>
        </w:rPr>
        <w:t>案》</w:t>
      </w:r>
    </w:p>
    <w:p>
      <w:pPr>
        <w:pStyle w:val="BodyText"/>
        <w:spacing w:line="240" w:lineRule="auto" w:before="164"/>
        <w:ind w:left="576" w:right="0"/>
        <w:jc w:val="left"/>
      </w:pPr>
      <w:r>
        <w:rPr>
          <w:w w:val="100"/>
        </w:rPr>
        <w:t>（</w:t>
      </w:r>
      <w:r>
        <w:rPr>
          <w:rFonts w:ascii="Arial" w:hAnsi="Arial" w:cs="Arial" w:eastAsia="Arial" w:hint="default"/>
          <w:spacing w:val="-1"/>
          <w:w w:val="100"/>
        </w:rPr>
        <w:t>12</w:t>
      </w:r>
      <w:r>
        <w:rPr>
          <w:spacing w:val="-111"/>
          <w:w w:val="100"/>
        </w:rPr>
        <w:t>）</w:t>
      </w:r>
      <w:r>
        <w:rPr>
          <w:w w:val="100"/>
        </w:rPr>
        <w:t>《</w:t>
      </w:r>
      <w:r>
        <w:rPr>
          <w:rFonts w:ascii="Arial" w:hAnsi="Arial" w:cs="Arial" w:eastAsia="Arial" w:hint="default"/>
          <w:spacing w:val="-2"/>
          <w:w w:val="100"/>
        </w:rPr>
        <w:t>&lt;</w:t>
      </w:r>
      <w:r>
        <w:rPr>
          <w:w w:val="100"/>
        </w:rPr>
        <w:t>董事</w:t>
      </w:r>
      <w:r>
        <w:rPr>
          <w:spacing w:val="-3"/>
          <w:w w:val="100"/>
        </w:rPr>
        <w:t>会</w:t>
      </w:r>
      <w:r>
        <w:rPr>
          <w:w w:val="100"/>
        </w:rPr>
        <w:t>议事</w:t>
      </w:r>
      <w:r>
        <w:rPr>
          <w:spacing w:val="-3"/>
          <w:w w:val="100"/>
        </w:rPr>
        <w:t>规</w:t>
      </w:r>
      <w:r>
        <w:rPr>
          <w:w w:val="100"/>
        </w:rPr>
        <w:t>则</w:t>
      </w:r>
      <w:r>
        <w:rPr>
          <w:rFonts w:ascii="Arial" w:hAnsi="Arial" w:cs="Arial" w:eastAsia="Arial" w:hint="default"/>
          <w:w w:val="100"/>
        </w:rPr>
        <w:t>&gt;</w:t>
      </w:r>
      <w:r>
        <w:rPr>
          <w:w w:val="100"/>
        </w:rPr>
        <w:t>修</w:t>
      </w:r>
      <w:r>
        <w:rPr>
          <w:spacing w:val="-3"/>
          <w:w w:val="100"/>
        </w:rPr>
        <w:t>正</w:t>
      </w:r>
      <w:r>
        <w:rPr>
          <w:w w:val="100"/>
        </w:rPr>
        <w:t>案》</w:t>
      </w:r>
    </w:p>
    <w:p>
      <w:pPr>
        <w:pStyle w:val="BodyText"/>
        <w:spacing w:line="240" w:lineRule="auto" w:before="164"/>
        <w:ind w:left="576" w:right="0"/>
        <w:jc w:val="left"/>
      </w:pPr>
      <w:r>
        <w:rPr>
          <w:w w:val="100"/>
        </w:rPr>
        <w:t>（</w:t>
      </w:r>
      <w:r>
        <w:rPr>
          <w:rFonts w:ascii="Arial" w:hAnsi="Arial" w:cs="Arial" w:eastAsia="Arial" w:hint="default"/>
          <w:spacing w:val="-1"/>
          <w:w w:val="100"/>
        </w:rPr>
        <w:t>13</w:t>
      </w:r>
      <w:r>
        <w:rPr>
          <w:spacing w:val="-111"/>
          <w:w w:val="100"/>
        </w:rPr>
        <w:t>）</w:t>
      </w:r>
      <w:r>
        <w:rPr>
          <w:w w:val="100"/>
        </w:rPr>
        <w:t>《</w:t>
      </w:r>
      <w:r>
        <w:rPr>
          <w:rFonts w:ascii="Arial" w:hAnsi="Arial" w:cs="Arial" w:eastAsia="Arial" w:hint="default"/>
          <w:spacing w:val="-2"/>
          <w:w w:val="100"/>
        </w:rPr>
        <w:t>&lt;</w:t>
      </w:r>
      <w:r>
        <w:rPr>
          <w:w w:val="100"/>
        </w:rPr>
        <w:t>董事</w:t>
      </w:r>
      <w:r>
        <w:rPr>
          <w:spacing w:val="-3"/>
          <w:w w:val="100"/>
        </w:rPr>
        <w:t>会</w:t>
      </w:r>
      <w:r>
        <w:rPr>
          <w:w w:val="100"/>
        </w:rPr>
        <w:t>审计</w:t>
      </w:r>
      <w:r>
        <w:rPr>
          <w:spacing w:val="-3"/>
          <w:w w:val="100"/>
        </w:rPr>
        <w:t>委</w:t>
      </w:r>
      <w:r>
        <w:rPr>
          <w:w w:val="100"/>
        </w:rPr>
        <w:t>员会工</w:t>
      </w:r>
      <w:r>
        <w:rPr>
          <w:spacing w:val="-3"/>
          <w:w w:val="100"/>
        </w:rPr>
        <w:t>作</w:t>
      </w:r>
      <w:r>
        <w:rPr>
          <w:w w:val="100"/>
        </w:rPr>
        <w:t>细则</w:t>
      </w:r>
      <w:r>
        <w:rPr>
          <w:rFonts w:ascii="Arial" w:hAnsi="Arial" w:cs="Arial" w:eastAsia="Arial" w:hint="default"/>
          <w:spacing w:val="-2"/>
          <w:w w:val="100"/>
        </w:rPr>
        <w:t>&gt;</w:t>
      </w:r>
      <w:r>
        <w:rPr>
          <w:w w:val="100"/>
        </w:rPr>
        <w:t>修正</w:t>
      </w:r>
      <w:r>
        <w:rPr>
          <w:spacing w:val="-3"/>
          <w:w w:val="100"/>
        </w:rPr>
        <w:t>案</w:t>
      </w:r>
      <w:r>
        <w:rPr>
          <w:w w:val="100"/>
        </w:rPr>
        <w:t>》</w:t>
      </w:r>
    </w:p>
    <w:p>
      <w:pPr>
        <w:pStyle w:val="BodyText"/>
        <w:spacing w:line="240" w:lineRule="auto" w:before="164"/>
        <w:ind w:left="576" w:right="0"/>
        <w:jc w:val="left"/>
      </w:pPr>
      <w:r>
        <w:rPr>
          <w:w w:val="100"/>
        </w:rPr>
        <w:t>（</w:t>
      </w:r>
      <w:r>
        <w:rPr>
          <w:rFonts w:ascii="Arial" w:hAnsi="Arial" w:cs="Arial" w:eastAsia="Arial" w:hint="default"/>
          <w:spacing w:val="-1"/>
          <w:w w:val="100"/>
        </w:rPr>
        <w:t>14</w:t>
      </w:r>
      <w:r>
        <w:rPr>
          <w:spacing w:val="-111"/>
          <w:w w:val="100"/>
        </w:rPr>
        <w:t>）</w:t>
      </w:r>
      <w:r>
        <w:rPr>
          <w:w w:val="100"/>
        </w:rPr>
        <w:t>《</w:t>
      </w:r>
      <w:r>
        <w:rPr>
          <w:rFonts w:ascii="Arial" w:hAnsi="Arial" w:cs="Arial" w:eastAsia="Arial" w:hint="default"/>
          <w:spacing w:val="-2"/>
          <w:w w:val="100"/>
        </w:rPr>
        <w:t>&lt;</w:t>
      </w:r>
      <w:r>
        <w:rPr>
          <w:w w:val="100"/>
        </w:rPr>
        <w:t>独立</w:t>
      </w:r>
      <w:r>
        <w:rPr>
          <w:spacing w:val="-3"/>
          <w:w w:val="100"/>
        </w:rPr>
        <w:t>董</w:t>
      </w:r>
      <w:r>
        <w:rPr>
          <w:w w:val="100"/>
        </w:rPr>
        <w:t>事工</w:t>
      </w:r>
      <w:r>
        <w:rPr>
          <w:spacing w:val="-3"/>
          <w:w w:val="100"/>
        </w:rPr>
        <w:t>作</w:t>
      </w:r>
      <w:r>
        <w:rPr>
          <w:w w:val="100"/>
        </w:rPr>
        <w:t>细则</w:t>
      </w:r>
      <w:r>
        <w:rPr>
          <w:rFonts w:ascii="Arial" w:hAnsi="Arial" w:cs="Arial" w:eastAsia="Arial" w:hint="default"/>
          <w:w w:val="100"/>
        </w:rPr>
        <w:t>&gt;</w:t>
      </w:r>
      <w:r>
        <w:rPr>
          <w:spacing w:val="-3"/>
          <w:w w:val="100"/>
        </w:rPr>
        <w:t>修</w:t>
      </w:r>
      <w:r>
        <w:rPr>
          <w:w w:val="100"/>
        </w:rPr>
        <w:t>正案》</w:t>
      </w:r>
    </w:p>
    <w:p>
      <w:pPr>
        <w:pStyle w:val="BodyText"/>
        <w:spacing w:line="240" w:lineRule="auto" w:before="164"/>
        <w:ind w:left="576" w:right="0"/>
        <w:jc w:val="left"/>
      </w:pPr>
      <w:r>
        <w:rPr>
          <w:w w:val="100"/>
        </w:rPr>
        <w:t>（</w:t>
      </w:r>
      <w:r>
        <w:rPr>
          <w:rFonts w:ascii="Arial" w:hAnsi="Arial" w:cs="Arial" w:eastAsia="Arial" w:hint="default"/>
          <w:spacing w:val="-1"/>
          <w:w w:val="100"/>
        </w:rPr>
        <w:t>15</w:t>
      </w:r>
      <w:r>
        <w:rPr>
          <w:spacing w:val="-111"/>
          <w:w w:val="100"/>
        </w:rPr>
        <w:t>）</w:t>
      </w:r>
      <w:r>
        <w:rPr>
          <w:w w:val="100"/>
        </w:rPr>
        <w:t>《</w:t>
      </w:r>
      <w:r>
        <w:rPr>
          <w:rFonts w:ascii="Arial" w:hAnsi="Arial" w:cs="Arial" w:eastAsia="Arial" w:hint="default"/>
          <w:spacing w:val="-2"/>
          <w:w w:val="100"/>
        </w:rPr>
        <w:t>&lt;</w:t>
      </w:r>
      <w:r>
        <w:rPr>
          <w:w w:val="100"/>
        </w:rPr>
        <w:t>董监</w:t>
      </w:r>
      <w:r>
        <w:rPr>
          <w:spacing w:val="-3"/>
          <w:w w:val="100"/>
        </w:rPr>
        <w:t>高</w:t>
      </w:r>
      <w:r>
        <w:rPr>
          <w:w w:val="100"/>
        </w:rPr>
        <w:t>持股</w:t>
      </w:r>
      <w:r>
        <w:rPr>
          <w:spacing w:val="-3"/>
          <w:w w:val="100"/>
        </w:rPr>
        <w:t>变</w:t>
      </w:r>
      <w:r>
        <w:rPr>
          <w:w w:val="100"/>
        </w:rPr>
        <w:t>动管理</w:t>
      </w:r>
      <w:r>
        <w:rPr>
          <w:spacing w:val="-3"/>
          <w:w w:val="100"/>
        </w:rPr>
        <w:t>办</w:t>
      </w:r>
      <w:r>
        <w:rPr>
          <w:w w:val="100"/>
        </w:rPr>
        <w:t>法</w:t>
      </w:r>
      <w:r>
        <w:rPr>
          <w:rFonts w:ascii="Arial" w:hAnsi="Arial" w:cs="Arial" w:eastAsia="Arial" w:hint="default"/>
          <w:w w:val="100"/>
        </w:rPr>
        <w:t>&gt;</w:t>
      </w:r>
      <w:r>
        <w:rPr>
          <w:spacing w:val="-3"/>
          <w:w w:val="100"/>
        </w:rPr>
        <w:t>修</w:t>
      </w:r>
      <w:r>
        <w:rPr>
          <w:w w:val="100"/>
        </w:rPr>
        <w:t>正案》</w:t>
      </w:r>
    </w:p>
    <w:p>
      <w:pPr>
        <w:pStyle w:val="BodyText"/>
        <w:spacing w:line="240" w:lineRule="auto" w:before="164"/>
        <w:ind w:left="576" w:right="0"/>
        <w:jc w:val="left"/>
      </w:pPr>
      <w:r>
        <w:rPr>
          <w:w w:val="100"/>
        </w:rPr>
        <w:t>（</w:t>
      </w:r>
      <w:r>
        <w:rPr>
          <w:rFonts w:ascii="Arial" w:hAnsi="Arial" w:cs="Arial" w:eastAsia="Arial" w:hint="default"/>
          <w:spacing w:val="-1"/>
          <w:w w:val="100"/>
        </w:rPr>
        <w:t>16</w:t>
      </w:r>
      <w:r>
        <w:rPr>
          <w:spacing w:val="-111"/>
          <w:w w:val="100"/>
        </w:rPr>
        <w:t>）</w:t>
      </w:r>
      <w:r>
        <w:rPr>
          <w:w w:val="100"/>
        </w:rPr>
        <w:t>《</w:t>
      </w:r>
      <w:r>
        <w:rPr>
          <w:rFonts w:ascii="Arial" w:hAnsi="Arial" w:cs="Arial" w:eastAsia="Arial" w:hint="default"/>
          <w:spacing w:val="-2"/>
          <w:w w:val="100"/>
        </w:rPr>
        <w:t>&lt;</w:t>
      </w:r>
      <w:r>
        <w:rPr>
          <w:w w:val="100"/>
        </w:rPr>
        <w:t>关联</w:t>
      </w:r>
      <w:r>
        <w:rPr>
          <w:spacing w:val="-3"/>
          <w:w w:val="100"/>
        </w:rPr>
        <w:t>交</w:t>
      </w:r>
      <w:r>
        <w:rPr>
          <w:w w:val="100"/>
        </w:rPr>
        <w:t>易决</w:t>
      </w:r>
      <w:r>
        <w:rPr>
          <w:spacing w:val="-3"/>
          <w:w w:val="100"/>
        </w:rPr>
        <w:t>策</w:t>
      </w:r>
      <w:r>
        <w:rPr>
          <w:w w:val="100"/>
        </w:rPr>
        <w:t>制度</w:t>
      </w:r>
      <w:r>
        <w:rPr>
          <w:rFonts w:ascii="Arial" w:hAnsi="Arial" w:cs="Arial" w:eastAsia="Arial" w:hint="default"/>
          <w:w w:val="100"/>
        </w:rPr>
        <w:t>&gt;</w:t>
      </w:r>
      <w:r>
        <w:rPr>
          <w:spacing w:val="-3"/>
          <w:w w:val="100"/>
        </w:rPr>
        <w:t>修</w:t>
      </w:r>
      <w:r>
        <w:rPr>
          <w:w w:val="100"/>
        </w:rPr>
        <w:t>正案》</w:t>
      </w:r>
    </w:p>
    <w:p>
      <w:pPr>
        <w:pStyle w:val="BodyText"/>
        <w:spacing w:line="240" w:lineRule="auto" w:before="164"/>
        <w:ind w:left="576" w:right="0"/>
        <w:jc w:val="left"/>
      </w:pPr>
      <w:r>
        <w:rPr>
          <w:w w:val="100"/>
        </w:rPr>
        <w:t>（</w:t>
      </w:r>
      <w:r>
        <w:rPr>
          <w:rFonts w:ascii="Arial" w:hAnsi="Arial" w:cs="Arial" w:eastAsia="Arial" w:hint="default"/>
          <w:spacing w:val="-1"/>
          <w:w w:val="100"/>
        </w:rPr>
        <w:t>17</w:t>
      </w:r>
      <w:r>
        <w:rPr>
          <w:spacing w:val="-111"/>
          <w:w w:val="100"/>
        </w:rPr>
        <w:t>）</w:t>
      </w:r>
      <w:r>
        <w:rPr>
          <w:w w:val="100"/>
        </w:rPr>
        <w:t>《</w:t>
      </w:r>
      <w:r>
        <w:rPr>
          <w:rFonts w:ascii="Arial" w:hAnsi="Arial" w:cs="Arial" w:eastAsia="Arial" w:hint="default"/>
          <w:spacing w:val="-2"/>
          <w:w w:val="100"/>
        </w:rPr>
        <w:t>&lt;</w:t>
      </w:r>
      <w:r>
        <w:rPr>
          <w:w w:val="100"/>
        </w:rPr>
        <w:t>累积</w:t>
      </w:r>
      <w:r>
        <w:rPr>
          <w:spacing w:val="-3"/>
          <w:w w:val="100"/>
        </w:rPr>
        <w:t>投</w:t>
      </w:r>
      <w:r>
        <w:rPr>
          <w:w w:val="100"/>
        </w:rPr>
        <w:t>票制</w:t>
      </w:r>
      <w:r>
        <w:rPr>
          <w:spacing w:val="-3"/>
          <w:w w:val="100"/>
        </w:rPr>
        <w:t>实</w:t>
      </w:r>
      <w:r>
        <w:rPr>
          <w:w w:val="100"/>
        </w:rPr>
        <w:t>施细则</w:t>
      </w:r>
      <w:r>
        <w:rPr>
          <w:rFonts w:ascii="Arial" w:hAnsi="Arial" w:cs="Arial" w:eastAsia="Arial" w:hint="default"/>
          <w:spacing w:val="-2"/>
          <w:w w:val="100"/>
        </w:rPr>
        <w:t>&gt;</w:t>
      </w:r>
      <w:r>
        <w:rPr>
          <w:w w:val="100"/>
        </w:rPr>
        <w:t>修正</w:t>
      </w:r>
      <w:r>
        <w:rPr>
          <w:spacing w:val="-3"/>
          <w:w w:val="100"/>
        </w:rPr>
        <w:t>案</w:t>
      </w:r>
      <w:r>
        <w:rPr>
          <w:w w:val="100"/>
        </w:rPr>
        <w:t>》</w:t>
      </w:r>
    </w:p>
    <w:p>
      <w:pPr>
        <w:pStyle w:val="BodyText"/>
        <w:spacing w:line="240" w:lineRule="auto" w:before="164"/>
        <w:ind w:left="576" w:right="0"/>
        <w:jc w:val="left"/>
      </w:pPr>
      <w:r>
        <w:rPr>
          <w:w w:val="100"/>
        </w:rPr>
        <w:t>（</w:t>
      </w:r>
      <w:r>
        <w:rPr>
          <w:rFonts w:ascii="Arial" w:hAnsi="Arial" w:cs="Arial" w:eastAsia="Arial" w:hint="default"/>
          <w:spacing w:val="-1"/>
          <w:w w:val="100"/>
        </w:rPr>
        <w:t>18</w:t>
      </w:r>
      <w:r>
        <w:rPr>
          <w:spacing w:val="-111"/>
          <w:w w:val="100"/>
        </w:rPr>
        <w:t>）</w:t>
      </w:r>
      <w:r>
        <w:rPr>
          <w:w w:val="100"/>
        </w:rPr>
        <w:t>《</w:t>
      </w:r>
      <w:r>
        <w:rPr>
          <w:rFonts w:ascii="Arial" w:hAnsi="Arial" w:cs="Arial" w:eastAsia="Arial" w:hint="default"/>
          <w:spacing w:val="-2"/>
          <w:w w:val="100"/>
        </w:rPr>
        <w:t>&lt;</w:t>
      </w:r>
      <w:r>
        <w:rPr>
          <w:w w:val="100"/>
        </w:rPr>
        <w:t>募集</w:t>
      </w:r>
      <w:r>
        <w:rPr>
          <w:spacing w:val="-3"/>
          <w:w w:val="100"/>
        </w:rPr>
        <w:t>资</w:t>
      </w:r>
      <w:r>
        <w:rPr>
          <w:w w:val="100"/>
        </w:rPr>
        <w:t>金管</w:t>
      </w:r>
      <w:r>
        <w:rPr>
          <w:spacing w:val="-3"/>
          <w:w w:val="100"/>
        </w:rPr>
        <w:t>理</w:t>
      </w:r>
      <w:r>
        <w:rPr>
          <w:w w:val="100"/>
        </w:rPr>
        <w:t>制度</w:t>
      </w:r>
      <w:r>
        <w:rPr>
          <w:rFonts w:ascii="Arial" w:hAnsi="Arial" w:cs="Arial" w:eastAsia="Arial" w:hint="default"/>
          <w:w w:val="100"/>
        </w:rPr>
        <w:t>&gt;</w:t>
      </w:r>
      <w:r>
        <w:rPr>
          <w:spacing w:val="-3"/>
          <w:w w:val="100"/>
        </w:rPr>
        <w:t>修</w:t>
      </w:r>
      <w:r>
        <w:rPr>
          <w:w w:val="100"/>
        </w:rPr>
        <w:t>正案》</w:t>
      </w:r>
    </w:p>
    <w:p>
      <w:pPr>
        <w:pStyle w:val="BodyText"/>
        <w:spacing w:line="240" w:lineRule="auto" w:before="164"/>
        <w:ind w:left="576" w:right="0"/>
        <w:jc w:val="left"/>
      </w:pPr>
      <w:r>
        <w:rPr>
          <w:w w:val="100"/>
        </w:rPr>
        <w:t>（</w:t>
      </w:r>
      <w:r>
        <w:rPr>
          <w:rFonts w:ascii="Arial" w:hAnsi="Arial" w:cs="Arial" w:eastAsia="Arial" w:hint="default"/>
          <w:spacing w:val="-1"/>
          <w:w w:val="100"/>
        </w:rPr>
        <w:t>19</w:t>
      </w:r>
      <w:r>
        <w:rPr>
          <w:spacing w:val="-111"/>
          <w:w w:val="100"/>
        </w:rPr>
        <w:t>）</w:t>
      </w:r>
      <w:r>
        <w:rPr>
          <w:w w:val="100"/>
        </w:rPr>
        <w:t>《</w:t>
      </w:r>
      <w:r>
        <w:rPr>
          <w:rFonts w:ascii="Arial" w:hAnsi="Arial" w:cs="Arial" w:eastAsia="Arial" w:hint="default"/>
          <w:spacing w:val="-2"/>
          <w:w w:val="100"/>
        </w:rPr>
        <w:t>&lt;</w:t>
      </w:r>
      <w:r>
        <w:rPr>
          <w:w w:val="100"/>
        </w:rPr>
        <w:t>内部</w:t>
      </w:r>
      <w:r>
        <w:rPr>
          <w:spacing w:val="-3"/>
          <w:w w:val="100"/>
        </w:rPr>
        <w:t>审</w:t>
      </w:r>
      <w:r>
        <w:rPr>
          <w:w w:val="100"/>
        </w:rPr>
        <w:t>计制</w:t>
      </w:r>
      <w:r>
        <w:rPr>
          <w:spacing w:val="-3"/>
          <w:w w:val="100"/>
        </w:rPr>
        <w:t>度</w:t>
      </w:r>
      <w:r>
        <w:rPr>
          <w:rFonts w:ascii="Arial" w:hAnsi="Arial" w:cs="Arial" w:eastAsia="Arial" w:hint="default"/>
          <w:spacing w:val="-2"/>
          <w:w w:val="100"/>
        </w:rPr>
        <w:t>&gt;</w:t>
      </w:r>
      <w:r>
        <w:rPr>
          <w:w w:val="100"/>
        </w:rPr>
        <w:t>修正案》</w:t>
      </w:r>
    </w:p>
    <w:p>
      <w:pPr>
        <w:pStyle w:val="BodyText"/>
        <w:spacing w:line="240" w:lineRule="auto" w:before="164"/>
        <w:ind w:left="576" w:right="0"/>
        <w:jc w:val="left"/>
      </w:pPr>
      <w:r>
        <w:rPr>
          <w:w w:val="100"/>
        </w:rPr>
        <w:t>（</w:t>
      </w:r>
      <w:r>
        <w:rPr>
          <w:rFonts w:ascii="Arial" w:hAnsi="Arial" w:cs="Arial" w:eastAsia="Arial" w:hint="default"/>
          <w:spacing w:val="-1"/>
          <w:w w:val="100"/>
        </w:rPr>
        <w:t>20</w:t>
      </w:r>
      <w:r>
        <w:rPr>
          <w:spacing w:val="-111"/>
          <w:w w:val="100"/>
        </w:rPr>
        <w:t>）</w:t>
      </w:r>
      <w:r>
        <w:rPr>
          <w:w w:val="100"/>
        </w:rPr>
        <w:t>《</w:t>
      </w:r>
      <w:r>
        <w:rPr>
          <w:rFonts w:ascii="Arial" w:hAnsi="Arial" w:cs="Arial" w:eastAsia="Arial" w:hint="default"/>
          <w:spacing w:val="-2"/>
          <w:w w:val="100"/>
        </w:rPr>
        <w:t>&lt;</w:t>
      </w:r>
      <w:r>
        <w:rPr>
          <w:w w:val="100"/>
        </w:rPr>
        <w:t>投资</w:t>
      </w:r>
      <w:r>
        <w:rPr>
          <w:spacing w:val="-3"/>
          <w:w w:val="100"/>
        </w:rPr>
        <w:t>者</w:t>
      </w:r>
      <w:r>
        <w:rPr>
          <w:w w:val="100"/>
        </w:rPr>
        <w:t>关系</w:t>
      </w:r>
      <w:r>
        <w:rPr>
          <w:spacing w:val="-3"/>
          <w:w w:val="100"/>
        </w:rPr>
        <w:t>管</w:t>
      </w:r>
      <w:r>
        <w:rPr>
          <w:w w:val="100"/>
        </w:rPr>
        <w:t>理办法</w:t>
      </w:r>
      <w:r>
        <w:rPr>
          <w:rFonts w:ascii="Arial" w:hAnsi="Arial" w:cs="Arial" w:eastAsia="Arial" w:hint="default"/>
          <w:spacing w:val="-2"/>
          <w:w w:val="100"/>
        </w:rPr>
        <w:t>&gt;</w:t>
      </w:r>
      <w:r>
        <w:rPr>
          <w:w w:val="100"/>
        </w:rPr>
        <w:t>修正</w:t>
      </w:r>
      <w:r>
        <w:rPr>
          <w:spacing w:val="-3"/>
          <w:w w:val="100"/>
        </w:rPr>
        <w:t>案</w:t>
      </w:r>
      <w:r>
        <w:rPr>
          <w:w w:val="100"/>
        </w:rPr>
        <w:t>》</w:t>
      </w:r>
    </w:p>
    <w:p>
      <w:pPr>
        <w:pStyle w:val="BodyText"/>
        <w:spacing w:line="240" w:lineRule="auto" w:before="164"/>
        <w:ind w:left="576" w:right="0"/>
        <w:jc w:val="left"/>
      </w:pPr>
      <w:r>
        <w:rPr>
          <w:w w:val="100"/>
        </w:rPr>
        <w:t>（</w:t>
      </w:r>
      <w:r>
        <w:rPr>
          <w:rFonts w:ascii="Arial" w:hAnsi="Arial" w:cs="Arial" w:eastAsia="Arial" w:hint="default"/>
          <w:spacing w:val="-1"/>
          <w:w w:val="100"/>
        </w:rPr>
        <w:t>21</w:t>
      </w:r>
      <w:r>
        <w:rPr>
          <w:spacing w:val="-111"/>
          <w:w w:val="100"/>
        </w:rPr>
        <w:t>）</w:t>
      </w:r>
      <w:r>
        <w:rPr>
          <w:w w:val="100"/>
        </w:rPr>
        <w:t>《</w:t>
      </w:r>
      <w:r>
        <w:rPr>
          <w:rFonts w:ascii="Arial" w:hAnsi="Arial" w:cs="Arial" w:eastAsia="Arial" w:hint="default"/>
          <w:spacing w:val="-2"/>
          <w:w w:val="100"/>
        </w:rPr>
        <w:t>&lt;</w:t>
      </w:r>
      <w:r>
        <w:rPr>
          <w:w w:val="100"/>
        </w:rPr>
        <w:t>信息</w:t>
      </w:r>
      <w:r>
        <w:rPr>
          <w:spacing w:val="-3"/>
          <w:w w:val="100"/>
        </w:rPr>
        <w:t>披</w:t>
      </w:r>
      <w:r>
        <w:rPr>
          <w:w w:val="100"/>
        </w:rPr>
        <w:t>露管</w:t>
      </w:r>
      <w:r>
        <w:rPr>
          <w:spacing w:val="-3"/>
          <w:w w:val="100"/>
        </w:rPr>
        <w:t>理</w:t>
      </w:r>
      <w:r>
        <w:rPr>
          <w:w w:val="100"/>
        </w:rPr>
        <w:t>制度</w:t>
      </w:r>
      <w:r>
        <w:rPr>
          <w:rFonts w:ascii="Arial" w:hAnsi="Arial" w:cs="Arial" w:eastAsia="Arial" w:hint="default"/>
          <w:w w:val="100"/>
        </w:rPr>
        <w:t>&gt;</w:t>
      </w:r>
      <w:r>
        <w:rPr>
          <w:spacing w:val="-3"/>
          <w:w w:val="100"/>
        </w:rPr>
        <w:t>修</w:t>
      </w:r>
      <w:r>
        <w:rPr>
          <w:w w:val="100"/>
        </w:rPr>
        <w:t>正案》</w:t>
      </w:r>
    </w:p>
    <w:p>
      <w:pPr>
        <w:pStyle w:val="BodyText"/>
        <w:spacing w:line="369" w:lineRule="auto" w:before="164"/>
        <w:ind w:left="576" w:right="100"/>
        <w:jc w:val="left"/>
      </w:pPr>
      <w:r>
        <w:rPr>
          <w:spacing w:val="-5"/>
          <w:w w:val="100"/>
        </w:rPr>
        <w:t>（</w:t>
      </w:r>
      <w:r>
        <w:rPr>
          <w:rFonts w:ascii="Arial" w:hAnsi="Arial" w:cs="Arial" w:eastAsia="Arial" w:hint="default"/>
          <w:spacing w:val="-5"/>
          <w:w w:val="100"/>
        </w:rPr>
        <w:t>22</w:t>
      </w:r>
      <w:r>
        <w:rPr>
          <w:spacing w:val="-5"/>
          <w:w w:val="100"/>
        </w:rPr>
        <w:t>）《关于提请召开公司</w:t>
      </w:r>
      <w:r>
        <w:rPr>
          <w:rFonts w:ascii="Arial" w:hAnsi="Arial" w:cs="Arial" w:eastAsia="Arial" w:hint="default"/>
          <w:spacing w:val="-5"/>
          <w:w w:val="100"/>
        </w:rPr>
        <w:t>2009</w:t>
      </w:r>
      <w:r>
        <w:rPr>
          <w:spacing w:val="-5"/>
          <w:w w:val="100"/>
        </w:rPr>
        <w:t>年度股东大会的议案》</w:t>
      </w:r>
      <w:r>
        <w:rPr>
          <w:w w:val="100"/>
        </w:rPr>
        <w:t> </w:t>
      </w:r>
      <w:r>
        <w:rPr>
          <w:rFonts w:ascii="Arial" w:hAnsi="Arial" w:cs="Arial" w:eastAsia="Arial" w:hint="default"/>
        </w:rPr>
        <w:t>2</w:t>
      </w:r>
      <w:r>
        <w:rPr/>
        <w:t>、第一届董事会第十二次会议</w:t>
      </w:r>
      <w:r>
        <w:rPr>
          <w:w w:val="100"/>
        </w:rPr>
        <w:t> </w:t>
      </w:r>
      <w:r>
        <w:rPr>
          <w:spacing w:val="-2"/>
        </w:rPr>
        <w:t>第一届董事会第十二次会议于</w:t>
      </w:r>
      <w:r>
        <w:rPr>
          <w:rFonts w:ascii="Arial" w:hAnsi="Arial" w:cs="Arial" w:eastAsia="Arial" w:hint="default"/>
          <w:spacing w:val="-2"/>
        </w:rPr>
        <w:t>2010</w:t>
      </w:r>
      <w:r>
        <w:rPr>
          <w:spacing w:val="-2"/>
        </w:rPr>
        <w:t>年</w:t>
      </w:r>
      <w:r>
        <w:rPr>
          <w:rFonts w:ascii="Arial" w:hAnsi="Arial" w:cs="Arial" w:eastAsia="Arial" w:hint="default"/>
          <w:spacing w:val="-2"/>
        </w:rPr>
        <w:t>2</w:t>
      </w:r>
      <w:r>
        <w:rPr>
          <w:spacing w:val="-2"/>
        </w:rPr>
        <w:t>月</w:t>
      </w:r>
      <w:r>
        <w:rPr>
          <w:rFonts w:ascii="Arial" w:hAnsi="Arial" w:cs="Arial" w:eastAsia="Arial" w:hint="default"/>
          <w:spacing w:val="-2"/>
        </w:rPr>
        <w:t>1</w:t>
      </w:r>
      <w:r>
        <w:rPr>
          <w:spacing w:val="-2"/>
        </w:rPr>
        <w:t>日于公司会议室以现场表决方式召开，会议</w:t>
      </w:r>
    </w:p>
    <w:p>
      <w:pPr>
        <w:pStyle w:val="BodyText"/>
        <w:spacing w:line="240" w:lineRule="auto" w:before="31"/>
        <w:ind w:right="0"/>
        <w:jc w:val="left"/>
      </w:pPr>
      <w:r>
        <w:rPr/>
        <w:t>审议通过了如下议案：</w:t>
      </w:r>
    </w:p>
    <w:p>
      <w:pPr>
        <w:pStyle w:val="BodyText"/>
        <w:spacing w:line="240" w:lineRule="auto" w:before="180"/>
        <w:ind w:left="576" w:right="0"/>
        <w:jc w:val="left"/>
      </w:pPr>
      <w:r>
        <w:rPr>
          <w:w w:val="100"/>
        </w:rPr>
        <w:t>（</w:t>
      </w:r>
      <w:r>
        <w:rPr>
          <w:rFonts w:ascii="Arial" w:hAnsi="Arial" w:cs="Arial" w:eastAsia="Arial" w:hint="default"/>
          <w:spacing w:val="-1"/>
          <w:w w:val="100"/>
        </w:rPr>
        <w:t>1</w:t>
      </w:r>
      <w:r>
        <w:rPr>
          <w:spacing w:val="-111"/>
          <w:w w:val="100"/>
        </w:rPr>
        <w:t>）</w:t>
      </w:r>
      <w:r>
        <w:rPr>
          <w:w w:val="100"/>
        </w:rPr>
        <w:t>《关</w:t>
      </w:r>
      <w:r>
        <w:rPr>
          <w:spacing w:val="-3"/>
          <w:w w:val="100"/>
        </w:rPr>
        <w:t>于</w:t>
      </w:r>
      <w:r>
        <w:rPr>
          <w:w w:val="100"/>
        </w:rPr>
        <w:t>对两</w:t>
      </w:r>
      <w:r>
        <w:rPr>
          <w:spacing w:val="-3"/>
          <w:w w:val="100"/>
        </w:rPr>
        <w:t>项</w:t>
      </w:r>
      <w:r>
        <w:rPr>
          <w:w w:val="100"/>
        </w:rPr>
        <w:t>技术</w:t>
      </w:r>
      <w:r>
        <w:rPr>
          <w:spacing w:val="-3"/>
          <w:w w:val="100"/>
        </w:rPr>
        <w:t>委</w:t>
      </w:r>
      <w:r>
        <w:rPr>
          <w:w w:val="100"/>
        </w:rPr>
        <w:t>托开发</w:t>
      </w:r>
      <w:r>
        <w:rPr>
          <w:spacing w:val="-3"/>
          <w:w w:val="100"/>
        </w:rPr>
        <w:t>项</w:t>
      </w:r>
      <w:r>
        <w:rPr>
          <w:w w:val="100"/>
        </w:rPr>
        <w:t>目追</w:t>
      </w:r>
      <w:r>
        <w:rPr>
          <w:spacing w:val="-3"/>
          <w:w w:val="100"/>
        </w:rPr>
        <w:t>加</w:t>
      </w:r>
      <w:r>
        <w:rPr>
          <w:w w:val="100"/>
        </w:rPr>
        <w:t>投资</w:t>
      </w:r>
      <w:r>
        <w:rPr>
          <w:spacing w:val="-3"/>
          <w:w w:val="100"/>
        </w:rPr>
        <w:t>的决</w:t>
      </w:r>
      <w:r>
        <w:rPr>
          <w:w w:val="100"/>
        </w:rPr>
        <w:t>议》</w:t>
      </w:r>
    </w:p>
    <w:p>
      <w:pPr>
        <w:pStyle w:val="BodyText"/>
        <w:spacing w:line="369" w:lineRule="auto" w:before="164"/>
        <w:ind w:left="576" w:right="0"/>
        <w:jc w:val="left"/>
      </w:pPr>
      <w:r>
        <w:rPr>
          <w:spacing w:val="-5"/>
          <w:w w:val="100"/>
        </w:rPr>
        <w:t>（</w:t>
      </w:r>
      <w:r>
        <w:rPr>
          <w:rFonts w:ascii="Arial" w:hAnsi="Arial" w:cs="Arial" w:eastAsia="Arial" w:hint="default"/>
          <w:spacing w:val="-5"/>
          <w:w w:val="100"/>
        </w:rPr>
        <w:t>2</w:t>
      </w:r>
      <w:r>
        <w:rPr>
          <w:spacing w:val="-5"/>
          <w:w w:val="100"/>
        </w:rPr>
        <w:t>）《关于对子公司东营安诺其纺织材料有限公司增资的决议》</w:t>
      </w:r>
      <w:r>
        <w:rPr>
          <w:spacing w:val="-102"/>
          <w:w w:val="100"/>
        </w:rPr>
        <w:t> </w:t>
      </w:r>
      <w:r>
        <w:rPr>
          <w:spacing w:val="-102"/>
          <w:w w:val="100"/>
        </w:rPr>
      </w:r>
      <w:r>
        <w:rPr>
          <w:rFonts w:ascii="Arial" w:hAnsi="Arial" w:cs="Arial" w:eastAsia="Arial" w:hint="default"/>
        </w:rPr>
        <w:t>3</w:t>
      </w:r>
      <w:r>
        <w:rPr/>
        <w:t>、第一届董事会临时会议</w:t>
      </w:r>
      <w:r>
        <w:rPr>
          <w:w w:val="100"/>
        </w:rPr>
        <w:t> </w:t>
      </w:r>
      <w:r>
        <w:rPr>
          <w:spacing w:val="-2"/>
        </w:rPr>
        <w:t>第一届董事会临时会议于</w:t>
      </w:r>
      <w:r>
        <w:rPr>
          <w:rFonts w:ascii="Arial" w:hAnsi="Arial" w:cs="Arial" w:eastAsia="Arial" w:hint="default"/>
          <w:spacing w:val="-2"/>
        </w:rPr>
        <w:t>2010</w:t>
      </w:r>
      <w:r>
        <w:rPr>
          <w:spacing w:val="-2"/>
        </w:rPr>
        <w:t>年</w:t>
      </w:r>
      <w:r>
        <w:rPr>
          <w:rFonts w:ascii="Arial" w:hAnsi="Arial" w:cs="Arial" w:eastAsia="Arial" w:hint="default"/>
          <w:spacing w:val="-2"/>
        </w:rPr>
        <w:t>2</w:t>
      </w:r>
      <w:r>
        <w:rPr>
          <w:spacing w:val="-2"/>
        </w:rPr>
        <w:t>月</w:t>
      </w:r>
      <w:r>
        <w:rPr>
          <w:rFonts w:ascii="Arial" w:hAnsi="Arial" w:cs="Arial" w:eastAsia="Arial" w:hint="default"/>
          <w:spacing w:val="-2"/>
        </w:rPr>
        <w:t>5</w:t>
      </w:r>
      <w:r>
        <w:rPr>
          <w:spacing w:val="-2"/>
        </w:rPr>
        <w:t>日于公司会议室以现场表决方式召开，会议审议</w:t>
      </w:r>
    </w:p>
    <w:p>
      <w:pPr>
        <w:pStyle w:val="BodyText"/>
        <w:spacing w:line="240" w:lineRule="auto" w:before="31"/>
        <w:ind w:right="0"/>
        <w:jc w:val="left"/>
      </w:pPr>
      <w:r>
        <w:rPr/>
        <w:t>通过了如下议案：</w:t>
      </w:r>
    </w:p>
    <w:p>
      <w:pPr>
        <w:pStyle w:val="BodyText"/>
        <w:spacing w:line="240" w:lineRule="auto" w:before="180"/>
        <w:ind w:left="576" w:right="0"/>
        <w:jc w:val="left"/>
      </w:pPr>
      <w:r>
        <w:rPr>
          <w:w w:val="100"/>
        </w:rPr>
        <w:t>（</w:t>
      </w:r>
      <w:r>
        <w:rPr>
          <w:rFonts w:ascii="Arial" w:hAnsi="Arial" w:cs="Arial" w:eastAsia="Arial" w:hint="default"/>
          <w:spacing w:val="-1"/>
          <w:w w:val="100"/>
        </w:rPr>
        <w:t>1</w:t>
      </w:r>
      <w:r>
        <w:rPr>
          <w:spacing w:val="-111"/>
          <w:w w:val="100"/>
        </w:rPr>
        <w:t>）</w:t>
      </w:r>
      <w:r>
        <w:rPr>
          <w:w w:val="100"/>
        </w:rPr>
        <w:t>《关</w:t>
      </w:r>
      <w:r>
        <w:rPr>
          <w:spacing w:val="-3"/>
          <w:w w:val="100"/>
        </w:rPr>
        <w:t>于</w:t>
      </w:r>
      <w:r>
        <w:rPr>
          <w:w w:val="100"/>
        </w:rPr>
        <w:t>聘任</w:t>
      </w:r>
      <w:r>
        <w:rPr>
          <w:spacing w:val="-3"/>
          <w:w w:val="100"/>
        </w:rPr>
        <w:t>独</w:t>
      </w:r>
      <w:r>
        <w:rPr>
          <w:w w:val="100"/>
        </w:rPr>
        <w:t>立董</w:t>
      </w:r>
      <w:r>
        <w:rPr>
          <w:spacing w:val="-3"/>
          <w:w w:val="100"/>
        </w:rPr>
        <w:t>事</w:t>
      </w:r>
      <w:r>
        <w:rPr>
          <w:w w:val="100"/>
        </w:rPr>
        <w:t>的议案》</w:t>
      </w:r>
    </w:p>
    <w:p>
      <w:pPr>
        <w:pStyle w:val="BodyText"/>
        <w:spacing w:line="240" w:lineRule="auto" w:before="164"/>
        <w:ind w:left="576" w:right="0"/>
        <w:jc w:val="left"/>
      </w:pPr>
      <w:r>
        <w:rPr>
          <w:w w:val="100"/>
        </w:rPr>
        <w:t>（</w:t>
      </w:r>
      <w:r>
        <w:rPr>
          <w:rFonts w:ascii="Arial" w:hAnsi="Arial" w:cs="Arial" w:eastAsia="Arial" w:hint="default"/>
          <w:spacing w:val="-1"/>
          <w:w w:val="100"/>
        </w:rPr>
        <w:t>2</w:t>
      </w:r>
      <w:r>
        <w:rPr>
          <w:spacing w:val="-111"/>
          <w:w w:val="100"/>
        </w:rPr>
        <w:t>）</w:t>
      </w:r>
      <w:r>
        <w:rPr>
          <w:w w:val="100"/>
        </w:rPr>
        <w:t>《关</w:t>
      </w:r>
      <w:r>
        <w:rPr>
          <w:spacing w:val="-3"/>
          <w:w w:val="100"/>
        </w:rPr>
        <w:t>于</w:t>
      </w:r>
      <w:r>
        <w:rPr>
          <w:w w:val="100"/>
        </w:rPr>
        <w:t>提请</w:t>
      </w:r>
      <w:r>
        <w:rPr>
          <w:spacing w:val="-3"/>
          <w:w w:val="100"/>
        </w:rPr>
        <w:t>召</w:t>
      </w:r>
      <w:r>
        <w:rPr>
          <w:w w:val="100"/>
        </w:rPr>
        <w:t>开公</w:t>
      </w:r>
      <w:r>
        <w:rPr>
          <w:spacing w:val="-3"/>
          <w:w w:val="100"/>
        </w:rPr>
        <w:t>司</w:t>
      </w:r>
      <w:r>
        <w:rPr>
          <w:rFonts w:ascii="Arial" w:hAnsi="Arial" w:cs="Arial" w:eastAsia="Arial" w:hint="default"/>
          <w:spacing w:val="-1"/>
          <w:w w:val="100"/>
        </w:rPr>
        <w:t>2010</w:t>
      </w:r>
      <w:r>
        <w:rPr>
          <w:w w:val="100"/>
        </w:rPr>
        <w:t>年第一</w:t>
      </w:r>
      <w:r>
        <w:rPr>
          <w:spacing w:val="-3"/>
          <w:w w:val="100"/>
        </w:rPr>
        <w:t>次</w:t>
      </w:r>
      <w:r>
        <w:rPr>
          <w:w w:val="100"/>
        </w:rPr>
        <w:t>临时</w:t>
      </w:r>
      <w:r>
        <w:rPr>
          <w:spacing w:val="-3"/>
          <w:w w:val="100"/>
        </w:rPr>
        <w:t>股东</w:t>
      </w:r>
      <w:r>
        <w:rPr>
          <w:w w:val="100"/>
        </w:rPr>
        <w:t>大会的</w:t>
      </w:r>
      <w:r>
        <w:rPr>
          <w:spacing w:val="-3"/>
          <w:w w:val="100"/>
        </w:rPr>
        <w:t>议</w:t>
      </w:r>
      <w:r>
        <w:rPr>
          <w:w w:val="100"/>
        </w:rPr>
        <w:t>案》</w:t>
      </w:r>
    </w:p>
    <w:p>
      <w:pPr>
        <w:spacing w:after="0" w:line="240" w:lineRule="auto"/>
        <w:jc w:val="left"/>
        <w:sectPr>
          <w:pgSz w:w="11900" w:h="16840"/>
          <w:pgMar w:header="877" w:footer="981" w:top="1100" w:bottom="1180" w:left="1660" w:right="1360"/>
        </w:sectPr>
      </w:pPr>
    </w:p>
    <w:p>
      <w:pPr>
        <w:spacing w:line="240" w:lineRule="auto" w:before="4"/>
        <w:rPr>
          <w:rFonts w:ascii="宋体" w:hAnsi="宋体" w:cs="宋体" w:eastAsia="宋体" w:hint="default"/>
          <w:sz w:val="26"/>
          <w:szCs w:val="26"/>
        </w:rPr>
      </w:pPr>
    </w:p>
    <w:p>
      <w:pPr>
        <w:pStyle w:val="BodyText"/>
        <w:spacing w:line="369" w:lineRule="auto"/>
        <w:ind w:left="576" w:right="0"/>
        <w:jc w:val="left"/>
      </w:pPr>
      <w:r>
        <w:rPr>
          <w:rFonts w:ascii="Arial" w:hAnsi="Arial" w:cs="Arial" w:eastAsia="Arial" w:hint="default"/>
        </w:rPr>
        <w:t>4</w:t>
      </w:r>
      <w:r>
        <w:rPr/>
        <w:t>、第一届董事会第十三次会议</w:t>
      </w:r>
      <w:r>
        <w:rPr>
          <w:w w:val="100"/>
        </w:rPr>
        <w:t> </w:t>
      </w:r>
      <w:r>
        <w:rPr/>
        <w:t>第一届董事会第十三次会议于</w:t>
      </w:r>
      <w:r>
        <w:rPr>
          <w:rFonts w:ascii="Arial" w:hAnsi="Arial" w:cs="Arial" w:eastAsia="Arial" w:hint="default"/>
        </w:rPr>
        <w:t>2010</w:t>
      </w:r>
      <w:r>
        <w:rPr/>
        <w:t>年</w:t>
      </w:r>
      <w:r>
        <w:rPr>
          <w:rFonts w:ascii="Arial" w:hAnsi="Arial" w:cs="Arial" w:eastAsia="Arial" w:hint="default"/>
        </w:rPr>
        <w:t>2</w:t>
      </w:r>
      <w:r>
        <w:rPr/>
        <w:t>月</w:t>
      </w:r>
      <w:r>
        <w:rPr>
          <w:rFonts w:ascii="Arial" w:hAnsi="Arial" w:cs="Arial" w:eastAsia="Arial" w:hint="default"/>
        </w:rPr>
        <w:t>20</w:t>
      </w:r>
      <w:r>
        <w:rPr/>
        <w:t>日于公司会议室以现场表决方式召开，会</w:t>
      </w:r>
    </w:p>
    <w:p>
      <w:pPr>
        <w:pStyle w:val="BodyText"/>
        <w:spacing w:line="240" w:lineRule="auto" w:before="31"/>
        <w:ind w:right="0"/>
        <w:jc w:val="left"/>
      </w:pPr>
      <w:r>
        <w:rPr/>
        <w:t>议审议通过了如下议案：</w:t>
      </w:r>
    </w:p>
    <w:p>
      <w:pPr>
        <w:pStyle w:val="BodyText"/>
        <w:spacing w:line="240" w:lineRule="auto" w:before="180"/>
        <w:ind w:left="576" w:right="0"/>
        <w:jc w:val="left"/>
      </w:pPr>
      <w:r>
        <w:rPr>
          <w:w w:val="100"/>
        </w:rPr>
        <w:t>（</w:t>
      </w:r>
      <w:r>
        <w:rPr>
          <w:rFonts w:ascii="Arial" w:hAnsi="Arial" w:cs="Arial" w:eastAsia="Arial" w:hint="default"/>
          <w:spacing w:val="-1"/>
          <w:w w:val="100"/>
        </w:rPr>
        <w:t>1</w:t>
      </w:r>
      <w:r>
        <w:rPr>
          <w:spacing w:val="-111"/>
          <w:w w:val="100"/>
        </w:rPr>
        <w:t>）</w:t>
      </w:r>
      <w:r>
        <w:rPr>
          <w:w w:val="100"/>
        </w:rPr>
        <w:t>《关</w:t>
      </w:r>
      <w:r>
        <w:rPr>
          <w:spacing w:val="-3"/>
          <w:w w:val="100"/>
        </w:rPr>
        <w:t>于</w:t>
      </w:r>
      <w:r>
        <w:rPr>
          <w:w w:val="100"/>
        </w:rPr>
        <w:t>补选</w:t>
      </w:r>
      <w:r>
        <w:rPr>
          <w:spacing w:val="-3"/>
          <w:w w:val="100"/>
        </w:rPr>
        <w:t>第</w:t>
      </w:r>
      <w:r>
        <w:rPr>
          <w:w w:val="100"/>
        </w:rPr>
        <w:t>一届</w:t>
      </w:r>
      <w:r>
        <w:rPr>
          <w:spacing w:val="-3"/>
          <w:w w:val="100"/>
        </w:rPr>
        <w:t>董</w:t>
      </w:r>
      <w:r>
        <w:rPr>
          <w:w w:val="100"/>
        </w:rPr>
        <w:t>事会审</w:t>
      </w:r>
      <w:r>
        <w:rPr>
          <w:spacing w:val="-3"/>
          <w:w w:val="100"/>
        </w:rPr>
        <w:t>计</w:t>
      </w:r>
      <w:r>
        <w:rPr>
          <w:w w:val="100"/>
        </w:rPr>
        <w:t>委员</w:t>
      </w:r>
      <w:r>
        <w:rPr>
          <w:spacing w:val="-3"/>
          <w:w w:val="100"/>
        </w:rPr>
        <w:t>会</w:t>
      </w:r>
      <w:r>
        <w:rPr>
          <w:w w:val="100"/>
        </w:rPr>
        <w:t>委员</w:t>
      </w:r>
      <w:r>
        <w:rPr>
          <w:spacing w:val="-3"/>
          <w:w w:val="100"/>
        </w:rPr>
        <w:t>的议</w:t>
      </w:r>
      <w:r>
        <w:rPr>
          <w:w w:val="100"/>
        </w:rPr>
        <w:t>案》</w:t>
      </w:r>
    </w:p>
    <w:p>
      <w:pPr>
        <w:pStyle w:val="BodyText"/>
        <w:spacing w:line="240" w:lineRule="auto" w:before="164"/>
        <w:ind w:left="576" w:right="0"/>
        <w:jc w:val="left"/>
      </w:pPr>
      <w:r>
        <w:rPr>
          <w:w w:val="100"/>
        </w:rPr>
        <w:t>（</w:t>
      </w:r>
      <w:r>
        <w:rPr>
          <w:rFonts w:ascii="Arial" w:hAnsi="Arial" w:cs="Arial" w:eastAsia="Arial" w:hint="default"/>
          <w:spacing w:val="-1"/>
          <w:w w:val="100"/>
        </w:rPr>
        <w:t>2</w:t>
      </w:r>
      <w:r>
        <w:rPr>
          <w:spacing w:val="-111"/>
          <w:w w:val="100"/>
        </w:rPr>
        <w:t>）</w:t>
      </w:r>
      <w:r>
        <w:rPr>
          <w:w w:val="100"/>
        </w:rPr>
        <w:t>《关</w:t>
      </w:r>
      <w:r>
        <w:rPr>
          <w:spacing w:val="-3"/>
          <w:w w:val="100"/>
        </w:rPr>
        <w:t>于</w:t>
      </w:r>
      <w:r>
        <w:rPr>
          <w:w w:val="100"/>
        </w:rPr>
        <w:t>补选</w:t>
      </w:r>
      <w:r>
        <w:rPr>
          <w:spacing w:val="-3"/>
          <w:w w:val="100"/>
        </w:rPr>
        <w:t>第</w:t>
      </w:r>
      <w:r>
        <w:rPr>
          <w:w w:val="100"/>
        </w:rPr>
        <w:t>一届</w:t>
      </w:r>
      <w:r>
        <w:rPr>
          <w:spacing w:val="-3"/>
          <w:w w:val="100"/>
        </w:rPr>
        <w:t>董</w:t>
      </w:r>
      <w:r>
        <w:rPr>
          <w:w w:val="100"/>
        </w:rPr>
        <w:t>事会提</w:t>
      </w:r>
      <w:r>
        <w:rPr>
          <w:spacing w:val="-3"/>
          <w:w w:val="100"/>
        </w:rPr>
        <w:t>名</w:t>
      </w:r>
      <w:r>
        <w:rPr>
          <w:w w:val="100"/>
        </w:rPr>
        <w:t>委员</w:t>
      </w:r>
      <w:r>
        <w:rPr>
          <w:spacing w:val="-3"/>
          <w:w w:val="100"/>
        </w:rPr>
        <w:t>会</w:t>
      </w:r>
      <w:r>
        <w:rPr>
          <w:w w:val="100"/>
        </w:rPr>
        <w:t>委员</w:t>
      </w:r>
      <w:r>
        <w:rPr>
          <w:spacing w:val="-3"/>
          <w:w w:val="100"/>
        </w:rPr>
        <w:t>的议</w:t>
      </w:r>
      <w:r>
        <w:rPr>
          <w:w w:val="100"/>
        </w:rPr>
        <w:t>案》</w:t>
      </w:r>
    </w:p>
    <w:p>
      <w:pPr>
        <w:pStyle w:val="BodyText"/>
        <w:spacing w:line="240" w:lineRule="auto" w:before="164"/>
        <w:ind w:left="576" w:right="0"/>
        <w:jc w:val="left"/>
      </w:pPr>
      <w:r>
        <w:rPr>
          <w:w w:val="100"/>
        </w:rPr>
        <w:t>（</w:t>
      </w:r>
      <w:r>
        <w:rPr>
          <w:rFonts w:ascii="Arial" w:hAnsi="Arial" w:cs="Arial" w:eastAsia="Arial" w:hint="default"/>
          <w:spacing w:val="-1"/>
          <w:w w:val="100"/>
        </w:rPr>
        <w:t>3</w:t>
      </w:r>
      <w:r>
        <w:rPr>
          <w:spacing w:val="-111"/>
          <w:w w:val="100"/>
        </w:rPr>
        <w:t>）</w:t>
      </w:r>
      <w:r>
        <w:rPr>
          <w:w w:val="100"/>
        </w:rPr>
        <w:t>《关</w:t>
      </w:r>
      <w:r>
        <w:rPr>
          <w:spacing w:val="-3"/>
          <w:w w:val="100"/>
        </w:rPr>
        <w:t>于</w:t>
      </w:r>
      <w:r>
        <w:rPr>
          <w:w w:val="100"/>
        </w:rPr>
        <w:t>补选</w:t>
      </w:r>
      <w:r>
        <w:rPr>
          <w:spacing w:val="-3"/>
          <w:w w:val="100"/>
        </w:rPr>
        <w:t>第</w:t>
      </w:r>
      <w:r>
        <w:rPr>
          <w:w w:val="100"/>
        </w:rPr>
        <w:t>一届</w:t>
      </w:r>
      <w:r>
        <w:rPr>
          <w:spacing w:val="-3"/>
          <w:w w:val="100"/>
        </w:rPr>
        <w:t>董</w:t>
      </w:r>
      <w:r>
        <w:rPr>
          <w:w w:val="100"/>
        </w:rPr>
        <w:t>事会薪</w:t>
      </w:r>
      <w:r>
        <w:rPr>
          <w:spacing w:val="-3"/>
          <w:w w:val="100"/>
        </w:rPr>
        <w:t>酬</w:t>
      </w:r>
      <w:r>
        <w:rPr>
          <w:w w:val="100"/>
        </w:rPr>
        <w:t>与考</w:t>
      </w:r>
      <w:r>
        <w:rPr>
          <w:spacing w:val="-3"/>
          <w:w w:val="100"/>
        </w:rPr>
        <w:t>核</w:t>
      </w:r>
      <w:r>
        <w:rPr>
          <w:w w:val="100"/>
        </w:rPr>
        <w:t>委员</w:t>
      </w:r>
      <w:r>
        <w:rPr>
          <w:spacing w:val="-3"/>
          <w:w w:val="100"/>
        </w:rPr>
        <w:t>会委</w:t>
      </w:r>
      <w:r>
        <w:rPr>
          <w:w w:val="100"/>
        </w:rPr>
        <w:t>员的议</w:t>
      </w:r>
      <w:r>
        <w:rPr>
          <w:spacing w:val="-3"/>
          <w:w w:val="100"/>
        </w:rPr>
        <w:t>案</w:t>
      </w:r>
      <w:r>
        <w:rPr>
          <w:w w:val="100"/>
        </w:rPr>
        <w:t>》</w:t>
      </w:r>
    </w:p>
    <w:p>
      <w:pPr>
        <w:pStyle w:val="BodyText"/>
        <w:spacing w:line="369" w:lineRule="auto" w:before="164"/>
        <w:ind w:left="576" w:right="100"/>
        <w:jc w:val="left"/>
      </w:pPr>
      <w:r>
        <w:rPr>
          <w:spacing w:val="-6"/>
          <w:w w:val="100"/>
        </w:rPr>
        <w:t>（</w:t>
      </w:r>
      <w:r>
        <w:rPr>
          <w:rFonts w:ascii="Arial" w:hAnsi="Arial" w:cs="Arial" w:eastAsia="Arial" w:hint="default"/>
          <w:spacing w:val="-6"/>
          <w:w w:val="100"/>
        </w:rPr>
        <w:t>4</w:t>
      </w:r>
      <w:r>
        <w:rPr>
          <w:spacing w:val="-6"/>
          <w:w w:val="100"/>
        </w:rPr>
        <w:t>）《关于补选第一届董事会战略委员会委员的议案》</w:t>
      </w:r>
      <w:r>
        <w:rPr>
          <w:spacing w:val="-94"/>
          <w:w w:val="100"/>
        </w:rPr>
        <w:t> </w:t>
      </w:r>
      <w:r>
        <w:rPr>
          <w:spacing w:val="-94"/>
          <w:w w:val="100"/>
        </w:rPr>
      </w:r>
      <w:r>
        <w:rPr>
          <w:rFonts w:ascii="Arial" w:hAnsi="Arial" w:cs="Arial" w:eastAsia="Arial" w:hint="default"/>
        </w:rPr>
        <w:t>5</w:t>
      </w:r>
      <w:r>
        <w:rPr/>
        <w:t>、第一届董事会第十四次会议</w:t>
      </w:r>
      <w:r>
        <w:rPr>
          <w:w w:val="100"/>
        </w:rPr>
        <w:t> </w:t>
      </w:r>
      <w:r>
        <w:rPr/>
        <w:t>第一届董事会第十四次会议于</w:t>
      </w:r>
      <w:r>
        <w:rPr>
          <w:rFonts w:ascii="Arial" w:hAnsi="Arial" w:cs="Arial" w:eastAsia="Arial" w:hint="default"/>
        </w:rPr>
        <w:t>2010</w:t>
      </w:r>
      <w:r>
        <w:rPr/>
        <w:t>年</w:t>
      </w:r>
      <w:r>
        <w:rPr>
          <w:rFonts w:ascii="Arial" w:hAnsi="Arial" w:cs="Arial" w:eastAsia="Arial" w:hint="default"/>
        </w:rPr>
        <w:t>3</w:t>
      </w:r>
      <w:r>
        <w:rPr/>
        <w:t>月</w:t>
      </w:r>
      <w:r>
        <w:rPr>
          <w:rFonts w:ascii="Arial" w:hAnsi="Arial" w:cs="Arial" w:eastAsia="Arial" w:hint="default"/>
        </w:rPr>
        <w:t>16</w:t>
      </w:r>
      <w:r>
        <w:rPr/>
        <w:t>日于公司会议室以现场表决方式召开，会</w:t>
      </w:r>
    </w:p>
    <w:p>
      <w:pPr>
        <w:pStyle w:val="BodyText"/>
        <w:spacing w:line="379" w:lineRule="auto" w:before="31"/>
        <w:ind w:left="576" w:right="0" w:hanging="440"/>
        <w:jc w:val="left"/>
      </w:pPr>
      <w:r>
        <w:rPr/>
        <w:t>议审议通过了《关于对子公司东营安诺其纺织材料有限公司增资的决议》议案。</w:t>
      </w:r>
      <w:r>
        <w:rPr>
          <w:w w:val="100"/>
        </w:rPr>
        <w:t> </w:t>
      </w:r>
      <w:r>
        <w:rPr>
          <w:rFonts w:ascii="Arial" w:hAnsi="Arial" w:cs="Arial" w:eastAsia="Arial" w:hint="default"/>
        </w:rPr>
        <w:t>6</w:t>
      </w:r>
      <w:r>
        <w:rPr/>
        <w:t>、第一届董事会第十五次会议</w:t>
      </w:r>
      <w:r>
        <w:rPr>
          <w:w w:val="100"/>
        </w:rPr>
        <w:t> </w:t>
      </w:r>
      <w:r>
        <w:rPr/>
        <w:t>第一届董事会第十五次会议于</w:t>
      </w:r>
      <w:r>
        <w:rPr>
          <w:rFonts w:ascii="Arial" w:hAnsi="Arial" w:cs="Arial" w:eastAsia="Arial" w:hint="default"/>
        </w:rPr>
        <w:t>2010</w:t>
      </w:r>
      <w:r>
        <w:rPr/>
        <w:t>年</w:t>
      </w:r>
      <w:r>
        <w:rPr>
          <w:rFonts w:ascii="Arial" w:hAnsi="Arial" w:cs="Arial" w:eastAsia="Arial" w:hint="default"/>
        </w:rPr>
        <w:t>4</w:t>
      </w:r>
      <w:r>
        <w:rPr/>
        <w:t>月</w:t>
      </w:r>
      <w:r>
        <w:rPr>
          <w:rFonts w:ascii="Arial" w:hAnsi="Arial" w:cs="Arial" w:eastAsia="Arial" w:hint="default"/>
        </w:rPr>
        <w:t>28</w:t>
      </w:r>
      <w:r>
        <w:rPr/>
        <w:t>日于公司会议室以现场表决方式召开，会</w:t>
      </w:r>
    </w:p>
    <w:p>
      <w:pPr>
        <w:pStyle w:val="BodyText"/>
        <w:spacing w:line="240" w:lineRule="auto" w:before="22"/>
        <w:ind w:right="0"/>
        <w:jc w:val="left"/>
      </w:pPr>
      <w:r>
        <w:rPr/>
        <w:t>议审议通过了《公司</w:t>
      </w:r>
      <w:r>
        <w:rPr>
          <w:rFonts w:ascii="Arial" w:hAnsi="Arial" w:cs="Arial" w:eastAsia="Arial" w:hint="default"/>
        </w:rPr>
        <w:t>2010</w:t>
      </w:r>
      <w:r>
        <w:rPr/>
        <w:t>年第一季度报告》议案。</w:t>
      </w:r>
    </w:p>
    <w:p>
      <w:pPr>
        <w:pStyle w:val="BodyText"/>
        <w:spacing w:line="369" w:lineRule="auto" w:before="164"/>
        <w:ind w:left="576" w:right="0"/>
        <w:jc w:val="left"/>
      </w:pPr>
      <w:r>
        <w:rPr>
          <w:rFonts w:ascii="Arial" w:hAnsi="Arial" w:cs="Arial" w:eastAsia="Arial" w:hint="default"/>
        </w:rPr>
        <w:t>7</w:t>
      </w:r>
      <w:r>
        <w:rPr/>
        <w:t>、第一届董事会第十六次会议</w:t>
      </w:r>
      <w:r>
        <w:rPr>
          <w:w w:val="100"/>
        </w:rPr>
        <w:t> </w:t>
      </w:r>
      <w:r>
        <w:rPr>
          <w:spacing w:val="2"/>
        </w:rPr>
        <w:t>第一届董事会第十六次会议于</w:t>
      </w:r>
      <w:r>
        <w:rPr>
          <w:rFonts w:ascii="Arial" w:hAnsi="Arial" w:cs="Arial" w:eastAsia="Arial" w:hint="default"/>
          <w:spacing w:val="2"/>
        </w:rPr>
        <w:t>2010</w:t>
      </w:r>
      <w:r>
        <w:rPr>
          <w:spacing w:val="2"/>
        </w:rPr>
        <w:t>年</w:t>
      </w:r>
      <w:r>
        <w:rPr>
          <w:rFonts w:ascii="Arial" w:hAnsi="Arial" w:cs="Arial" w:eastAsia="Arial" w:hint="default"/>
          <w:spacing w:val="2"/>
        </w:rPr>
        <w:t>5</w:t>
      </w:r>
      <w:r>
        <w:rPr>
          <w:spacing w:val="2"/>
        </w:rPr>
        <w:t>月</w:t>
      </w:r>
      <w:r>
        <w:rPr>
          <w:rFonts w:ascii="Arial" w:hAnsi="Arial" w:cs="Arial" w:eastAsia="Arial" w:hint="default"/>
          <w:spacing w:val="2"/>
        </w:rPr>
        <w:t>17</w:t>
      </w:r>
      <w:r>
        <w:rPr>
          <w:spacing w:val="2"/>
        </w:rPr>
        <w:t>日上午</w:t>
      </w:r>
      <w:r>
        <w:rPr>
          <w:rFonts w:ascii="Arial" w:hAnsi="Arial" w:cs="Arial" w:eastAsia="Arial" w:hint="default"/>
          <w:spacing w:val="2"/>
        </w:rPr>
        <w:t>9</w:t>
      </w:r>
      <w:r>
        <w:rPr>
          <w:spacing w:val="2"/>
        </w:rPr>
        <w:t>时</w:t>
      </w:r>
      <w:r>
        <w:rPr>
          <w:rFonts w:ascii="Arial" w:hAnsi="Arial" w:cs="Arial" w:eastAsia="Arial" w:hint="default"/>
          <w:spacing w:val="2"/>
        </w:rPr>
        <w:t>30</w:t>
      </w:r>
      <w:r>
        <w:rPr>
          <w:spacing w:val="2"/>
        </w:rPr>
        <w:t>分在公司会议室以现场会议</w:t>
      </w:r>
    </w:p>
    <w:p>
      <w:pPr>
        <w:pStyle w:val="BodyText"/>
        <w:spacing w:line="240" w:lineRule="auto" w:before="31"/>
        <w:ind w:right="0"/>
        <w:jc w:val="left"/>
      </w:pPr>
      <w:r>
        <w:rPr/>
        <w:t>方式召开，会议审议通过了如下议案：</w:t>
      </w:r>
    </w:p>
    <w:p>
      <w:pPr>
        <w:pStyle w:val="BodyText"/>
        <w:spacing w:line="240" w:lineRule="auto" w:before="180"/>
        <w:ind w:left="576" w:right="0"/>
        <w:jc w:val="left"/>
      </w:pPr>
      <w:r>
        <w:rPr>
          <w:w w:val="100"/>
        </w:rPr>
        <w:t>（</w:t>
      </w:r>
      <w:r>
        <w:rPr>
          <w:rFonts w:ascii="Arial" w:hAnsi="Arial" w:cs="Arial" w:eastAsia="Arial" w:hint="default"/>
          <w:spacing w:val="-1"/>
          <w:w w:val="100"/>
        </w:rPr>
        <w:t>1</w:t>
      </w:r>
      <w:r>
        <w:rPr>
          <w:spacing w:val="-111"/>
          <w:w w:val="100"/>
        </w:rPr>
        <w:t>）</w:t>
      </w:r>
      <w:r>
        <w:rPr>
          <w:w w:val="100"/>
        </w:rPr>
        <w:t>《关</w:t>
      </w:r>
      <w:r>
        <w:rPr>
          <w:spacing w:val="-3"/>
          <w:w w:val="100"/>
        </w:rPr>
        <w:t>于</w:t>
      </w:r>
      <w:r>
        <w:rPr>
          <w:w w:val="100"/>
        </w:rPr>
        <w:t>公司</w:t>
      </w:r>
      <w:r>
        <w:rPr>
          <w:spacing w:val="-3"/>
          <w:w w:val="100"/>
        </w:rPr>
        <w:t>首</w:t>
      </w:r>
      <w:r>
        <w:rPr>
          <w:w w:val="100"/>
        </w:rPr>
        <w:t>次公</w:t>
      </w:r>
      <w:r>
        <w:rPr>
          <w:spacing w:val="-3"/>
          <w:w w:val="100"/>
        </w:rPr>
        <w:t>开</w:t>
      </w:r>
      <w:r>
        <w:rPr>
          <w:w w:val="100"/>
        </w:rPr>
        <w:t>发行股</w:t>
      </w:r>
      <w:r>
        <w:rPr>
          <w:spacing w:val="-3"/>
          <w:w w:val="100"/>
        </w:rPr>
        <w:t>票</w:t>
      </w:r>
      <w:r>
        <w:rPr>
          <w:w w:val="100"/>
        </w:rPr>
        <w:t>后注</w:t>
      </w:r>
      <w:r>
        <w:rPr>
          <w:spacing w:val="-3"/>
          <w:w w:val="100"/>
        </w:rPr>
        <w:t>册</w:t>
      </w:r>
      <w:r>
        <w:rPr>
          <w:w w:val="100"/>
        </w:rPr>
        <w:t>资本</w:t>
      </w:r>
      <w:r>
        <w:rPr>
          <w:spacing w:val="-3"/>
          <w:w w:val="100"/>
        </w:rPr>
        <w:t>变更</w:t>
      </w:r>
      <w:r>
        <w:rPr>
          <w:w w:val="100"/>
        </w:rPr>
        <w:t>的议案》</w:t>
      </w:r>
    </w:p>
    <w:p>
      <w:pPr>
        <w:pStyle w:val="BodyText"/>
        <w:spacing w:line="240" w:lineRule="auto" w:before="164"/>
        <w:ind w:left="576" w:right="0"/>
        <w:jc w:val="left"/>
      </w:pPr>
      <w:r>
        <w:rPr>
          <w:w w:val="100"/>
        </w:rPr>
        <w:t>（</w:t>
      </w:r>
      <w:r>
        <w:rPr>
          <w:rFonts w:ascii="Arial" w:hAnsi="Arial" w:cs="Arial" w:eastAsia="Arial" w:hint="default"/>
          <w:spacing w:val="-1"/>
          <w:w w:val="100"/>
        </w:rPr>
        <w:t>2</w:t>
      </w:r>
      <w:r>
        <w:rPr>
          <w:spacing w:val="-111"/>
          <w:w w:val="100"/>
        </w:rPr>
        <w:t>）</w:t>
      </w:r>
      <w:r>
        <w:rPr>
          <w:w w:val="100"/>
        </w:rPr>
        <w:t>《公</w:t>
      </w:r>
      <w:r>
        <w:rPr>
          <w:spacing w:val="-3"/>
          <w:w w:val="100"/>
        </w:rPr>
        <w:t>司</w:t>
      </w:r>
      <w:r>
        <w:rPr>
          <w:w w:val="100"/>
        </w:rPr>
        <w:t>章程</w:t>
      </w:r>
      <w:r>
        <w:rPr>
          <w:spacing w:val="-3"/>
          <w:w w:val="100"/>
        </w:rPr>
        <w:t>（</w:t>
      </w:r>
      <w:r>
        <w:rPr>
          <w:w w:val="100"/>
        </w:rPr>
        <w:t>草案</w:t>
      </w:r>
      <w:r>
        <w:rPr>
          <w:spacing w:val="-3"/>
          <w:w w:val="100"/>
        </w:rPr>
        <w:t>）</w:t>
      </w:r>
      <w:r>
        <w:rPr>
          <w:w w:val="100"/>
        </w:rPr>
        <w:t>修正案》</w:t>
      </w:r>
    </w:p>
    <w:p>
      <w:pPr>
        <w:pStyle w:val="BodyText"/>
        <w:spacing w:line="240" w:lineRule="auto" w:before="164"/>
        <w:ind w:left="576" w:right="0"/>
        <w:jc w:val="left"/>
      </w:pPr>
      <w:r>
        <w:rPr>
          <w:w w:val="100"/>
        </w:rPr>
        <w:t>（</w:t>
      </w:r>
      <w:r>
        <w:rPr>
          <w:rFonts w:ascii="Arial" w:hAnsi="Arial" w:cs="Arial" w:eastAsia="Arial" w:hint="default"/>
          <w:spacing w:val="-1"/>
          <w:w w:val="100"/>
        </w:rPr>
        <w:t>3</w:t>
      </w:r>
      <w:r>
        <w:rPr>
          <w:spacing w:val="-111"/>
          <w:w w:val="100"/>
        </w:rPr>
        <w:t>）</w:t>
      </w:r>
      <w:r>
        <w:rPr>
          <w:w w:val="100"/>
        </w:rPr>
        <w:t>《关</w:t>
      </w:r>
      <w:r>
        <w:rPr>
          <w:spacing w:val="-3"/>
          <w:w w:val="100"/>
        </w:rPr>
        <w:t>于</w:t>
      </w:r>
      <w:r>
        <w:rPr>
          <w:w w:val="100"/>
        </w:rPr>
        <w:t>设立</w:t>
      </w:r>
      <w:r>
        <w:rPr>
          <w:spacing w:val="-3"/>
          <w:w w:val="100"/>
        </w:rPr>
        <w:t>募</w:t>
      </w:r>
      <w:r>
        <w:rPr>
          <w:w w:val="100"/>
        </w:rPr>
        <w:t>集资</w:t>
      </w:r>
      <w:r>
        <w:rPr>
          <w:spacing w:val="-3"/>
          <w:w w:val="100"/>
        </w:rPr>
        <w:t>金</w:t>
      </w:r>
      <w:r>
        <w:rPr>
          <w:w w:val="100"/>
        </w:rPr>
        <w:t>专用账</w:t>
      </w:r>
      <w:r>
        <w:rPr>
          <w:spacing w:val="-3"/>
          <w:w w:val="100"/>
        </w:rPr>
        <w:t>户</w:t>
      </w:r>
      <w:r>
        <w:rPr>
          <w:w w:val="100"/>
        </w:rPr>
        <w:t>的议</w:t>
      </w:r>
      <w:r>
        <w:rPr>
          <w:spacing w:val="-3"/>
          <w:w w:val="100"/>
        </w:rPr>
        <w:t>案</w:t>
      </w:r>
      <w:r>
        <w:rPr>
          <w:w w:val="100"/>
        </w:rPr>
        <w:t>》</w:t>
      </w:r>
    </w:p>
    <w:p>
      <w:pPr>
        <w:pStyle w:val="BodyText"/>
        <w:spacing w:line="240" w:lineRule="auto" w:before="164"/>
        <w:ind w:left="576" w:right="0"/>
        <w:jc w:val="left"/>
      </w:pPr>
      <w:r>
        <w:rPr>
          <w:w w:val="100"/>
        </w:rPr>
        <w:t>（</w:t>
      </w:r>
      <w:r>
        <w:rPr>
          <w:rFonts w:ascii="Arial" w:hAnsi="Arial" w:cs="Arial" w:eastAsia="Arial" w:hint="default"/>
          <w:spacing w:val="-1"/>
          <w:w w:val="100"/>
        </w:rPr>
        <w:t>4</w:t>
      </w:r>
      <w:r>
        <w:rPr>
          <w:spacing w:val="-111"/>
          <w:w w:val="100"/>
        </w:rPr>
        <w:t>）</w:t>
      </w:r>
      <w:r>
        <w:rPr>
          <w:w w:val="100"/>
        </w:rPr>
        <w:t>《关</w:t>
      </w:r>
      <w:r>
        <w:rPr>
          <w:spacing w:val="-3"/>
          <w:w w:val="100"/>
        </w:rPr>
        <w:t>于</w:t>
      </w:r>
      <w:r>
        <w:rPr>
          <w:w w:val="100"/>
        </w:rPr>
        <w:t>签署</w:t>
      </w:r>
      <w:r>
        <w:rPr>
          <w:spacing w:val="-3"/>
          <w:w w:val="100"/>
        </w:rPr>
        <w:t>募</w:t>
      </w:r>
      <w:r>
        <w:rPr>
          <w:w w:val="100"/>
        </w:rPr>
        <w:t>集资</w:t>
      </w:r>
      <w:r>
        <w:rPr>
          <w:spacing w:val="-3"/>
          <w:w w:val="100"/>
        </w:rPr>
        <w:t>金</w:t>
      </w:r>
      <w:r>
        <w:rPr>
          <w:w w:val="100"/>
        </w:rPr>
        <w:t>三方监</w:t>
      </w:r>
      <w:r>
        <w:rPr>
          <w:spacing w:val="-3"/>
          <w:w w:val="100"/>
        </w:rPr>
        <w:t>管</w:t>
      </w:r>
      <w:r>
        <w:rPr>
          <w:w w:val="100"/>
        </w:rPr>
        <w:t>协议</w:t>
      </w:r>
      <w:r>
        <w:rPr>
          <w:spacing w:val="-3"/>
          <w:w w:val="100"/>
        </w:rPr>
        <w:t>的</w:t>
      </w:r>
      <w:r>
        <w:rPr>
          <w:w w:val="100"/>
        </w:rPr>
        <w:t>议案》</w:t>
      </w:r>
    </w:p>
    <w:p>
      <w:pPr>
        <w:pStyle w:val="BodyText"/>
        <w:spacing w:line="240" w:lineRule="auto" w:before="164"/>
        <w:ind w:left="576" w:right="0"/>
        <w:jc w:val="left"/>
      </w:pPr>
      <w:r>
        <w:rPr>
          <w:w w:val="100"/>
        </w:rPr>
        <w:t>（</w:t>
      </w:r>
      <w:r>
        <w:rPr>
          <w:rFonts w:ascii="Arial" w:hAnsi="Arial" w:cs="Arial" w:eastAsia="Arial" w:hint="default"/>
          <w:spacing w:val="-1"/>
          <w:w w:val="100"/>
        </w:rPr>
        <w:t>5</w:t>
      </w:r>
      <w:r>
        <w:rPr>
          <w:spacing w:val="-111"/>
          <w:w w:val="100"/>
        </w:rPr>
        <w:t>）</w:t>
      </w:r>
      <w:r>
        <w:rPr>
          <w:w w:val="100"/>
        </w:rPr>
        <w:t>《关</w:t>
      </w:r>
      <w:r>
        <w:rPr>
          <w:spacing w:val="-3"/>
          <w:w w:val="100"/>
        </w:rPr>
        <w:t>于</w:t>
      </w:r>
      <w:r>
        <w:rPr>
          <w:w w:val="100"/>
        </w:rPr>
        <w:t>用募</w:t>
      </w:r>
      <w:r>
        <w:rPr>
          <w:spacing w:val="-3"/>
          <w:w w:val="100"/>
        </w:rPr>
        <w:t>集</w:t>
      </w:r>
      <w:r>
        <w:rPr>
          <w:w w:val="100"/>
        </w:rPr>
        <w:t>资金</w:t>
      </w:r>
      <w:r>
        <w:rPr>
          <w:spacing w:val="-3"/>
          <w:w w:val="100"/>
        </w:rPr>
        <w:t>置</w:t>
      </w:r>
      <w:r>
        <w:rPr>
          <w:w w:val="100"/>
        </w:rPr>
        <w:t>换预选</w:t>
      </w:r>
      <w:r>
        <w:rPr>
          <w:spacing w:val="-3"/>
          <w:w w:val="100"/>
        </w:rPr>
        <w:t>投</w:t>
      </w:r>
      <w:r>
        <w:rPr>
          <w:w w:val="100"/>
        </w:rPr>
        <w:t>入募</w:t>
      </w:r>
      <w:r>
        <w:rPr>
          <w:spacing w:val="-3"/>
          <w:w w:val="100"/>
        </w:rPr>
        <w:t>集</w:t>
      </w:r>
      <w:r>
        <w:rPr>
          <w:w w:val="100"/>
        </w:rPr>
        <w:t>资金</w:t>
      </w:r>
      <w:r>
        <w:rPr>
          <w:spacing w:val="-3"/>
          <w:w w:val="100"/>
        </w:rPr>
        <w:t>项目</w:t>
      </w:r>
      <w:r>
        <w:rPr>
          <w:w w:val="100"/>
        </w:rPr>
        <w:t>的自筹</w:t>
      </w:r>
      <w:r>
        <w:rPr>
          <w:spacing w:val="-3"/>
          <w:w w:val="100"/>
        </w:rPr>
        <w:t>资</w:t>
      </w:r>
      <w:r>
        <w:rPr>
          <w:w w:val="100"/>
        </w:rPr>
        <w:t>金的</w:t>
      </w:r>
      <w:r>
        <w:rPr>
          <w:spacing w:val="-3"/>
          <w:w w:val="100"/>
        </w:rPr>
        <w:t>议</w:t>
      </w:r>
      <w:r>
        <w:rPr>
          <w:w w:val="100"/>
        </w:rPr>
        <w:t>案》</w:t>
      </w:r>
    </w:p>
    <w:p>
      <w:pPr>
        <w:pStyle w:val="BodyText"/>
        <w:spacing w:line="240" w:lineRule="auto" w:before="164"/>
        <w:ind w:left="576" w:right="0"/>
        <w:jc w:val="left"/>
      </w:pPr>
      <w:r>
        <w:rPr>
          <w:w w:val="100"/>
        </w:rPr>
        <w:t>（</w:t>
      </w:r>
      <w:r>
        <w:rPr>
          <w:rFonts w:ascii="Arial" w:hAnsi="Arial" w:cs="Arial" w:eastAsia="Arial" w:hint="default"/>
          <w:spacing w:val="-1"/>
          <w:w w:val="100"/>
        </w:rPr>
        <w:t>6</w:t>
      </w:r>
      <w:r>
        <w:rPr>
          <w:spacing w:val="-111"/>
          <w:w w:val="100"/>
        </w:rPr>
        <w:t>）</w:t>
      </w:r>
      <w:r>
        <w:rPr>
          <w:w w:val="100"/>
        </w:rPr>
        <w:t>《关</w:t>
      </w:r>
      <w:r>
        <w:rPr>
          <w:spacing w:val="-3"/>
          <w:w w:val="100"/>
        </w:rPr>
        <w:t>于</w:t>
      </w:r>
      <w:r>
        <w:rPr>
          <w:w w:val="100"/>
        </w:rPr>
        <w:t>使用</w:t>
      </w:r>
      <w:r>
        <w:rPr>
          <w:spacing w:val="-3"/>
          <w:w w:val="100"/>
        </w:rPr>
        <w:t>部</w:t>
      </w:r>
      <w:r>
        <w:rPr>
          <w:w w:val="100"/>
        </w:rPr>
        <w:t>分超</w:t>
      </w:r>
      <w:r>
        <w:rPr>
          <w:spacing w:val="-3"/>
          <w:w w:val="100"/>
        </w:rPr>
        <w:t>募</w:t>
      </w:r>
      <w:r>
        <w:rPr>
          <w:w w:val="100"/>
        </w:rPr>
        <w:t>资金偿</w:t>
      </w:r>
      <w:r>
        <w:rPr>
          <w:spacing w:val="-3"/>
          <w:w w:val="100"/>
        </w:rPr>
        <w:t>还</w:t>
      </w:r>
      <w:r>
        <w:rPr>
          <w:w w:val="100"/>
        </w:rPr>
        <w:t>银行</w:t>
      </w:r>
      <w:r>
        <w:rPr>
          <w:spacing w:val="-3"/>
          <w:w w:val="100"/>
        </w:rPr>
        <w:t>贷</w:t>
      </w:r>
      <w:r>
        <w:rPr>
          <w:w w:val="100"/>
        </w:rPr>
        <w:t>款的</w:t>
      </w:r>
      <w:r>
        <w:rPr>
          <w:spacing w:val="-3"/>
          <w:w w:val="100"/>
        </w:rPr>
        <w:t>议案</w:t>
      </w:r>
      <w:r>
        <w:rPr>
          <w:w w:val="100"/>
        </w:rPr>
        <w:t>》</w:t>
      </w:r>
    </w:p>
    <w:p>
      <w:pPr>
        <w:pStyle w:val="BodyText"/>
        <w:spacing w:line="240" w:lineRule="auto" w:before="164"/>
        <w:ind w:left="576" w:right="0"/>
        <w:jc w:val="left"/>
      </w:pPr>
      <w:r>
        <w:rPr>
          <w:w w:val="100"/>
        </w:rPr>
        <w:t>（</w:t>
      </w:r>
      <w:r>
        <w:rPr>
          <w:rFonts w:ascii="Arial" w:hAnsi="Arial" w:cs="Arial" w:eastAsia="Arial" w:hint="default"/>
          <w:spacing w:val="-1"/>
          <w:w w:val="100"/>
        </w:rPr>
        <w:t>7</w:t>
      </w:r>
      <w:r>
        <w:rPr>
          <w:spacing w:val="-111"/>
          <w:w w:val="100"/>
        </w:rPr>
        <w:t>）</w:t>
      </w:r>
      <w:r>
        <w:rPr>
          <w:w w:val="100"/>
        </w:rPr>
        <w:t>《关</w:t>
      </w:r>
      <w:r>
        <w:rPr>
          <w:spacing w:val="-3"/>
          <w:w w:val="100"/>
        </w:rPr>
        <w:t>于</w:t>
      </w:r>
      <w:r>
        <w:rPr>
          <w:w w:val="100"/>
        </w:rPr>
        <w:t>对子</w:t>
      </w:r>
      <w:r>
        <w:rPr>
          <w:spacing w:val="-3"/>
          <w:w w:val="100"/>
        </w:rPr>
        <w:t>公</w:t>
      </w:r>
      <w:r>
        <w:rPr>
          <w:w w:val="100"/>
        </w:rPr>
        <w:t>司东</w:t>
      </w:r>
      <w:r>
        <w:rPr>
          <w:spacing w:val="-3"/>
          <w:w w:val="100"/>
        </w:rPr>
        <w:t>营</w:t>
      </w:r>
      <w:r>
        <w:rPr>
          <w:w w:val="100"/>
        </w:rPr>
        <w:t>安诺其</w:t>
      </w:r>
      <w:r>
        <w:rPr>
          <w:spacing w:val="-3"/>
          <w:w w:val="100"/>
        </w:rPr>
        <w:t>纺</w:t>
      </w:r>
      <w:r>
        <w:rPr>
          <w:w w:val="100"/>
        </w:rPr>
        <w:t>织材</w:t>
      </w:r>
      <w:r>
        <w:rPr>
          <w:spacing w:val="-3"/>
          <w:w w:val="100"/>
        </w:rPr>
        <w:t>料</w:t>
      </w:r>
      <w:r>
        <w:rPr>
          <w:w w:val="100"/>
        </w:rPr>
        <w:t>有限</w:t>
      </w:r>
      <w:r>
        <w:rPr>
          <w:spacing w:val="-3"/>
          <w:w w:val="100"/>
        </w:rPr>
        <w:t>公司</w:t>
      </w:r>
      <w:r>
        <w:rPr>
          <w:w w:val="100"/>
        </w:rPr>
        <w:t>增资的</w:t>
      </w:r>
      <w:r>
        <w:rPr>
          <w:spacing w:val="-3"/>
          <w:w w:val="100"/>
        </w:rPr>
        <w:t>议</w:t>
      </w:r>
      <w:r>
        <w:rPr>
          <w:w w:val="100"/>
        </w:rPr>
        <w:t>案》</w:t>
      </w:r>
    </w:p>
    <w:p>
      <w:pPr>
        <w:pStyle w:val="BodyText"/>
        <w:spacing w:line="369" w:lineRule="auto" w:before="164"/>
        <w:ind w:left="576" w:right="0"/>
        <w:jc w:val="left"/>
      </w:pPr>
      <w:r>
        <w:rPr>
          <w:spacing w:val="-5"/>
          <w:w w:val="100"/>
        </w:rPr>
        <w:t>（</w:t>
      </w:r>
      <w:r>
        <w:rPr>
          <w:rFonts w:ascii="Arial" w:hAnsi="Arial" w:cs="Arial" w:eastAsia="Arial" w:hint="default"/>
          <w:spacing w:val="-5"/>
          <w:w w:val="100"/>
        </w:rPr>
        <w:t>8</w:t>
      </w:r>
      <w:r>
        <w:rPr>
          <w:spacing w:val="-5"/>
          <w:w w:val="100"/>
        </w:rPr>
        <w:t>）《关于对子公司烟台安诺其纺织材料有限公司增资的议案》</w:t>
      </w:r>
      <w:r>
        <w:rPr>
          <w:spacing w:val="-102"/>
          <w:w w:val="100"/>
        </w:rPr>
        <w:t> </w:t>
      </w:r>
      <w:r>
        <w:rPr>
          <w:spacing w:val="-102"/>
          <w:w w:val="100"/>
        </w:rPr>
      </w:r>
      <w:r>
        <w:rPr>
          <w:rFonts w:ascii="Arial" w:hAnsi="Arial" w:cs="Arial" w:eastAsia="Arial" w:hint="default"/>
        </w:rPr>
        <w:t>8</w:t>
      </w:r>
      <w:r>
        <w:rPr/>
        <w:t>、第一届董事会第十七次会议</w:t>
      </w:r>
      <w:r>
        <w:rPr>
          <w:w w:val="100"/>
        </w:rPr>
        <w:t> </w:t>
      </w:r>
      <w:r>
        <w:rPr>
          <w:spacing w:val="2"/>
        </w:rPr>
        <w:t>第一届董事会第十七次会议于</w:t>
      </w:r>
      <w:r>
        <w:rPr>
          <w:rFonts w:ascii="Arial" w:hAnsi="Arial" w:cs="Arial" w:eastAsia="Arial" w:hint="default"/>
          <w:spacing w:val="2"/>
        </w:rPr>
        <w:t>2010</w:t>
      </w:r>
      <w:r>
        <w:rPr>
          <w:spacing w:val="2"/>
        </w:rPr>
        <w:t>年</w:t>
      </w:r>
      <w:r>
        <w:rPr>
          <w:rFonts w:ascii="Arial" w:hAnsi="Arial" w:cs="Arial" w:eastAsia="Arial" w:hint="default"/>
          <w:spacing w:val="2"/>
        </w:rPr>
        <w:t>6</w:t>
      </w:r>
      <w:r>
        <w:rPr>
          <w:spacing w:val="2"/>
        </w:rPr>
        <w:t>月</w:t>
      </w:r>
      <w:r>
        <w:rPr>
          <w:rFonts w:ascii="Arial" w:hAnsi="Arial" w:cs="Arial" w:eastAsia="Arial" w:hint="default"/>
          <w:spacing w:val="2"/>
        </w:rPr>
        <w:t>25</w:t>
      </w:r>
      <w:r>
        <w:rPr>
          <w:spacing w:val="2"/>
        </w:rPr>
        <w:t>日上午</w:t>
      </w:r>
      <w:r>
        <w:rPr>
          <w:rFonts w:ascii="Arial" w:hAnsi="Arial" w:cs="Arial" w:eastAsia="Arial" w:hint="default"/>
          <w:spacing w:val="2"/>
        </w:rPr>
        <w:t>9</w:t>
      </w:r>
      <w:r>
        <w:rPr>
          <w:spacing w:val="2"/>
        </w:rPr>
        <w:t>时</w:t>
      </w:r>
      <w:r>
        <w:rPr>
          <w:rFonts w:ascii="Arial" w:hAnsi="Arial" w:cs="Arial" w:eastAsia="Arial" w:hint="default"/>
          <w:spacing w:val="2"/>
        </w:rPr>
        <w:t>30</w:t>
      </w:r>
      <w:r>
        <w:rPr>
          <w:spacing w:val="2"/>
        </w:rPr>
        <w:t>分在公司会议室以书面通讯</w:t>
      </w:r>
    </w:p>
    <w:p>
      <w:pPr>
        <w:pStyle w:val="BodyText"/>
        <w:spacing w:line="240" w:lineRule="auto" w:before="31"/>
        <w:ind w:right="0"/>
        <w:jc w:val="left"/>
      </w:pPr>
      <w:r>
        <w:rPr/>
        <w:t>表决方式召开，会议审议通过了如下议案：</w:t>
      </w:r>
    </w:p>
    <w:p>
      <w:pPr>
        <w:pStyle w:val="BodyText"/>
        <w:spacing w:line="240" w:lineRule="auto" w:before="180"/>
        <w:ind w:left="576" w:right="0"/>
        <w:jc w:val="left"/>
      </w:pPr>
      <w:r>
        <w:rPr>
          <w:w w:val="100"/>
        </w:rPr>
        <w:t>（</w:t>
      </w:r>
      <w:r>
        <w:rPr>
          <w:rFonts w:ascii="Arial" w:hAnsi="Arial" w:cs="Arial" w:eastAsia="Arial" w:hint="default"/>
          <w:spacing w:val="-1"/>
          <w:w w:val="100"/>
        </w:rPr>
        <w:t>1</w:t>
      </w:r>
      <w:r>
        <w:rPr>
          <w:spacing w:val="-111"/>
          <w:w w:val="100"/>
        </w:rPr>
        <w:t>）</w:t>
      </w:r>
      <w:r>
        <w:rPr>
          <w:w w:val="100"/>
        </w:rPr>
        <w:t>《关</w:t>
      </w:r>
      <w:r>
        <w:rPr>
          <w:spacing w:val="-3"/>
          <w:w w:val="100"/>
        </w:rPr>
        <w:t>于</w:t>
      </w:r>
      <w:r>
        <w:rPr>
          <w:w w:val="100"/>
        </w:rPr>
        <w:t>提请</w:t>
      </w:r>
      <w:r>
        <w:rPr>
          <w:spacing w:val="-3"/>
          <w:w w:val="100"/>
        </w:rPr>
        <w:t>召</w:t>
      </w:r>
      <w:r>
        <w:rPr>
          <w:w w:val="100"/>
        </w:rPr>
        <w:t>开公</w:t>
      </w:r>
      <w:r>
        <w:rPr>
          <w:spacing w:val="-3"/>
          <w:w w:val="100"/>
        </w:rPr>
        <w:t>司</w:t>
      </w:r>
      <w:r>
        <w:rPr>
          <w:rFonts w:ascii="Arial" w:hAnsi="Arial" w:cs="Arial" w:eastAsia="Arial" w:hint="default"/>
          <w:spacing w:val="-1"/>
          <w:w w:val="100"/>
        </w:rPr>
        <w:t>2010</w:t>
      </w:r>
      <w:r>
        <w:rPr>
          <w:w w:val="100"/>
        </w:rPr>
        <w:t>年第二</w:t>
      </w:r>
      <w:r>
        <w:rPr>
          <w:spacing w:val="-3"/>
          <w:w w:val="100"/>
        </w:rPr>
        <w:t>次</w:t>
      </w:r>
      <w:r>
        <w:rPr>
          <w:w w:val="100"/>
        </w:rPr>
        <w:t>临时</w:t>
      </w:r>
      <w:r>
        <w:rPr>
          <w:spacing w:val="-3"/>
          <w:w w:val="100"/>
        </w:rPr>
        <w:t>股东</w:t>
      </w:r>
      <w:r>
        <w:rPr>
          <w:w w:val="100"/>
        </w:rPr>
        <w:t>大会的</w:t>
      </w:r>
      <w:r>
        <w:rPr>
          <w:spacing w:val="-3"/>
          <w:w w:val="100"/>
        </w:rPr>
        <w:t>议</w:t>
      </w:r>
      <w:r>
        <w:rPr>
          <w:w w:val="100"/>
        </w:rPr>
        <w:t>案》</w:t>
      </w:r>
    </w:p>
    <w:p>
      <w:pPr>
        <w:pStyle w:val="BodyText"/>
        <w:spacing w:line="240" w:lineRule="auto" w:before="164"/>
        <w:ind w:left="576" w:right="0"/>
        <w:jc w:val="left"/>
      </w:pPr>
      <w:r>
        <w:rPr>
          <w:w w:val="100"/>
        </w:rPr>
        <w:t>（</w:t>
      </w:r>
      <w:r>
        <w:rPr>
          <w:rFonts w:ascii="Arial" w:hAnsi="Arial" w:cs="Arial" w:eastAsia="Arial" w:hint="default"/>
          <w:spacing w:val="-1"/>
          <w:w w:val="100"/>
        </w:rPr>
        <w:t>2</w:t>
      </w:r>
      <w:r>
        <w:rPr>
          <w:spacing w:val="-111"/>
          <w:w w:val="100"/>
        </w:rPr>
        <w:t>）</w:t>
      </w:r>
      <w:r>
        <w:rPr>
          <w:w w:val="100"/>
        </w:rPr>
        <w:t>《关</w:t>
      </w:r>
      <w:r>
        <w:rPr>
          <w:spacing w:val="-3"/>
          <w:w w:val="100"/>
        </w:rPr>
        <w:t>于</w:t>
      </w:r>
      <w:r>
        <w:rPr>
          <w:w w:val="100"/>
        </w:rPr>
        <w:t>对子</w:t>
      </w:r>
      <w:r>
        <w:rPr>
          <w:spacing w:val="-3"/>
          <w:w w:val="100"/>
        </w:rPr>
        <w:t>公</w:t>
      </w:r>
      <w:r>
        <w:rPr>
          <w:w w:val="100"/>
        </w:rPr>
        <w:t>司东</w:t>
      </w:r>
      <w:r>
        <w:rPr>
          <w:spacing w:val="-3"/>
          <w:w w:val="100"/>
        </w:rPr>
        <w:t>营</w:t>
      </w:r>
      <w:r>
        <w:rPr>
          <w:w w:val="100"/>
        </w:rPr>
        <w:t>安诺其</w:t>
      </w:r>
      <w:r>
        <w:rPr>
          <w:spacing w:val="-3"/>
          <w:w w:val="100"/>
        </w:rPr>
        <w:t>纺</w:t>
      </w:r>
      <w:r>
        <w:rPr>
          <w:w w:val="100"/>
        </w:rPr>
        <w:t>织材</w:t>
      </w:r>
      <w:r>
        <w:rPr>
          <w:spacing w:val="-3"/>
          <w:w w:val="100"/>
        </w:rPr>
        <w:t>料</w:t>
      </w:r>
      <w:r>
        <w:rPr>
          <w:w w:val="100"/>
        </w:rPr>
        <w:t>有限</w:t>
      </w:r>
      <w:r>
        <w:rPr>
          <w:spacing w:val="-3"/>
          <w:w w:val="100"/>
        </w:rPr>
        <w:t>公司</w:t>
      </w:r>
      <w:r>
        <w:rPr>
          <w:w w:val="100"/>
        </w:rPr>
        <w:t>增资的</w:t>
      </w:r>
      <w:r>
        <w:rPr>
          <w:spacing w:val="-3"/>
          <w:w w:val="100"/>
        </w:rPr>
        <w:t>议</w:t>
      </w:r>
      <w:r>
        <w:rPr>
          <w:w w:val="100"/>
        </w:rPr>
        <w:t>案》</w:t>
      </w:r>
    </w:p>
    <w:p>
      <w:pPr>
        <w:pStyle w:val="BodyText"/>
        <w:spacing w:line="240" w:lineRule="auto" w:before="164"/>
        <w:ind w:left="576" w:right="0"/>
        <w:jc w:val="left"/>
      </w:pPr>
      <w:r>
        <w:rPr>
          <w:rFonts w:ascii="Arial" w:hAnsi="Arial" w:cs="Arial" w:eastAsia="Arial" w:hint="default"/>
        </w:rPr>
        <w:t>9</w:t>
      </w:r>
      <w:r>
        <w:rPr/>
        <w:t>、第一届董事会第十八次会议</w:t>
      </w:r>
    </w:p>
    <w:p>
      <w:pPr>
        <w:spacing w:after="0" w:line="240" w:lineRule="auto"/>
        <w:jc w:val="left"/>
        <w:sectPr>
          <w:footerReference w:type="default" r:id="rId44"/>
          <w:pgSz w:w="11900" w:h="16840"/>
          <w:pgMar w:footer="981" w:header="877" w:top="1100" w:bottom="1180" w:left="1660" w:right="1360"/>
          <w:pgNumType w:start="54"/>
        </w:sectPr>
      </w:pPr>
    </w:p>
    <w:p>
      <w:pPr>
        <w:spacing w:line="240" w:lineRule="auto" w:before="4"/>
        <w:rPr>
          <w:rFonts w:ascii="宋体" w:hAnsi="宋体" w:cs="宋体" w:eastAsia="宋体" w:hint="default"/>
          <w:sz w:val="26"/>
          <w:szCs w:val="26"/>
        </w:rPr>
      </w:pPr>
    </w:p>
    <w:p>
      <w:pPr>
        <w:pStyle w:val="BodyText"/>
        <w:spacing w:line="369" w:lineRule="auto"/>
        <w:ind w:right="33" w:firstLine="439"/>
        <w:jc w:val="left"/>
      </w:pPr>
      <w:r>
        <w:rPr/>
        <w:t>第一届董事会第十八次会议于</w:t>
      </w:r>
      <w:r>
        <w:rPr>
          <w:rFonts w:ascii="Arial" w:hAnsi="Arial" w:cs="Arial" w:eastAsia="Arial" w:hint="default"/>
        </w:rPr>
        <w:t>2010</w:t>
      </w:r>
      <w:r>
        <w:rPr/>
        <w:t>年</w:t>
      </w:r>
      <w:r>
        <w:rPr>
          <w:rFonts w:ascii="Arial" w:hAnsi="Arial" w:cs="Arial" w:eastAsia="Arial" w:hint="default"/>
        </w:rPr>
        <w:t>8</w:t>
      </w:r>
      <w:r>
        <w:rPr/>
        <w:t>月</w:t>
      </w:r>
      <w:r>
        <w:rPr>
          <w:rFonts w:ascii="Arial" w:hAnsi="Arial" w:cs="Arial" w:eastAsia="Arial" w:hint="default"/>
        </w:rPr>
        <w:t>19</w:t>
      </w:r>
      <w:r>
        <w:rPr/>
        <w:t>日以通讯方式召开，会议采取书面通讯表</w:t>
      </w:r>
      <w:r>
        <w:rPr>
          <w:w w:val="100"/>
        </w:rPr>
        <w:t> </w:t>
      </w:r>
      <w:r>
        <w:rPr/>
        <w:t>决方式表决，会议审议通过了如下议案：</w:t>
      </w:r>
    </w:p>
    <w:p>
      <w:pPr>
        <w:pStyle w:val="BodyText"/>
        <w:spacing w:line="240" w:lineRule="auto" w:before="61"/>
        <w:ind w:left="576" w:right="33"/>
        <w:jc w:val="left"/>
      </w:pPr>
      <w:r>
        <w:rPr>
          <w:w w:val="100"/>
        </w:rPr>
        <w:t>（</w:t>
      </w:r>
      <w:r>
        <w:rPr>
          <w:rFonts w:ascii="Arial" w:hAnsi="Arial" w:cs="Arial" w:eastAsia="Arial" w:hint="default"/>
          <w:spacing w:val="-1"/>
          <w:w w:val="100"/>
        </w:rPr>
        <w:t>1</w:t>
      </w:r>
      <w:r>
        <w:rPr>
          <w:spacing w:val="-111"/>
          <w:w w:val="100"/>
        </w:rPr>
        <w:t>）</w:t>
      </w:r>
      <w:r>
        <w:rPr>
          <w:w w:val="100"/>
        </w:rPr>
        <w:t>《上</w:t>
      </w:r>
      <w:r>
        <w:rPr>
          <w:spacing w:val="-3"/>
          <w:w w:val="100"/>
        </w:rPr>
        <w:t>海</w:t>
      </w:r>
      <w:r>
        <w:rPr>
          <w:w w:val="100"/>
        </w:rPr>
        <w:t>安诺</w:t>
      </w:r>
      <w:r>
        <w:rPr>
          <w:spacing w:val="-3"/>
          <w:w w:val="100"/>
        </w:rPr>
        <w:t>其</w:t>
      </w:r>
      <w:r>
        <w:rPr>
          <w:w w:val="100"/>
        </w:rPr>
        <w:t>纺织</w:t>
      </w:r>
      <w:r>
        <w:rPr>
          <w:spacing w:val="-3"/>
          <w:w w:val="100"/>
        </w:rPr>
        <w:t>化</w:t>
      </w:r>
      <w:r>
        <w:rPr>
          <w:w w:val="100"/>
        </w:rPr>
        <w:t>工股份</w:t>
      </w:r>
      <w:r>
        <w:rPr>
          <w:spacing w:val="-3"/>
          <w:w w:val="100"/>
        </w:rPr>
        <w:t>有</w:t>
      </w:r>
      <w:r>
        <w:rPr>
          <w:w w:val="100"/>
        </w:rPr>
        <w:t>限公司</w:t>
      </w:r>
      <w:r>
        <w:rPr>
          <w:rFonts w:ascii="Arial" w:hAnsi="Arial" w:cs="Arial" w:eastAsia="Arial" w:hint="default"/>
          <w:spacing w:val="-1"/>
          <w:w w:val="100"/>
        </w:rPr>
        <w:t>201</w:t>
      </w:r>
      <w:r>
        <w:rPr>
          <w:rFonts w:ascii="Arial" w:hAnsi="Arial" w:cs="Arial" w:eastAsia="Arial" w:hint="default"/>
          <w:spacing w:val="-3"/>
          <w:w w:val="100"/>
        </w:rPr>
        <w:t>0</w:t>
      </w:r>
      <w:r>
        <w:rPr>
          <w:spacing w:val="-3"/>
          <w:w w:val="100"/>
        </w:rPr>
        <w:t>年</w:t>
      </w:r>
      <w:r>
        <w:rPr>
          <w:w w:val="100"/>
        </w:rPr>
        <w:t>半年度</w:t>
      </w:r>
      <w:r>
        <w:rPr>
          <w:spacing w:val="-3"/>
          <w:w w:val="100"/>
        </w:rPr>
        <w:t>报</w:t>
      </w:r>
      <w:r>
        <w:rPr>
          <w:w w:val="100"/>
        </w:rPr>
        <w:t>告及</w:t>
      </w:r>
      <w:r>
        <w:rPr>
          <w:spacing w:val="-3"/>
          <w:w w:val="100"/>
        </w:rPr>
        <w:t>摘</w:t>
      </w:r>
      <w:r>
        <w:rPr>
          <w:w w:val="100"/>
        </w:rPr>
        <w:t>要》</w:t>
      </w:r>
    </w:p>
    <w:p>
      <w:pPr>
        <w:pStyle w:val="BodyText"/>
        <w:spacing w:line="240" w:lineRule="auto" w:before="164"/>
        <w:ind w:left="576" w:right="33"/>
        <w:jc w:val="left"/>
      </w:pPr>
      <w:r>
        <w:rPr>
          <w:w w:val="100"/>
        </w:rPr>
        <w:t>（</w:t>
      </w:r>
      <w:r>
        <w:rPr>
          <w:rFonts w:ascii="Arial" w:hAnsi="Arial" w:cs="Arial" w:eastAsia="Arial" w:hint="default"/>
          <w:spacing w:val="-1"/>
          <w:w w:val="100"/>
        </w:rPr>
        <w:t>2</w:t>
      </w:r>
      <w:r>
        <w:rPr>
          <w:spacing w:val="-111"/>
          <w:w w:val="100"/>
        </w:rPr>
        <w:t>）</w:t>
      </w:r>
      <w:r>
        <w:rPr>
          <w:w w:val="100"/>
        </w:rPr>
        <w:t>《上</w:t>
      </w:r>
      <w:r>
        <w:rPr>
          <w:spacing w:val="-3"/>
          <w:w w:val="100"/>
        </w:rPr>
        <w:t>海</w:t>
      </w:r>
      <w:r>
        <w:rPr>
          <w:w w:val="100"/>
        </w:rPr>
        <w:t>安诺</w:t>
      </w:r>
      <w:r>
        <w:rPr>
          <w:spacing w:val="-3"/>
          <w:w w:val="100"/>
        </w:rPr>
        <w:t>其</w:t>
      </w:r>
      <w:r>
        <w:rPr>
          <w:w w:val="100"/>
        </w:rPr>
        <w:t>纺织</w:t>
      </w:r>
      <w:r>
        <w:rPr>
          <w:spacing w:val="-3"/>
          <w:w w:val="100"/>
        </w:rPr>
        <w:t>化</w:t>
      </w:r>
      <w:r>
        <w:rPr>
          <w:w w:val="100"/>
        </w:rPr>
        <w:t>工股份</w:t>
      </w:r>
      <w:r>
        <w:rPr>
          <w:spacing w:val="-3"/>
          <w:w w:val="100"/>
        </w:rPr>
        <w:t>有</w:t>
      </w:r>
      <w:r>
        <w:rPr>
          <w:w w:val="100"/>
        </w:rPr>
        <w:t>限公</w:t>
      </w:r>
      <w:r>
        <w:rPr>
          <w:spacing w:val="-3"/>
          <w:w w:val="100"/>
        </w:rPr>
        <w:t>司</w:t>
      </w:r>
      <w:r>
        <w:rPr>
          <w:w w:val="100"/>
        </w:rPr>
        <w:t>内募</w:t>
      </w:r>
      <w:r>
        <w:rPr>
          <w:spacing w:val="-3"/>
          <w:w w:val="100"/>
        </w:rPr>
        <w:t>信息</w:t>
      </w:r>
      <w:r>
        <w:rPr>
          <w:w w:val="100"/>
        </w:rPr>
        <w:t>知情人</w:t>
      </w:r>
      <w:r>
        <w:rPr>
          <w:spacing w:val="-3"/>
          <w:w w:val="100"/>
        </w:rPr>
        <w:t>登</w:t>
      </w:r>
      <w:r>
        <w:rPr>
          <w:w w:val="100"/>
        </w:rPr>
        <w:t>记制</w:t>
      </w:r>
      <w:r>
        <w:rPr>
          <w:spacing w:val="-3"/>
          <w:w w:val="100"/>
        </w:rPr>
        <w:t>度</w:t>
      </w:r>
      <w:r>
        <w:rPr>
          <w:w w:val="100"/>
        </w:rPr>
        <w:t>》</w:t>
      </w:r>
    </w:p>
    <w:p>
      <w:pPr>
        <w:pStyle w:val="BodyText"/>
        <w:spacing w:line="240" w:lineRule="auto" w:before="164"/>
        <w:ind w:left="576" w:right="33"/>
        <w:jc w:val="left"/>
      </w:pPr>
      <w:r>
        <w:rPr>
          <w:w w:val="100"/>
        </w:rPr>
        <w:t>（</w:t>
      </w:r>
      <w:r>
        <w:rPr>
          <w:rFonts w:ascii="Arial" w:hAnsi="Arial" w:cs="Arial" w:eastAsia="Arial" w:hint="default"/>
          <w:spacing w:val="-1"/>
          <w:w w:val="100"/>
        </w:rPr>
        <w:t>3</w:t>
      </w:r>
      <w:r>
        <w:rPr>
          <w:spacing w:val="-111"/>
          <w:w w:val="100"/>
        </w:rPr>
        <w:t>）</w:t>
      </w:r>
      <w:r>
        <w:rPr>
          <w:w w:val="100"/>
        </w:rPr>
        <w:t>《上</w:t>
      </w:r>
      <w:r>
        <w:rPr>
          <w:spacing w:val="-3"/>
          <w:w w:val="100"/>
        </w:rPr>
        <w:t>海</w:t>
      </w:r>
      <w:r>
        <w:rPr>
          <w:w w:val="100"/>
        </w:rPr>
        <w:t>安诺</w:t>
      </w:r>
      <w:r>
        <w:rPr>
          <w:spacing w:val="-3"/>
          <w:w w:val="100"/>
        </w:rPr>
        <w:t>其</w:t>
      </w:r>
      <w:r>
        <w:rPr>
          <w:w w:val="100"/>
        </w:rPr>
        <w:t>纺织</w:t>
      </w:r>
      <w:r>
        <w:rPr>
          <w:spacing w:val="-3"/>
          <w:w w:val="100"/>
        </w:rPr>
        <w:t>化</w:t>
      </w:r>
      <w:r>
        <w:rPr>
          <w:w w:val="100"/>
        </w:rPr>
        <w:t>工股份</w:t>
      </w:r>
      <w:r>
        <w:rPr>
          <w:spacing w:val="-3"/>
          <w:w w:val="100"/>
        </w:rPr>
        <w:t>有</w:t>
      </w:r>
      <w:r>
        <w:rPr>
          <w:w w:val="100"/>
        </w:rPr>
        <w:t>限公</w:t>
      </w:r>
      <w:r>
        <w:rPr>
          <w:spacing w:val="-3"/>
          <w:w w:val="100"/>
        </w:rPr>
        <w:t>司</w:t>
      </w:r>
      <w:r>
        <w:rPr>
          <w:w w:val="100"/>
        </w:rPr>
        <w:t>突发</w:t>
      </w:r>
      <w:r>
        <w:rPr>
          <w:spacing w:val="-3"/>
          <w:w w:val="100"/>
        </w:rPr>
        <w:t>事件</w:t>
      </w:r>
      <w:r>
        <w:rPr>
          <w:w w:val="100"/>
        </w:rPr>
        <w:t>处理制</w:t>
      </w:r>
      <w:r>
        <w:rPr>
          <w:spacing w:val="-3"/>
          <w:w w:val="100"/>
        </w:rPr>
        <w:t>度</w:t>
      </w:r>
      <w:r>
        <w:rPr>
          <w:w w:val="100"/>
        </w:rPr>
        <w:t>》</w:t>
      </w:r>
    </w:p>
    <w:p>
      <w:pPr>
        <w:pStyle w:val="BodyText"/>
        <w:spacing w:line="240" w:lineRule="auto" w:before="164"/>
        <w:ind w:left="576" w:right="33"/>
        <w:jc w:val="left"/>
      </w:pPr>
      <w:r>
        <w:rPr>
          <w:w w:val="100"/>
        </w:rPr>
        <w:t>（</w:t>
      </w:r>
      <w:r>
        <w:rPr>
          <w:rFonts w:ascii="Arial" w:hAnsi="Arial" w:cs="Arial" w:eastAsia="Arial" w:hint="default"/>
          <w:spacing w:val="-1"/>
          <w:w w:val="100"/>
        </w:rPr>
        <w:t>4</w:t>
      </w:r>
      <w:r>
        <w:rPr>
          <w:spacing w:val="-111"/>
          <w:w w:val="100"/>
        </w:rPr>
        <w:t>）</w:t>
      </w:r>
      <w:r>
        <w:rPr>
          <w:w w:val="100"/>
        </w:rPr>
        <w:t>《关</w:t>
      </w:r>
      <w:r>
        <w:rPr>
          <w:spacing w:val="-3"/>
          <w:w w:val="100"/>
        </w:rPr>
        <w:t>于</w:t>
      </w:r>
      <w:r>
        <w:rPr>
          <w:w w:val="100"/>
        </w:rPr>
        <w:t>聘用</w:t>
      </w:r>
      <w:r>
        <w:rPr>
          <w:spacing w:val="-3"/>
          <w:w w:val="100"/>
        </w:rPr>
        <w:t>马</w:t>
      </w:r>
      <w:r>
        <w:rPr>
          <w:w w:val="100"/>
        </w:rPr>
        <w:t>成斌</w:t>
      </w:r>
      <w:r>
        <w:rPr>
          <w:spacing w:val="-3"/>
          <w:w w:val="100"/>
        </w:rPr>
        <w:t>任</w:t>
      </w:r>
      <w:r>
        <w:rPr>
          <w:w w:val="100"/>
        </w:rPr>
        <w:t>公司副</w:t>
      </w:r>
      <w:r>
        <w:rPr>
          <w:spacing w:val="-3"/>
          <w:w w:val="100"/>
        </w:rPr>
        <w:t>总</w:t>
      </w:r>
      <w:r>
        <w:rPr>
          <w:w w:val="100"/>
        </w:rPr>
        <w:t>经理</w:t>
      </w:r>
      <w:r>
        <w:rPr>
          <w:spacing w:val="-3"/>
          <w:w w:val="100"/>
        </w:rPr>
        <w:t>的</w:t>
      </w:r>
      <w:r>
        <w:rPr>
          <w:w w:val="100"/>
        </w:rPr>
        <w:t>议案》</w:t>
      </w:r>
    </w:p>
    <w:p>
      <w:pPr>
        <w:pStyle w:val="BodyText"/>
        <w:spacing w:line="369" w:lineRule="auto" w:before="164"/>
        <w:ind w:left="576" w:right="33"/>
        <w:jc w:val="left"/>
      </w:pPr>
      <w:r>
        <w:rPr>
          <w:rFonts w:ascii="Arial" w:hAnsi="Arial" w:cs="Arial" w:eastAsia="Arial" w:hint="default"/>
        </w:rPr>
        <w:t>10</w:t>
      </w:r>
      <w:r>
        <w:rPr/>
        <w:t>、第一届董事会第十九次会议</w:t>
      </w:r>
      <w:r>
        <w:rPr>
          <w:w w:val="100"/>
        </w:rPr>
        <w:t> </w:t>
      </w:r>
      <w:r>
        <w:rPr>
          <w:spacing w:val="-2"/>
        </w:rPr>
        <w:t>第一届董事会第十九次会议于</w:t>
      </w:r>
      <w:r>
        <w:rPr>
          <w:rFonts w:ascii="Arial" w:hAnsi="Arial" w:cs="Arial" w:eastAsia="Arial" w:hint="default"/>
          <w:spacing w:val="-2"/>
        </w:rPr>
        <w:t>2010</w:t>
      </w:r>
      <w:r>
        <w:rPr>
          <w:spacing w:val="-2"/>
        </w:rPr>
        <w:t>年</w:t>
      </w:r>
      <w:r>
        <w:rPr>
          <w:rFonts w:ascii="Arial" w:hAnsi="Arial" w:cs="Arial" w:eastAsia="Arial" w:hint="default"/>
          <w:spacing w:val="-2"/>
        </w:rPr>
        <w:t>9</w:t>
      </w:r>
      <w:r>
        <w:rPr>
          <w:spacing w:val="-2"/>
        </w:rPr>
        <w:t>月</w:t>
      </w:r>
      <w:r>
        <w:rPr>
          <w:rFonts w:ascii="Arial" w:hAnsi="Arial" w:cs="Arial" w:eastAsia="Arial" w:hint="default"/>
          <w:spacing w:val="-2"/>
        </w:rPr>
        <w:t>9</w:t>
      </w:r>
      <w:r>
        <w:rPr>
          <w:spacing w:val="-2"/>
        </w:rPr>
        <w:t>日以通讯方式召开，会议采取书面通讯表决</w:t>
      </w:r>
    </w:p>
    <w:p>
      <w:pPr>
        <w:pStyle w:val="BodyText"/>
        <w:spacing w:line="391" w:lineRule="auto" w:before="31"/>
        <w:ind w:right="33"/>
        <w:jc w:val="left"/>
      </w:pPr>
      <w:r>
        <w:rPr/>
        <w:t>方式表决，会议审议通过了《关于使用部分超募资金建设东营安诺其纺织材料有限公司年</w:t>
      </w:r>
      <w:r>
        <w:rPr>
          <w:spacing w:val="-57"/>
        </w:rPr>
        <w:t> </w:t>
      </w:r>
      <w:r>
        <w:rPr>
          <w:spacing w:val="-57"/>
        </w:rPr>
      </w:r>
      <w:r>
        <w:rPr/>
        <w:t>产染料滤饼</w:t>
      </w:r>
      <w:r>
        <w:rPr>
          <w:rFonts w:ascii="Arial" w:hAnsi="Arial" w:cs="Arial" w:eastAsia="Arial" w:hint="default"/>
        </w:rPr>
        <w:t>1500</w:t>
      </w:r>
      <w:r>
        <w:rPr/>
        <w:t>吨及分散染料</w:t>
      </w:r>
      <w:r>
        <w:rPr>
          <w:rFonts w:ascii="Arial" w:hAnsi="Arial" w:cs="Arial" w:eastAsia="Arial" w:hint="default"/>
        </w:rPr>
        <w:t>5000</w:t>
      </w:r>
      <w:r>
        <w:rPr/>
        <w:t>吨项目的议案》议案。</w:t>
      </w:r>
    </w:p>
    <w:p>
      <w:pPr>
        <w:pStyle w:val="BodyText"/>
        <w:spacing w:line="369" w:lineRule="auto" w:before="9"/>
        <w:ind w:left="576" w:right="33"/>
        <w:jc w:val="left"/>
      </w:pPr>
      <w:r>
        <w:rPr>
          <w:rFonts w:ascii="Arial" w:hAnsi="Arial" w:cs="Arial" w:eastAsia="Arial" w:hint="default"/>
        </w:rPr>
        <w:t>11</w:t>
      </w:r>
      <w:r>
        <w:rPr/>
        <w:t>、第一届董事会第二十次会议</w:t>
      </w:r>
      <w:r>
        <w:rPr>
          <w:w w:val="100"/>
        </w:rPr>
        <w:t> </w:t>
      </w:r>
      <w:r>
        <w:rPr>
          <w:spacing w:val="2"/>
        </w:rPr>
        <w:t>第一届董事会第二十次会议于</w:t>
      </w:r>
      <w:r>
        <w:rPr>
          <w:rFonts w:ascii="Arial" w:hAnsi="Arial" w:cs="Arial" w:eastAsia="Arial" w:hint="default"/>
          <w:spacing w:val="2"/>
        </w:rPr>
        <w:t>2010</w:t>
      </w:r>
      <w:r>
        <w:rPr>
          <w:spacing w:val="2"/>
        </w:rPr>
        <w:t>年</w:t>
      </w:r>
      <w:r>
        <w:rPr>
          <w:rFonts w:ascii="Arial" w:hAnsi="Arial" w:cs="Arial" w:eastAsia="Arial" w:hint="default"/>
          <w:spacing w:val="2"/>
        </w:rPr>
        <w:t>10</w:t>
      </w:r>
      <w:r>
        <w:rPr>
          <w:spacing w:val="2"/>
        </w:rPr>
        <w:t>月</w:t>
      </w:r>
      <w:r>
        <w:rPr>
          <w:rFonts w:ascii="Arial" w:hAnsi="Arial" w:cs="Arial" w:eastAsia="Arial" w:hint="default"/>
          <w:spacing w:val="2"/>
        </w:rPr>
        <w:t>25</w:t>
      </w:r>
      <w:r>
        <w:rPr>
          <w:spacing w:val="2"/>
        </w:rPr>
        <w:t>日以现场及通讯相结合的方式在公司会</w:t>
      </w:r>
    </w:p>
    <w:p>
      <w:pPr>
        <w:pStyle w:val="BodyText"/>
        <w:spacing w:line="240" w:lineRule="auto" w:before="31"/>
        <w:ind w:right="33"/>
        <w:jc w:val="left"/>
      </w:pPr>
      <w:r>
        <w:rPr/>
        <w:t>议室召开，会议采取现场书面记名表决与通讯表决相结合，会议审议通过了如下议案：</w:t>
      </w:r>
    </w:p>
    <w:p>
      <w:pPr>
        <w:pStyle w:val="BodyText"/>
        <w:spacing w:line="240" w:lineRule="auto" w:before="180"/>
        <w:ind w:left="576" w:right="33"/>
        <w:jc w:val="left"/>
      </w:pPr>
      <w:r>
        <w:rPr>
          <w:w w:val="100"/>
        </w:rPr>
        <w:t>（</w:t>
      </w:r>
      <w:r>
        <w:rPr>
          <w:rFonts w:ascii="Arial" w:hAnsi="Arial" w:cs="Arial" w:eastAsia="Arial" w:hint="default"/>
          <w:spacing w:val="-1"/>
          <w:w w:val="100"/>
        </w:rPr>
        <w:t>1</w:t>
      </w:r>
      <w:r>
        <w:rPr>
          <w:spacing w:val="-111"/>
          <w:w w:val="100"/>
        </w:rPr>
        <w:t>）</w:t>
      </w:r>
      <w:r>
        <w:rPr>
          <w:w w:val="100"/>
        </w:rPr>
        <w:t>《关</w:t>
      </w:r>
      <w:r>
        <w:rPr>
          <w:spacing w:val="-3"/>
          <w:w w:val="100"/>
        </w:rPr>
        <w:t>于</w:t>
      </w:r>
      <w:r>
        <w:rPr>
          <w:w w:val="100"/>
        </w:rPr>
        <w:t>对子</w:t>
      </w:r>
      <w:r>
        <w:rPr>
          <w:spacing w:val="-3"/>
          <w:w w:val="100"/>
        </w:rPr>
        <w:t>公</w:t>
      </w:r>
      <w:r>
        <w:rPr>
          <w:w w:val="100"/>
        </w:rPr>
        <w:t>司东</w:t>
      </w:r>
      <w:r>
        <w:rPr>
          <w:spacing w:val="-3"/>
          <w:w w:val="100"/>
        </w:rPr>
        <w:t>营</w:t>
      </w:r>
      <w:r>
        <w:rPr>
          <w:w w:val="100"/>
        </w:rPr>
        <w:t>安诺其</w:t>
      </w:r>
      <w:r>
        <w:rPr>
          <w:spacing w:val="-3"/>
          <w:w w:val="100"/>
        </w:rPr>
        <w:t>纺</w:t>
      </w:r>
      <w:r>
        <w:rPr>
          <w:w w:val="100"/>
        </w:rPr>
        <w:t>织材</w:t>
      </w:r>
      <w:r>
        <w:rPr>
          <w:spacing w:val="-3"/>
          <w:w w:val="100"/>
        </w:rPr>
        <w:t>料</w:t>
      </w:r>
      <w:r>
        <w:rPr>
          <w:w w:val="100"/>
        </w:rPr>
        <w:t>有限</w:t>
      </w:r>
      <w:r>
        <w:rPr>
          <w:spacing w:val="-3"/>
          <w:w w:val="100"/>
        </w:rPr>
        <w:t>公司</w:t>
      </w:r>
      <w:r>
        <w:rPr>
          <w:w w:val="100"/>
        </w:rPr>
        <w:t>增资的</w:t>
      </w:r>
      <w:r>
        <w:rPr>
          <w:spacing w:val="-3"/>
          <w:w w:val="100"/>
        </w:rPr>
        <w:t>议</w:t>
      </w:r>
      <w:r>
        <w:rPr>
          <w:w w:val="100"/>
        </w:rPr>
        <w:t>案》</w:t>
      </w:r>
    </w:p>
    <w:p>
      <w:pPr>
        <w:pStyle w:val="BodyText"/>
        <w:spacing w:line="369" w:lineRule="auto" w:before="164"/>
        <w:ind w:right="33" w:firstLine="439"/>
        <w:jc w:val="left"/>
      </w:pPr>
      <w:r>
        <w:rPr>
          <w:spacing w:val="-3"/>
          <w:w w:val="100"/>
        </w:rPr>
        <w:t>（</w:t>
      </w:r>
      <w:r>
        <w:rPr>
          <w:rFonts w:ascii="Arial" w:hAnsi="Arial" w:cs="Arial" w:eastAsia="Arial" w:hint="default"/>
          <w:spacing w:val="-3"/>
          <w:w w:val="100"/>
        </w:rPr>
        <w:t>2</w:t>
      </w:r>
      <w:r>
        <w:rPr>
          <w:spacing w:val="-3"/>
          <w:w w:val="100"/>
        </w:rPr>
        <w:t>）《关于拟使用部分超募资金收购烟台子公司自然人股东延元起先生股权项目的议</w:t>
      </w:r>
      <w:r>
        <w:rPr>
          <w:w w:val="100"/>
        </w:rPr>
        <w:t> </w:t>
      </w:r>
      <w:r>
        <w:rPr/>
        <w:t>案》</w:t>
      </w:r>
    </w:p>
    <w:p>
      <w:pPr>
        <w:pStyle w:val="BodyText"/>
        <w:spacing w:line="240" w:lineRule="auto" w:before="61"/>
        <w:ind w:left="576" w:right="33"/>
        <w:jc w:val="left"/>
      </w:pPr>
      <w:r>
        <w:rPr>
          <w:w w:val="100"/>
        </w:rPr>
        <w:t>（</w:t>
      </w:r>
      <w:r>
        <w:rPr>
          <w:rFonts w:ascii="Arial" w:hAnsi="Arial" w:cs="Arial" w:eastAsia="Arial" w:hint="default"/>
          <w:spacing w:val="-1"/>
          <w:w w:val="100"/>
        </w:rPr>
        <w:t>3</w:t>
      </w:r>
      <w:r>
        <w:rPr>
          <w:spacing w:val="-111"/>
          <w:w w:val="100"/>
        </w:rPr>
        <w:t>）</w:t>
      </w:r>
      <w:r>
        <w:rPr>
          <w:w w:val="100"/>
        </w:rPr>
        <w:t>《关</w:t>
      </w:r>
      <w:r>
        <w:rPr>
          <w:spacing w:val="-3"/>
          <w:w w:val="100"/>
        </w:rPr>
        <w:t>于</w:t>
      </w:r>
      <w:r>
        <w:rPr>
          <w:w w:val="100"/>
        </w:rPr>
        <w:t>通过</w:t>
      </w:r>
      <w:r>
        <w:rPr>
          <w:spacing w:val="-3"/>
          <w:w w:val="100"/>
        </w:rPr>
        <w:t>上</w:t>
      </w:r>
      <w:r>
        <w:rPr>
          <w:w w:val="100"/>
        </w:rPr>
        <w:t>海安</w:t>
      </w:r>
      <w:r>
        <w:rPr>
          <w:spacing w:val="-3"/>
          <w:w w:val="100"/>
        </w:rPr>
        <w:t>诺</w:t>
      </w:r>
      <w:r>
        <w:rPr>
          <w:w w:val="100"/>
        </w:rPr>
        <w:t>其纺织</w:t>
      </w:r>
      <w:r>
        <w:rPr>
          <w:spacing w:val="-3"/>
          <w:w w:val="100"/>
        </w:rPr>
        <w:t>化</w:t>
      </w:r>
      <w:r>
        <w:rPr>
          <w:w w:val="100"/>
        </w:rPr>
        <w:t>工股</w:t>
      </w:r>
      <w:r>
        <w:rPr>
          <w:spacing w:val="-3"/>
          <w:w w:val="100"/>
        </w:rPr>
        <w:t>份</w:t>
      </w:r>
      <w:r>
        <w:rPr>
          <w:w w:val="100"/>
        </w:rPr>
        <w:t>有限</w:t>
      </w:r>
      <w:r>
        <w:rPr>
          <w:spacing w:val="-3"/>
          <w:w w:val="100"/>
        </w:rPr>
        <w:t>公司</w:t>
      </w:r>
      <w:r>
        <w:rPr>
          <w:w w:val="100"/>
        </w:rPr>
        <w:t>第三季</w:t>
      </w:r>
      <w:r>
        <w:rPr>
          <w:spacing w:val="-3"/>
          <w:w w:val="100"/>
        </w:rPr>
        <w:t>度</w:t>
      </w:r>
      <w:r>
        <w:rPr>
          <w:w w:val="100"/>
        </w:rPr>
        <w:t>报告</w:t>
      </w:r>
      <w:r>
        <w:rPr>
          <w:spacing w:val="-3"/>
          <w:w w:val="100"/>
        </w:rPr>
        <w:t>全</w:t>
      </w:r>
      <w:r>
        <w:rPr>
          <w:w w:val="100"/>
        </w:rPr>
        <w:t>文及</w:t>
      </w:r>
      <w:r>
        <w:rPr>
          <w:spacing w:val="-3"/>
          <w:w w:val="100"/>
        </w:rPr>
        <w:t>正文</w:t>
      </w:r>
      <w:r>
        <w:rPr>
          <w:w w:val="100"/>
        </w:rPr>
        <w:t>的议案》</w:t>
      </w:r>
    </w:p>
    <w:p>
      <w:pPr>
        <w:pStyle w:val="Heading3"/>
        <w:spacing w:line="240" w:lineRule="auto" w:before="195"/>
        <w:ind w:right="33"/>
        <w:jc w:val="left"/>
      </w:pPr>
      <w:r>
        <w:rPr/>
        <w:t>（二）董事会对股东大会决议的执行情况</w:t>
      </w:r>
    </w:p>
    <w:p>
      <w:pPr>
        <w:pStyle w:val="BodyText"/>
        <w:spacing w:line="369" w:lineRule="auto" w:before="227"/>
        <w:ind w:right="33" w:firstLine="439"/>
        <w:jc w:val="left"/>
      </w:pPr>
      <w:r>
        <w:rPr>
          <w:spacing w:val="-1"/>
        </w:rPr>
        <w:t>公司</w:t>
      </w:r>
      <w:r>
        <w:rPr>
          <w:rFonts w:ascii="Arial" w:hAnsi="Arial" w:cs="Arial" w:eastAsia="Arial" w:hint="default"/>
          <w:spacing w:val="-1"/>
        </w:rPr>
        <w:t>2010</w:t>
      </w:r>
      <w:r>
        <w:rPr>
          <w:spacing w:val="-1"/>
        </w:rPr>
        <w:t>年第一次临时股东大会审议批准了《关于选举独立董事的议案》议案，公司</w:t>
      </w:r>
      <w:r>
        <w:rPr>
          <w:w w:val="100"/>
        </w:rPr>
        <w:t> </w:t>
      </w:r>
      <w:r>
        <w:rPr/>
        <w:t>董事会按照决议进行了独立董事人员的变动和工商变更登记。</w:t>
      </w:r>
    </w:p>
    <w:p>
      <w:pPr>
        <w:pStyle w:val="BodyText"/>
        <w:spacing w:line="379" w:lineRule="auto" w:before="61"/>
        <w:ind w:right="218" w:firstLine="439"/>
        <w:jc w:val="both"/>
      </w:pPr>
      <w:r>
        <w:rPr>
          <w:spacing w:val="-1"/>
        </w:rPr>
        <w:t>公司</w:t>
      </w:r>
      <w:r>
        <w:rPr>
          <w:rFonts w:ascii="Arial" w:hAnsi="Arial" w:cs="Arial" w:eastAsia="Arial" w:hint="default"/>
          <w:spacing w:val="-1"/>
        </w:rPr>
        <w:t>2010</w:t>
      </w:r>
      <w:r>
        <w:rPr>
          <w:spacing w:val="-1"/>
        </w:rPr>
        <w:t>年第二次临时股东大会审议批准了《关于公司首次公开发行股票后注册资本</w:t>
      </w:r>
      <w:r>
        <w:rPr>
          <w:w w:val="100"/>
        </w:rPr>
        <w:t> </w:t>
      </w:r>
      <w:r>
        <w:rPr>
          <w:spacing w:val="-5"/>
          <w:w w:val="100"/>
        </w:rPr>
        <w:t>变更的议案》及《公司章程（草案）修正案》，报告期末，公司已经完成上述修正案的工商</w:t>
      </w:r>
      <w:r>
        <w:rPr>
          <w:w w:val="100"/>
        </w:rPr>
        <w:t> </w:t>
      </w:r>
      <w:r>
        <w:rPr/>
        <w:t>变更登记等手续。</w:t>
      </w:r>
    </w:p>
    <w:p>
      <w:pPr>
        <w:pStyle w:val="Heading3"/>
        <w:spacing w:line="240" w:lineRule="auto" w:before="83"/>
        <w:ind w:right="33"/>
        <w:jc w:val="left"/>
      </w:pPr>
      <w:r>
        <w:rPr/>
        <w:t>（三）董事会各专门委员会工作情况</w:t>
      </w:r>
    </w:p>
    <w:p>
      <w:pPr>
        <w:pStyle w:val="BodyText"/>
        <w:spacing w:line="369" w:lineRule="auto" w:before="227"/>
        <w:ind w:left="576" w:right="33"/>
        <w:jc w:val="left"/>
      </w:pPr>
      <w:r>
        <w:rPr>
          <w:rFonts w:ascii="Arial" w:hAnsi="Arial" w:cs="Arial" w:eastAsia="Arial" w:hint="default"/>
        </w:rPr>
        <w:t>1</w:t>
      </w:r>
      <w:r>
        <w:rPr/>
        <w:t>．审计委员会的履职情况</w:t>
      </w:r>
      <w:r>
        <w:rPr>
          <w:w w:val="100"/>
        </w:rPr>
        <w:t> </w:t>
      </w:r>
      <w:r>
        <w:rPr/>
        <w:t>公司董事会审计委员会由独立董事邹晖女士、独立董事尚建平和董事长纪立军先生组</w:t>
      </w:r>
    </w:p>
    <w:p>
      <w:pPr>
        <w:pStyle w:val="BodyText"/>
        <w:spacing w:line="391" w:lineRule="auto" w:before="61"/>
        <w:ind w:left="576" w:right="33" w:hanging="440"/>
        <w:jc w:val="left"/>
      </w:pPr>
      <w:r>
        <w:rPr>
          <w:spacing w:val="-7"/>
          <w:w w:val="100"/>
        </w:rPr>
        <w:t>成，其中邹晖女士为主任委员（召集人）。</w:t>
      </w:r>
      <w:r>
        <w:rPr>
          <w:spacing w:val="-104"/>
          <w:w w:val="100"/>
        </w:rPr>
        <w:t> </w:t>
      </w:r>
      <w:r>
        <w:rPr>
          <w:spacing w:val="-104"/>
          <w:w w:val="100"/>
        </w:rPr>
      </w:r>
      <w:r>
        <w:rPr>
          <w:spacing w:val="-2"/>
        </w:rPr>
        <w:t>公司审计委员会运行情况良好，</w:t>
      </w:r>
      <w:r>
        <w:rPr>
          <w:rFonts w:ascii="Arial" w:hAnsi="Arial" w:cs="Arial" w:eastAsia="Arial" w:hint="default"/>
          <w:spacing w:val="-2"/>
        </w:rPr>
        <w:t>2010</w:t>
      </w:r>
      <w:r>
        <w:rPr>
          <w:spacing w:val="-2"/>
        </w:rPr>
        <w:t>年</w:t>
      </w:r>
      <w:r>
        <w:rPr>
          <w:rFonts w:ascii="Arial" w:hAnsi="Arial" w:cs="Arial" w:eastAsia="Arial" w:hint="default"/>
          <w:spacing w:val="-2"/>
        </w:rPr>
        <w:t>1</w:t>
      </w:r>
      <w:r>
        <w:rPr>
          <w:spacing w:val="-2"/>
        </w:rPr>
        <w:t>月</w:t>
      </w:r>
      <w:r>
        <w:rPr>
          <w:rFonts w:ascii="Arial" w:hAnsi="Arial" w:cs="Arial" w:eastAsia="Arial" w:hint="default"/>
          <w:spacing w:val="-2"/>
        </w:rPr>
        <w:t>7</w:t>
      </w:r>
      <w:r>
        <w:rPr>
          <w:spacing w:val="-2"/>
        </w:rPr>
        <w:t>日，第一届审计委员会第二次会议审议通</w:t>
      </w:r>
    </w:p>
    <w:p>
      <w:pPr>
        <w:pStyle w:val="BodyText"/>
        <w:spacing w:line="240" w:lineRule="auto" w:before="9"/>
        <w:ind w:right="33"/>
        <w:jc w:val="left"/>
      </w:pPr>
      <w:r>
        <w:rPr>
          <w:w w:val="100"/>
        </w:rPr>
        <w:t>过</w:t>
      </w:r>
      <w:r>
        <w:rPr>
          <w:spacing w:val="-34"/>
          <w:w w:val="100"/>
        </w:rPr>
        <w:t>了</w:t>
      </w:r>
      <w:r>
        <w:rPr>
          <w:w w:val="100"/>
        </w:rPr>
        <w:t>《</w:t>
      </w:r>
      <w:r>
        <w:rPr>
          <w:rFonts w:ascii="Arial" w:hAnsi="Arial" w:cs="Arial" w:eastAsia="Arial" w:hint="default"/>
          <w:spacing w:val="-1"/>
          <w:w w:val="100"/>
        </w:rPr>
        <w:t>200</w:t>
      </w:r>
      <w:r>
        <w:rPr>
          <w:rFonts w:ascii="Arial" w:hAnsi="Arial" w:cs="Arial" w:eastAsia="Arial" w:hint="default"/>
          <w:spacing w:val="-3"/>
          <w:w w:val="100"/>
        </w:rPr>
        <w:t>9</w:t>
      </w:r>
      <w:r>
        <w:rPr>
          <w:w w:val="100"/>
        </w:rPr>
        <w:t>年度</w:t>
      </w:r>
      <w:r>
        <w:rPr>
          <w:spacing w:val="-3"/>
          <w:w w:val="100"/>
        </w:rPr>
        <w:t>审</w:t>
      </w:r>
      <w:r>
        <w:rPr>
          <w:w w:val="100"/>
        </w:rPr>
        <w:t>计委</w:t>
      </w:r>
      <w:r>
        <w:rPr>
          <w:spacing w:val="-3"/>
          <w:w w:val="100"/>
        </w:rPr>
        <w:t>员</w:t>
      </w:r>
      <w:r>
        <w:rPr>
          <w:w w:val="100"/>
        </w:rPr>
        <w:t>会工作</w:t>
      </w:r>
      <w:r>
        <w:rPr>
          <w:spacing w:val="-3"/>
          <w:w w:val="100"/>
        </w:rPr>
        <w:t>报</w:t>
      </w:r>
      <w:r>
        <w:rPr>
          <w:w w:val="100"/>
        </w:rPr>
        <w:t>告</w:t>
      </w:r>
      <w:r>
        <w:rPr>
          <w:spacing w:val="-111"/>
          <w:w w:val="100"/>
        </w:rPr>
        <w:t>》</w:t>
      </w:r>
      <w:r>
        <w:rPr>
          <w:spacing w:val="-147"/>
          <w:w w:val="100"/>
        </w:rPr>
        <w:t>、</w:t>
      </w:r>
      <w:r>
        <w:rPr>
          <w:w w:val="100"/>
        </w:rPr>
        <w:t>《公司</w:t>
      </w:r>
      <w:r>
        <w:rPr>
          <w:rFonts w:ascii="Arial" w:hAnsi="Arial" w:cs="Arial" w:eastAsia="Arial" w:hint="default"/>
          <w:spacing w:val="-1"/>
          <w:w w:val="100"/>
        </w:rPr>
        <w:t>200</w:t>
      </w:r>
      <w:r>
        <w:rPr>
          <w:rFonts w:ascii="Arial" w:hAnsi="Arial" w:cs="Arial" w:eastAsia="Arial" w:hint="default"/>
          <w:spacing w:val="-3"/>
          <w:w w:val="100"/>
        </w:rPr>
        <w:t>7</w:t>
      </w:r>
      <w:r>
        <w:rPr>
          <w:w w:val="100"/>
        </w:rPr>
        <w:t>年度</w:t>
      </w:r>
      <w:r>
        <w:rPr>
          <w:spacing w:val="-34"/>
          <w:w w:val="100"/>
        </w:rPr>
        <w:t>、</w:t>
      </w:r>
      <w:r>
        <w:rPr>
          <w:rFonts w:ascii="Arial" w:hAnsi="Arial" w:cs="Arial" w:eastAsia="Arial" w:hint="default"/>
          <w:spacing w:val="-1"/>
          <w:w w:val="100"/>
        </w:rPr>
        <w:t>200</w:t>
      </w:r>
      <w:r>
        <w:rPr>
          <w:rFonts w:ascii="Arial" w:hAnsi="Arial" w:cs="Arial" w:eastAsia="Arial" w:hint="default"/>
          <w:spacing w:val="-3"/>
          <w:w w:val="100"/>
        </w:rPr>
        <w:t>8</w:t>
      </w:r>
      <w:r>
        <w:rPr>
          <w:w w:val="100"/>
        </w:rPr>
        <w:t>年</w:t>
      </w:r>
      <w:r>
        <w:rPr>
          <w:spacing w:val="-3"/>
          <w:w w:val="100"/>
        </w:rPr>
        <w:t>度</w:t>
      </w:r>
      <w:r>
        <w:rPr>
          <w:spacing w:val="-34"/>
          <w:w w:val="100"/>
        </w:rPr>
        <w:t>、</w:t>
      </w:r>
      <w:r>
        <w:rPr>
          <w:rFonts w:ascii="Arial" w:hAnsi="Arial" w:cs="Arial" w:eastAsia="Arial" w:hint="default"/>
          <w:spacing w:val="-1"/>
          <w:w w:val="100"/>
        </w:rPr>
        <w:t>2009</w:t>
      </w:r>
      <w:r>
        <w:rPr>
          <w:spacing w:val="-3"/>
          <w:w w:val="100"/>
        </w:rPr>
        <w:t>年</w:t>
      </w:r>
      <w:r>
        <w:rPr>
          <w:w w:val="100"/>
        </w:rPr>
        <w:t>度财务</w:t>
      </w:r>
      <w:r>
        <w:rPr>
          <w:spacing w:val="-3"/>
          <w:w w:val="100"/>
        </w:rPr>
        <w:t>报</w:t>
      </w:r>
      <w:r>
        <w:rPr>
          <w:w w:val="100"/>
        </w:rPr>
        <w:t>表</w:t>
      </w:r>
      <w:r>
        <w:rPr>
          <w:spacing w:val="-111"/>
          <w:w w:val="100"/>
        </w:rPr>
        <w:t>》</w:t>
      </w:r>
      <w:r>
        <w:rPr>
          <w:w w:val="100"/>
        </w:rPr>
        <w:t>、</w:t>
      </w:r>
    </w:p>
    <w:p>
      <w:pPr>
        <w:spacing w:after="0" w:line="240" w:lineRule="auto"/>
        <w:jc w:val="left"/>
        <w:sectPr>
          <w:pgSz w:w="11900" w:h="16840"/>
          <w:pgMar w:header="877" w:footer="981" w:top="1100" w:bottom="1180" w:left="1660" w:right="1240"/>
        </w:sectPr>
      </w:pPr>
    </w:p>
    <w:p>
      <w:pPr>
        <w:spacing w:line="240" w:lineRule="auto" w:before="4"/>
        <w:rPr>
          <w:rFonts w:ascii="宋体" w:hAnsi="宋体" w:cs="宋体" w:eastAsia="宋体" w:hint="default"/>
          <w:sz w:val="26"/>
          <w:szCs w:val="26"/>
        </w:rPr>
      </w:pPr>
    </w:p>
    <w:p>
      <w:pPr>
        <w:pStyle w:val="BodyText"/>
        <w:spacing w:line="369" w:lineRule="auto"/>
        <w:ind w:right="215"/>
        <w:jc w:val="both"/>
      </w:pPr>
      <w:r>
        <w:rPr>
          <w:w w:val="100"/>
        </w:rPr>
        <w:t>《公司</w:t>
      </w:r>
      <w:r>
        <w:rPr>
          <w:rFonts w:ascii="Arial" w:hAnsi="Arial" w:cs="Arial" w:eastAsia="Arial" w:hint="default"/>
          <w:spacing w:val="-1"/>
          <w:w w:val="100"/>
        </w:rPr>
        <w:t>2009</w:t>
      </w:r>
      <w:r>
        <w:rPr>
          <w:spacing w:val="-3"/>
          <w:w w:val="100"/>
        </w:rPr>
        <w:t>年</w:t>
      </w:r>
      <w:r>
        <w:rPr>
          <w:w w:val="100"/>
        </w:rPr>
        <w:t>度内</w:t>
      </w:r>
      <w:r>
        <w:rPr>
          <w:spacing w:val="-3"/>
          <w:w w:val="100"/>
        </w:rPr>
        <w:t>部控</w:t>
      </w:r>
      <w:r>
        <w:rPr>
          <w:w w:val="100"/>
        </w:rPr>
        <w:t>制自我</w:t>
      </w:r>
      <w:r>
        <w:rPr>
          <w:spacing w:val="-3"/>
          <w:w w:val="100"/>
        </w:rPr>
        <w:t>评</w:t>
      </w:r>
      <w:r>
        <w:rPr>
          <w:w w:val="100"/>
        </w:rPr>
        <w:t>价报告</w:t>
      </w:r>
      <w:r>
        <w:rPr>
          <w:spacing w:val="-113"/>
          <w:w w:val="100"/>
        </w:rPr>
        <w:t>》</w:t>
      </w:r>
      <w:r>
        <w:rPr>
          <w:spacing w:val="-130"/>
          <w:w w:val="100"/>
        </w:rPr>
        <w:t>、</w:t>
      </w:r>
      <w:r>
        <w:rPr>
          <w:w w:val="100"/>
        </w:rPr>
        <w:t>《</w:t>
      </w:r>
      <w:r>
        <w:rPr>
          <w:spacing w:val="-3"/>
          <w:w w:val="100"/>
        </w:rPr>
        <w:t>公司</w:t>
      </w:r>
      <w:r>
        <w:rPr>
          <w:rFonts w:ascii="Arial" w:hAnsi="Arial" w:cs="Arial" w:eastAsia="Arial" w:hint="default"/>
          <w:spacing w:val="-1"/>
          <w:w w:val="100"/>
        </w:rPr>
        <w:t>2010</w:t>
      </w:r>
      <w:r>
        <w:rPr>
          <w:w w:val="100"/>
        </w:rPr>
        <w:t>年度内</w:t>
      </w:r>
      <w:r>
        <w:rPr>
          <w:spacing w:val="-3"/>
          <w:w w:val="100"/>
        </w:rPr>
        <w:t>部</w:t>
      </w:r>
      <w:r>
        <w:rPr>
          <w:w w:val="100"/>
        </w:rPr>
        <w:t>审计</w:t>
      </w:r>
      <w:r>
        <w:rPr>
          <w:spacing w:val="-3"/>
          <w:w w:val="100"/>
        </w:rPr>
        <w:t>工作</w:t>
      </w:r>
      <w:r>
        <w:rPr>
          <w:w w:val="100"/>
        </w:rPr>
        <w:t>计划</w:t>
      </w:r>
      <w:r>
        <w:rPr>
          <w:spacing w:val="-111"/>
          <w:w w:val="100"/>
        </w:rPr>
        <w:t>》</w:t>
      </w:r>
      <w:r>
        <w:rPr>
          <w:spacing w:val="-130"/>
          <w:w w:val="100"/>
        </w:rPr>
        <w:t>、</w:t>
      </w:r>
      <w:r>
        <w:rPr>
          <w:spacing w:val="-3"/>
          <w:w w:val="100"/>
        </w:rPr>
        <w:t>《</w:t>
      </w:r>
      <w:r>
        <w:rPr>
          <w:w w:val="100"/>
        </w:rPr>
        <w:t>关于</w:t>
      </w:r>
      <w:r>
        <w:rPr>
          <w:spacing w:val="-3"/>
          <w:w w:val="100"/>
        </w:rPr>
        <w:t>聘</w:t>
      </w:r>
      <w:r>
        <w:rPr>
          <w:w w:val="100"/>
        </w:rPr>
        <w:t>请</w:t>
      </w:r>
      <w:r>
        <w:rPr>
          <w:w w:val="100"/>
        </w:rPr>
        <w:t> 公司</w:t>
      </w:r>
      <w:r>
        <w:rPr>
          <w:rFonts w:ascii="Arial" w:hAnsi="Arial" w:cs="Arial" w:eastAsia="Arial" w:hint="default"/>
          <w:spacing w:val="-1"/>
          <w:w w:val="100"/>
        </w:rPr>
        <w:t>2010</w:t>
      </w:r>
      <w:r>
        <w:rPr>
          <w:w w:val="100"/>
        </w:rPr>
        <w:t>年</w:t>
      </w:r>
      <w:r>
        <w:rPr>
          <w:spacing w:val="-3"/>
          <w:w w:val="100"/>
        </w:rPr>
        <w:t>度</w:t>
      </w:r>
      <w:r>
        <w:rPr>
          <w:w w:val="100"/>
        </w:rPr>
        <w:t>审计</w:t>
      </w:r>
      <w:r>
        <w:rPr>
          <w:spacing w:val="-3"/>
          <w:w w:val="100"/>
        </w:rPr>
        <w:t>机构</w:t>
      </w:r>
      <w:r>
        <w:rPr>
          <w:w w:val="100"/>
        </w:rPr>
        <w:t>的议案</w:t>
      </w:r>
      <w:r>
        <w:rPr>
          <w:spacing w:val="-111"/>
          <w:w w:val="100"/>
        </w:rPr>
        <w:t>》</w:t>
      </w:r>
      <w:r>
        <w:rPr>
          <w:spacing w:val="-39"/>
          <w:w w:val="100"/>
        </w:rPr>
        <w:t>；</w:t>
      </w:r>
      <w:r>
        <w:rPr>
          <w:rFonts w:ascii="Arial" w:hAnsi="Arial" w:cs="Arial" w:eastAsia="Arial" w:hint="default"/>
          <w:spacing w:val="-1"/>
          <w:w w:val="100"/>
        </w:rPr>
        <w:t>201</w:t>
      </w:r>
      <w:r>
        <w:rPr>
          <w:rFonts w:ascii="Arial" w:hAnsi="Arial" w:cs="Arial" w:eastAsia="Arial" w:hint="default"/>
          <w:spacing w:val="-3"/>
          <w:w w:val="100"/>
        </w:rPr>
        <w:t>0</w:t>
      </w:r>
      <w:r>
        <w:rPr>
          <w:w w:val="100"/>
        </w:rPr>
        <w:t>年</w:t>
      </w:r>
      <w:r>
        <w:rPr>
          <w:rFonts w:ascii="Arial" w:hAnsi="Arial" w:cs="Arial" w:eastAsia="Arial" w:hint="default"/>
          <w:spacing w:val="-1"/>
          <w:w w:val="100"/>
        </w:rPr>
        <w:t>4</w:t>
      </w:r>
      <w:r>
        <w:rPr>
          <w:w w:val="100"/>
        </w:rPr>
        <w:t>月</w:t>
      </w:r>
      <w:r>
        <w:rPr>
          <w:rFonts w:ascii="Arial" w:hAnsi="Arial" w:cs="Arial" w:eastAsia="Arial" w:hint="default"/>
          <w:spacing w:val="-1"/>
          <w:w w:val="100"/>
        </w:rPr>
        <w:t>2</w:t>
      </w:r>
      <w:r>
        <w:rPr>
          <w:rFonts w:ascii="Arial" w:hAnsi="Arial" w:cs="Arial" w:eastAsia="Arial" w:hint="default"/>
          <w:spacing w:val="-3"/>
          <w:w w:val="100"/>
        </w:rPr>
        <w:t>8</w:t>
      </w:r>
      <w:r>
        <w:rPr>
          <w:w w:val="100"/>
        </w:rPr>
        <w:t>日</w:t>
      </w:r>
      <w:r>
        <w:rPr>
          <w:spacing w:val="-39"/>
          <w:w w:val="100"/>
        </w:rPr>
        <w:t>，</w:t>
      </w:r>
      <w:r>
        <w:rPr>
          <w:w w:val="100"/>
        </w:rPr>
        <w:t>第一</w:t>
      </w:r>
      <w:r>
        <w:rPr>
          <w:spacing w:val="-3"/>
          <w:w w:val="100"/>
        </w:rPr>
        <w:t>届</w:t>
      </w:r>
      <w:r>
        <w:rPr>
          <w:w w:val="100"/>
        </w:rPr>
        <w:t>审计</w:t>
      </w:r>
      <w:r>
        <w:rPr>
          <w:spacing w:val="-3"/>
          <w:w w:val="100"/>
        </w:rPr>
        <w:t>委</w:t>
      </w:r>
      <w:r>
        <w:rPr>
          <w:w w:val="100"/>
        </w:rPr>
        <w:t>员会</w:t>
      </w:r>
      <w:r>
        <w:rPr>
          <w:spacing w:val="-3"/>
          <w:w w:val="100"/>
        </w:rPr>
        <w:t>第</w:t>
      </w:r>
      <w:r>
        <w:rPr>
          <w:w w:val="100"/>
        </w:rPr>
        <w:t>三次会</w:t>
      </w:r>
      <w:r>
        <w:rPr>
          <w:spacing w:val="-3"/>
          <w:w w:val="100"/>
        </w:rPr>
        <w:t>议</w:t>
      </w:r>
      <w:r>
        <w:rPr>
          <w:w w:val="100"/>
        </w:rPr>
        <w:t>审议</w:t>
      </w:r>
      <w:r>
        <w:rPr>
          <w:spacing w:val="-3"/>
          <w:w w:val="100"/>
        </w:rPr>
        <w:t>通</w:t>
      </w:r>
      <w:r>
        <w:rPr>
          <w:w w:val="100"/>
        </w:rPr>
        <w:t>过</w:t>
      </w:r>
      <w:r>
        <w:rPr>
          <w:w w:val="100"/>
        </w:rPr>
        <w:t> </w:t>
      </w:r>
      <w:r>
        <w:rPr>
          <w:spacing w:val="-27"/>
          <w:w w:val="100"/>
        </w:rPr>
        <w:t>了</w:t>
      </w:r>
      <w:r>
        <w:rPr>
          <w:w w:val="100"/>
        </w:rPr>
        <w:t>《公司</w:t>
      </w:r>
      <w:r>
        <w:rPr>
          <w:rFonts w:ascii="Arial" w:hAnsi="Arial" w:cs="Arial" w:eastAsia="Arial" w:hint="default"/>
          <w:spacing w:val="-1"/>
          <w:w w:val="100"/>
        </w:rPr>
        <w:t>2010</w:t>
      </w:r>
      <w:r>
        <w:rPr>
          <w:spacing w:val="-3"/>
          <w:w w:val="100"/>
        </w:rPr>
        <w:t>年</w:t>
      </w:r>
      <w:r>
        <w:rPr>
          <w:w w:val="100"/>
        </w:rPr>
        <w:t>第一</w:t>
      </w:r>
      <w:r>
        <w:rPr>
          <w:spacing w:val="-3"/>
          <w:w w:val="100"/>
        </w:rPr>
        <w:t>季度</w:t>
      </w:r>
      <w:r>
        <w:rPr>
          <w:w w:val="100"/>
        </w:rPr>
        <w:t>财务报表</w:t>
      </w:r>
      <w:r>
        <w:rPr>
          <w:spacing w:val="-111"/>
          <w:w w:val="100"/>
        </w:rPr>
        <w:t>》</w:t>
      </w:r>
      <w:r>
        <w:rPr>
          <w:spacing w:val="-27"/>
          <w:w w:val="100"/>
        </w:rPr>
        <w:t>；</w:t>
      </w:r>
      <w:r>
        <w:rPr>
          <w:rFonts w:ascii="Arial" w:hAnsi="Arial" w:cs="Arial" w:eastAsia="Arial" w:hint="default"/>
          <w:spacing w:val="-1"/>
          <w:w w:val="100"/>
        </w:rPr>
        <w:t>201</w:t>
      </w:r>
      <w:r>
        <w:rPr>
          <w:rFonts w:ascii="Arial" w:hAnsi="Arial" w:cs="Arial" w:eastAsia="Arial" w:hint="default"/>
          <w:spacing w:val="-3"/>
          <w:w w:val="100"/>
        </w:rPr>
        <w:t>0</w:t>
      </w:r>
      <w:r>
        <w:rPr>
          <w:w w:val="100"/>
        </w:rPr>
        <w:t>年</w:t>
      </w:r>
      <w:r>
        <w:rPr>
          <w:rFonts w:ascii="Arial" w:hAnsi="Arial" w:cs="Arial" w:eastAsia="Arial" w:hint="default"/>
          <w:spacing w:val="-1"/>
          <w:w w:val="100"/>
        </w:rPr>
        <w:t>8</w:t>
      </w:r>
      <w:r>
        <w:rPr>
          <w:w w:val="100"/>
        </w:rPr>
        <w:t>月</w:t>
      </w:r>
      <w:r>
        <w:rPr>
          <w:rFonts w:ascii="Arial" w:hAnsi="Arial" w:cs="Arial" w:eastAsia="Arial" w:hint="default"/>
          <w:spacing w:val="-3"/>
          <w:w w:val="100"/>
        </w:rPr>
        <w:t>1</w:t>
      </w:r>
      <w:r>
        <w:rPr>
          <w:rFonts w:ascii="Arial" w:hAnsi="Arial" w:cs="Arial" w:eastAsia="Arial" w:hint="default"/>
          <w:spacing w:val="-1"/>
          <w:w w:val="100"/>
        </w:rPr>
        <w:t>9</w:t>
      </w:r>
      <w:r>
        <w:rPr>
          <w:w w:val="100"/>
        </w:rPr>
        <w:t>日</w:t>
      </w:r>
      <w:r>
        <w:rPr>
          <w:spacing w:val="-27"/>
          <w:w w:val="100"/>
        </w:rPr>
        <w:t>，</w:t>
      </w:r>
      <w:r>
        <w:rPr>
          <w:w w:val="100"/>
        </w:rPr>
        <w:t>第一</w:t>
      </w:r>
      <w:r>
        <w:rPr>
          <w:spacing w:val="-3"/>
          <w:w w:val="100"/>
        </w:rPr>
        <w:t>届</w:t>
      </w:r>
      <w:r>
        <w:rPr>
          <w:w w:val="100"/>
        </w:rPr>
        <w:t>审计委</w:t>
      </w:r>
      <w:r>
        <w:rPr>
          <w:spacing w:val="-3"/>
          <w:w w:val="100"/>
        </w:rPr>
        <w:t>员会</w:t>
      </w:r>
      <w:r>
        <w:rPr>
          <w:w w:val="100"/>
        </w:rPr>
        <w:t>第四次</w:t>
      </w:r>
      <w:r>
        <w:rPr>
          <w:spacing w:val="-3"/>
          <w:w w:val="100"/>
        </w:rPr>
        <w:t>会</w:t>
      </w:r>
      <w:r>
        <w:rPr>
          <w:w w:val="100"/>
        </w:rPr>
        <w:t>议审议</w:t>
      </w:r>
      <w:r>
        <w:rPr>
          <w:w w:val="100"/>
        </w:rPr>
        <w:t> 通过了《公司</w:t>
      </w:r>
      <w:r>
        <w:rPr>
          <w:rFonts w:ascii="Arial" w:hAnsi="Arial" w:cs="Arial" w:eastAsia="Arial" w:hint="default"/>
          <w:spacing w:val="-1"/>
          <w:w w:val="100"/>
        </w:rPr>
        <w:t>2010</w:t>
      </w:r>
      <w:r>
        <w:rPr>
          <w:w w:val="100"/>
        </w:rPr>
        <w:t>年半年度财务报表</w:t>
      </w:r>
      <w:r>
        <w:rPr>
          <w:spacing w:val="-111"/>
          <w:w w:val="100"/>
        </w:rPr>
        <w:t>》</w:t>
      </w:r>
      <w:r>
        <w:rPr>
          <w:w w:val="100"/>
        </w:rPr>
        <w:t>；</w:t>
      </w:r>
      <w:r>
        <w:rPr>
          <w:rFonts w:ascii="Arial" w:hAnsi="Arial" w:cs="Arial" w:eastAsia="Arial" w:hint="default"/>
          <w:spacing w:val="-1"/>
          <w:w w:val="100"/>
        </w:rPr>
        <w:t>2010</w:t>
      </w:r>
      <w:r>
        <w:rPr>
          <w:w w:val="100"/>
        </w:rPr>
        <w:t>年</w:t>
      </w:r>
      <w:r>
        <w:rPr>
          <w:rFonts w:ascii="Arial" w:hAnsi="Arial" w:cs="Arial" w:eastAsia="Arial" w:hint="default"/>
          <w:spacing w:val="-1"/>
          <w:w w:val="100"/>
        </w:rPr>
        <w:t>10</w:t>
      </w:r>
      <w:r>
        <w:rPr>
          <w:w w:val="100"/>
        </w:rPr>
        <w:t>月</w:t>
      </w:r>
      <w:r>
        <w:rPr>
          <w:rFonts w:ascii="Arial" w:hAnsi="Arial" w:cs="Arial" w:eastAsia="Arial" w:hint="default"/>
          <w:spacing w:val="-1"/>
          <w:w w:val="100"/>
        </w:rPr>
        <w:t>22</w:t>
      </w:r>
      <w:r>
        <w:rPr>
          <w:w w:val="100"/>
        </w:rPr>
        <w:t>日，第一届审计委员会第四次会议 审议通</w:t>
      </w:r>
      <w:r>
        <w:rPr>
          <w:spacing w:val="-3"/>
          <w:w w:val="100"/>
        </w:rPr>
        <w:t>过</w:t>
      </w:r>
      <w:r>
        <w:rPr>
          <w:w w:val="100"/>
        </w:rPr>
        <w:t>了《</w:t>
      </w:r>
      <w:r>
        <w:rPr>
          <w:spacing w:val="-3"/>
          <w:w w:val="100"/>
        </w:rPr>
        <w:t>公</w:t>
      </w:r>
      <w:r>
        <w:rPr>
          <w:w w:val="100"/>
        </w:rPr>
        <w:t>司</w:t>
      </w:r>
      <w:r>
        <w:rPr>
          <w:rFonts w:ascii="Arial" w:hAnsi="Arial" w:cs="Arial" w:eastAsia="Arial" w:hint="default"/>
          <w:spacing w:val="-1"/>
          <w:w w:val="100"/>
        </w:rPr>
        <w:t>201</w:t>
      </w:r>
      <w:r>
        <w:rPr>
          <w:rFonts w:ascii="Arial" w:hAnsi="Arial" w:cs="Arial" w:eastAsia="Arial" w:hint="default"/>
          <w:spacing w:val="-3"/>
          <w:w w:val="100"/>
        </w:rPr>
        <w:t>0</w:t>
      </w:r>
      <w:r>
        <w:rPr>
          <w:w w:val="100"/>
        </w:rPr>
        <w:t>年第三</w:t>
      </w:r>
      <w:r>
        <w:rPr>
          <w:spacing w:val="-3"/>
          <w:w w:val="100"/>
        </w:rPr>
        <w:t>季</w:t>
      </w:r>
      <w:r>
        <w:rPr>
          <w:w w:val="100"/>
        </w:rPr>
        <w:t>度财</w:t>
      </w:r>
      <w:r>
        <w:rPr>
          <w:spacing w:val="-3"/>
          <w:w w:val="100"/>
        </w:rPr>
        <w:t>务</w:t>
      </w:r>
      <w:r>
        <w:rPr>
          <w:w w:val="100"/>
        </w:rPr>
        <w:t>报表</w:t>
      </w:r>
      <w:r>
        <w:rPr>
          <w:spacing w:val="-111"/>
          <w:w w:val="100"/>
        </w:rPr>
        <w:t>》</w:t>
      </w:r>
      <w:r>
        <w:rPr>
          <w:w w:val="100"/>
        </w:rPr>
        <w:t>。</w:t>
      </w:r>
    </w:p>
    <w:p>
      <w:pPr>
        <w:pStyle w:val="BodyText"/>
        <w:spacing w:line="391" w:lineRule="auto" w:before="31"/>
        <w:ind w:right="33" w:firstLine="439"/>
        <w:jc w:val="left"/>
      </w:pPr>
      <w:r>
        <w:rPr/>
        <w:t>在会计师审核公司年度和半年度财务报告中，公司审计委员会委员就审计中发现的问</w:t>
      </w:r>
      <w:r>
        <w:rPr>
          <w:w w:val="100"/>
        </w:rPr>
        <w:t> </w:t>
      </w:r>
      <w:r>
        <w:rPr/>
        <w:t>题与会计师进行了充分的沟通，并提供了完善意见。</w:t>
      </w:r>
    </w:p>
    <w:p>
      <w:pPr>
        <w:pStyle w:val="BodyText"/>
        <w:spacing w:line="369" w:lineRule="auto" w:before="41"/>
        <w:ind w:left="576" w:right="33"/>
        <w:jc w:val="left"/>
      </w:pPr>
      <w:r>
        <w:rPr>
          <w:rFonts w:ascii="Arial" w:hAnsi="Arial" w:cs="Arial" w:eastAsia="Arial" w:hint="default"/>
        </w:rPr>
        <w:t>2</w:t>
      </w:r>
      <w:r>
        <w:rPr/>
        <w:t>．战略委员会</w:t>
      </w:r>
      <w:r>
        <w:rPr>
          <w:w w:val="100"/>
        </w:rPr>
        <w:t> </w:t>
      </w:r>
      <w:r>
        <w:rPr>
          <w:spacing w:val="-3"/>
        </w:rPr>
        <w:t>公司董事会战略委员会由董事长纪立军先生、董事臧少玉先生、独立董事田利明先生、</w:t>
      </w:r>
    </w:p>
    <w:p>
      <w:pPr>
        <w:pStyle w:val="BodyText"/>
        <w:spacing w:line="391" w:lineRule="auto" w:before="61"/>
        <w:ind w:left="576" w:right="33" w:hanging="440"/>
        <w:jc w:val="left"/>
      </w:pPr>
      <w:r>
        <w:rPr/>
        <w:t>独立董事邹晖女士、独立董事尚建平先生组成，其中纪立军先生为主任委员（召集人）</w:t>
      </w:r>
      <w:r>
        <w:rPr>
          <w:w w:val="100"/>
        </w:rPr>
        <w:t> </w:t>
      </w:r>
      <w:r>
        <w:rPr>
          <w:spacing w:val="-2"/>
        </w:rPr>
        <w:t>公司战略委员会运行情况良好，</w:t>
      </w:r>
      <w:r>
        <w:rPr>
          <w:rFonts w:ascii="Arial" w:hAnsi="Arial" w:cs="Arial" w:eastAsia="Arial" w:hint="default"/>
          <w:spacing w:val="-2"/>
        </w:rPr>
        <w:t>2010</w:t>
      </w:r>
      <w:r>
        <w:rPr>
          <w:spacing w:val="-2"/>
        </w:rPr>
        <w:t>年</w:t>
      </w:r>
      <w:r>
        <w:rPr>
          <w:rFonts w:ascii="Arial" w:hAnsi="Arial" w:cs="Arial" w:eastAsia="Arial" w:hint="default"/>
          <w:spacing w:val="-2"/>
        </w:rPr>
        <w:t>1</w:t>
      </w:r>
      <w:r>
        <w:rPr>
          <w:spacing w:val="-2"/>
        </w:rPr>
        <w:t>月</w:t>
      </w:r>
      <w:r>
        <w:rPr>
          <w:rFonts w:ascii="Arial" w:hAnsi="Arial" w:cs="Arial" w:eastAsia="Arial" w:hint="default"/>
          <w:spacing w:val="-2"/>
        </w:rPr>
        <w:t>7</w:t>
      </w:r>
      <w:r>
        <w:rPr>
          <w:spacing w:val="-2"/>
        </w:rPr>
        <w:t>日，第一届战略委员会第四次会议审议通</w:t>
      </w:r>
    </w:p>
    <w:p>
      <w:pPr>
        <w:pStyle w:val="BodyText"/>
        <w:spacing w:line="376" w:lineRule="auto" w:before="9"/>
        <w:ind w:right="215"/>
        <w:jc w:val="both"/>
      </w:pPr>
      <w:r>
        <w:rPr>
          <w:spacing w:val="-6"/>
          <w:w w:val="100"/>
        </w:rPr>
        <w:t>过了《</w:t>
      </w:r>
      <w:r>
        <w:rPr>
          <w:rFonts w:ascii="Arial" w:hAnsi="Arial" w:cs="Arial" w:eastAsia="Arial" w:hint="default"/>
          <w:spacing w:val="-6"/>
          <w:w w:val="100"/>
        </w:rPr>
        <w:t>2009</w:t>
      </w:r>
      <w:r>
        <w:rPr>
          <w:spacing w:val="-6"/>
          <w:w w:val="100"/>
        </w:rPr>
        <w:t>年度战略委员会工作报告》；</w:t>
      </w:r>
      <w:r>
        <w:rPr>
          <w:rFonts w:ascii="Arial" w:hAnsi="Arial" w:cs="Arial" w:eastAsia="Arial" w:hint="default"/>
          <w:spacing w:val="-6"/>
          <w:w w:val="100"/>
        </w:rPr>
        <w:t>2010</w:t>
      </w:r>
      <w:r>
        <w:rPr>
          <w:spacing w:val="-6"/>
          <w:w w:val="100"/>
        </w:rPr>
        <w:t>年</w:t>
      </w:r>
      <w:r>
        <w:rPr>
          <w:rFonts w:ascii="Arial" w:hAnsi="Arial" w:cs="Arial" w:eastAsia="Arial" w:hint="default"/>
          <w:spacing w:val="-6"/>
          <w:w w:val="100"/>
        </w:rPr>
        <w:t>1</w:t>
      </w:r>
      <w:r>
        <w:rPr>
          <w:spacing w:val="-6"/>
          <w:w w:val="100"/>
        </w:rPr>
        <w:t>月</w:t>
      </w:r>
      <w:r>
        <w:rPr>
          <w:rFonts w:ascii="Arial" w:hAnsi="Arial" w:cs="Arial" w:eastAsia="Arial" w:hint="default"/>
          <w:spacing w:val="-6"/>
          <w:w w:val="100"/>
        </w:rPr>
        <w:t>28</w:t>
      </w:r>
      <w:r>
        <w:rPr>
          <w:spacing w:val="-6"/>
          <w:w w:val="100"/>
        </w:rPr>
        <w:t>日，第一届战略委员会第五次会议审</w:t>
      </w:r>
      <w:r>
        <w:rPr>
          <w:spacing w:val="-69"/>
          <w:w w:val="100"/>
        </w:rPr>
        <w:t> </w:t>
      </w:r>
      <w:r>
        <w:rPr>
          <w:spacing w:val="-69"/>
          <w:w w:val="100"/>
        </w:rPr>
      </w:r>
      <w:r>
        <w:rPr>
          <w:spacing w:val="-5"/>
          <w:w w:val="100"/>
        </w:rPr>
        <w:t>议通过了《关于对子公司东营安诺其纺织材料有限公司增资的议案》；</w:t>
      </w:r>
      <w:r>
        <w:rPr>
          <w:rFonts w:ascii="Arial" w:hAnsi="Arial" w:cs="Arial" w:eastAsia="Arial" w:hint="default"/>
          <w:spacing w:val="-5"/>
          <w:w w:val="100"/>
        </w:rPr>
        <w:t>2010</w:t>
      </w:r>
      <w:r>
        <w:rPr>
          <w:spacing w:val="-5"/>
          <w:w w:val="100"/>
        </w:rPr>
        <w:t>年</w:t>
      </w:r>
      <w:r>
        <w:rPr>
          <w:rFonts w:ascii="Arial" w:hAnsi="Arial" w:cs="Arial" w:eastAsia="Arial" w:hint="default"/>
          <w:spacing w:val="-5"/>
          <w:w w:val="100"/>
        </w:rPr>
        <w:t>3</w:t>
      </w:r>
      <w:r>
        <w:rPr>
          <w:spacing w:val="-5"/>
          <w:w w:val="100"/>
        </w:rPr>
        <w:t>月</w:t>
      </w:r>
      <w:r>
        <w:rPr>
          <w:rFonts w:ascii="Arial" w:hAnsi="Arial" w:cs="Arial" w:eastAsia="Arial" w:hint="default"/>
          <w:spacing w:val="-5"/>
          <w:w w:val="100"/>
        </w:rPr>
        <w:t>16</w:t>
      </w:r>
      <w:r>
        <w:rPr>
          <w:spacing w:val="-5"/>
          <w:w w:val="100"/>
        </w:rPr>
        <w:t>日，第</w:t>
      </w:r>
      <w:r>
        <w:rPr>
          <w:spacing w:val="-72"/>
          <w:w w:val="100"/>
        </w:rPr>
        <w:t> </w:t>
      </w:r>
      <w:r>
        <w:rPr>
          <w:spacing w:val="-72"/>
          <w:w w:val="100"/>
        </w:rPr>
      </w:r>
      <w:r>
        <w:rPr/>
        <w:t>一届战略委员会第四次会议审议通过了《关于对子公司东营安诺其纺织材料有限公司增资</w:t>
      </w:r>
      <w:r>
        <w:rPr>
          <w:spacing w:val="-57"/>
        </w:rPr>
        <w:t> </w:t>
      </w:r>
      <w:r>
        <w:rPr>
          <w:spacing w:val="-57"/>
        </w:rPr>
      </w:r>
      <w:r>
        <w:rPr>
          <w:spacing w:val="-23"/>
          <w:w w:val="100"/>
        </w:rPr>
        <w:t>的议案》。</w:t>
      </w:r>
    </w:p>
    <w:p>
      <w:pPr>
        <w:pStyle w:val="BodyText"/>
        <w:spacing w:line="369" w:lineRule="auto" w:before="54"/>
        <w:ind w:left="576" w:right="33"/>
        <w:jc w:val="left"/>
      </w:pPr>
      <w:r>
        <w:rPr>
          <w:rFonts w:ascii="Arial" w:hAnsi="Arial" w:cs="Arial" w:eastAsia="Arial" w:hint="default"/>
        </w:rPr>
        <w:t>3</w:t>
      </w:r>
      <w:r>
        <w:rPr/>
        <w:t>．提名委员会</w:t>
      </w:r>
      <w:r>
        <w:rPr>
          <w:w w:val="100"/>
        </w:rPr>
        <w:t> </w:t>
      </w:r>
      <w:r>
        <w:rPr>
          <w:spacing w:val="-3"/>
        </w:rPr>
        <w:t>公司董事会提名委员会由董事长纪立军先生、董事臧少玉先生、独立董事田利明先生、</w:t>
      </w:r>
    </w:p>
    <w:p>
      <w:pPr>
        <w:pStyle w:val="BodyText"/>
        <w:spacing w:line="391" w:lineRule="auto" w:before="61"/>
        <w:ind w:left="576" w:right="33" w:hanging="440"/>
        <w:jc w:val="left"/>
      </w:pPr>
      <w:r>
        <w:rPr/>
        <w:t>独立董事尚建平先生组成，其中纪立军先生为主任委员（召集人）</w:t>
      </w:r>
      <w:r>
        <w:rPr>
          <w:w w:val="100"/>
        </w:rPr>
        <w:t> </w:t>
      </w:r>
      <w:r>
        <w:rPr/>
        <w:t>公司提名委员会运行情况良好，</w:t>
      </w:r>
      <w:r>
        <w:rPr>
          <w:rFonts w:ascii="Arial" w:hAnsi="Arial" w:cs="Arial" w:eastAsia="Arial" w:hint="default"/>
        </w:rPr>
        <w:t>2010</w:t>
      </w:r>
      <w:r>
        <w:rPr/>
        <w:t>年</w:t>
      </w:r>
      <w:r>
        <w:rPr>
          <w:rFonts w:ascii="Arial" w:hAnsi="Arial" w:cs="Arial" w:eastAsia="Arial" w:hint="default"/>
        </w:rPr>
        <w:t>2</w:t>
      </w:r>
      <w:r>
        <w:rPr/>
        <w:t>月</w:t>
      </w:r>
      <w:r>
        <w:rPr>
          <w:rFonts w:ascii="Arial" w:hAnsi="Arial" w:cs="Arial" w:eastAsia="Arial" w:hint="default"/>
        </w:rPr>
        <w:t>20</w:t>
      </w:r>
      <w:r>
        <w:rPr/>
        <w:t>日，第一届提名委员会第一次会议审议</w:t>
      </w:r>
    </w:p>
    <w:p>
      <w:pPr>
        <w:pStyle w:val="BodyText"/>
        <w:spacing w:line="391" w:lineRule="auto" w:before="9"/>
        <w:ind w:right="218"/>
        <w:jc w:val="both"/>
      </w:pPr>
      <w:r>
        <w:rPr>
          <w:spacing w:val="-5"/>
          <w:w w:val="100"/>
        </w:rPr>
        <w:t>通过了《关于补选第一届董事会审计委员会委员的议案》、《关于补选第一届董事会提名委</w:t>
      </w:r>
      <w:r>
        <w:rPr>
          <w:spacing w:val="-108"/>
          <w:w w:val="100"/>
        </w:rPr>
        <w:t> </w:t>
      </w:r>
      <w:r>
        <w:rPr>
          <w:spacing w:val="-108"/>
          <w:w w:val="100"/>
        </w:rPr>
      </w:r>
      <w:r>
        <w:rPr>
          <w:spacing w:val="-11"/>
          <w:w w:val="100"/>
        </w:rPr>
        <w:t>员会委员的议案》、《关于补选第一届董事会薪酬与考核委员会委员的议案》、《关于补选第</w:t>
      </w:r>
      <w:r>
        <w:rPr>
          <w:spacing w:val="-77"/>
          <w:w w:val="100"/>
        </w:rPr>
        <w:t> </w:t>
      </w:r>
      <w:r>
        <w:rPr>
          <w:spacing w:val="-77"/>
          <w:w w:val="100"/>
        </w:rPr>
      </w:r>
      <w:r>
        <w:rPr/>
        <w:t>一届董事会战略委员会委员的议案》</w:t>
      </w:r>
    </w:p>
    <w:p>
      <w:pPr>
        <w:pStyle w:val="BodyText"/>
        <w:spacing w:line="369" w:lineRule="auto" w:before="41"/>
        <w:ind w:left="576" w:right="33"/>
        <w:jc w:val="left"/>
      </w:pPr>
      <w:r>
        <w:rPr>
          <w:rFonts w:ascii="Arial" w:hAnsi="Arial" w:cs="Arial" w:eastAsia="Arial" w:hint="default"/>
        </w:rPr>
        <w:t>4</w:t>
      </w:r>
      <w:r>
        <w:rPr/>
        <w:t>．薪酬与考核委员会</w:t>
      </w:r>
      <w:r>
        <w:rPr>
          <w:w w:val="100"/>
        </w:rPr>
        <w:t> </w:t>
      </w:r>
      <w:r>
        <w:rPr/>
        <w:t>为强化高管的薪酬与考核管理体系，确保董事会对公司的有效监督，进一步完善公司</w:t>
      </w:r>
    </w:p>
    <w:p>
      <w:pPr>
        <w:pStyle w:val="BodyText"/>
        <w:spacing w:line="379" w:lineRule="auto" w:before="61"/>
        <w:ind w:right="215"/>
        <w:jc w:val="both"/>
      </w:pPr>
      <w:r>
        <w:rPr/>
        <w:t>治理结构，第一届董事会第六次会议于</w:t>
      </w:r>
      <w:r>
        <w:rPr>
          <w:rFonts w:ascii="Arial" w:hAnsi="Arial" w:cs="Arial" w:eastAsia="Arial" w:hint="default"/>
        </w:rPr>
        <w:t>2009</w:t>
      </w:r>
      <w:r>
        <w:rPr/>
        <w:t>年</w:t>
      </w:r>
      <w:r>
        <w:rPr>
          <w:rFonts w:ascii="Arial" w:hAnsi="Arial" w:cs="Arial" w:eastAsia="Arial" w:hint="default"/>
        </w:rPr>
        <w:t>6</w:t>
      </w:r>
      <w:r>
        <w:rPr/>
        <w:t>月</w:t>
      </w:r>
      <w:r>
        <w:rPr>
          <w:rFonts w:ascii="Arial" w:hAnsi="Arial" w:cs="Arial" w:eastAsia="Arial" w:hint="default"/>
        </w:rPr>
        <w:t>20</w:t>
      </w:r>
      <w:r>
        <w:rPr/>
        <w:t>日审议通过了《关于选举产生公司第</w:t>
      </w:r>
      <w:r>
        <w:rPr>
          <w:spacing w:val="-42"/>
        </w:rPr>
        <w:t> </w:t>
      </w:r>
      <w:r>
        <w:rPr>
          <w:spacing w:val="-42"/>
        </w:rPr>
      </w:r>
      <w:r>
        <w:rPr>
          <w:spacing w:val="-8"/>
          <w:w w:val="100"/>
        </w:rPr>
        <w:t>一届董事会薪酬与考核委员会的议案》、《关于</w:t>
      </w:r>
      <w:r>
        <w:rPr>
          <w:rFonts w:ascii="Arial" w:hAnsi="Arial" w:cs="Arial" w:eastAsia="Arial" w:hint="default"/>
          <w:spacing w:val="-8"/>
          <w:w w:val="100"/>
        </w:rPr>
        <w:t>&lt;</w:t>
      </w:r>
      <w:r>
        <w:rPr>
          <w:spacing w:val="-8"/>
          <w:w w:val="100"/>
        </w:rPr>
        <w:t>上海安诺其纺织化工股份有限公司董事会薪</w:t>
      </w:r>
      <w:r>
        <w:rPr>
          <w:w w:val="100"/>
        </w:rPr>
        <w:t> </w:t>
      </w:r>
      <w:r>
        <w:rPr>
          <w:spacing w:val="-3"/>
          <w:w w:val="100"/>
        </w:rPr>
        <w:t>酬与考核委员会工作细则</w:t>
      </w:r>
      <w:r>
        <w:rPr>
          <w:rFonts w:ascii="Arial" w:hAnsi="Arial" w:cs="Arial" w:eastAsia="Arial" w:hint="default"/>
          <w:spacing w:val="-3"/>
          <w:w w:val="100"/>
        </w:rPr>
        <w:t>&gt;</w:t>
      </w:r>
      <w:r>
        <w:rPr>
          <w:spacing w:val="-3"/>
          <w:w w:val="100"/>
        </w:rPr>
        <w:t>的议案》。薪酬与考核委员会主要负责制定公司董事和高管人员</w:t>
      </w:r>
      <w:r>
        <w:rPr>
          <w:spacing w:val="-95"/>
          <w:w w:val="100"/>
        </w:rPr>
        <w:t> </w:t>
      </w:r>
      <w:r>
        <w:rPr>
          <w:spacing w:val="-95"/>
          <w:w w:val="100"/>
        </w:rPr>
      </w:r>
      <w:r>
        <w:rPr/>
        <w:t>的薪酬计划或方案，并对执行情况进行监督；审查董事和高管人员履职情况，并对其进行</w:t>
      </w:r>
      <w:r>
        <w:rPr>
          <w:spacing w:val="-57"/>
        </w:rPr>
        <w:t> </w:t>
      </w:r>
      <w:r>
        <w:rPr>
          <w:spacing w:val="-57"/>
        </w:rPr>
      </w:r>
      <w:r>
        <w:rPr/>
        <w:t>年度绩效考评。该委员会委员由纪立军先生、尚建平先生、邹晖女士共三人担任，由独立</w:t>
      </w:r>
      <w:r>
        <w:rPr>
          <w:spacing w:val="-57"/>
        </w:rPr>
        <w:t> </w:t>
      </w:r>
      <w:r>
        <w:rPr>
          <w:spacing w:val="-57"/>
        </w:rPr>
      </w:r>
      <w:r>
        <w:rPr/>
        <w:t>董事尚建平先生担任主任委员。</w:t>
      </w:r>
    </w:p>
    <w:p>
      <w:pPr>
        <w:spacing w:after="0" w:line="379" w:lineRule="auto"/>
        <w:jc w:val="both"/>
        <w:sectPr>
          <w:footerReference w:type="default" r:id="rId45"/>
          <w:pgSz w:w="11900" w:h="16840"/>
          <w:pgMar w:footer="981" w:header="877" w:top="1100" w:bottom="1180" w:left="1660" w:right="1240"/>
          <w:pgNumType w:start="56"/>
        </w:sectPr>
      </w:pPr>
    </w:p>
    <w:p>
      <w:pPr>
        <w:spacing w:line="240" w:lineRule="auto" w:before="0"/>
        <w:rPr>
          <w:rFonts w:ascii="宋体" w:hAnsi="宋体" w:cs="宋体" w:eastAsia="宋体" w:hint="default"/>
          <w:sz w:val="20"/>
          <w:szCs w:val="20"/>
        </w:rPr>
      </w:pPr>
    </w:p>
    <w:p>
      <w:pPr>
        <w:pStyle w:val="Heading3"/>
        <w:spacing w:line="240" w:lineRule="auto" w:before="145"/>
        <w:ind w:right="0"/>
        <w:jc w:val="both"/>
      </w:pPr>
      <w:r>
        <w:rPr/>
        <w:t>五、内部控制制度的履行情况</w:t>
      </w:r>
    </w:p>
    <w:p>
      <w:pPr>
        <w:spacing w:line="240" w:lineRule="auto" w:before="9"/>
        <w:rPr>
          <w:rFonts w:ascii="宋体" w:hAnsi="宋体" w:cs="宋体" w:eastAsia="宋体" w:hint="default"/>
          <w:sz w:val="19"/>
          <w:szCs w:val="19"/>
        </w:rPr>
      </w:pPr>
    </w:p>
    <w:p>
      <w:pPr>
        <w:pStyle w:val="Heading3"/>
        <w:spacing w:line="240" w:lineRule="auto"/>
        <w:ind w:right="0"/>
        <w:jc w:val="both"/>
      </w:pPr>
      <w:r>
        <w:rPr/>
        <w:t>（一）对控股子公司的内部控制</w:t>
      </w:r>
    </w:p>
    <w:p>
      <w:pPr>
        <w:pStyle w:val="BodyText"/>
        <w:spacing w:line="391" w:lineRule="auto" w:before="227"/>
        <w:ind w:right="218" w:firstLine="439"/>
        <w:jc w:val="both"/>
      </w:pPr>
      <w:r>
        <w:rPr/>
        <w:t>公司制定了《子公司管理办法》对子公司进行管理。并在充分考虑子公司业务特征等</w:t>
      </w:r>
      <w:r>
        <w:rPr>
          <w:w w:val="100"/>
        </w:rPr>
        <w:t> </w:t>
      </w:r>
      <w:r>
        <w:rPr/>
        <w:t>的基础上，督促其建立和实施内部控制制度。公司各控股子公司均为全资子公司。</w:t>
      </w:r>
    </w:p>
    <w:p>
      <w:pPr>
        <w:pStyle w:val="BodyText"/>
        <w:spacing w:line="391" w:lineRule="auto" w:before="41"/>
        <w:ind w:right="215" w:firstLine="439"/>
        <w:jc w:val="both"/>
      </w:pPr>
      <w:r>
        <w:rPr>
          <w:spacing w:val="-6"/>
          <w:w w:val="100"/>
        </w:rPr>
        <w:t>公司根据《关于上海总部对子公司人力资源管理的办法》，通过对子公司委派高级管理</w:t>
      </w:r>
      <w:r>
        <w:rPr>
          <w:w w:val="100"/>
        </w:rPr>
        <w:t> </w:t>
      </w:r>
      <w:r>
        <w:rPr/>
        <w:t>人员来实现对其的日常经营和业务控制，向子公司派遣财务负责人来加强对二级公司财务</w:t>
      </w:r>
      <w:r>
        <w:rPr>
          <w:spacing w:val="-57"/>
        </w:rPr>
        <w:t> </w:t>
      </w:r>
      <w:r>
        <w:rPr>
          <w:spacing w:val="-57"/>
        </w:rPr>
      </w:r>
      <w:r>
        <w:rPr/>
        <w:t>工作的指导、监督、管理与协调；并且通过设置内审部，履行对其的审计监督。</w:t>
      </w:r>
    </w:p>
    <w:p>
      <w:pPr>
        <w:pStyle w:val="Heading3"/>
        <w:spacing w:line="240" w:lineRule="auto" w:before="72"/>
        <w:ind w:right="0"/>
        <w:jc w:val="both"/>
      </w:pPr>
      <w:r>
        <w:rPr/>
        <w:t>（二）对重大关联交易情况的内部控制</w:t>
      </w:r>
    </w:p>
    <w:p>
      <w:pPr>
        <w:pStyle w:val="BodyText"/>
        <w:spacing w:line="391" w:lineRule="auto" w:before="227"/>
        <w:ind w:right="215" w:firstLine="439"/>
        <w:jc w:val="both"/>
      </w:pPr>
      <w:r>
        <w:rPr>
          <w:spacing w:val="-6"/>
          <w:w w:val="100"/>
        </w:rPr>
        <w:t>公司制定了《关联交易决策制度》，规定了公司关联交易的内部控制遵循诚实信用、平</w:t>
      </w:r>
      <w:r>
        <w:rPr>
          <w:w w:val="100"/>
        </w:rPr>
        <w:t> </w:t>
      </w:r>
      <w:r>
        <w:rPr/>
        <w:t>等、自愿、公平、公开、公允的原则，不存在损害公司和其他股东的利益。公司明确规定</w:t>
      </w:r>
      <w:r>
        <w:rPr>
          <w:spacing w:val="-57"/>
        </w:rPr>
        <w:t> </w:t>
      </w:r>
      <w:r>
        <w:rPr>
          <w:spacing w:val="-57"/>
        </w:rPr>
      </w:r>
      <w:r>
        <w:rPr/>
        <w:t>了公司股东大会、董事会对关联交易事项的审批权限，并要求关联董事和关联股东回避表</w:t>
      </w:r>
      <w:r>
        <w:rPr>
          <w:spacing w:val="-57"/>
        </w:rPr>
        <w:t> </w:t>
      </w:r>
      <w:r>
        <w:rPr>
          <w:spacing w:val="-57"/>
        </w:rPr>
      </w:r>
      <w:r>
        <w:rPr/>
        <w:t>决要求。</w:t>
      </w:r>
    </w:p>
    <w:p>
      <w:pPr>
        <w:pStyle w:val="BodyText"/>
        <w:spacing w:line="391" w:lineRule="auto" w:before="41"/>
        <w:ind w:right="215" w:firstLine="439"/>
        <w:jc w:val="both"/>
      </w:pPr>
      <w:r>
        <w:rPr/>
        <w:t>公司股东大会、董事会在审议关联交易事项时严格按照相关规定履行了相应的决策程</w:t>
      </w:r>
      <w:r>
        <w:rPr>
          <w:w w:val="100"/>
        </w:rPr>
        <w:t> </w:t>
      </w:r>
      <w:r>
        <w:rPr/>
        <w:t>序，关联董事、关联股东在审议关联事项时均严格执行回避制度。公司发生的关联交易不</w:t>
      </w:r>
      <w:r>
        <w:rPr>
          <w:spacing w:val="-57"/>
        </w:rPr>
        <w:t> </w:t>
      </w:r>
      <w:r>
        <w:rPr>
          <w:spacing w:val="-57"/>
        </w:rPr>
      </w:r>
      <w:r>
        <w:rPr/>
        <w:t>存在损害公司及中小股东利益的情形，亦不存在关联方占用或转移公司资金、资产或其他</w:t>
      </w:r>
      <w:r>
        <w:rPr>
          <w:spacing w:val="-57"/>
        </w:rPr>
        <w:t> </w:t>
      </w:r>
      <w:r>
        <w:rPr>
          <w:spacing w:val="-57"/>
        </w:rPr>
      </w:r>
      <w:r>
        <w:rPr/>
        <w:t>资源而给公司造成损失或可能造成损失的情形。</w:t>
      </w:r>
    </w:p>
    <w:p>
      <w:pPr>
        <w:pStyle w:val="Heading3"/>
        <w:spacing w:line="240" w:lineRule="auto" w:before="72"/>
        <w:ind w:right="0"/>
        <w:jc w:val="both"/>
      </w:pPr>
      <w:r>
        <w:rPr/>
        <w:t>（三）对重大对外担保情况的控制</w:t>
      </w:r>
    </w:p>
    <w:p>
      <w:pPr>
        <w:pStyle w:val="BodyText"/>
        <w:spacing w:line="391" w:lineRule="auto" w:before="227"/>
        <w:ind w:right="215" w:firstLine="439"/>
        <w:jc w:val="both"/>
      </w:pPr>
      <w:r>
        <w:rPr>
          <w:spacing w:val="-6"/>
          <w:w w:val="100"/>
        </w:rPr>
        <w:t>公司制定了《对外担保管理办法》，为加强公司对外担保业务的管理，有效防范担保风</w:t>
      </w:r>
      <w:r>
        <w:rPr>
          <w:w w:val="100"/>
        </w:rPr>
        <w:t> </w:t>
      </w:r>
      <w:r>
        <w:rPr/>
        <w:t>险，公司在《章程》中明确规定了董事会、股东大会对于对外担保的审批权限及对外担保</w:t>
      </w:r>
      <w:r>
        <w:rPr>
          <w:spacing w:val="-57"/>
        </w:rPr>
        <w:t> </w:t>
      </w:r>
      <w:r>
        <w:rPr>
          <w:spacing w:val="-57"/>
        </w:rPr>
      </w:r>
      <w:r>
        <w:rPr/>
        <w:t>的决策程序。公司收购与出售资产、对外投资、对外担保事项、关联交易等重大事项都严</w:t>
      </w:r>
      <w:r>
        <w:rPr>
          <w:spacing w:val="-57"/>
        </w:rPr>
        <w:t> </w:t>
      </w:r>
      <w:r>
        <w:rPr>
          <w:spacing w:val="-57"/>
        </w:rPr>
      </w:r>
      <w:r>
        <w:rPr/>
        <w:t>格按照制度规定的程序和划分的权限进行决策和履行相应程序。</w:t>
      </w:r>
    </w:p>
    <w:p>
      <w:pPr>
        <w:pStyle w:val="BodyText"/>
        <w:spacing w:line="391" w:lineRule="auto" w:before="41"/>
        <w:ind w:right="218" w:firstLine="439"/>
        <w:jc w:val="both"/>
      </w:pPr>
      <w:r>
        <w:rPr/>
        <w:t>公司不存在违反《关于规范上市公司与关联方资金往来及上市公司对外担保若干问题</w:t>
      </w:r>
      <w:r>
        <w:rPr>
          <w:w w:val="100"/>
        </w:rPr>
        <w:t> </w:t>
      </w:r>
      <w:r>
        <w:rPr/>
        <w:t>的通知》以及《关于规范上市公司对外担保行为的通知》规定的违规担保行为。</w:t>
      </w:r>
    </w:p>
    <w:p>
      <w:pPr>
        <w:pStyle w:val="Heading3"/>
        <w:spacing w:line="240" w:lineRule="auto" w:before="72"/>
        <w:ind w:right="0"/>
        <w:jc w:val="both"/>
      </w:pPr>
      <w:r>
        <w:rPr/>
        <w:t>（四）对重大投资情况的控制</w:t>
      </w:r>
    </w:p>
    <w:p>
      <w:pPr>
        <w:pStyle w:val="BodyText"/>
        <w:spacing w:line="240" w:lineRule="auto" w:before="227"/>
        <w:ind w:left="576" w:right="33"/>
        <w:jc w:val="left"/>
      </w:pPr>
      <w:r>
        <w:rPr>
          <w:w w:val="100"/>
        </w:rPr>
        <w:t>为确保</w:t>
      </w:r>
      <w:r>
        <w:rPr>
          <w:spacing w:val="-3"/>
          <w:w w:val="100"/>
        </w:rPr>
        <w:t>重</w:t>
      </w:r>
      <w:r>
        <w:rPr>
          <w:w w:val="100"/>
        </w:rPr>
        <w:t>大投</w:t>
      </w:r>
      <w:r>
        <w:rPr>
          <w:spacing w:val="-3"/>
          <w:w w:val="100"/>
        </w:rPr>
        <w:t>资</w:t>
      </w:r>
      <w:r>
        <w:rPr>
          <w:w w:val="100"/>
        </w:rPr>
        <w:t>的安</w:t>
      </w:r>
      <w:r>
        <w:rPr>
          <w:spacing w:val="-3"/>
          <w:w w:val="100"/>
        </w:rPr>
        <w:t>全和</w:t>
      </w:r>
      <w:r>
        <w:rPr>
          <w:w w:val="100"/>
        </w:rPr>
        <w:t>增值</w:t>
      </w:r>
      <w:r>
        <w:rPr>
          <w:spacing w:val="-92"/>
          <w:w w:val="100"/>
        </w:rPr>
        <w:t>，</w:t>
      </w:r>
      <w:r>
        <w:rPr>
          <w:w w:val="100"/>
        </w:rPr>
        <w:t>有效</w:t>
      </w:r>
      <w:r>
        <w:rPr>
          <w:spacing w:val="-3"/>
          <w:w w:val="100"/>
        </w:rPr>
        <w:t>控</w:t>
      </w:r>
      <w:r>
        <w:rPr>
          <w:w w:val="100"/>
        </w:rPr>
        <w:t>制投</w:t>
      </w:r>
      <w:r>
        <w:rPr>
          <w:spacing w:val="-3"/>
          <w:w w:val="100"/>
        </w:rPr>
        <w:t>资</w:t>
      </w:r>
      <w:r>
        <w:rPr>
          <w:w w:val="100"/>
        </w:rPr>
        <w:t>风险</w:t>
      </w:r>
      <w:r>
        <w:rPr>
          <w:spacing w:val="-204"/>
          <w:w w:val="100"/>
        </w:rPr>
        <w:t>，</w:t>
      </w:r>
      <w:r>
        <w:rPr>
          <w:w w:val="100"/>
        </w:rPr>
        <w:t>《公司章程</w:t>
      </w:r>
      <w:r>
        <w:rPr>
          <w:spacing w:val="-111"/>
          <w:w w:val="100"/>
        </w:rPr>
        <w:t>》</w:t>
      </w:r>
      <w:r>
        <w:rPr>
          <w:spacing w:val="-202"/>
          <w:w w:val="100"/>
        </w:rPr>
        <w:t>、</w:t>
      </w:r>
      <w:r>
        <w:rPr>
          <w:spacing w:val="-3"/>
          <w:w w:val="100"/>
        </w:rPr>
        <w:t>《</w:t>
      </w:r>
      <w:r>
        <w:rPr>
          <w:w w:val="100"/>
        </w:rPr>
        <w:t>股东</w:t>
      </w:r>
      <w:r>
        <w:rPr>
          <w:spacing w:val="-3"/>
          <w:w w:val="100"/>
        </w:rPr>
        <w:t>大会</w:t>
      </w:r>
      <w:r>
        <w:rPr>
          <w:w w:val="100"/>
        </w:rPr>
        <w:t>议事规则</w:t>
      </w:r>
      <w:r>
        <w:rPr>
          <w:spacing w:val="-113"/>
          <w:w w:val="100"/>
        </w:rPr>
        <w:t>》</w:t>
      </w:r>
      <w:r>
        <w:rPr>
          <w:w w:val="100"/>
        </w:rPr>
        <w:t>、</w:t>
      </w:r>
    </w:p>
    <w:p>
      <w:pPr>
        <w:pStyle w:val="BodyText"/>
        <w:spacing w:line="391" w:lineRule="auto" w:before="180"/>
        <w:ind w:right="215"/>
        <w:jc w:val="both"/>
      </w:pPr>
      <w:r>
        <w:rPr>
          <w:spacing w:val="-11"/>
          <w:w w:val="100"/>
        </w:rPr>
        <w:t>《董事会议事规则》、《董事会战略发展委员会工作细则》、《总经理工作细则》以及《对外</w:t>
      </w:r>
      <w:r>
        <w:rPr>
          <w:spacing w:val="-76"/>
          <w:w w:val="100"/>
        </w:rPr>
        <w:t> </w:t>
      </w:r>
      <w:r>
        <w:rPr>
          <w:spacing w:val="-76"/>
          <w:w w:val="100"/>
        </w:rPr>
      </w:r>
      <w:r>
        <w:rPr/>
        <w:t>投资管理办法》等规范明确了公司对外投资的决策、授权审批、执行、监督程序。报告期</w:t>
      </w:r>
      <w:r>
        <w:rPr>
          <w:spacing w:val="-57"/>
        </w:rPr>
        <w:t> </w:t>
      </w:r>
      <w:r>
        <w:rPr>
          <w:spacing w:val="-57"/>
        </w:rPr>
      </w:r>
      <w:r>
        <w:rPr/>
        <w:t>内，公司发生的投资行为均按相关法规和公司制度履行了相应的审批程序。</w:t>
      </w:r>
    </w:p>
    <w:p>
      <w:pPr>
        <w:spacing w:after="0" w:line="391" w:lineRule="auto"/>
        <w:jc w:val="both"/>
        <w:sectPr>
          <w:footerReference w:type="default" r:id="rId46"/>
          <w:pgSz w:w="11900" w:h="16840"/>
          <w:pgMar w:footer="981" w:header="877" w:top="1100" w:bottom="1180" w:left="1660" w:right="1240"/>
          <w:pgNumType w:start="57"/>
        </w:sectPr>
      </w:pPr>
    </w:p>
    <w:p>
      <w:pPr>
        <w:spacing w:line="240" w:lineRule="auto" w:before="0"/>
        <w:rPr>
          <w:rFonts w:ascii="宋体" w:hAnsi="宋体" w:cs="宋体" w:eastAsia="宋体" w:hint="default"/>
          <w:sz w:val="20"/>
          <w:szCs w:val="20"/>
        </w:rPr>
      </w:pPr>
    </w:p>
    <w:p>
      <w:pPr>
        <w:pStyle w:val="Heading3"/>
        <w:spacing w:line="240" w:lineRule="auto" w:before="145"/>
        <w:ind w:right="33"/>
        <w:jc w:val="left"/>
      </w:pPr>
      <w:r>
        <w:rPr/>
        <w:t>（五）对信息披露情况的控制</w:t>
      </w:r>
    </w:p>
    <w:p>
      <w:pPr>
        <w:pStyle w:val="BodyText"/>
        <w:spacing w:line="391" w:lineRule="auto" w:before="227"/>
        <w:ind w:right="107" w:firstLine="439"/>
        <w:jc w:val="both"/>
      </w:pPr>
      <w:r>
        <w:rPr/>
        <w:t>为规范公司及相关信息披露义务人的信息披露工作，强化信息披露事务和投资者关系</w:t>
      </w:r>
      <w:r>
        <w:rPr>
          <w:w w:val="100"/>
        </w:rPr>
        <w:t> </w:t>
      </w:r>
      <w:r>
        <w:rPr>
          <w:spacing w:val="-5"/>
          <w:w w:val="100"/>
        </w:rPr>
        <w:t>管理，确保信息披露的公平性，公司已根据《上市公司信息披露管理办法》、《深圳证券交</w:t>
      </w:r>
      <w:r>
        <w:rPr>
          <w:w w:val="100"/>
        </w:rPr>
        <w:t> </w:t>
      </w:r>
      <w:r>
        <w:rPr>
          <w:spacing w:val="-4"/>
          <w:w w:val="100"/>
        </w:rPr>
        <w:t>易所创业板股票上市规则》等规定制定了《信息披露管理制度》，对信息披露的基本原则、</w:t>
      </w:r>
      <w:r>
        <w:rPr>
          <w:spacing w:val="-98"/>
          <w:w w:val="100"/>
        </w:rPr>
        <w:t> </w:t>
      </w:r>
      <w:r>
        <w:rPr>
          <w:spacing w:val="-98"/>
          <w:w w:val="100"/>
        </w:rPr>
      </w:r>
      <w:r>
        <w:rPr/>
        <w:t>信息披露的范围、披露程序及责任、信息披露的事务管理、信息保密等方面进行了详细规</w:t>
      </w:r>
      <w:r>
        <w:rPr>
          <w:spacing w:val="-57"/>
        </w:rPr>
        <w:t> </w:t>
      </w:r>
      <w:r>
        <w:rPr>
          <w:spacing w:val="-57"/>
        </w:rPr>
      </w:r>
      <w:r>
        <w:rPr>
          <w:spacing w:val="-3"/>
        </w:rPr>
        <w:t>定。公司通过建立健全信息披露事务控制措施，确保真实、准确、完整、及时地披露信息，</w:t>
      </w:r>
      <w:r>
        <w:rPr>
          <w:spacing w:val="-51"/>
        </w:rPr>
        <w:t> </w:t>
      </w:r>
      <w:r>
        <w:rPr>
          <w:spacing w:val="-51"/>
        </w:rPr>
      </w:r>
      <w:r>
        <w:rPr/>
        <w:t>不存在虚假记载、误导性陈述或者重大遗漏。</w:t>
      </w:r>
    </w:p>
    <w:p>
      <w:pPr>
        <w:pStyle w:val="BodyText"/>
        <w:spacing w:line="391" w:lineRule="auto" w:before="41"/>
        <w:ind w:right="218" w:firstLine="439"/>
        <w:jc w:val="both"/>
      </w:pPr>
      <w:r>
        <w:rPr/>
        <w:t>同时为进一步规范公司内幕信息管理，加强内幕信息保密工作，维护公司信息披露的</w:t>
      </w:r>
      <w:r>
        <w:rPr>
          <w:w w:val="100"/>
        </w:rPr>
        <w:t> </w:t>
      </w:r>
      <w:r>
        <w:rPr>
          <w:spacing w:val="-11"/>
          <w:w w:val="100"/>
        </w:rPr>
        <w:t>公开、公平、公正原则，保护广大投资者的合法权益，根据《中华人民共和国公司法》、《中</w:t>
      </w:r>
      <w:r>
        <w:rPr>
          <w:spacing w:val="-78"/>
          <w:w w:val="100"/>
        </w:rPr>
        <w:t> </w:t>
      </w:r>
      <w:r>
        <w:rPr>
          <w:spacing w:val="-78"/>
          <w:w w:val="100"/>
        </w:rPr>
      </w:r>
      <w:r>
        <w:rPr>
          <w:spacing w:val="-11"/>
          <w:w w:val="100"/>
        </w:rPr>
        <w:t>华人民共和国证券法》、《上市公司信息披露管理办法》、《深圳证券交易所创业板股票上市</w:t>
      </w:r>
      <w:r>
        <w:rPr>
          <w:spacing w:val="-76"/>
          <w:w w:val="100"/>
        </w:rPr>
        <w:t> </w:t>
      </w:r>
      <w:r>
        <w:rPr>
          <w:spacing w:val="-76"/>
          <w:w w:val="100"/>
        </w:rPr>
      </w:r>
      <w:r>
        <w:rPr>
          <w:spacing w:val="-5"/>
          <w:w w:val="100"/>
        </w:rPr>
        <w:t>规则》等相关法律、法规及《公司章程》、《信息披露管理制度》的有关规定，结合公司实</w:t>
      </w:r>
      <w:r>
        <w:rPr>
          <w:spacing w:val="-108"/>
          <w:w w:val="100"/>
        </w:rPr>
        <w:t> </w:t>
      </w:r>
      <w:r>
        <w:rPr>
          <w:spacing w:val="-108"/>
          <w:w w:val="100"/>
        </w:rPr>
      </w:r>
      <w:r>
        <w:rPr>
          <w:spacing w:val="-6"/>
          <w:w w:val="100"/>
        </w:rPr>
        <w:t>际情况，制定并实施了《内幕信息知情人登记制度》。</w:t>
      </w:r>
    </w:p>
    <w:p>
      <w:pPr>
        <w:spacing w:after="0" w:line="391" w:lineRule="auto"/>
        <w:jc w:val="both"/>
        <w:sectPr>
          <w:pgSz w:w="11900" w:h="16840"/>
          <w:pgMar w:header="877" w:footer="981" w:top="1100" w:bottom="1180" w:left="1660" w:right="1240"/>
        </w:sectPr>
      </w:pPr>
    </w:p>
    <w:p>
      <w:pPr>
        <w:spacing w:line="240" w:lineRule="auto" w:before="1"/>
        <w:rPr>
          <w:rFonts w:ascii="宋体" w:hAnsi="宋体" w:cs="宋体" w:eastAsia="宋体" w:hint="default"/>
          <w:sz w:val="27"/>
          <w:szCs w:val="27"/>
        </w:rPr>
      </w:pPr>
    </w:p>
    <w:p>
      <w:pPr>
        <w:pStyle w:val="Heading1"/>
        <w:tabs>
          <w:tab w:pos="1439" w:val="left" w:leader="none"/>
        </w:tabs>
        <w:spacing w:line="460" w:lineRule="exact"/>
        <w:ind w:right="23"/>
        <w:jc w:val="center"/>
      </w:pPr>
      <w:bookmarkStart w:name="_TOC_250002" w:id="8"/>
      <w:r>
        <w:rPr>
          <w:w w:val="95"/>
        </w:rPr>
        <w:t>第八节</w:t>
        <w:tab/>
      </w:r>
      <w:bookmarkEnd w:id="8"/>
      <w:r>
        <w:rPr/>
        <w:t>监事会报告</w:t>
      </w:r>
    </w:p>
    <w:p>
      <w:pPr>
        <w:pStyle w:val="Heading3"/>
        <w:spacing w:line="240" w:lineRule="auto" w:before="217"/>
        <w:ind w:right="0"/>
        <w:jc w:val="left"/>
      </w:pPr>
      <w:r>
        <w:rPr/>
        <w:t>一、报告期内监事会工作情况</w:t>
      </w:r>
    </w:p>
    <w:p>
      <w:pPr>
        <w:pStyle w:val="BodyText"/>
        <w:spacing w:line="240" w:lineRule="auto" w:before="227"/>
        <w:ind w:left="576" w:right="0"/>
        <w:jc w:val="left"/>
      </w:pPr>
      <w:r>
        <w:rPr/>
        <w:t>报告期内，公司监事会共召开了</w:t>
      </w:r>
      <w:r>
        <w:rPr>
          <w:rFonts w:ascii="Arial" w:hAnsi="Arial" w:cs="Arial" w:eastAsia="Arial" w:hint="default"/>
        </w:rPr>
        <w:t>5</w:t>
      </w:r>
      <w:r>
        <w:rPr>
          <w:rFonts w:ascii="Arial" w:hAnsi="Arial" w:cs="Arial" w:eastAsia="Arial" w:hint="default"/>
          <w:spacing w:val="41"/>
        </w:rPr>
        <w:t> </w:t>
      </w:r>
      <w:r>
        <w:rPr/>
        <w:t>次监事会，具体内容如下：</w:t>
      </w:r>
    </w:p>
    <w:p>
      <w:pPr>
        <w:pStyle w:val="BodyText"/>
        <w:spacing w:line="369" w:lineRule="auto" w:before="164"/>
        <w:ind w:right="107" w:firstLine="439"/>
        <w:jc w:val="both"/>
      </w:pPr>
      <w:r>
        <w:rPr>
          <w:rFonts w:ascii="Arial" w:hAnsi="Arial" w:cs="Arial" w:eastAsia="Arial" w:hint="default"/>
        </w:rPr>
        <w:t>1</w:t>
      </w:r>
      <w:r>
        <w:rPr/>
        <w:t>、第一届监事会第四次会议于</w:t>
      </w:r>
      <w:r>
        <w:rPr>
          <w:rFonts w:ascii="Arial" w:hAnsi="Arial" w:cs="Arial" w:eastAsia="Arial" w:hint="default"/>
        </w:rPr>
        <w:t>2010</w:t>
      </w:r>
      <w:r>
        <w:rPr/>
        <w:t>年</w:t>
      </w:r>
      <w:r>
        <w:rPr>
          <w:rFonts w:ascii="Arial" w:hAnsi="Arial" w:cs="Arial" w:eastAsia="Arial" w:hint="default"/>
        </w:rPr>
        <w:t>1</w:t>
      </w:r>
      <w:r>
        <w:rPr/>
        <w:t>月</w:t>
      </w:r>
      <w:r>
        <w:rPr>
          <w:rFonts w:ascii="Arial" w:hAnsi="Arial" w:cs="Arial" w:eastAsia="Arial" w:hint="default"/>
        </w:rPr>
        <w:t>12</w:t>
      </w:r>
      <w:r>
        <w:rPr/>
        <w:t>日在公司会议室召开，应出席监事</w:t>
      </w:r>
      <w:r>
        <w:rPr>
          <w:rFonts w:ascii="Arial" w:hAnsi="Arial" w:cs="Arial" w:eastAsia="Arial" w:hint="default"/>
        </w:rPr>
        <w:t>3</w:t>
      </w:r>
      <w:r>
        <w:rPr/>
        <w:t>名，</w:t>
      </w:r>
      <w:r>
        <w:rPr>
          <w:w w:val="100"/>
        </w:rPr>
        <w:t> </w:t>
      </w:r>
      <w:r>
        <w:rPr>
          <w:spacing w:val="-9"/>
          <w:w w:val="100"/>
        </w:rPr>
        <w:t>实际亲自出席</w:t>
      </w:r>
      <w:r>
        <w:rPr>
          <w:rFonts w:ascii="Arial" w:hAnsi="Arial" w:cs="Arial" w:eastAsia="Arial" w:hint="default"/>
          <w:spacing w:val="-9"/>
          <w:w w:val="100"/>
        </w:rPr>
        <w:t>3</w:t>
      </w:r>
      <w:r>
        <w:rPr>
          <w:spacing w:val="-9"/>
          <w:w w:val="100"/>
        </w:rPr>
        <w:t>名，审议通过了《监事会</w:t>
      </w:r>
      <w:r>
        <w:rPr>
          <w:rFonts w:ascii="Arial" w:hAnsi="Arial" w:cs="Arial" w:eastAsia="Arial" w:hint="default"/>
          <w:spacing w:val="-9"/>
          <w:w w:val="100"/>
        </w:rPr>
        <w:t>2009</w:t>
      </w:r>
      <w:r>
        <w:rPr>
          <w:spacing w:val="-9"/>
          <w:w w:val="100"/>
        </w:rPr>
        <w:t>年度工作报告》、《</w:t>
      </w:r>
      <w:r>
        <w:rPr>
          <w:rFonts w:ascii="Arial" w:hAnsi="Arial" w:cs="Arial" w:eastAsia="Arial" w:hint="default"/>
          <w:spacing w:val="-9"/>
          <w:w w:val="100"/>
        </w:rPr>
        <w:t>2009</w:t>
      </w:r>
      <w:r>
        <w:rPr>
          <w:spacing w:val="-9"/>
          <w:w w:val="100"/>
        </w:rPr>
        <w:t>年度财务决算报告》、</w:t>
      </w:r>
    </w:p>
    <w:p>
      <w:pPr>
        <w:pStyle w:val="BodyText"/>
        <w:spacing w:line="240" w:lineRule="auto" w:before="31"/>
        <w:ind w:right="0"/>
        <w:jc w:val="left"/>
      </w:pPr>
      <w:r>
        <w:rPr>
          <w:w w:val="100"/>
        </w:rPr>
        <w:t>《公司</w:t>
      </w:r>
      <w:r>
        <w:rPr>
          <w:rFonts w:ascii="Arial" w:hAnsi="Arial" w:cs="Arial" w:eastAsia="Arial" w:hint="default"/>
          <w:spacing w:val="-1"/>
          <w:w w:val="100"/>
        </w:rPr>
        <w:t>2007</w:t>
      </w:r>
      <w:r>
        <w:rPr>
          <w:spacing w:val="-3"/>
          <w:w w:val="100"/>
        </w:rPr>
        <w:t>年</w:t>
      </w:r>
      <w:r>
        <w:rPr>
          <w:w w:val="100"/>
        </w:rPr>
        <w:t>度、</w:t>
      </w:r>
      <w:r>
        <w:rPr>
          <w:rFonts w:ascii="Arial" w:hAnsi="Arial" w:cs="Arial" w:eastAsia="Arial" w:hint="default"/>
          <w:spacing w:val="-1"/>
          <w:w w:val="100"/>
        </w:rPr>
        <w:t>200</w:t>
      </w:r>
      <w:r>
        <w:rPr>
          <w:rFonts w:ascii="Arial" w:hAnsi="Arial" w:cs="Arial" w:eastAsia="Arial" w:hint="default"/>
          <w:spacing w:val="-3"/>
          <w:w w:val="100"/>
        </w:rPr>
        <w:t>8</w:t>
      </w:r>
      <w:r>
        <w:rPr>
          <w:w w:val="100"/>
        </w:rPr>
        <w:t>年度、</w:t>
      </w:r>
      <w:r>
        <w:rPr>
          <w:rFonts w:ascii="Arial" w:hAnsi="Arial" w:cs="Arial" w:eastAsia="Arial" w:hint="default"/>
          <w:spacing w:val="-1"/>
          <w:w w:val="100"/>
        </w:rPr>
        <w:t>2009</w:t>
      </w:r>
      <w:r>
        <w:rPr>
          <w:spacing w:val="-3"/>
          <w:w w:val="100"/>
        </w:rPr>
        <w:t>年</w:t>
      </w:r>
      <w:r>
        <w:rPr>
          <w:w w:val="100"/>
        </w:rPr>
        <w:t>度财</w:t>
      </w:r>
      <w:r>
        <w:rPr>
          <w:spacing w:val="-3"/>
          <w:w w:val="100"/>
        </w:rPr>
        <w:t>务报</w:t>
      </w:r>
      <w:r>
        <w:rPr>
          <w:w w:val="100"/>
        </w:rPr>
        <w:t>表和审</w:t>
      </w:r>
      <w:r>
        <w:rPr>
          <w:spacing w:val="-3"/>
          <w:w w:val="100"/>
        </w:rPr>
        <w:t>计</w:t>
      </w:r>
      <w:r>
        <w:rPr>
          <w:w w:val="100"/>
        </w:rPr>
        <w:t>报告</w:t>
      </w:r>
      <w:r>
        <w:rPr>
          <w:spacing w:val="-111"/>
          <w:w w:val="100"/>
        </w:rPr>
        <w:t>》</w:t>
      </w:r>
      <w:r>
        <w:rPr>
          <w:spacing w:val="-113"/>
          <w:w w:val="100"/>
        </w:rPr>
        <w:t>、</w:t>
      </w:r>
      <w:r>
        <w:rPr>
          <w:w w:val="100"/>
        </w:rPr>
        <w:t>《公司</w:t>
      </w:r>
      <w:r>
        <w:rPr>
          <w:rFonts w:ascii="Arial" w:hAnsi="Arial" w:cs="Arial" w:eastAsia="Arial" w:hint="default"/>
          <w:spacing w:val="-1"/>
          <w:w w:val="100"/>
        </w:rPr>
        <w:t>2</w:t>
      </w:r>
      <w:r>
        <w:rPr>
          <w:rFonts w:ascii="Arial" w:hAnsi="Arial" w:cs="Arial" w:eastAsia="Arial" w:hint="default"/>
          <w:spacing w:val="-3"/>
          <w:w w:val="100"/>
        </w:rPr>
        <w:t>0</w:t>
      </w:r>
      <w:r>
        <w:rPr>
          <w:rFonts w:ascii="Arial" w:hAnsi="Arial" w:cs="Arial" w:eastAsia="Arial" w:hint="default"/>
          <w:spacing w:val="-1"/>
          <w:w w:val="100"/>
        </w:rPr>
        <w:t>09</w:t>
      </w:r>
      <w:r>
        <w:rPr>
          <w:w w:val="100"/>
        </w:rPr>
        <w:t>年年度</w:t>
      </w:r>
      <w:r>
        <w:rPr>
          <w:spacing w:val="-3"/>
          <w:w w:val="100"/>
        </w:rPr>
        <w:t>报</w:t>
      </w:r>
      <w:r>
        <w:rPr>
          <w:w w:val="100"/>
        </w:rPr>
        <w:t>告</w:t>
      </w:r>
      <w:r>
        <w:rPr>
          <w:spacing w:val="-111"/>
          <w:w w:val="100"/>
        </w:rPr>
        <w:t>》</w:t>
      </w:r>
      <w:r>
        <w:rPr>
          <w:w w:val="100"/>
        </w:rPr>
        <w:t>、</w:t>
      </w:r>
    </w:p>
    <w:p>
      <w:pPr>
        <w:pStyle w:val="BodyText"/>
        <w:spacing w:line="240" w:lineRule="auto" w:before="164"/>
        <w:ind w:right="0"/>
        <w:jc w:val="left"/>
      </w:pPr>
      <w:r>
        <w:rPr>
          <w:w w:val="100"/>
        </w:rPr>
        <w:t>《</w:t>
      </w:r>
      <w:r>
        <w:rPr>
          <w:rFonts w:ascii="Arial" w:hAnsi="Arial" w:cs="Arial" w:eastAsia="Arial" w:hint="default"/>
          <w:spacing w:val="-1"/>
          <w:w w:val="100"/>
        </w:rPr>
        <w:t>2010</w:t>
      </w:r>
      <w:r>
        <w:rPr>
          <w:w w:val="100"/>
        </w:rPr>
        <w:t>年度</w:t>
      </w:r>
      <w:r>
        <w:rPr>
          <w:spacing w:val="-3"/>
          <w:w w:val="100"/>
        </w:rPr>
        <w:t>公</w:t>
      </w:r>
      <w:r>
        <w:rPr>
          <w:w w:val="100"/>
        </w:rPr>
        <w:t>司内</w:t>
      </w:r>
      <w:r>
        <w:rPr>
          <w:spacing w:val="-3"/>
          <w:w w:val="100"/>
        </w:rPr>
        <w:t>部审</w:t>
      </w:r>
      <w:r>
        <w:rPr>
          <w:w w:val="100"/>
        </w:rPr>
        <w:t>计工作</w:t>
      </w:r>
      <w:r>
        <w:rPr>
          <w:spacing w:val="-3"/>
          <w:w w:val="100"/>
        </w:rPr>
        <w:t>计</w:t>
      </w:r>
      <w:r>
        <w:rPr>
          <w:w w:val="100"/>
        </w:rPr>
        <w:t>划</w:t>
      </w:r>
      <w:r>
        <w:rPr>
          <w:spacing w:val="-111"/>
          <w:w w:val="100"/>
        </w:rPr>
        <w:t>》</w:t>
      </w:r>
      <w:r>
        <w:rPr>
          <w:w w:val="100"/>
        </w:rPr>
        <w:t>；</w:t>
      </w:r>
    </w:p>
    <w:p>
      <w:pPr>
        <w:pStyle w:val="BodyText"/>
        <w:spacing w:line="369" w:lineRule="auto" w:before="164"/>
        <w:ind w:right="160" w:firstLine="439"/>
        <w:jc w:val="both"/>
      </w:pPr>
      <w:r>
        <w:rPr>
          <w:rFonts w:ascii="Arial" w:hAnsi="Arial" w:cs="Arial" w:eastAsia="Arial" w:hint="default"/>
        </w:rPr>
        <w:t>2</w:t>
      </w:r>
      <w:r>
        <w:rPr/>
        <w:t>、第一届监事会第五次会议于</w:t>
      </w:r>
      <w:r>
        <w:rPr>
          <w:rFonts w:ascii="Arial" w:hAnsi="Arial" w:cs="Arial" w:eastAsia="Arial" w:hint="default"/>
        </w:rPr>
        <w:t>2010</w:t>
      </w:r>
      <w:r>
        <w:rPr/>
        <w:t>年</w:t>
      </w:r>
      <w:r>
        <w:rPr>
          <w:rFonts w:ascii="Arial" w:hAnsi="Arial" w:cs="Arial" w:eastAsia="Arial" w:hint="default"/>
        </w:rPr>
        <w:t>4</w:t>
      </w:r>
      <w:r>
        <w:rPr/>
        <w:t>月</w:t>
      </w:r>
      <w:r>
        <w:rPr>
          <w:rFonts w:ascii="Arial" w:hAnsi="Arial" w:cs="Arial" w:eastAsia="Arial" w:hint="default"/>
        </w:rPr>
        <w:t>28</w:t>
      </w:r>
      <w:r>
        <w:rPr/>
        <w:t>日在公司会议室召开，应出席监事</w:t>
      </w:r>
      <w:r>
        <w:rPr>
          <w:rFonts w:ascii="Arial" w:hAnsi="Arial" w:cs="Arial" w:eastAsia="Arial" w:hint="default"/>
        </w:rPr>
        <w:t>3</w:t>
      </w:r>
      <w:r>
        <w:rPr/>
        <w:t>名，</w:t>
      </w:r>
      <w:r>
        <w:rPr>
          <w:w w:val="100"/>
        </w:rPr>
        <w:t> </w:t>
      </w:r>
      <w:r>
        <w:rPr>
          <w:spacing w:val="-5"/>
          <w:w w:val="100"/>
        </w:rPr>
        <w:t>实际亲自出席</w:t>
      </w:r>
      <w:r>
        <w:rPr>
          <w:rFonts w:ascii="Arial" w:hAnsi="Arial" w:cs="Arial" w:eastAsia="Arial" w:hint="default"/>
          <w:spacing w:val="-5"/>
          <w:w w:val="100"/>
        </w:rPr>
        <w:t>3</w:t>
      </w:r>
      <w:r>
        <w:rPr>
          <w:spacing w:val="-5"/>
          <w:w w:val="100"/>
        </w:rPr>
        <w:t>名，审议通过了《公司</w:t>
      </w:r>
      <w:r>
        <w:rPr>
          <w:rFonts w:ascii="Arial" w:hAnsi="Arial" w:cs="Arial" w:eastAsia="Arial" w:hint="default"/>
          <w:spacing w:val="-5"/>
          <w:w w:val="100"/>
        </w:rPr>
        <w:t>2010</w:t>
      </w:r>
      <w:r>
        <w:rPr>
          <w:spacing w:val="-5"/>
          <w:w w:val="100"/>
        </w:rPr>
        <w:t>年第一季度报告》；</w:t>
      </w:r>
    </w:p>
    <w:p>
      <w:pPr>
        <w:pStyle w:val="BodyText"/>
        <w:spacing w:line="369" w:lineRule="auto" w:before="31"/>
        <w:ind w:right="158" w:firstLine="439"/>
        <w:jc w:val="both"/>
      </w:pPr>
      <w:r>
        <w:rPr>
          <w:rFonts w:ascii="Arial" w:hAnsi="Arial" w:cs="Arial" w:eastAsia="Arial" w:hint="default"/>
        </w:rPr>
        <w:t>3</w:t>
      </w:r>
      <w:r>
        <w:rPr/>
        <w:t>、第一届监事会第六次会议于</w:t>
      </w:r>
      <w:r>
        <w:rPr>
          <w:rFonts w:ascii="Arial" w:hAnsi="Arial" w:cs="Arial" w:eastAsia="Arial" w:hint="default"/>
        </w:rPr>
        <w:t>2010</w:t>
      </w:r>
      <w:r>
        <w:rPr/>
        <w:t>年</w:t>
      </w:r>
      <w:r>
        <w:rPr>
          <w:rFonts w:ascii="Arial" w:hAnsi="Arial" w:cs="Arial" w:eastAsia="Arial" w:hint="default"/>
        </w:rPr>
        <w:t>5</w:t>
      </w:r>
      <w:r>
        <w:rPr/>
        <w:t>月</w:t>
      </w:r>
      <w:r>
        <w:rPr>
          <w:rFonts w:ascii="Arial" w:hAnsi="Arial" w:cs="Arial" w:eastAsia="Arial" w:hint="default"/>
        </w:rPr>
        <w:t>17</w:t>
      </w:r>
      <w:r>
        <w:rPr/>
        <w:t>日在公司会议室召开，应出席监事</w:t>
      </w:r>
      <w:r>
        <w:rPr>
          <w:rFonts w:ascii="Arial" w:hAnsi="Arial" w:cs="Arial" w:eastAsia="Arial" w:hint="default"/>
        </w:rPr>
        <w:t>3</w:t>
      </w:r>
      <w:r>
        <w:rPr/>
        <w:t>名，</w:t>
      </w:r>
      <w:r>
        <w:rPr>
          <w:w w:val="100"/>
        </w:rPr>
        <w:t> </w:t>
      </w:r>
      <w:r>
        <w:rPr>
          <w:spacing w:val="-3"/>
        </w:rPr>
        <w:t>实际亲自出席</w:t>
      </w:r>
      <w:r>
        <w:rPr>
          <w:rFonts w:ascii="Arial" w:hAnsi="Arial" w:cs="Arial" w:eastAsia="Arial" w:hint="default"/>
          <w:spacing w:val="-3"/>
        </w:rPr>
        <w:t>3</w:t>
      </w:r>
      <w:r>
        <w:rPr>
          <w:spacing w:val="-3"/>
        </w:rPr>
        <w:t>名，审议通过了《关于用募集资金置换预先投入募集资金投资项目的自筹资</w:t>
      </w:r>
      <w:r>
        <w:rPr>
          <w:spacing w:val="-65"/>
        </w:rPr>
        <w:t> </w:t>
      </w:r>
      <w:r>
        <w:rPr>
          <w:spacing w:val="-65"/>
        </w:rPr>
      </w:r>
      <w:r>
        <w:rPr>
          <w:spacing w:val="-13"/>
          <w:w w:val="100"/>
        </w:rPr>
        <w:t>金的议案》、《关于使用部分超募资金偿还银行贷款的议案》；</w:t>
      </w:r>
    </w:p>
    <w:p>
      <w:pPr>
        <w:pStyle w:val="BodyText"/>
        <w:spacing w:line="369" w:lineRule="auto" w:before="61"/>
        <w:ind w:right="158" w:firstLine="439"/>
        <w:jc w:val="both"/>
      </w:pPr>
      <w:r>
        <w:rPr>
          <w:rFonts w:ascii="Arial" w:hAnsi="Arial" w:cs="Arial" w:eastAsia="Arial" w:hint="default"/>
        </w:rPr>
        <w:t>4</w:t>
      </w:r>
      <w:r>
        <w:rPr/>
        <w:t>、第一届监事会第七次会议于</w:t>
      </w:r>
      <w:r>
        <w:rPr>
          <w:rFonts w:ascii="Arial" w:hAnsi="Arial" w:cs="Arial" w:eastAsia="Arial" w:hint="default"/>
        </w:rPr>
        <w:t>2010</w:t>
      </w:r>
      <w:r>
        <w:rPr/>
        <w:t>年</w:t>
      </w:r>
      <w:r>
        <w:rPr>
          <w:rFonts w:ascii="Arial" w:hAnsi="Arial" w:cs="Arial" w:eastAsia="Arial" w:hint="default"/>
        </w:rPr>
        <w:t>8</w:t>
      </w:r>
      <w:r>
        <w:rPr/>
        <w:t>月</w:t>
      </w:r>
      <w:r>
        <w:rPr>
          <w:rFonts w:ascii="Arial" w:hAnsi="Arial" w:cs="Arial" w:eastAsia="Arial" w:hint="default"/>
        </w:rPr>
        <w:t>19</w:t>
      </w:r>
      <w:r>
        <w:rPr/>
        <w:t>日在公司会议室召开，应出席监事</w:t>
      </w:r>
      <w:r>
        <w:rPr>
          <w:rFonts w:ascii="Arial" w:hAnsi="Arial" w:cs="Arial" w:eastAsia="Arial" w:hint="default"/>
        </w:rPr>
        <w:t>3</w:t>
      </w:r>
      <w:r>
        <w:rPr/>
        <w:t>名，</w:t>
      </w:r>
      <w:r>
        <w:rPr>
          <w:w w:val="100"/>
        </w:rPr>
        <w:t> </w:t>
      </w:r>
      <w:r>
        <w:rPr/>
        <w:t>实际亲自出席</w:t>
      </w:r>
      <w:r>
        <w:rPr>
          <w:rFonts w:ascii="Arial" w:hAnsi="Arial" w:cs="Arial" w:eastAsia="Arial" w:hint="default"/>
        </w:rPr>
        <w:t>3</w:t>
      </w:r>
      <w:r>
        <w:rPr/>
        <w:t>名，审议通过了《上海安诺其纺织化工股份有限公司</w:t>
      </w:r>
      <w:r>
        <w:rPr>
          <w:rFonts w:ascii="Arial" w:hAnsi="Arial" w:cs="Arial" w:eastAsia="Arial" w:hint="default"/>
        </w:rPr>
        <w:t>2010</w:t>
      </w:r>
      <w:r>
        <w:rPr/>
        <w:t>年半年度报告及</w:t>
      </w:r>
      <w:r>
        <w:rPr>
          <w:spacing w:val="-21"/>
        </w:rPr>
        <w:t> </w:t>
      </w:r>
      <w:r>
        <w:rPr>
          <w:spacing w:val="-21"/>
        </w:rPr>
      </w:r>
      <w:r>
        <w:rPr>
          <w:spacing w:val="-28"/>
          <w:w w:val="100"/>
        </w:rPr>
        <w:t>摘要》；</w:t>
      </w:r>
    </w:p>
    <w:p>
      <w:pPr>
        <w:pStyle w:val="BodyText"/>
        <w:spacing w:line="369" w:lineRule="auto" w:before="61"/>
        <w:ind w:right="158" w:firstLine="439"/>
        <w:jc w:val="both"/>
      </w:pPr>
      <w:r>
        <w:rPr>
          <w:rFonts w:ascii="Arial" w:hAnsi="Arial" w:cs="Arial" w:eastAsia="Arial" w:hint="default"/>
        </w:rPr>
        <w:t>5</w:t>
      </w:r>
      <w:r>
        <w:rPr/>
        <w:t>、第一届监事会第八次会议于</w:t>
      </w:r>
      <w:r>
        <w:rPr>
          <w:rFonts w:ascii="Arial" w:hAnsi="Arial" w:cs="Arial" w:eastAsia="Arial" w:hint="default"/>
        </w:rPr>
        <w:t>2010</w:t>
      </w:r>
      <w:r>
        <w:rPr/>
        <w:t>年</w:t>
      </w:r>
      <w:r>
        <w:rPr>
          <w:rFonts w:ascii="Arial" w:hAnsi="Arial" w:cs="Arial" w:eastAsia="Arial" w:hint="default"/>
        </w:rPr>
        <w:t>8</w:t>
      </w:r>
      <w:r>
        <w:rPr/>
        <w:t>月</w:t>
      </w:r>
      <w:r>
        <w:rPr>
          <w:rFonts w:ascii="Arial" w:hAnsi="Arial" w:cs="Arial" w:eastAsia="Arial" w:hint="default"/>
        </w:rPr>
        <w:t>19</w:t>
      </w:r>
      <w:r>
        <w:rPr/>
        <w:t>日在公司会议室召开，应出席监事</w:t>
      </w:r>
      <w:r>
        <w:rPr>
          <w:rFonts w:ascii="Arial" w:hAnsi="Arial" w:cs="Arial" w:eastAsia="Arial" w:hint="default"/>
        </w:rPr>
        <w:t>3</w:t>
      </w:r>
      <w:r>
        <w:rPr/>
        <w:t>名，</w:t>
      </w:r>
      <w:r>
        <w:rPr>
          <w:w w:val="100"/>
        </w:rPr>
        <w:t> </w:t>
      </w:r>
      <w:r>
        <w:rPr/>
        <w:t>实际亲自出席</w:t>
      </w:r>
      <w:r>
        <w:rPr>
          <w:rFonts w:ascii="Arial" w:hAnsi="Arial" w:cs="Arial" w:eastAsia="Arial" w:hint="default"/>
        </w:rPr>
        <w:t>3</w:t>
      </w:r>
      <w:r>
        <w:rPr/>
        <w:t>名，审议通过了《上海安诺其纺织化工股份有限公司</w:t>
      </w:r>
      <w:r>
        <w:rPr>
          <w:rFonts w:ascii="Arial" w:hAnsi="Arial" w:cs="Arial" w:eastAsia="Arial" w:hint="default"/>
        </w:rPr>
        <w:t>2010</w:t>
      </w:r>
      <w:r>
        <w:rPr/>
        <w:t>年第三季度报告</w:t>
      </w:r>
      <w:r>
        <w:rPr>
          <w:spacing w:val="-21"/>
        </w:rPr>
        <w:t> </w:t>
      </w:r>
      <w:r>
        <w:rPr>
          <w:spacing w:val="-21"/>
        </w:rPr>
      </w:r>
      <w:r>
        <w:rPr>
          <w:spacing w:val="-17"/>
          <w:w w:val="100"/>
        </w:rPr>
        <w:t>全文及正文》；</w:t>
      </w:r>
    </w:p>
    <w:p>
      <w:pPr>
        <w:spacing w:before="92"/>
        <w:ind w:left="137" w:right="0" w:firstLine="0"/>
        <w:jc w:val="left"/>
        <w:rPr>
          <w:rFonts w:ascii="宋体" w:hAnsi="宋体" w:cs="宋体" w:eastAsia="宋体" w:hint="default"/>
          <w:sz w:val="28"/>
          <w:szCs w:val="28"/>
        </w:rPr>
      </w:pPr>
      <w:r>
        <w:rPr>
          <w:rFonts w:ascii="宋体" w:hAnsi="宋体" w:cs="宋体" w:eastAsia="宋体" w:hint="default"/>
          <w:sz w:val="28"/>
          <w:szCs w:val="28"/>
        </w:rPr>
        <w:t>二、监事会对公司 </w:t>
      </w:r>
      <w:r>
        <w:rPr>
          <w:rFonts w:ascii="Arial" w:hAnsi="Arial" w:cs="Arial" w:eastAsia="Arial" w:hint="default"/>
          <w:b/>
          <w:bCs/>
          <w:sz w:val="28"/>
          <w:szCs w:val="28"/>
        </w:rPr>
        <w:t>2010  </w:t>
      </w:r>
      <w:r>
        <w:rPr>
          <w:rFonts w:ascii="宋体" w:hAnsi="宋体" w:cs="宋体" w:eastAsia="宋体" w:hint="default"/>
          <w:sz w:val="28"/>
          <w:szCs w:val="28"/>
        </w:rPr>
        <w:t>年度有关事项的独立意见</w:t>
      </w:r>
    </w:p>
    <w:p>
      <w:pPr>
        <w:pStyle w:val="BodyText"/>
        <w:spacing w:line="391" w:lineRule="auto" w:before="207"/>
        <w:ind w:right="155" w:firstLine="420"/>
        <w:jc w:val="both"/>
      </w:pPr>
      <w:r>
        <w:rPr>
          <w:spacing w:val="-16"/>
          <w:w w:val="100"/>
        </w:rPr>
        <w:t>公司监事会根据《公司法》、《证券法》、《深圳证券交易所创业板股票上市规则》、深圳</w:t>
      </w:r>
      <w:r>
        <w:rPr>
          <w:w w:val="100"/>
        </w:rPr>
        <w:t> </w:t>
      </w:r>
      <w:r>
        <w:rPr/>
        <w:t>证券交易所创业板上市公司规范运作指引》及《公司章程》的有关规定，对公司的依法运</w:t>
      </w:r>
      <w:r>
        <w:rPr>
          <w:spacing w:val="-57"/>
        </w:rPr>
        <w:t> </w:t>
      </w:r>
      <w:r>
        <w:rPr>
          <w:spacing w:val="-57"/>
        </w:rPr>
      </w:r>
      <w:r>
        <w:rPr/>
        <w:t>作情况、财务状况、关联交易、内部控制等方面进行了认真监督检查，对报告期内公司有</w:t>
      </w:r>
      <w:r>
        <w:rPr>
          <w:spacing w:val="-57"/>
        </w:rPr>
        <w:t> </w:t>
      </w:r>
      <w:r>
        <w:rPr>
          <w:spacing w:val="-57"/>
        </w:rPr>
      </w:r>
      <w:r>
        <w:rPr/>
        <w:t>关情况发表如下意见：</w:t>
      </w:r>
    </w:p>
    <w:p>
      <w:pPr>
        <w:pStyle w:val="Heading3"/>
        <w:spacing w:line="240" w:lineRule="auto" w:before="72"/>
        <w:ind w:right="0"/>
        <w:jc w:val="left"/>
      </w:pPr>
      <w:r>
        <w:rPr/>
        <w:t>（一）公司依法运作情况</w:t>
      </w:r>
    </w:p>
    <w:p>
      <w:pPr>
        <w:pStyle w:val="BodyText"/>
        <w:spacing w:line="391" w:lineRule="auto" w:before="227"/>
        <w:ind w:right="155" w:firstLine="420"/>
        <w:jc w:val="both"/>
      </w:pPr>
      <w:r>
        <w:rPr/>
        <w:t>报告期内，公司监事列席了公司召开的董事会、股东大会，并根据有关法律、法规，</w:t>
      </w:r>
      <w:r>
        <w:rPr>
          <w:w w:val="100"/>
        </w:rPr>
        <w:t> </w:t>
      </w:r>
      <w:r>
        <w:rPr/>
        <w:t>对董事会、股东大会的召集程序、决策程序，董事会对股东大会的决议的执行情况、公司</w:t>
      </w:r>
      <w:r>
        <w:rPr>
          <w:spacing w:val="-57"/>
        </w:rPr>
        <w:t> </w:t>
      </w:r>
      <w:r>
        <w:rPr>
          <w:spacing w:val="-57"/>
        </w:rPr>
      </w:r>
      <w:r>
        <w:rPr/>
        <w:t>董事、高级管理人员履行职务情况及公司内部控制制度等进行了监督。监事会认为：</w:t>
      </w:r>
    </w:p>
    <w:p>
      <w:pPr>
        <w:pStyle w:val="BodyText"/>
        <w:spacing w:line="240" w:lineRule="auto" w:before="41"/>
        <w:ind w:left="557" w:right="0"/>
        <w:jc w:val="left"/>
      </w:pPr>
      <w:r>
        <w:rPr>
          <w:spacing w:val="2"/>
          <w:w w:val="100"/>
        </w:rPr>
        <w:t>公司</w:t>
      </w:r>
      <w:r>
        <w:rPr>
          <w:w w:val="100"/>
        </w:rPr>
        <w:t>董</w:t>
      </w:r>
      <w:r>
        <w:rPr>
          <w:spacing w:val="2"/>
          <w:w w:val="100"/>
        </w:rPr>
        <w:t>事</w:t>
      </w:r>
      <w:r>
        <w:rPr>
          <w:w w:val="100"/>
        </w:rPr>
        <w:t>会</w:t>
      </w:r>
      <w:r>
        <w:rPr>
          <w:spacing w:val="2"/>
          <w:w w:val="100"/>
        </w:rPr>
        <w:t>决策</w:t>
      </w:r>
      <w:r>
        <w:rPr>
          <w:w w:val="100"/>
        </w:rPr>
        <w:t>程</w:t>
      </w:r>
      <w:r>
        <w:rPr>
          <w:spacing w:val="2"/>
          <w:w w:val="100"/>
        </w:rPr>
        <w:t>序</w:t>
      </w:r>
      <w:r>
        <w:rPr>
          <w:w w:val="100"/>
        </w:rPr>
        <w:t>严格</w:t>
      </w:r>
      <w:r>
        <w:rPr>
          <w:spacing w:val="2"/>
          <w:w w:val="100"/>
        </w:rPr>
        <w:t>遵循</w:t>
      </w:r>
      <w:r>
        <w:rPr>
          <w:w w:val="100"/>
        </w:rPr>
        <w:t>《</w:t>
      </w:r>
      <w:r>
        <w:rPr>
          <w:spacing w:val="2"/>
          <w:w w:val="100"/>
        </w:rPr>
        <w:t>公</w:t>
      </w:r>
      <w:r>
        <w:rPr>
          <w:w w:val="100"/>
        </w:rPr>
        <w:t>司</w:t>
      </w:r>
      <w:r>
        <w:rPr>
          <w:spacing w:val="2"/>
          <w:w w:val="100"/>
        </w:rPr>
        <w:t>法</w:t>
      </w:r>
      <w:r>
        <w:rPr>
          <w:spacing w:val="-108"/>
          <w:w w:val="100"/>
        </w:rPr>
        <w:t>》、</w:t>
      </w:r>
      <w:r>
        <w:rPr>
          <w:w w:val="100"/>
        </w:rPr>
        <w:t>《</w:t>
      </w:r>
      <w:r>
        <w:rPr>
          <w:spacing w:val="2"/>
          <w:w w:val="100"/>
        </w:rPr>
        <w:t>证</w:t>
      </w:r>
      <w:r>
        <w:rPr>
          <w:w w:val="100"/>
        </w:rPr>
        <w:t>券法</w:t>
      </w:r>
      <w:r>
        <w:rPr>
          <w:spacing w:val="2"/>
          <w:w w:val="100"/>
        </w:rPr>
        <w:t>》等</w:t>
      </w:r>
      <w:r>
        <w:rPr>
          <w:w w:val="100"/>
        </w:rPr>
        <w:t>法</w:t>
      </w:r>
      <w:r>
        <w:rPr>
          <w:spacing w:val="2"/>
          <w:w w:val="100"/>
        </w:rPr>
        <w:t>律</w:t>
      </w:r>
      <w:r>
        <w:rPr>
          <w:w w:val="100"/>
        </w:rPr>
        <w:t>法</w:t>
      </w:r>
      <w:r>
        <w:rPr>
          <w:spacing w:val="2"/>
          <w:w w:val="100"/>
        </w:rPr>
        <w:t>规和</w:t>
      </w:r>
      <w:r>
        <w:rPr>
          <w:w w:val="100"/>
        </w:rPr>
        <w:t>《</w:t>
      </w:r>
      <w:r>
        <w:rPr>
          <w:spacing w:val="2"/>
          <w:w w:val="100"/>
        </w:rPr>
        <w:t>公</w:t>
      </w:r>
      <w:r>
        <w:rPr>
          <w:w w:val="100"/>
        </w:rPr>
        <w:t>司章</w:t>
      </w:r>
      <w:r>
        <w:rPr>
          <w:spacing w:val="2"/>
          <w:w w:val="100"/>
        </w:rPr>
        <w:t>程》</w:t>
      </w:r>
      <w:r>
        <w:rPr>
          <w:w w:val="100"/>
        </w:rPr>
        <w:t>的规</w:t>
      </w:r>
    </w:p>
    <w:p>
      <w:pPr>
        <w:spacing w:after="0" w:line="240" w:lineRule="auto"/>
        <w:jc w:val="left"/>
        <w:sectPr>
          <w:pgSz w:w="11900" w:h="16840"/>
          <w:pgMar w:header="877" w:footer="981" w:top="1100" w:bottom="1180" w:left="1660" w:right="1300"/>
        </w:sectPr>
      </w:pPr>
    </w:p>
    <w:p>
      <w:pPr>
        <w:spacing w:line="240" w:lineRule="auto" w:before="4"/>
        <w:rPr>
          <w:rFonts w:ascii="宋体" w:hAnsi="宋体" w:cs="宋体" w:eastAsia="宋体" w:hint="default"/>
          <w:sz w:val="26"/>
          <w:szCs w:val="26"/>
        </w:rPr>
      </w:pPr>
    </w:p>
    <w:p>
      <w:pPr>
        <w:pStyle w:val="BodyText"/>
        <w:spacing w:line="391" w:lineRule="auto"/>
        <w:ind w:right="115"/>
        <w:jc w:val="both"/>
      </w:pPr>
      <w:r>
        <w:rPr/>
        <w:t>定，认真执行股东大会的各项决议，运作规范，勤勉尽职；公司内部控制制度较为完善；</w:t>
      </w:r>
      <w:r>
        <w:rPr>
          <w:spacing w:val="-57"/>
        </w:rPr>
        <w:t> </w:t>
      </w:r>
      <w:r>
        <w:rPr>
          <w:spacing w:val="-57"/>
        </w:rPr>
      </w:r>
      <w:r>
        <w:rPr>
          <w:spacing w:val="-5"/>
          <w:w w:val="100"/>
        </w:rPr>
        <w:t>信息披露及时、准确；公司董事和高级管理人员履行职务时，无违反法律、法规、《公司章</w:t>
      </w:r>
      <w:r>
        <w:rPr>
          <w:spacing w:val="-108"/>
          <w:w w:val="100"/>
        </w:rPr>
        <w:t> </w:t>
      </w:r>
      <w:r>
        <w:rPr>
          <w:spacing w:val="-108"/>
          <w:w w:val="100"/>
        </w:rPr>
      </w:r>
      <w:r>
        <w:rPr/>
        <w:t>程》</w:t>
      </w:r>
      <w:r>
        <w:rPr>
          <w:spacing w:val="-1"/>
        </w:rPr>
        <w:t> </w:t>
      </w:r>
      <w:r>
        <w:rPr/>
        <w:t>或损害公司利益的行为。</w:t>
      </w:r>
    </w:p>
    <w:p>
      <w:pPr>
        <w:pStyle w:val="Heading3"/>
        <w:spacing w:line="240" w:lineRule="auto" w:before="72"/>
        <w:ind w:right="0"/>
        <w:jc w:val="both"/>
      </w:pPr>
      <w:r>
        <w:rPr/>
        <w:t>（二）公司财务情况</w:t>
      </w:r>
    </w:p>
    <w:p>
      <w:pPr>
        <w:pStyle w:val="BodyText"/>
        <w:spacing w:line="391" w:lineRule="auto" w:before="227"/>
        <w:ind w:right="115" w:firstLine="420"/>
        <w:jc w:val="both"/>
      </w:pPr>
      <w:r>
        <w:rPr/>
        <w:t>监事会对公司报告期内的财务状况、财务管理和经营成果进行了认真地检查和审核，</w:t>
      </w:r>
      <w:r>
        <w:rPr>
          <w:w w:val="100"/>
        </w:rPr>
        <w:t> </w:t>
      </w:r>
      <w:r>
        <w:rPr/>
        <w:t>公司监事会认为：</w:t>
      </w:r>
    </w:p>
    <w:p>
      <w:pPr>
        <w:pStyle w:val="BodyText"/>
        <w:spacing w:line="369" w:lineRule="auto" w:before="41"/>
        <w:ind w:right="120" w:firstLine="420"/>
        <w:jc w:val="both"/>
      </w:pPr>
      <w:r>
        <w:rPr/>
        <w:t>公司财务制度健全、内控机制健全、财务状况良好。</w:t>
      </w:r>
      <w:r>
        <w:rPr>
          <w:rFonts w:ascii="Arial" w:hAnsi="Arial" w:cs="Arial" w:eastAsia="Arial" w:hint="default"/>
        </w:rPr>
        <w:t>2010</w:t>
      </w:r>
      <w:r>
        <w:rPr/>
        <w:t>年度财务报告在所有重大方</w:t>
      </w:r>
      <w:r>
        <w:rPr>
          <w:w w:val="100"/>
        </w:rPr>
        <w:t> </w:t>
      </w:r>
      <w:r>
        <w:rPr/>
        <w:t>面公允地反映了公司的财务状况和经营成果。</w:t>
      </w:r>
    </w:p>
    <w:p>
      <w:pPr>
        <w:pStyle w:val="Heading3"/>
        <w:spacing w:line="240" w:lineRule="auto" w:before="92"/>
        <w:ind w:right="0"/>
        <w:jc w:val="both"/>
      </w:pPr>
      <w:r>
        <w:rPr/>
        <w:t>（三）公司募集资金使用与管理情况</w:t>
      </w:r>
    </w:p>
    <w:p>
      <w:pPr>
        <w:pStyle w:val="BodyText"/>
        <w:spacing w:line="391" w:lineRule="auto" w:before="227"/>
        <w:ind w:left="557" w:right="0"/>
        <w:jc w:val="left"/>
      </w:pPr>
      <w:r>
        <w:rPr/>
        <w:t>监事会检查了报告期内公司募集资金的使用与管理情况，监事会认为：</w:t>
      </w:r>
      <w:r>
        <w:rPr>
          <w:w w:val="100"/>
        </w:rPr>
        <w:t> </w:t>
      </w:r>
      <w:r>
        <w:rPr>
          <w:spacing w:val="-11"/>
          <w:w w:val="100"/>
        </w:rPr>
        <w:t>公司严格按照《深圳证券交易所创业板股票上市规则》、《公司章程》、《募集资金管理</w:t>
      </w:r>
    </w:p>
    <w:p>
      <w:pPr>
        <w:pStyle w:val="BodyText"/>
        <w:spacing w:line="391" w:lineRule="auto" w:before="41"/>
        <w:ind w:right="0"/>
        <w:jc w:val="left"/>
      </w:pPr>
      <w:r>
        <w:rPr/>
        <w:t>制度》对募集资金进行使用和管理，不存在违规使用募集资金的行为，公司募集资金没有</w:t>
      </w:r>
      <w:r>
        <w:rPr>
          <w:spacing w:val="-57"/>
        </w:rPr>
        <w:t> </w:t>
      </w:r>
      <w:r>
        <w:rPr>
          <w:spacing w:val="-57"/>
        </w:rPr>
      </w:r>
      <w:r>
        <w:rPr/>
        <w:t>变更投向和用途。</w:t>
      </w:r>
    </w:p>
    <w:p>
      <w:pPr>
        <w:pStyle w:val="Heading3"/>
        <w:spacing w:line="240" w:lineRule="auto" w:before="72"/>
        <w:ind w:right="0"/>
        <w:jc w:val="both"/>
      </w:pPr>
      <w:r>
        <w:rPr/>
        <w:t>（四）公司收购、出售资产交易情况</w:t>
      </w:r>
    </w:p>
    <w:p>
      <w:pPr>
        <w:pStyle w:val="BodyText"/>
        <w:spacing w:line="379" w:lineRule="auto" w:before="227"/>
        <w:ind w:right="115" w:firstLine="420"/>
        <w:jc w:val="both"/>
      </w:pPr>
      <w:r>
        <w:rPr/>
        <w:t>经公司</w:t>
      </w:r>
      <w:r>
        <w:rPr>
          <w:rFonts w:ascii="Arial" w:hAnsi="Arial" w:cs="Arial" w:eastAsia="Arial" w:hint="default"/>
        </w:rPr>
        <w:t>2010</w:t>
      </w:r>
      <w:r>
        <w:rPr/>
        <w:t>年</w:t>
      </w:r>
      <w:r>
        <w:rPr>
          <w:rFonts w:ascii="Arial" w:hAnsi="Arial" w:cs="Arial" w:eastAsia="Arial" w:hint="default"/>
        </w:rPr>
        <w:t>10</w:t>
      </w:r>
      <w:r>
        <w:rPr/>
        <w:t>月</w:t>
      </w:r>
      <w:r>
        <w:rPr>
          <w:rFonts w:ascii="Arial" w:hAnsi="Arial" w:cs="Arial" w:eastAsia="Arial" w:hint="default"/>
        </w:rPr>
        <w:t>25</w:t>
      </w:r>
      <w:r>
        <w:rPr/>
        <w:t>日第一届董事会第二十次会审议通过，同意公司以人民币</w:t>
      </w:r>
      <w:r>
        <w:rPr>
          <w:rFonts w:ascii="Arial" w:hAnsi="Arial" w:cs="Arial" w:eastAsia="Arial" w:hint="default"/>
        </w:rPr>
        <w:t>985</w:t>
      </w:r>
      <w:r>
        <w:rPr/>
        <w:t>元</w:t>
      </w:r>
      <w:r>
        <w:rPr>
          <w:w w:val="100"/>
        </w:rPr>
        <w:t> </w:t>
      </w:r>
      <w:r>
        <w:rPr/>
        <w:t>收购烟台安诺其纺织材料有限公司自然人股东延元起先生</w:t>
      </w:r>
      <w:r>
        <w:rPr>
          <w:rFonts w:ascii="Arial" w:hAnsi="Arial" w:cs="Arial" w:eastAsia="Arial" w:hint="default"/>
        </w:rPr>
        <w:t>4.69%</w:t>
      </w:r>
      <w:r>
        <w:rPr/>
        <w:t>的股权。监事会对公司第</w:t>
      </w:r>
      <w:r>
        <w:rPr>
          <w:spacing w:val="-28"/>
        </w:rPr>
        <w:t> </w:t>
      </w:r>
      <w:r>
        <w:rPr>
          <w:spacing w:val="-28"/>
        </w:rPr>
      </w:r>
      <w:r>
        <w:rPr/>
        <w:t>一届董事会第二十次会议审议议案及形成决议的全过程进行了监督，监事会认为董事会履</w:t>
      </w:r>
      <w:r>
        <w:rPr>
          <w:spacing w:val="-57"/>
        </w:rPr>
        <w:t> </w:t>
      </w:r>
      <w:r>
        <w:rPr>
          <w:spacing w:val="-57"/>
        </w:rPr>
      </w:r>
      <w:r>
        <w:rPr/>
        <w:t>行了诚信义务，董事会做出决策的程序合法有效，不存在违反法律、法规及《公司章程》</w:t>
      </w:r>
      <w:r>
        <w:rPr>
          <w:spacing w:val="-57"/>
        </w:rPr>
        <w:t> </w:t>
      </w:r>
      <w:r>
        <w:rPr>
          <w:spacing w:val="-57"/>
        </w:rPr>
      </w:r>
      <w:r>
        <w:rPr/>
        <w:t>规定的情形。</w:t>
      </w:r>
    </w:p>
    <w:p>
      <w:pPr>
        <w:pStyle w:val="Heading3"/>
        <w:spacing w:line="240" w:lineRule="auto" w:before="83"/>
        <w:ind w:right="0"/>
        <w:jc w:val="both"/>
      </w:pPr>
      <w:r>
        <w:rPr/>
        <w:t>（五）公司关联交易情况</w:t>
      </w:r>
    </w:p>
    <w:p>
      <w:pPr>
        <w:pStyle w:val="BodyText"/>
        <w:spacing w:line="391" w:lineRule="auto" w:before="227"/>
        <w:ind w:right="115" w:firstLine="420"/>
        <w:jc w:val="both"/>
      </w:pPr>
      <w:r>
        <w:rPr/>
        <w:t>监事会对报告期内公司的关联交易进行了核查，认为：公司关联交易遵循市场定价及</w:t>
      </w:r>
      <w:r>
        <w:rPr>
          <w:w w:val="100"/>
        </w:rPr>
        <w:t> </w:t>
      </w:r>
      <w:r>
        <w:rPr/>
        <w:t>互利双赢的交易原则，符合双方生产经营的实际需要和具体情况及自愿、公平、合理的原</w:t>
      </w:r>
      <w:r>
        <w:rPr>
          <w:spacing w:val="-57"/>
        </w:rPr>
        <w:t> </w:t>
      </w:r>
      <w:r>
        <w:rPr>
          <w:spacing w:val="-57"/>
        </w:rPr>
      </w:r>
      <w:r>
        <w:rPr>
          <w:spacing w:val="-5"/>
          <w:w w:val="100"/>
        </w:rPr>
        <w:t>则；公司发生的关联交易的决策程序符合有关法律法规、《公司章程》的规定，关联交易价</w:t>
      </w:r>
      <w:r>
        <w:rPr>
          <w:spacing w:val="-109"/>
          <w:w w:val="100"/>
        </w:rPr>
        <w:t> </w:t>
      </w:r>
      <w:r>
        <w:rPr>
          <w:spacing w:val="-109"/>
          <w:w w:val="100"/>
        </w:rPr>
      </w:r>
      <w:r>
        <w:rPr/>
        <w:t>格公允，不存在损害公司和非关联股东利益的情形。</w:t>
      </w:r>
    </w:p>
    <w:p>
      <w:pPr>
        <w:pStyle w:val="Heading3"/>
        <w:spacing w:line="240" w:lineRule="auto" w:before="72"/>
        <w:ind w:right="0"/>
        <w:jc w:val="both"/>
      </w:pPr>
      <w:r>
        <w:rPr/>
        <w:t>（六）公司对外担保及股权、资产置换情况</w:t>
      </w:r>
    </w:p>
    <w:p>
      <w:pPr>
        <w:pStyle w:val="BodyText"/>
        <w:spacing w:line="369" w:lineRule="auto" w:before="227"/>
        <w:ind w:right="120" w:firstLine="420"/>
        <w:jc w:val="both"/>
      </w:pPr>
      <w:r>
        <w:rPr>
          <w:rFonts w:ascii="Arial" w:hAnsi="Arial" w:cs="Arial" w:eastAsia="Arial" w:hint="default"/>
        </w:rPr>
        <w:t>2010</w:t>
      </w:r>
      <w:r>
        <w:rPr/>
        <w:t>年度，公司未发生对外担保，未发生债务重组、非货币性交易事项及资产置换，</w:t>
      </w:r>
      <w:r>
        <w:rPr>
          <w:w w:val="100"/>
        </w:rPr>
        <w:t> </w:t>
      </w:r>
      <w:r>
        <w:rPr/>
        <w:t>也未发生其他损害公司股东利益或造成公司资产流失的情况。</w:t>
      </w:r>
    </w:p>
    <w:p>
      <w:pPr>
        <w:pStyle w:val="Heading3"/>
        <w:spacing w:line="240" w:lineRule="auto" w:before="92"/>
        <w:ind w:right="0"/>
        <w:jc w:val="both"/>
      </w:pPr>
      <w:r>
        <w:rPr/>
        <w:t>（七）对内部控制自我评价报告的意见</w:t>
      </w:r>
    </w:p>
    <w:p>
      <w:pPr>
        <w:spacing w:after="0" w:line="240" w:lineRule="auto"/>
        <w:jc w:val="both"/>
        <w:sectPr>
          <w:footerReference w:type="default" r:id="rId47"/>
          <w:pgSz w:w="11900" w:h="16840"/>
          <w:pgMar w:footer="981" w:header="877" w:top="1100" w:bottom="1180" w:left="1660" w:right="1340"/>
          <w:pgNumType w:start="60"/>
        </w:sectPr>
      </w:pPr>
    </w:p>
    <w:p>
      <w:pPr>
        <w:spacing w:line="240" w:lineRule="auto" w:before="4"/>
        <w:rPr>
          <w:rFonts w:ascii="宋体" w:hAnsi="宋体" w:cs="宋体" w:eastAsia="宋体" w:hint="default"/>
          <w:sz w:val="26"/>
          <w:szCs w:val="26"/>
        </w:rPr>
      </w:pPr>
    </w:p>
    <w:p>
      <w:pPr>
        <w:pStyle w:val="BodyText"/>
        <w:spacing w:line="379" w:lineRule="auto"/>
        <w:ind w:right="33" w:firstLine="420"/>
        <w:jc w:val="left"/>
      </w:pPr>
      <w:r>
        <w:rPr/>
        <w:t>监事会对董事会关于公司</w:t>
      </w:r>
      <w:r>
        <w:rPr>
          <w:rFonts w:ascii="Arial" w:hAnsi="Arial" w:cs="Arial" w:eastAsia="Arial" w:hint="default"/>
        </w:rPr>
        <w:t>2010</w:t>
      </w:r>
      <w:r>
        <w:rPr/>
        <w:t>年度内部控制自我评价报告发表如下审核意见：公司建</w:t>
      </w:r>
      <w:r>
        <w:rPr>
          <w:w w:val="100"/>
        </w:rPr>
        <w:t> </w:t>
      </w:r>
      <w:r>
        <w:rPr/>
        <w:t>立了较为完善的内部控制体系和规范运行的内部控制环境，并根据法律法规和公司实际情</w:t>
      </w:r>
      <w:r>
        <w:rPr>
          <w:spacing w:val="-57"/>
        </w:rPr>
        <w:t> </w:t>
      </w:r>
      <w:r>
        <w:rPr>
          <w:spacing w:val="-57"/>
        </w:rPr>
      </w:r>
      <w:r>
        <w:rPr/>
        <w:t>况变化适时进行了修订和完善，保证了公司各项业务活动的有序、有效开展，保证了经营</w:t>
      </w:r>
      <w:r>
        <w:rPr>
          <w:spacing w:val="-57"/>
        </w:rPr>
        <w:t> </w:t>
      </w:r>
      <w:r>
        <w:rPr>
          <w:spacing w:val="-57"/>
        </w:rPr>
      </w:r>
      <w:r>
        <w:rPr>
          <w:spacing w:val="-9"/>
          <w:w w:val="100"/>
        </w:rPr>
        <w:t>管理的合法合规与资产安全，维护了公司及股东的利益。《</w:t>
      </w:r>
      <w:r>
        <w:rPr>
          <w:rFonts w:ascii="Arial" w:hAnsi="Arial" w:cs="Arial" w:eastAsia="Arial" w:hint="default"/>
          <w:spacing w:val="-9"/>
          <w:w w:val="100"/>
        </w:rPr>
        <w:t>2010</w:t>
      </w:r>
      <w:r>
        <w:rPr>
          <w:spacing w:val="-9"/>
          <w:w w:val="100"/>
        </w:rPr>
        <w:t>年度内部控制自我评价报告》</w:t>
      </w:r>
      <w:r>
        <w:rPr>
          <w:spacing w:val="-80"/>
          <w:w w:val="100"/>
        </w:rPr>
        <w:t> </w:t>
      </w:r>
      <w:r>
        <w:rPr>
          <w:spacing w:val="-80"/>
          <w:w w:val="100"/>
        </w:rPr>
      </w:r>
      <w:r>
        <w:rPr/>
        <w:t>真实、客观地反映了公司内部控制制度的建设及运行情况。</w:t>
      </w:r>
    </w:p>
    <w:p>
      <w:pPr>
        <w:spacing w:after="0" w:line="379" w:lineRule="auto"/>
        <w:jc w:val="left"/>
        <w:sectPr>
          <w:pgSz w:w="11900" w:h="16840"/>
          <w:pgMar w:header="877" w:footer="981" w:top="1100" w:bottom="1180" w:left="1660" w:right="1240"/>
        </w:sectPr>
      </w:pPr>
    </w:p>
    <w:p>
      <w:pPr>
        <w:spacing w:line="240" w:lineRule="auto" w:before="0"/>
        <w:rPr>
          <w:rFonts w:ascii="宋体" w:hAnsi="宋体" w:cs="宋体" w:eastAsia="宋体" w:hint="default"/>
          <w:sz w:val="20"/>
          <w:szCs w:val="20"/>
        </w:rPr>
      </w:pPr>
    </w:p>
    <w:p>
      <w:pPr>
        <w:pStyle w:val="Heading1"/>
        <w:tabs>
          <w:tab w:pos="1439" w:val="left" w:leader="none"/>
        </w:tabs>
        <w:spacing w:line="240" w:lineRule="auto" w:before="132"/>
        <w:ind w:right="91"/>
        <w:jc w:val="center"/>
      </w:pPr>
      <w:bookmarkStart w:name="_TOC_250001" w:id="9"/>
      <w:r>
        <w:rPr>
          <w:w w:val="95"/>
        </w:rPr>
        <w:t>第九节</w:t>
        <w:tab/>
      </w:r>
      <w:bookmarkEnd w:id="9"/>
      <w:r>
        <w:rPr/>
        <w:t>财务报告</w:t>
      </w:r>
    </w:p>
    <w:p>
      <w:pPr>
        <w:spacing w:line="240" w:lineRule="auto" w:before="7"/>
        <w:rPr>
          <w:rFonts w:ascii="宋体" w:hAnsi="宋体" w:cs="宋体" w:eastAsia="宋体" w:hint="default"/>
          <w:sz w:val="15"/>
          <w:szCs w:val="15"/>
        </w:rPr>
      </w:pPr>
    </w:p>
    <w:p>
      <w:pPr>
        <w:pStyle w:val="Heading3"/>
        <w:spacing w:line="240" w:lineRule="auto" w:before="14"/>
        <w:ind w:right="0"/>
        <w:jc w:val="left"/>
      </w:pPr>
      <w:r>
        <w:rPr/>
        <w:t>一、审计报告</w:t>
      </w:r>
    </w:p>
    <w:p>
      <w:pPr>
        <w:spacing w:line="240" w:lineRule="auto" w:before="8"/>
        <w:rPr>
          <w:rFonts w:ascii="宋体" w:hAnsi="宋体" w:cs="宋体" w:eastAsia="宋体" w:hint="default"/>
          <w:sz w:val="18"/>
          <w:szCs w:val="18"/>
        </w:rPr>
      </w:pPr>
    </w:p>
    <w:p>
      <w:pPr>
        <w:pStyle w:val="Heading3"/>
        <w:spacing w:line="240" w:lineRule="auto" w:before="14"/>
        <w:ind w:left="0" w:right="65"/>
        <w:jc w:val="center"/>
      </w:pPr>
      <w:r>
        <w:rPr/>
        <w:t>审计报告</w:t>
      </w:r>
    </w:p>
    <w:p>
      <w:pPr>
        <w:spacing w:line="240" w:lineRule="auto" w:before="0"/>
        <w:rPr>
          <w:rFonts w:ascii="宋体" w:hAnsi="宋体" w:cs="宋体" w:eastAsia="宋体" w:hint="default"/>
          <w:sz w:val="20"/>
          <w:szCs w:val="20"/>
        </w:rPr>
      </w:pPr>
    </w:p>
    <w:p>
      <w:pPr>
        <w:pStyle w:val="BodyText"/>
        <w:spacing w:line="240" w:lineRule="auto" w:before="188"/>
        <w:ind w:left="6209" w:right="0"/>
        <w:jc w:val="left"/>
      </w:pPr>
      <w:r>
        <w:rPr>
          <w:spacing w:val="-3"/>
        </w:rPr>
        <w:t>沪众会字</w:t>
      </w:r>
      <w:r>
        <w:rPr>
          <w:rFonts w:ascii="Arial" w:hAnsi="Arial" w:cs="Arial" w:eastAsia="Arial" w:hint="default"/>
          <w:spacing w:val="-3"/>
        </w:rPr>
        <w:t>(2011)</w:t>
      </w:r>
      <w:r>
        <w:rPr>
          <w:spacing w:val="-3"/>
        </w:rPr>
        <w:t>第</w:t>
      </w:r>
      <w:r>
        <w:rPr>
          <w:spacing w:val="-50"/>
        </w:rPr>
        <w:t> </w:t>
      </w:r>
      <w:r>
        <w:rPr>
          <w:rFonts w:ascii="Arial" w:hAnsi="Arial" w:cs="Arial" w:eastAsia="Arial" w:hint="default"/>
        </w:rPr>
        <w:t>1564</w:t>
      </w:r>
      <w:r>
        <w:rPr>
          <w:rFonts w:ascii="Arial" w:hAnsi="Arial" w:cs="Arial" w:eastAsia="Arial" w:hint="default"/>
          <w:spacing w:val="-4"/>
        </w:rPr>
        <w:t> </w:t>
      </w:r>
      <w:r>
        <w:rPr/>
        <w:t>号</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6"/>
          <w:szCs w:val="16"/>
        </w:rPr>
      </w:pPr>
    </w:p>
    <w:p>
      <w:pPr>
        <w:pStyle w:val="BodyText"/>
        <w:spacing w:line="357" w:lineRule="auto" w:before="0"/>
        <w:ind w:left="576" w:right="0" w:firstLine="2"/>
        <w:jc w:val="left"/>
      </w:pPr>
      <w:r>
        <w:rPr/>
        <w:t>上海安诺其纺织化工股份有限公司全体股东：</w:t>
      </w:r>
      <w:r>
        <w:rPr>
          <w:spacing w:val="-99"/>
        </w:rPr>
        <w:t> </w:t>
      </w:r>
      <w:r>
        <w:rPr/>
        <w:t>我们审计了后附的上海安诺其纺织化工股份有限公司</w:t>
      </w:r>
      <w:r>
        <w:rPr>
          <w:rFonts w:ascii="Arial" w:hAnsi="Arial" w:cs="Arial" w:eastAsia="Arial" w:hint="default"/>
        </w:rPr>
        <w:t>(</w:t>
      </w:r>
      <w:r>
        <w:rPr/>
        <w:t>以下简称上海安诺其公司</w:t>
      </w:r>
      <w:r>
        <w:rPr>
          <w:rFonts w:ascii="Arial" w:hAnsi="Arial" w:cs="Arial" w:eastAsia="Arial" w:hint="default"/>
        </w:rPr>
        <w:t>)</w:t>
      </w:r>
      <w:r>
        <w:rPr/>
        <w:t>财务</w:t>
      </w:r>
    </w:p>
    <w:p>
      <w:pPr>
        <w:pStyle w:val="BodyText"/>
        <w:spacing w:line="338" w:lineRule="auto" w:before="3"/>
        <w:ind w:right="0"/>
        <w:jc w:val="left"/>
      </w:pPr>
      <w:r>
        <w:rPr>
          <w:spacing w:val="-18"/>
        </w:rPr>
        <w:t>报表，包括</w:t>
      </w:r>
      <w:r>
        <w:rPr>
          <w:spacing w:val="-54"/>
        </w:rPr>
        <w:t> </w:t>
      </w:r>
      <w:r>
        <w:rPr>
          <w:rFonts w:ascii="Arial" w:hAnsi="Arial" w:cs="Arial" w:eastAsia="Arial" w:hint="default"/>
        </w:rPr>
        <w:t>2010</w:t>
      </w:r>
      <w:r>
        <w:rPr>
          <w:rFonts w:ascii="Arial" w:hAnsi="Arial" w:cs="Arial" w:eastAsia="Arial" w:hint="default"/>
          <w:spacing w:val="-6"/>
        </w:rPr>
        <w:t> </w:t>
      </w:r>
      <w:r>
        <w:rPr/>
        <w:t>年</w:t>
      </w:r>
      <w:r>
        <w:rPr>
          <w:spacing w:val="-54"/>
        </w:rPr>
        <w:t> </w:t>
      </w:r>
      <w:r>
        <w:rPr>
          <w:rFonts w:ascii="Arial" w:hAnsi="Arial" w:cs="Arial" w:eastAsia="Arial" w:hint="default"/>
        </w:rPr>
        <w:t>12</w:t>
      </w:r>
      <w:r>
        <w:rPr>
          <w:rFonts w:ascii="Arial" w:hAnsi="Arial" w:cs="Arial" w:eastAsia="Arial" w:hint="default"/>
          <w:spacing w:val="-8"/>
        </w:rPr>
        <w:t> </w:t>
      </w:r>
      <w:r>
        <w:rPr/>
        <w:t>月</w:t>
      </w:r>
      <w:r>
        <w:rPr>
          <w:spacing w:val="-54"/>
        </w:rPr>
        <w:t> </w:t>
      </w:r>
      <w:r>
        <w:rPr>
          <w:rFonts w:ascii="Arial" w:hAnsi="Arial" w:cs="Arial" w:eastAsia="Arial" w:hint="default"/>
        </w:rPr>
        <w:t>31</w:t>
      </w:r>
      <w:r>
        <w:rPr>
          <w:rFonts w:ascii="Arial" w:hAnsi="Arial" w:cs="Arial" w:eastAsia="Arial" w:hint="default"/>
          <w:spacing w:val="-6"/>
        </w:rPr>
        <w:t> </w:t>
      </w:r>
      <w:r>
        <w:rPr>
          <w:spacing w:val="-6"/>
        </w:rPr>
        <w:t>日的合并及公司资产负债表，</w:t>
      </w:r>
      <w:r>
        <w:rPr>
          <w:rFonts w:ascii="Arial" w:hAnsi="Arial" w:cs="Arial" w:eastAsia="Arial" w:hint="default"/>
          <w:spacing w:val="-6"/>
        </w:rPr>
        <w:t>2010 </w:t>
      </w:r>
      <w:r>
        <w:rPr/>
        <w:t>年度的合并及公司利润表、</w:t>
      </w:r>
      <w:r>
        <w:rPr>
          <w:w w:val="100"/>
        </w:rPr>
        <w:t> </w:t>
      </w:r>
      <w:r>
        <w:rPr/>
        <w:t>合并及公司现金流量表、合并股东权益变动表及公司股东权益变动表以及财务报表附注。</w:t>
      </w:r>
    </w:p>
    <w:p>
      <w:pPr>
        <w:pStyle w:val="BodyText"/>
        <w:spacing w:line="355" w:lineRule="auto" w:before="51"/>
        <w:ind w:left="576" w:right="0" w:firstLine="2"/>
        <w:jc w:val="left"/>
      </w:pPr>
      <w:r>
        <w:rPr/>
        <w:t>一、管理层对财务报表的责任</w:t>
      </w:r>
      <w:r>
        <w:rPr>
          <w:spacing w:val="-104"/>
        </w:rPr>
        <w:t> </w:t>
      </w:r>
      <w:r>
        <w:rPr/>
        <w:t>按照企业会计准则的规定编制财务报表是上海安诺其公司管理层的责任。这种责任包</w:t>
      </w:r>
    </w:p>
    <w:p>
      <w:pPr>
        <w:pStyle w:val="BodyText"/>
        <w:spacing w:line="338" w:lineRule="auto" w:before="33"/>
        <w:ind w:right="0"/>
        <w:jc w:val="left"/>
      </w:pPr>
      <w:r>
        <w:rPr>
          <w:spacing w:val="-2"/>
        </w:rPr>
        <w:t>括：</w:t>
      </w:r>
      <w:r>
        <w:rPr>
          <w:rFonts w:ascii="Arial" w:hAnsi="Arial" w:cs="Arial" w:eastAsia="Arial" w:hint="default"/>
          <w:spacing w:val="-2"/>
        </w:rPr>
        <w:t>(1)</w:t>
      </w:r>
      <w:r>
        <w:rPr>
          <w:spacing w:val="-2"/>
        </w:rPr>
        <w:t>设计、实施和维护与财务报表编制相关的内部控制，以使财务报表不存在由于舞弊</w:t>
      </w:r>
      <w:r>
        <w:rPr>
          <w:spacing w:val="-60"/>
        </w:rPr>
        <w:t> </w:t>
      </w:r>
      <w:r>
        <w:rPr>
          <w:spacing w:val="-60"/>
        </w:rPr>
      </w:r>
      <w:r>
        <w:rPr/>
        <w:t>或错误而导致的重大错报；</w:t>
      </w:r>
      <w:r>
        <w:rPr>
          <w:rFonts w:ascii="Arial" w:hAnsi="Arial" w:cs="Arial" w:eastAsia="Arial" w:hint="default"/>
        </w:rPr>
        <w:t>(2)</w:t>
      </w:r>
      <w:r>
        <w:rPr/>
        <w:t>选择和运用恰当的会计政策；</w:t>
      </w:r>
      <w:r>
        <w:rPr>
          <w:rFonts w:ascii="Arial" w:hAnsi="Arial" w:cs="Arial" w:eastAsia="Arial" w:hint="default"/>
        </w:rPr>
        <w:t>(3)</w:t>
      </w:r>
      <w:r>
        <w:rPr/>
        <w:t>作出合理的会计估计。</w:t>
      </w:r>
    </w:p>
    <w:p>
      <w:pPr>
        <w:pStyle w:val="BodyText"/>
        <w:spacing w:line="355" w:lineRule="auto" w:before="25"/>
        <w:ind w:left="576" w:right="0" w:firstLine="2"/>
        <w:jc w:val="left"/>
      </w:pPr>
      <w:r>
        <w:rPr/>
        <w:t>二、注册会计师的责任</w:t>
      </w:r>
      <w:r>
        <w:rPr>
          <w:spacing w:val="-106"/>
        </w:rPr>
        <w:t> </w:t>
      </w:r>
      <w:r>
        <w:rPr/>
        <w:t>我们的责任是在实施审计工作的基础上对财务报表发表审计意见。我们按照中国注册</w:t>
      </w:r>
    </w:p>
    <w:p>
      <w:pPr>
        <w:pStyle w:val="BodyText"/>
        <w:spacing w:line="357" w:lineRule="auto" w:before="33"/>
        <w:ind w:right="0"/>
        <w:jc w:val="left"/>
      </w:pPr>
      <w:r>
        <w:rPr/>
        <w:t>会计师审计准则的规定执行了审计工作。中国注册会计师审计准则要求我们遵守职业道德</w:t>
      </w:r>
      <w:r>
        <w:rPr>
          <w:spacing w:val="-85"/>
        </w:rPr>
        <w:t> </w:t>
      </w:r>
      <w:r>
        <w:rPr/>
        <w:t>规范，计划和实施审计工作以对财务报表是否不存在重大错报获取合理保证。</w:t>
      </w:r>
    </w:p>
    <w:p>
      <w:pPr>
        <w:pStyle w:val="BodyText"/>
        <w:spacing w:line="357" w:lineRule="auto" w:before="31"/>
        <w:ind w:right="229" w:firstLine="439"/>
        <w:jc w:val="both"/>
      </w:pPr>
      <w:r>
        <w:rPr/>
        <w:t>审计工作涉及实施审计程序，以获取有关财务报表金额和披露的审计证据。选择的审</w:t>
      </w:r>
      <w:r>
        <w:rPr>
          <w:w w:val="100"/>
        </w:rPr>
        <w:t> </w:t>
      </w:r>
      <w:r>
        <w:rPr/>
        <w:t>计程序取决于注册会计师的判断，包括对由于舞弊或错误导致的财务报表重大错报风险的</w:t>
      </w:r>
      <w:r>
        <w:rPr>
          <w:spacing w:val="-85"/>
        </w:rPr>
        <w:t> </w:t>
      </w:r>
      <w:r>
        <w:rPr/>
        <w:t>评估。在进行风险评估时，我们考虑与财务报表编制相关的内部控制，以设计恰当的审计</w:t>
      </w:r>
      <w:r>
        <w:rPr>
          <w:spacing w:val="-85"/>
        </w:rPr>
        <w:t> </w:t>
      </w:r>
      <w:r>
        <w:rPr/>
        <w:t>程序，但目的并非对内部控制的有效性发表意见。审计工作还包括评价管理层选用会计政</w:t>
      </w:r>
      <w:r>
        <w:rPr>
          <w:spacing w:val="-85"/>
        </w:rPr>
        <w:t> </w:t>
      </w:r>
      <w:r>
        <w:rPr/>
        <w:t>策的恰当性和作出会计估计的合理性，以及评价财务报表的总体列报。</w:t>
      </w:r>
    </w:p>
    <w:p>
      <w:pPr>
        <w:pStyle w:val="BodyText"/>
        <w:spacing w:line="355" w:lineRule="auto" w:before="34"/>
        <w:ind w:left="576" w:right="0"/>
        <w:jc w:val="left"/>
      </w:pPr>
      <w:r>
        <w:rPr/>
        <w:t>我们相信，我们获取的审计证据是充分、适当的，为发表审计意见提供了基础。</w:t>
      </w:r>
      <w:r>
        <w:rPr>
          <w:w w:val="100"/>
        </w:rPr>
        <w:t> </w:t>
      </w:r>
      <w:r>
        <w:rPr/>
        <w:t>三、审计意见</w:t>
      </w:r>
      <w:r>
        <w:rPr>
          <w:spacing w:val="-106"/>
        </w:rPr>
        <w:t> </w:t>
      </w:r>
      <w:r>
        <w:rPr/>
        <w:t>我们认为，上海安诺其公司财务报表已经按照企业会计准则的规定编制，在所有重大</w:t>
      </w:r>
    </w:p>
    <w:p>
      <w:pPr>
        <w:pStyle w:val="BodyText"/>
        <w:spacing w:line="338" w:lineRule="auto" w:before="36"/>
        <w:ind w:right="0"/>
        <w:jc w:val="left"/>
      </w:pPr>
      <w:r>
        <w:rPr/>
        <w:t>方面公允反映了上海安诺其公司</w:t>
      </w:r>
      <w:r>
        <w:rPr>
          <w:spacing w:val="-44"/>
        </w:rPr>
        <w:t> </w:t>
      </w:r>
      <w:r>
        <w:rPr>
          <w:rFonts w:ascii="Arial" w:hAnsi="Arial" w:cs="Arial" w:eastAsia="Arial" w:hint="default"/>
        </w:rPr>
        <w:t>2010</w:t>
      </w:r>
      <w:r>
        <w:rPr>
          <w:rFonts w:ascii="Arial" w:hAnsi="Arial" w:cs="Arial" w:eastAsia="Arial" w:hint="default"/>
          <w:spacing w:val="4"/>
        </w:rPr>
        <w:t> </w:t>
      </w:r>
      <w:r>
        <w:rPr/>
        <w:t>年</w:t>
      </w:r>
      <w:r>
        <w:rPr>
          <w:spacing w:val="-44"/>
        </w:rPr>
        <w:t> </w:t>
      </w:r>
      <w:r>
        <w:rPr>
          <w:rFonts w:ascii="Arial" w:hAnsi="Arial" w:cs="Arial" w:eastAsia="Arial" w:hint="default"/>
        </w:rPr>
        <w:t>12</w:t>
      </w:r>
      <w:r>
        <w:rPr>
          <w:rFonts w:ascii="Arial" w:hAnsi="Arial" w:cs="Arial" w:eastAsia="Arial" w:hint="default"/>
          <w:spacing w:val="4"/>
        </w:rPr>
        <w:t> </w:t>
      </w:r>
      <w:r>
        <w:rPr/>
        <w:t>月</w:t>
      </w:r>
      <w:r>
        <w:rPr>
          <w:spacing w:val="-44"/>
        </w:rPr>
        <w:t> </w:t>
      </w:r>
      <w:r>
        <w:rPr>
          <w:rFonts w:ascii="Arial" w:hAnsi="Arial" w:cs="Arial" w:eastAsia="Arial" w:hint="default"/>
        </w:rPr>
        <w:t>31</w:t>
      </w:r>
      <w:r>
        <w:rPr>
          <w:rFonts w:ascii="Arial" w:hAnsi="Arial" w:cs="Arial" w:eastAsia="Arial" w:hint="default"/>
          <w:spacing w:val="4"/>
        </w:rPr>
        <w:t> </w:t>
      </w:r>
      <w:r>
        <w:rPr/>
        <w:t>日的财务状况以及</w:t>
      </w:r>
      <w:r>
        <w:rPr>
          <w:spacing w:val="-44"/>
        </w:rPr>
        <w:t> </w:t>
      </w:r>
      <w:r>
        <w:rPr>
          <w:rFonts w:ascii="Arial" w:hAnsi="Arial" w:cs="Arial" w:eastAsia="Arial" w:hint="default"/>
        </w:rPr>
        <w:t>2010</w:t>
      </w:r>
      <w:r>
        <w:rPr>
          <w:rFonts w:ascii="Arial" w:hAnsi="Arial" w:cs="Arial" w:eastAsia="Arial" w:hint="default"/>
          <w:spacing w:val="4"/>
        </w:rPr>
        <w:t> </w:t>
      </w:r>
      <w:r>
        <w:rPr/>
        <w:t>年度的经营成</w:t>
      </w:r>
      <w:r>
        <w:rPr>
          <w:w w:val="100"/>
        </w:rPr>
        <w:t> </w:t>
      </w:r>
      <w:r>
        <w:rPr/>
        <w:t>果和现金流量。</w:t>
      </w:r>
    </w:p>
    <w:p>
      <w:pPr>
        <w:spacing w:after="0" w:line="338" w:lineRule="auto"/>
        <w:jc w:val="left"/>
        <w:sectPr>
          <w:headerReference w:type="default" r:id="rId48"/>
          <w:pgSz w:w="11900" w:h="16840"/>
          <w:pgMar w:header="877" w:footer="981" w:top="1060" w:bottom="1180" w:left="1660" w:right="12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BodyText"/>
        <w:spacing w:line="240" w:lineRule="auto"/>
        <w:ind w:right="137"/>
        <w:jc w:val="left"/>
      </w:pPr>
      <w:r>
        <w:rPr/>
        <w:t>（此页无正文）</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1"/>
          <w:szCs w:val="21"/>
        </w:rPr>
      </w:pPr>
    </w:p>
    <w:p>
      <w:pPr>
        <w:pStyle w:val="BodyText"/>
        <w:tabs>
          <w:tab w:pos="4539" w:val="left" w:leader="none"/>
        </w:tabs>
        <w:spacing w:line="240" w:lineRule="auto" w:before="0"/>
        <w:ind w:right="137"/>
        <w:jc w:val="left"/>
      </w:pPr>
      <w:r>
        <w:rPr>
          <w:spacing w:val="-1"/>
        </w:rPr>
        <w:t>上海众华沪银会计师事务所有限公司</w:t>
        <w:tab/>
      </w:r>
      <w:r>
        <w:rPr>
          <w:spacing w:val="-2"/>
        </w:rPr>
        <w:t>中国注册会计师：傅林生</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8"/>
          <w:szCs w:val="18"/>
        </w:rPr>
      </w:pPr>
    </w:p>
    <w:p>
      <w:pPr>
        <w:pStyle w:val="BodyText"/>
        <w:spacing w:line="240" w:lineRule="auto" w:before="0"/>
        <w:ind w:left="4647" w:right="137"/>
        <w:jc w:val="left"/>
      </w:pPr>
      <w:r>
        <w:rPr/>
        <w:t>中国注册会计师：奚晓茵</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8"/>
          <w:szCs w:val="18"/>
        </w:rPr>
      </w:pPr>
    </w:p>
    <w:p>
      <w:pPr>
        <w:pStyle w:val="BodyText"/>
        <w:tabs>
          <w:tab w:pos="4649" w:val="left" w:leader="none"/>
        </w:tabs>
        <w:spacing w:line="240" w:lineRule="auto" w:before="0"/>
        <w:ind w:right="137"/>
        <w:jc w:val="left"/>
      </w:pPr>
      <w:r>
        <w:rPr>
          <w:spacing w:val="-1"/>
        </w:rPr>
        <w:t>中国，上海</w:t>
        <w:tab/>
        <w:t>二〇一一年三月二十八日</w:t>
      </w:r>
    </w:p>
    <w:p>
      <w:pPr>
        <w:spacing w:after="0" w:line="240" w:lineRule="auto"/>
        <w:jc w:val="left"/>
        <w:sectPr>
          <w:pgSz w:w="11900" w:h="16840"/>
          <w:pgMar w:header="877" w:footer="981" w:top="1100" w:bottom="1180" w:left="1660" w:right="132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58.65pt;height:.75pt;mso-position-horizontal-relative:char;mso-position-vertical-relative:line" coordorigin="0,0" coordsize="9173,15">
            <v:group style="position:absolute;left:7;top:7;width:9159;height:2" coordorigin="7,7" coordsize="9159,2">
              <v:shape style="position:absolute;left:7;top:7;width:9159;height:2" coordorigin="7,7" coordsize="9159,0" path="m7,7l9166,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9"/>
          <w:szCs w:val="29"/>
        </w:rPr>
      </w:pPr>
    </w:p>
    <w:p>
      <w:pPr>
        <w:pStyle w:val="Heading3"/>
        <w:spacing w:line="240" w:lineRule="auto" w:before="14"/>
        <w:ind w:left="139" w:right="0"/>
        <w:jc w:val="left"/>
      </w:pPr>
      <w:r>
        <w:rPr/>
        <w:t>二、会计报表</w:t>
      </w:r>
    </w:p>
    <w:p>
      <w:pPr>
        <w:spacing w:line="240" w:lineRule="auto" w:before="0"/>
        <w:rPr>
          <w:rFonts w:ascii="宋体" w:hAnsi="宋体" w:cs="宋体" w:eastAsia="宋体" w:hint="default"/>
          <w:sz w:val="20"/>
          <w:szCs w:val="20"/>
        </w:rPr>
      </w:pPr>
    </w:p>
    <w:p>
      <w:pPr>
        <w:pStyle w:val="Heading2"/>
        <w:spacing w:line="240" w:lineRule="auto" w:before="167"/>
        <w:ind w:right="71"/>
        <w:jc w:val="center"/>
      </w:pPr>
      <w:r>
        <w:rPr/>
        <w:t>合并资产负债表</w:t>
      </w:r>
    </w:p>
    <w:p>
      <w:pPr>
        <w:tabs>
          <w:tab w:pos="5451" w:val="left" w:leader="none"/>
          <w:tab w:pos="8098" w:val="left" w:leader="none"/>
        </w:tabs>
        <w:spacing w:before="145"/>
        <w:ind w:left="139" w:right="0" w:firstLine="0"/>
        <w:jc w:val="left"/>
        <w:rPr>
          <w:rFonts w:ascii="宋体" w:hAnsi="宋体" w:cs="宋体" w:eastAsia="宋体" w:hint="default"/>
          <w:sz w:val="18"/>
          <w:szCs w:val="18"/>
        </w:rPr>
      </w:pPr>
      <w:r>
        <w:rPr>
          <w:rFonts w:ascii="宋体" w:hAnsi="宋体" w:cs="宋体" w:eastAsia="宋体" w:hint="default"/>
          <w:spacing w:val="-1"/>
          <w:sz w:val="18"/>
          <w:szCs w:val="18"/>
        </w:rPr>
        <w:t>编制单位：上海安诺其纺织化工股份有限公司</w:t>
        <w:tab/>
      </w:r>
      <w:r>
        <w:rPr>
          <w:rFonts w:ascii="Arial" w:hAnsi="Arial" w:cs="Arial" w:eastAsia="Arial" w:hint="default"/>
          <w:spacing w:val="-1"/>
          <w:sz w:val="18"/>
          <w:szCs w:val="18"/>
        </w:rPr>
        <w:t>2010</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31</w:t>
      </w:r>
      <w:r>
        <w:rPr>
          <w:rFonts w:ascii="Arial" w:hAnsi="Arial" w:cs="Arial" w:eastAsia="Arial" w:hint="default"/>
          <w:spacing w:val="-4"/>
          <w:sz w:val="18"/>
          <w:szCs w:val="18"/>
        </w:rPr>
        <w:t> </w:t>
      </w:r>
      <w:r>
        <w:rPr>
          <w:rFonts w:ascii="宋体" w:hAnsi="宋体" w:cs="宋体" w:eastAsia="宋体" w:hint="default"/>
          <w:sz w:val="18"/>
          <w:szCs w:val="18"/>
        </w:rPr>
        <w:t>日</w:t>
        <w:tab/>
      </w:r>
      <w:r>
        <w:rPr>
          <w:rFonts w:ascii="宋体" w:hAnsi="宋体" w:cs="宋体" w:eastAsia="宋体" w:hint="default"/>
          <w:spacing w:val="-2"/>
          <w:sz w:val="18"/>
          <w:szCs w:val="18"/>
        </w:rPr>
        <w:t>单位：元</w:t>
      </w:r>
    </w:p>
    <w:p>
      <w:pPr>
        <w:spacing w:line="240" w:lineRule="auto" w:before="6"/>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1714"/>
        <w:gridCol w:w="588"/>
        <w:gridCol w:w="3262"/>
        <w:gridCol w:w="3391"/>
      </w:tblGrid>
      <w:tr>
        <w:trPr>
          <w:trHeight w:val="343" w:hRule="exact"/>
        </w:trPr>
        <w:tc>
          <w:tcPr>
            <w:tcW w:w="1714" w:type="dxa"/>
            <w:vMerge w:val="restart"/>
            <w:tcBorders>
              <w:top w:val="single" w:sz="12" w:space="0" w:color="000000"/>
              <w:left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979" w:val="left" w:leader="none"/>
              </w:tabs>
              <w:spacing w:line="240" w:lineRule="auto"/>
              <w:ind w:left="525" w:right="0"/>
              <w:jc w:val="left"/>
              <w:rPr>
                <w:rFonts w:ascii="宋体" w:hAnsi="宋体" w:cs="宋体" w:eastAsia="宋体" w:hint="default"/>
                <w:sz w:val="18"/>
                <w:szCs w:val="18"/>
              </w:rPr>
            </w:pPr>
            <w:r>
              <w:rPr>
                <w:rFonts w:ascii="宋体" w:hAnsi="宋体" w:cs="宋体" w:eastAsia="宋体" w:hint="default"/>
                <w:w w:val="95"/>
                <w:sz w:val="18"/>
                <w:szCs w:val="18"/>
              </w:rPr>
              <w:t>资</w:t>
              <w:tab/>
            </w:r>
            <w:r>
              <w:rPr>
                <w:rFonts w:ascii="宋体" w:hAnsi="宋体" w:cs="宋体" w:eastAsia="宋体" w:hint="default"/>
                <w:sz w:val="18"/>
                <w:szCs w:val="18"/>
              </w:rPr>
              <w:t>产</w:t>
            </w:r>
          </w:p>
        </w:tc>
        <w:tc>
          <w:tcPr>
            <w:tcW w:w="588" w:type="dxa"/>
            <w:vMerge w:val="restart"/>
            <w:tcBorders>
              <w:top w:val="single" w:sz="12" w:space="0" w:color="000000"/>
              <w:left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32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33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341" w:hRule="exact"/>
        </w:trPr>
        <w:tc>
          <w:tcPr>
            <w:tcW w:w="1714" w:type="dxa"/>
            <w:vMerge/>
            <w:tcBorders>
              <w:left w:val="single" w:sz="12" w:space="0" w:color="000000"/>
              <w:bottom w:val="single" w:sz="12" w:space="0" w:color="000000"/>
              <w:right w:val="single" w:sz="12" w:space="0" w:color="000000"/>
            </w:tcBorders>
          </w:tcPr>
          <w:p>
            <w:pPr/>
          </w:p>
        </w:tc>
        <w:tc>
          <w:tcPr>
            <w:tcW w:w="588" w:type="dxa"/>
            <w:vMerge/>
            <w:tcBorders>
              <w:left w:val="single" w:sz="12" w:space="0" w:color="000000"/>
              <w:bottom w:val="single" w:sz="12" w:space="0" w:color="000000"/>
              <w:right w:val="single" w:sz="12" w:space="0" w:color="000000"/>
            </w:tcBorders>
          </w:tcPr>
          <w:p>
            <w:pPr/>
          </w:p>
        </w:tc>
        <w:tc>
          <w:tcPr>
            <w:tcW w:w="32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33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343" w:hRule="exact"/>
        </w:trPr>
        <w:tc>
          <w:tcPr>
            <w:tcW w:w="17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588" w:type="dxa"/>
            <w:tcBorders>
              <w:top w:val="single" w:sz="12" w:space="0" w:color="000000"/>
              <w:left w:val="single" w:sz="12" w:space="0" w:color="000000"/>
              <w:bottom w:val="single" w:sz="12" w:space="0" w:color="000000"/>
              <w:right w:val="single" w:sz="12" w:space="0" w:color="000000"/>
            </w:tcBorders>
          </w:tcPr>
          <w:p>
            <w:pPr/>
          </w:p>
        </w:tc>
        <w:tc>
          <w:tcPr>
            <w:tcW w:w="3262" w:type="dxa"/>
            <w:tcBorders>
              <w:top w:val="single" w:sz="12" w:space="0" w:color="000000"/>
              <w:left w:val="single" w:sz="12" w:space="0" w:color="000000"/>
              <w:bottom w:val="single" w:sz="12" w:space="0" w:color="000000"/>
              <w:right w:val="single" w:sz="12" w:space="0" w:color="000000"/>
            </w:tcBorders>
          </w:tcPr>
          <w:p>
            <w:pPr/>
          </w:p>
        </w:tc>
        <w:tc>
          <w:tcPr>
            <w:tcW w:w="3391"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17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5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6.1</w:t>
            </w:r>
          </w:p>
        </w:tc>
        <w:tc>
          <w:tcPr>
            <w:tcW w:w="32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430,507,645.58</w:t>
            </w:r>
          </w:p>
        </w:tc>
        <w:tc>
          <w:tcPr>
            <w:tcW w:w="33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29,347,601.34</w:t>
            </w:r>
          </w:p>
        </w:tc>
      </w:tr>
      <w:tr>
        <w:trPr>
          <w:trHeight w:val="343" w:hRule="exact"/>
        </w:trPr>
        <w:tc>
          <w:tcPr>
            <w:tcW w:w="17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5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6.2</w:t>
            </w:r>
          </w:p>
        </w:tc>
        <w:tc>
          <w:tcPr>
            <w:tcW w:w="32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20,025,583.34</w:t>
            </w:r>
          </w:p>
        </w:tc>
        <w:tc>
          <w:tcPr>
            <w:tcW w:w="33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17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5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6.3</w:t>
            </w:r>
          </w:p>
        </w:tc>
        <w:tc>
          <w:tcPr>
            <w:tcW w:w="32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17,589,199.50</w:t>
            </w:r>
          </w:p>
        </w:tc>
        <w:tc>
          <w:tcPr>
            <w:tcW w:w="33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35,017,134.61</w:t>
            </w:r>
          </w:p>
        </w:tc>
      </w:tr>
      <w:tr>
        <w:trPr>
          <w:trHeight w:val="343" w:hRule="exact"/>
        </w:trPr>
        <w:tc>
          <w:tcPr>
            <w:tcW w:w="17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5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6.5</w:t>
            </w:r>
          </w:p>
        </w:tc>
        <w:tc>
          <w:tcPr>
            <w:tcW w:w="32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42,644,210.52</w:t>
            </w:r>
          </w:p>
        </w:tc>
        <w:tc>
          <w:tcPr>
            <w:tcW w:w="33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42,155,863.54</w:t>
            </w:r>
          </w:p>
        </w:tc>
      </w:tr>
      <w:tr>
        <w:trPr>
          <w:trHeight w:val="341" w:hRule="exact"/>
        </w:trPr>
        <w:tc>
          <w:tcPr>
            <w:tcW w:w="17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5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6.7</w:t>
            </w:r>
          </w:p>
        </w:tc>
        <w:tc>
          <w:tcPr>
            <w:tcW w:w="32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10,113,253.20</w:t>
            </w:r>
          </w:p>
        </w:tc>
        <w:tc>
          <w:tcPr>
            <w:tcW w:w="33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1,341,050.78</w:t>
            </w:r>
          </w:p>
        </w:tc>
      </w:tr>
      <w:tr>
        <w:trPr>
          <w:trHeight w:val="343" w:hRule="exact"/>
        </w:trPr>
        <w:tc>
          <w:tcPr>
            <w:tcW w:w="17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5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6.4</w:t>
            </w:r>
          </w:p>
        </w:tc>
        <w:tc>
          <w:tcPr>
            <w:tcW w:w="32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413,519.44</w:t>
            </w:r>
          </w:p>
        </w:tc>
        <w:tc>
          <w:tcPr>
            <w:tcW w:w="33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17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588" w:type="dxa"/>
            <w:tcBorders>
              <w:top w:val="single" w:sz="12" w:space="0" w:color="000000"/>
              <w:left w:val="single" w:sz="12" w:space="0" w:color="000000"/>
              <w:bottom w:val="single" w:sz="12" w:space="0" w:color="000000"/>
              <w:right w:val="single" w:sz="12" w:space="0" w:color="000000"/>
            </w:tcBorders>
          </w:tcPr>
          <w:p>
            <w:pPr/>
          </w:p>
        </w:tc>
        <w:tc>
          <w:tcPr>
            <w:tcW w:w="32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33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3" w:hRule="exact"/>
        </w:trPr>
        <w:tc>
          <w:tcPr>
            <w:tcW w:w="17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5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6.6</w:t>
            </w:r>
          </w:p>
        </w:tc>
        <w:tc>
          <w:tcPr>
            <w:tcW w:w="32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1,257,504.52</w:t>
            </w:r>
          </w:p>
        </w:tc>
        <w:tc>
          <w:tcPr>
            <w:tcW w:w="33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2,498,513.48</w:t>
            </w:r>
          </w:p>
        </w:tc>
      </w:tr>
      <w:tr>
        <w:trPr>
          <w:trHeight w:val="341" w:hRule="exact"/>
        </w:trPr>
        <w:tc>
          <w:tcPr>
            <w:tcW w:w="17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5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6.8</w:t>
            </w:r>
          </w:p>
        </w:tc>
        <w:tc>
          <w:tcPr>
            <w:tcW w:w="32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72,506,069.44</w:t>
            </w:r>
          </w:p>
        </w:tc>
        <w:tc>
          <w:tcPr>
            <w:tcW w:w="33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28,564,334.81</w:t>
            </w:r>
          </w:p>
        </w:tc>
      </w:tr>
      <w:tr>
        <w:trPr>
          <w:trHeight w:val="655" w:hRule="exact"/>
        </w:trPr>
        <w:tc>
          <w:tcPr>
            <w:tcW w:w="1714"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93" w:right="86"/>
              <w:jc w:val="left"/>
              <w:rPr>
                <w:rFonts w:ascii="宋体" w:hAnsi="宋体" w:cs="宋体" w:eastAsia="宋体" w:hint="default"/>
                <w:sz w:val="18"/>
                <w:szCs w:val="18"/>
              </w:rPr>
            </w:pPr>
            <w:r>
              <w:rPr>
                <w:rFonts w:ascii="宋体" w:hAnsi="宋体" w:cs="宋体" w:eastAsia="宋体" w:hint="default"/>
                <w:spacing w:val="7"/>
                <w:sz w:val="18"/>
                <w:szCs w:val="18"/>
              </w:rPr>
              <w:t>一年内到期的非流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动资产</w:t>
            </w:r>
          </w:p>
        </w:tc>
        <w:tc>
          <w:tcPr>
            <w:tcW w:w="588" w:type="dxa"/>
            <w:tcBorders>
              <w:top w:val="single" w:sz="12" w:space="0" w:color="000000"/>
              <w:left w:val="single" w:sz="12" w:space="0" w:color="000000"/>
              <w:bottom w:val="single" w:sz="12" w:space="0" w:color="000000"/>
              <w:right w:val="single" w:sz="12" w:space="0" w:color="000000"/>
            </w:tcBorders>
          </w:tcPr>
          <w:p>
            <w:pPr/>
          </w:p>
        </w:tc>
        <w:tc>
          <w:tcPr>
            <w:tcW w:w="32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33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17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588" w:type="dxa"/>
            <w:tcBorders>
              <w:top w:val="single" w:sz="12" w:space="0" w:color="000000"/>
              <w:left w:val="single" w:sz="12" w:space="0" w:color="000000"/>
              <w:bottom w:val="single" w:sz="12" w:space="0" w:color="000000"/>
              <w:right w:val="single" w:sz="12" w:space="0" w:color="000000"/>
            </w:tcBorders>
          </w:tcPr>
          <w:p>
            <w:pPr/>
          </w:p>
        </w:tc>
        <w:tc>
          <w:tcPr>
            <w:tcW w:w="32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33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3" w:hRule="exact"/>
        </w:trPr>
        <w:tc>
          <w:tcPr>
            <w:tcW w:w="17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588" w:type="dxa"/>
            <w:tcBorders>
              <w:top w:val="single" w:sz="12" w:space="0" w:color="000000"/>
              <w:left w:val="single" w:sz="12" w:space="0" w:color="000000"/>
              <w:bottom w:val="single" w:sz="12" w:space="0" w:color="000000"/>
              <w:right w:val="single" w:sz="12" w:space="0" w:color="000000"/>
            </w:tcBorders>
          </w:tcPr>
          <w:p>
            <w:pPr/>
          </w:p>
        </w:tc>
        <w:tc>
          <w:tcPr>
            <w:tcW w:w="32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1"/>
              <w:jc w:val="center"/>
              <w:rPr>
                <w:rFonts w:ascii="Arial" w:hAnsi="Arial" w:cs="Arial" w:eastAsia="Arial" w:hint="default"/>
                <w:sz w:val="18"/>
                <w:szCs w:val="18"/>
              </w:rPr>
            </w:pPr>
            <w:r>
              <w:rPr>
                <w:rFonts w:ascii="Arial"/>
                <w:b/>
                <w:sz w:val="18"/>
              </w:rPr>
              <w:t>595,056,985.54</w:t>
            </w:r>
            <w:r>
              <w:rPr>
                <w:rFonts w:ascii="Arial"/>
                <w:sz w:val="18"/>
              </w:rPr>
            </w:r>
          </w:p>
        </w:tc>
        <w:tc>
          <w:tcPr>
            <w:tcW w:w="33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1"/>
              <w:jc w:val="center"/>
              <w:rPr>
                <w:rFonts w:ascii="Arial" w:hAnsi="Arial" w:cs="Arial" w:eastAsia="Arial" w:hint="default"/>
                <w:sz w:val="18"/>
                <w:szCs w:val="18"/>
              </w:rPr>
            </w:pPr>
            <w:r>
              <w:rPr>
                <w:rFonts w:ascii="Arial"/>
                <w:b/>
                <w:sz w:val="18"/>
              </w:rPr>
              <w:t>138,924,498.56</w:t>
            </w:r>
            <w:r>
              <w:rPr>
                <w:rFonts w:ascii="Arial"/>
                <w:sz w:val="18"/>
              </w:rPr>
            </w:r>
          </w:p>
        </w:tc>
      </w:tr>
      <w:tr>
        <w:trPr>
          <w:trHeight w:val="341" w:hRule="exact"/>
        </w:trPr>
        <w:tc>
          <w:tcPr>
            <w:tcW w:w="1714" w:type="dxa"/>
            <w:tcBorders>
              <w:top w:val="single" w:sz="12" w:space="0" w:color="000000"/>
              <w:left w:val="single" w:sz="12" w:space="0" w:color="000000"/>
              <w:bottom w:val="single" w:sz="12" w:space="0" w:color="000000"/>
              <w:right w:val="single" w:sz="12" w:space="0" w:color="000000"/>
            </w:tcBorders>
          </w:tcPr>
          <w:p>
            <w:pPr/>
          </w:p>
        </w:tc>
        <w:tc>
          <w:tcPr>
            <w:tcW w:w="588" w:type="dxa"/>
            <w:tcBorders>
              <w:top w:val="single" w:sz="12" w:space="0" w:color="000000"/>
              <w:left w:val="single" w:sz="12" w:space="0" w:color="000000"/>
              <w:bottom w:val="single" w:sz="12" w:space="0" w:color="000000"/>
              <w:right w:val="single" w:sz="12" w:space="0" w:color="000000"/>
            </w:tcBorders>
          </w:tcPr>
          <w:p>
            <w:pPr/>
          </w:p>
        </w:tc>
        <w:tc>
          <w:tcPr>
            <w:tcW w:w="3262" w:type="dxa"/>
            <w:tcBorders>
              <w:top w:val="single" w:sz="12" w:space="0" w:color="000000"/>
              <w:left w:val="single" w:sz="12" w:space="0" w:color="000000"/>
              <w:bottom w:val="single" w:sz="12" w:space="0" w:color="000000"/>
              <w:right w:val="single" w:sz="12" w:space="0" w:color="000000"/>
            </w:tcBorders>
          </w:tcPr>
          <w:p>
            <w:pPr/>
          </w:p>
        </w:tc>
        <w:tc>
          <w:tcPr>
            <w:tcW w:w="3391"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17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588" w:type="dxa"/>
            <w:tcBorders>
              <w:top w:val="single" w:sz="12" w:space="0" w:color="000000"/>
              <w:left w:val="single" w:sz="12" w:space="0" w:color="000000"/>
              <w:bottom w:val="single" w:sz="12" w:space="0" w:color="000000"/>
              <w:right w:val="single" w:sz="12" w:space="0" w:color="000000"/>
            </w:tcBorders>
          </w:tcPr>
          <w:p>
            <w:pPr/>
          </w:p>
        </w:tc>
        <w:tc>
          <w:tcPr>
            <w:tcW w:w="3262" w:type="dxa"/>
            <w:tcBorders>
              <w:top w:val="single" w:sz="12" w:space="0" w:color="000000"/>
              <w:left w:val="single" w:sz="12" w:space="0" w:color="000000"/>
              <w:bottom w:val="single" w:sz="12" w:space="0" w:color="000000"/>
              <w:right w:val="single" w:sz="12" w:space="0" w:color="000000"/>
            </w:tcBorders>
          </w:tcPr>
          <w:p>
            <w:pPr/>
          </w:p>
        </w:tc>
        <w:tc>
          <w:tcPr>
            <w:tcW w:w="3391"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17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588" w:type="dxa"/>
            <w:tcBorders>
              <w:top w:val="single" w:sz="12" w:space="0" w:color="000000"/>
              <w:left w:val="single" w:sz="12" w:space="0" w:color="000000"/>
              <w:bottom w:val="single" w:sz="12" w:space="0" w:color="000000"/>
              <w:right w:val="single" w:sz="12" w:space="0" w:color="000000"/>
            </w:tcBorders>
          </w:tcPr>
          <w:p>
            <w:pPr/>
          </w:p>
        </w:tc>
        <w:tc>
          <w:tcPr>
            <w:tcW w:w="3262" w:type="dxa"/>
            <w:tcBorders>
              <w:top w:val="single" w:sz="12" w:space="0" w:color="000000"/>
              <w:left w:val="single" w:sz="12" w:space="0" w:color="000000"/>
              <w:bottom w:val="single" w:sz="12" w:space="0" w:color="000000"/>
              <w:right w:val="single" w:sz="12" w:space="0" w:color="000000"/>
            </w:tcBorders>
          </w:tcPr>
          <w:p>
            <w:pPr/>
          </w:p>
        </w:tc>
        <w:tc>
          <w:tcPr>
            <w:tcW w:w="3391"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17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588" w:type="dxa"/>
            <w:tcBorders>
              <w:top w:val="single" w:sz="12" w:space="0" w:color="000000"/>
              <w:left w:val="single" w:sz="12" w:space="0" w:color="000000"/>
              <w:bottom w:val="single" w:sz="12" w:space="0" w:color="000000"/>
              <w:right w:val="single" w:sz="12" w:space="0" w:color="000000"/>
            </w:tcBorders>
          </w:tcPr>
          <w:p>
            <w:pPr/>
          </w:p>
        </w:tc>
        <w:tc>
          <w:tcPr>
            <w:tcW w:w="3262" w:type="dxa"/>
            <w:tcBorders>
              <w:top w:val="single" w:sz="12" w:space="0" w:color="000000"/>
              <w:left w:val="single" w:sz="12" w:space="0" w:color="000000"/>
              <w:bottom w:val="single" w:sz="12" w:space="0" w:color="000000"/>
              <w:right w:val="single" w:sz="12" w:space="0" w:color="000000"/>
            </w:tcBorders>
          </w:tcPr>
          <w:p>
            <w:pPr/>
          </w:p>
        </w:tc>
        <w:tc>
          <w:tcPr>
            <w:tcW w:w="3391"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17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588" w:type="dxa"/>
            <w:tcBorders>
              <w:top w:val="single" w:sz="12" w:space="0" w:color="000000"/>
              <w:left w:val="single" w:sz="12" w:space="0" w:color="000000"/>
              <w:bottom w:val="single" w:sz="12" w:space="0" w:color="000000"/>
              <w:right w:val="single" w:sz="12" w:space="0" w:color="000000"/>
            </w:tcBorders>
          </w:tcPr>
          <w:p>
            <w:pPr/>
          </w:p>
        </w:tc>
        <w:tc>
          <w:tcPr>
            <w:tcW w:w="3262" w:type="dxa"/>
            <w:tcBorders>
              <w:top w:val="single" w:sz="12" w:space="0" w:color="000000"/>
              <w:left w:val="single" w:sz="12" w:space="0" w:color="000000"/>
              <w:bottom w:val="single" w:sz="12" w:space="0" w:color="000000"/>
              <w:right w:val="single" w:sz="12" w:space="0" w:color="000000"/>
            </w:tcBorders>
          </w:tcPr>
          <w:p>
            <w:pPr/>
          </w:p>
        </w:tc>
        <w:tc>
          <w:tcPr>
            <w:tcW w:w="3391"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17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588" w:type="dxa"/>
            <w:tcBorders>
              <w:top w:val="single" w:sz="12" w:space="0" w:color="000000"/>
              <w:left w:val="single" w:sz="12" w:space="0" w:color="000000"/>
              <w:bottom w:val="single" w:sz="12" w:space="0" w:color="000000"/>
              <w:right w:val="single" w:sz="12" w:space="0" w:color="000000"/>
            </w:tcBorders>
          </w:tcPr>
          <w:p>
            <w:pPr/>
          </w:p>
        </w:tc>
        <w:tc>
          <w:tcPr>
            <w:tcW w:w="3262" w:type="dxa"/>
            <w:tcBorders>
              <w:top w:val="single" w:sz="12" w:space="0" w:color="000000"/>
              <w:left w:val="single" w:sz="12" w:space="0" w:color="000000"/>
              <w:bottom w:val="single" w:sz="12" w:space="0" w:color="000000"/>
              <w:right w:val="single" w:sz="12" w:space="0" w:color="000000"/>
            </w:tcBorders>
          </w:tcPr>
          <w:p>
            <w:pPr/>
          </w:p>
        </w:tc>
        <w:tc>
          <w:tcPr>
            <w:tcW w:w="3391"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17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588" w:type="dxa"/>
            <w:tcBorders>
              <w:top w:val="single" w:sz="12" w:space="0" w:color="000000"/>
              <w:left w:val="single" w:sz="12" w:space="0" w:color="000000"/>
              <w:bottom w:val="single" w:sz="12" w:space="0" w:color="000000"/>
              <w:right w:val="single" w:sz="12" w:space="0" w:color="000000"/>
            </w:tcBorders>
          </w:tcPr>
          <w:p>
            <w:pPr/>
          </w:p>
        </w:tc>
        <w:tc>
          <w:tcPr>
            <w:tcW w:w="3262" w:type="dxa"/>
            <w:tcBorders>
              <w:top w:val="single" w:sz="12" w:space="0" w:color="000000"/>
              <w:left w:val="single" w:sz="12" w:space="0" w:color="000000"/>
              <w:bottom w:val="single" w:sz="12" w:space="0" w:color="000000"/>
              <w:right w:val="single" w:sz="12" w:space="0" w:color="000000"/>
            </w:tcBorders>
          </w:tcPr>
          <w:p>
            <w:pPr/>
          </w:p>
        </w:tc>
        <w:tc>
          <w:tcPr>
            <w:tcW w:w="3391"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17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5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6.9</w:t>
            </w:r>
          </w:p>
        </w:tc>
        <w:tc>
          <w:tcPr>
            <w:tcW w:w="32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107,982,091.08</w:t>
            </w:r>
          </w:p>
        </w:tc>
        <w:tc>
          <w:tcPr>
            <w:tcW w:w="33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80,864,837.57</w:t>
            </w:r>
          </w:p>
        </w:tc>
      </w:tr>
      <w:tr>
        <w:trPr>
          <w:trHeight w:val="341" w:hRule="exact"/>
        </w:trPr>
        <w:tc>
          <w:tcPr>
            <w:tcW w:w="17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5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6.10</w:t>
            </w:r>
          </w:p>
        </w:tc>
        <w:tc>
          <w:tcPr>
            <w:tcW w:w="32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27,841,096.36</w:t>
            </w:r>
          </w:p>
        </w:tc>
        <w:tc>
          <w:tcPr>
            <w:tcW w:w="33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7,021,886.34</w:t>
            </w:r>
          </w:p>
        </w:tc>
      </w:tr>
      <w:tr>
        <w:trPr>
          <w:trHeight w:val="343" w:hRule="exact"/>
        </w:trPr>
        <w:tc>
          <w:tcPr>
            <w:tcW w:w="17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5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pacing w:val="-4"/>
                <w:sz w:val="18"/>
              </w:rPr>
              <w:t>6.11</w:t>
            </w:r>
          </w:p>
        </w:tc>
        <w:tc>
          <w:tcPr>
            <w:tcW w:w="32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1,515,416.72</w:t>
            </w:r>
          </w:p>
        </w:tc>
        <w:tc>
          <w:tcPr>
            <w:tcW w:w="33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516,973.46</w:t>
            </w:r>
          </w:p>
        </w:tc>
      </w:tr>
      <w:tr>
        <w:trPr>
          <w:trHeight w:val="341" w:hRule="exact"/>
        </w:trPr>
        <w:tc>
          <w:tcPr>
            <w:tcW w:w="17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588" w:type="dxa"/>
            <w:tcBorders>
              <w:top w:val="single" w:sz="12" w:space="0" w:color="000000"/>
              <w:left w:val="single" w:sz="12" w:space="0" w:color="000000"/>
              <w:bottom w:val="single" w:sz="12" w:space="0" w:color="000000"/>
              <w:right w:val="single" w:sz="12" w:space="0" w:color="000000"/>
            </w:tcBorders>
          </w:tcPr>
          <w:p>
            <w:pPr/>
          </w:p>
        </w:tc>
        <w:tc>
          <w:tcPr>
            <w:tcW w:w="3262" w:type="dxa"/>
            <w:tcBorders>
              <w:top w:val="single" w:sz="12" w:space="0" w:color="000000"/>
              <w:left w:val="single" w:sz="12" w:space="0" w:color="000000"/>
              <w:bottom w:val="single" w:sz="12" w:space="0" w:color="000000"/>
              <w:right w:val="single" w:sz="12" w:space="0" w:color="000000"/>
            </w:tcBorders>
          </w:tcPr>
          <w:p>
            <w:pPr/>
          </w:p>
        </w:tc>
        <w:tc>
          <w:tcPr>
            <w:tcW w:w="3391"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17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588" w:type="dxa"/>
            <w:tcBorders>
              <w:top w:val="single" w:sz="12" w:space="0" w:color="000000"/>
              <w:left w:val="single" w:sz="12" w:space="0" w:color="000000"/>
              <w:bottom w:val="single" w:sz="12" w:space="0" w:color="000000"/>
              <w:right w:val="single" w:sz="12" w:space="0" w:color="000000"/>
            </w:tcBorders>
          </w:tcPr>
          <w:p>
            <w:pPr/>
          </w:p>
        </w:tc>
        <w:tc>
          <w:tcPr>
            <w:tcW w:w="3262" w:type="dxa"/>
            <w:tcBorders>
              <w:top w:val="single" w:sz="12" w:space="0" w:color="000000"/>
              <w:left w:val="single" w:sz="12" w:space="0" w:color="000000"/>
              <w:bottom w:val="single" w:sz="12" w:space="0" w:color="000000"/>
              <w:right w:val="single" w:sz="12" w:space="0" w:color="000000"/>
            </w:tcBorders>
          </w:tcPr>
          <w:p>
            <w:pPr/>
          </w:p>
        </w:tc>
        <w:tc>
          <w:tcPr>
            <w:tcW w:w="3391"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17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588" w:type="dxa"/>
            <w:tcBorders>
              <w:top w:val="single" w:sz="12" w:space="0" w:color="000000"/>
              <w:left w:val="single" w:sz="12" w:space="0" w:color="000000"/>
              <w:bottom w:val="single" w:sz="12" w:space="0" w:color="000000"/>
              <w:right w:val="single" w:sz="12" w:space="0" w:color="000000"/>
            </w:tcBorders>
          </w:tcPr>
          <w:p>
            <w:pPr/>
          </w:p>
        </w:tc>
        <w:tc>
          <w:tcPr>
            <w:tcW w:w="3262" w:type="dxa"/>
            <w:tcBorders>
              <w:top w:val="single" w:sz="12" w:space="0" w:color="000000"/>
              <w:left w:val="single" w:sz="12" w:space="0" w:color="000000"/>
              <w:bottom w:val="single" w:sz="12" w:space="0" w:color="000000"/>
              <w:right w:val="single" w:sz="12" w:space="0" w:color="000000"/>
            </w:tcBorders>
          </w:tcPr>
          <w:p>
            <w:pPr/>
          </w:p>
        </w:tc>
        <w:tc>
          <w:tcPr>
            <w:tcW w:w="3391"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17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5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6.12</w:t>
            </w:r>
          </w:p>
        </w:tc>
        <w:tc>
          <w:tcPr>
            <w:tcW w:w="32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12,396,172.84</w:t>
            </w:r>
          </w:p>
        </w:tc>
        <w:tc>
          <w:tcPr>
            <w:tcW w:w="33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12,662,814.88</w:t>
            </w:r>
          </w:p>
        </w:tc>
      </w:tr>
      <w:tr>
        <w:trPr>
          <w:trHeight w:val="341" w:hRule="exact"/>
        </w:trPr>
        <w:tc>
          <w:tcPr>
            <w:tcW w:w="17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588" w:type="dxa"/>
            <w:tcBorders>
              <w:top w:val="single" w:sz="12" w:space="0" w:color="000000"/>
              <w:left w:val="single" w:sz="12" w:space="0" w:color="000000"/>
              <w:bottom w:val="single" w:sz="12" w:space="0" w:color="000000"/>
              <w:right w:val="single" w:sz="12" w:space="0" w:color="000000"/>
            </w:tcBorders>
          </w:tcPr>
          <w:p>
            <w:pPr/>
          </w:p>
        </w:tc>
        <w:tc>
          <w:tcPr>
            <w:tcW w:w="3262" w:type="dxa"/>
            <w:tcBorders>
              <w:top w:val="single" w:sz="12" w:space="0" w:color="000000"/>
              <w:left w:val="single" w:sz="12" w:space="0" w:color="000000"/>
              <w:bottom w:val="single" w:sz="12" w:space="0" w:color="000000"/>
              <w:right w:val="single" w:sz="12" w:space="0" w:color="000000"/>
            </w:tcBorders>
          </w:tcPr>
          <w:p>
            <w:pPr/>
          </w:p>
        </w:tc>
        <w:tc>
          <w:tcPr>
            <w:tcW w:w="3391"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17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588" w:type="dxa"/>
            <w:tcBorders>
              <w:top w:val="single" w:sz="12" w:space="0" w:color="000000"/>
              <w:left w:val="single" w:sz="12" w:space="0" w:color="000000"/>
              <w:bottom w:val="single" w:sz="12" w:space="0" w:color="000000"/>
              <w:right w:val="single" w:sz="12" w:space="0" w:color="000000"/>
            </w:tcBorders>
          </w:tcPr>
          <w:p>
            <w:pPr/>
          </w:p>
        </w:tc>
        <w:tc>
          <w:tcPr>
            <w:tcW w:w="3262" w:type="dxa"/>
            <w:tcBorders>
              <w:top w:val="single" w:sz="12" w:space="0" w:color="000000"/>
              <w:left w:val="single" w:sz="12" w:space="0" w:color="000000"/>
              <w:bottom w:val="single" w:sz="12" w:space="0" w:color="000000"/>
              <w:right w:val="single" w:sz="12" w:space="0" w:color="000000"/>
            </w:tcBorders>
          </w:tcPr>
          <w:p>
            <w:pPr/>
          </w:p>
        </w:tc>
        <w:tc>
          <w:tcPr>
            <w:tcW w:w="3391"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17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588" w:type="dxa"/>
            <w:tcBorders>
              <w:top w:val="single" w:sz="12" w:space="0" w:color="000000"/>
              <w:left w:val="single" w:sz="12" w:space="0" w:color="000000"/>
              <w:bottom w:val="single" w:sz="12" w:space="0" w:color="000000"/>
              <w:right w:val="single" w:sz="12" w:space="0" w:color="000000"/>
            </w:tcBorders>
          </w:tcPr>
          <w:p>
            <w:pPr/>
          </w:p>
        </w:tc>
        <w:tc>
          <w:tcPr>
            <w:tcW w:w="32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100,000.00</w:t>
            </w:r>
          </w:p>
        </w:tc>
        <w:tc>
          <w:tcPr>
            <w:tcW w:w="3391"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17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5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6.13</w:t>
            </w:r>
          </w:p>
        </w:tc>
        <w:tc>
          <w:tcPr>
            <w:tcW w:w="32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1,023,565.63</w:t>
            </w:r>
          </w:p>
        </w:tc>
        <w:tc>
          <w:tcPr>
            <w:tcW w:w="33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429,633.23</w:t>
            </w:r>
          </w:p>
        </w:tc>
      </w:tr>
      <w:tr>
        <w:trPr>
          <w:trHeight w:val="341" w:hRule="exact"/>
        </w:trPr>
        <w:tc>
          <w:tcPr>
            <w:tcW w:w="17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588" w:type="dxa"/>
            <w:tcBorders>
              <w:top w:val="single" w:sz="12" w:space="0" w:color="000000"/>
              <w:left w:val="single" w:sz="12" w:space="0" w:color="000000"/>
              <w:bottom w:val="single" w:sz="12" w:space="0" w:color="000000"/>
              <w:right w:val="single" w:sz="12" w:space="0" w:color="000000"/>
            </w:tcBorders>
          </w:tcPr>
          <w:p>
            <w:pPr/>
          </w:p>
        </w:tc>
        <w:tc>
          <w:tcPr>
            <w:tcW w:w="3262" w:type="dxa"/>
            <w:tcBorders>
              <w:top w:val="single" w:sz="12" w:space="0" w:color="000000"/>
              <w:left w:val="single" w:sz="12" w:space="0" w:color="000000"/>
              <w:bottom w:val="single" w:sz="12" w:space="0" w:color="000000"/>
              <w:right w:val="single" w:sz="12" w:space="0" w:color="000000"/>
            </w:tcBorders>
          </w:tcPr>
          <w:p>
            <w:pPr/>
          </w:p>
        </w:tc>
        <w:tc>
          <w:tcPr>
            <w:tcW w:w="3391" w:type="dxa"/>
            <w:tcBorders>
              <w:top w:val="single" w:sz="12" w:space="0" w:color="000000"/>
              <w:left w:val="single" w:sz="12" w:space="0" w:color="000000"/>
              <w:bottom w:val="single" w:sz="12" w:space="0" w:color="000000"/>
              <w:right w:val="single" w:sz="12" w:space="0" w:color="000000"/>
            </w:tcBorders>
          </w:tcPr>
          <w:p>
            <w:pPr/>
          </w:p>
        </w:tc>
      </w:tr>
    </w:tbl>
    <w:p>
      <w:pPr>
        <w:spacing w:after="0"/>
        <w:sectPr>
          <w:footerReference w:type="default" r:id="rId49"/>
          <w:pgSz w:w="11900" w:h="16840"/>
          <w:pgMar w:footer="983" w:header="877" w:top="1060" w:bottom="1180" w:left="1660" w:right="860"/>
          <w:pgNumType w:start="64"/>
        </w:sectPr>
      </w:pPr>
    </w:p>
    <w:p>
      <w:pPr>
        <w:spacing w:line="240" w:lineRule="auto" w:before="6"/>
        <w:rPr>
          <w:rFonts w:ascii="宋体" w:hAnsi="宋体" w:cs="宋体" w:eastAsia="宋体" w:hint="default"/>
          <w:sz w:val="28"/>
          <w:szCs w:val="28"/>
        </w:rPr>
      </w:pPr>
    </w:p>
    <w:tbl>
      <w:tblPr>
        <w:tblW w:w="0" w:type="auto"/>
        <w:jc w:val="left"/>
        <w:tblInd w:w="111" w:type="dxa"/>
        <w:tblLayout w:type="fixed"/>
        <w:tblCellMar>
          <w:top w:w="0" w:type="dxa"/>
          <w:left w:w="0" w:type="dxa"/>
          <w:bottom w:w="0" w:type="dxa"/>
          <w:right w:w="0" w:type="dxa"/>
        </w:tblCellMar>
        <w:tblLook w:val="01E0"/>
      </w:tblPr>
      <w:tblGrid>
        <w:gridCol w:w="1714"/>
        <w:gridCol w:w="588"/>
        <w:gridCol w:w="3262"/>
        <w:gridCol w:w="3391"/>
      </w:tblGrid>
      <w:tr>
        <w:trPr>
          <w:trHeight w:val="341" w:hRule="exact"/>
        </w:trPr>
        <w:tc>
          <w:tcPr>
            <w:tcW w:w="17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588" w:type="dxa"/>
            <w:tcBorders>
              <w:top w:val="single" w:sz="12" w:space="0" w:color="000000"/>
              <w:left w:val="single" w:sz="12" w:space="0" w:color="000000"/>
              <w:bottom w:val="single" w:sz="12" w:space="0" w:color="000000"/>
              <w:right w:val="single" w:sz="12" w:space="0" w:color="000000"/>
            </w:tcBorders>
          </w:tcPr>
          <w:p>
            <w:pPr/>
          </w:p>
        </w:tc>
        <w:tc>
          <w:tcPr>
            <w:tcW w:w="32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1"/>
              <w:jc w:val="center"/>
              <w:rPr>
                <w:rFonts w:ascii="Arial" w:hAnsi="Arial" w:cs="Arial" w:eastAsia="Arial" w:hint="default"/>
                <w:sz w:val="18"/>
                <w:szCs w:val="18"/>
              </w:rPr>
            </w:pPr>
            <w:r>
              <w:rPr>
                <w:rFonts w:ascii="Arial"/>
                <w:b/>
                <w:sz w:val="18"/>
              </w:rPr>
              <w:t>150,858,342.63</w:t>
            </w:r>
            <w:r>
              <w:rPr>
                <w:rFonts w:ascii="Arial"/>
                <w:sz w:val="18"/>
              </w:rPr>
            </w:r>
          </w:p>
        </w:tc>
        <w:tc>
          <w:tcPr>
            <w:tcW w:w="33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1"/>
              <w:jc w:val="center"/>
              <w:rPr>
                <w:rFonts w:ascii="Arial" w:hAnsi="Arial" w:cs="Arial" w:eastAsia="Arial" w:hint="default"/>
                <w:sz w:val="18"/>
                <w:szCs w:val="18"/>
              </w:rPr>
            </w:pPr>
            <w:r>
              <w:rPr>
                <w:rFonts w:ascii="Arial"/>
                <w:b/>
                <w:sz w:val="18"/>
              </w:rPr>
              <w:t>101,496,145.48</w:t>
            </w:r>
            <w:r>
              <w:rPr>
                <w:rFonts w:ascii="Arial"/>
                <w:sz w:val="18"/>
              </w:rPr>
            </w:r>
          </w:p>
        </w:tc>
      </w:tr>
      <w:tr>
        <w:trPr>
          <w:trHeight w:val="343" w:hRule="exact"/>
        </w:trPr>
        <w:tc>
          <w:tcPr>
            <w:tcW w:w="1714" w:type="dxa"/>
            <w:tcBorders>
              <w:top w:val="single" w:sz="12" w:space="0" w:color="000000"/>
              <w:left w:val="single" w:sz="12" w:space="0" w:color="000000"/>
              <w:bottom w:val="single" w:sz="12" w:space="0" w:color="000000"/>
              <w:right w:val="single" w:sz="12" w:space="0" w:color="000000"/>
            </w:tcBorders>
          </w:tcPr>
          <w:p>
            <w:pPr/>
          </w:p>
        </w:tc>
        <w:tc>
          <w:tcPr>
            <w:tcW w:w="588" w:type="dxa"/>
            <w:tcBorders>
              <w:top w:val="single" w:sz="12" w:space="0" w:color="000000"/>
              <w:left w:val="single" w:sz="12" w:space="0" w:color="000000"/>
              <w:bottom w:val="single" w:sz="12" w:space="0" w:color="000000"/>
              <w:right w:val="single" w:sz="12" w:space="0" w:color="000000"/>
            </w:tcBorders>
          </w:tcPr>
          <w:p>
            <w:pPr/>
          </w:p>
        </w:tc>
        <w:tc>
          <w:tcPr>
            <w:tcW w:w="3262" w:type="dxa"/>
            <w:tcBorders>
              <w:top w:val="single" w:sz="12" w:space="0" w:color="000000"/>
              <w:left w:val="single" w:sz="12" w:space="0" w:color="000000"/>
              <w:bottom w:val="single" w:sz="12" w:space="0" w:color="000000"/>
              <w:right w:val="single" w:sz="12" w:space="0" w:color="000000"/>
            </w:tcBorders>
          </w:tcPr>
          <w:p>
            <w:pPr/>
          </w:p>
        </w:tc>
        <w:tc>
          <w:tcPr>
            <w:tcW w:w="3391"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17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588" w:type="dxa"/>
            <w:tcBorders>
              <w:top w:val="single" w:sz="12" w:space="0" w:color="000000"/>
              <w:left w:val="single" w:sz="12" w:space="0" w:color="000000"/>
              <w:bottom w:val="single" w:sz="12" w:space="0" w:color="000000"/>
              <w:right w:val="single" w:sz="12" w:space="0" w:color="000000"/>
            </w:tcBorders>
          </w:tcPr>
          <w:p>
            <w:pPr/>
          </w:p>
        </w:tc>
        <w:tc>
          <w:tcPr>
            <w:tcW w:w="32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1"/>
              <w:jc w:val="center"/>
              <w:rPr>
                <w:rFonts w:ascii="Arial" w:hAnsi="Arial" w:cs="Arial" w:eastAsia="Arial" w:hint="default"/>
                <w:sz w:val="18"/>
                <w:szCs w:val="18"/>
              </w:rPr>
            </w:pPr>
            <w:r>
              <w:rPr>
                <w:rFonts w:ascii="Arial"/>
                <w:b/>
                <w:sz w:val="18"/>
              </w:rPr>
              <w:t>745,915,328.17</w:t>
            </w:r>
            <w:r>
              <w:rPr>
                <w:rFonts w:ascii="Arial"/>
                <w:sz w:val="18"/>
              </w:rPr>
            </w:r>
          </w:p>
        </w:tc>
        <w:tc>
          <w:tcPr>
            <w:tcW w:w="33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1"/>
              <w:jc w:val="center"/>
              <w:rPr>
                <w:rFonts w:ascii="Arial" w:hAnsi="Arial" w:cs="Arial" w:eastAsia="Arial" w:hint="default"/>
                <w:sz w:val="18"/>
                <w:szCs w:val="18"/>
              </w:rPr>
            </w:pPr>
            <w:r>
              <w:rPr>
                <w:rFonts w:ascii="Arial"/>
                <w:b/>
                <w:sz w:val="18"/>
              </w:rPr>
              <w:t>240,420,644.04</w:t>
            </w:r>
            <w:r>
              <w:rPr>
                <w:rFonts w:ascii="Arial"/>
                <w:sz w:val="18"/>
              </w:rPr>
            </w:r>
          </w:p>
        </w:tc>
      </w:tr>
    </w:tbl>
    <w:p>
      <w:pPr>
        <w:spacing w:line="240" w:lineRule="auto" w:before="0"/>
        <w:rPr>
          <w:rFonts w:ascii="宋体" w:hAnsi="宋体" w:cs="宋体" w:eastAsia="宋体" w:hint="default"/>
          <w:sz w:val="15"/>
          <w:szCs w:val="15"/>
        </w:rPr>
      </w:pPr>
    </w:p>
    <w:p>
      <w:pPr>
        <w:tabs>
          <w:tab w:pos="2856" w:val="left" w:leader="none"/>
          <w:tab w:pos="7087" w:val="left" w:leader="none"/>
        </w:tabs>
        <w:spacing w:before="44"/>
        <w:ind w:left="243" w:right="0" w:firstLine="0"/>
        <w:jc w:val="left"/>
        <w:rPr>
          <w:rFonts w:ascii="宋体" w:hAnsi="宋体" w:cs="宋体" w:eastAsia="宋体" w:hint="default"/>
          <w:sz w:val="18"/>
          <w:szCs w:val="18"/>
        </w:rPr>
      </w:pPr>
      <w:r>
        <w:rPr>
          <w:rFonts w:ascii="宋体" w:hAnsi="宋体" w:cs="宋体" w:eastAsia="宋体" w:hint="default"/>
          <w:w w:val="95"/>
          <w:sz w:val="18"/>
          <w:szCs w:val="18"/>
        </w:rPr>
        <w:t>法定代表人：纪立军</w:t>
        <w:tab/>
        <w:t>主管会计工作负责人：郑强</w:t>
        <w:tab/>
      </w:r>
      <w:r>
        <w:rPr>
          <w:rFonts w:ascii="宋体" w:hAnsi="宋体" w:cs="宋体" w:eastAsia="宋体" w:hint="default"/>
          <w:sz w:val="18"/>
          <w:szCs w:val="18"/>
        </w:rPr>
        <w:t>会计机构负责人：王迎辉</w:t>
      </w:r>
    </w:p>
    <w:p>
      <w:pPr>
        <w:spacing w:after="0"/>
        <w:jc w:val="left"/>
        <w:rPr>
          <w:rFonts w:ascii="宋体" w:hAnsi="宋体" w:cs="宋体" w:eastAsia="宋体" w:hint="default"/>
          <w:sz w:val="18"/>
          <w:szCs w:val="18"/>
        </w:rPr>
        <w:sectPr>
          <w:pgSz w:w="11900" w:h="16840"/>
          <w:pgMar w:header="877" w:footer="983" w:top="1060" w:bottom="1180" w:left="1660" w:right="860"/>
        </w:sectPr>
      </w:pPr>
    </w:p>
    <w:p>
      <w:pPr>
        <w:spacing w:line="240" w:lineRule="auto" w:before="4"/>
        <w:rPr>
          <w:rFonts w:ascii="宋体" w:hAnsi="宋体" w:cs="宋体" w:eastAsia="宋体" w:hint="default"/>
          <w:sz w:val="24"/>
          <w:szCs w:val="24"/>
        </w:rPr>
      </w:pPr>
    </w:p>
    <w:p>
      <w:pPr>
        <w:pStyle w:val="Heading2"/>
        <w:spacing w:line="240" w:lineRule="auto"/>
        <w:ind w:left="3148" w:right="0"/>
        <w:jc w:val="left"/>
      </w:pPr>
      <w:r>
        <w:rPr/>
        <w:t>合并资产负债表（续）</w:t>
      </w:r>
    </w:p>
    <w:p>
      <w:pPr>
        <w:tabs>
          <w:tab w:pos="5551" w:val="left" w:leader="none"/>
          <w:tab w:pos="8198" w:val="left" w:leader="none"/>
        </w:tabs>
        <w:spacing w:before="145"/>
        <w:ind w:left="239" w:right="0" w:firstLine="0"/>
        <w:jc w:val="left"/>
        <w:rPr>
          <w:rFonts w:ascii="宋体" w:hAnsi="宋体" w:cs="宋体" w:eastAsia="宋体" w:hint="default"/>
          <w:sz w:val="18"/>
          <w:szCs w:val="18"/>
        </w:rPr>
      </w:pPr>
      <w:r>
        <w:rPr>
          <w:rFonts w:ascii="宋体" w:hAnsi="宋体" w:cs="宋体" w:eastAsia="宋体" w:hint="default"/>
          <w:spacing w:val="-1"/>
          <w:sz w:val="18"/>
          <w:szCs w:val="18"/>
        </w:rPr>
        <w:t>编制单位：上海安诺其纺织化工股份有限公司</w:t>
        <w:tab/>
      </w:r>
      <w:r>
        <w:rPr>
          <w:rFonts w:ascii="Arial" w:hAnsi="Arial" w:cs="Arial" w:eastAsia="Arial" w:hint="default"/>
          <w:spacing w:val="-1"/>
          <w:sz w:val="18"/>
          <w:szCs w:val="18"/>
        </w:rPr>
        <w:t>2010</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31</w:t>
      </w:r>
      <w:r>
        <w:rPr>
          <w:rFonts w:ascii="Arial" w:hAnsi="Arial" w:cs="Arial" w:eastAsia="Arial" w:hint="default"/>
          <w:spacing w:val="-4"/>
          <w:sz w:val="18"/>
          <w:szCs w:val="18"/>
        </w:rPr>
        <w:t> </w:t>
      </w:r>
      <w:r>
        <w:rPr>
          <w:rFonts w:ascii="宋体" w:hAnsi="宋体" w:cs="宋体" w:eastAsia="宋体" w:hint="default"/>
          <w:sz w:val="18"/>
          <w:szCs w:val="18"/>
        </w:rPr>
        <w:t>日</w:t>
        <w:tab/>
      </w:r>
      <w:r>
        <w:rPr>
          <w:rFonts w:ascii="宋体" w:hAnsi="宋体" w:cs="宋体" w:eastAsia="宋体" w:hint="default"/>
          <w:spacing w:val="-2"/>
          <w:sz w:val="18"/>
          <w:szCs w:val="18"/>
        </w:rPr>
        <w:t>单位：元</w:t>
      </w:r>
    </w:p>
    <w:p>
      <w:pPr>
        <w:spacing w:line="240" w:lineRule="auto" w:before="6"/>
        <w:rPr>
          <w:rFonts w:ascii="宋体" w:hAnsi="宋体" w:cs="宋体" w:eastAsia="宋体" w:hint="default"/>
          <w:sz w:val="6"/>
          <w:szCs w:val="6"/>
        </w:rPr>
      </w:pPr>
    </w:p>
    <w:tbl>
      <w:tblPr>
        <w:tblW w:w="0" w:type="auto"/>
        <w:jc w:val="left"/>
        <w:tblInd w:w="117" w:type="dxa"/>
        <w:tblLayout w:type="fixed"/>
        <w:tblCellMar>
          <w:top w:w="0" w:type="dxa"/>
          <w:left w:w="0" w:type="dxa"/>
          <w:bottom w:w="0" w:type="dxa"/>
          <w:right w:w="0" w:type="dxa"/>
        </w:tblCellMar>
        <w:tblLook w:val="01E0"/>
      </w:tblPr>
      <w:tblGrid>
        <w:gridCol w:w="2510"/>
        <w:gridCol w:w="590"/>
        <w:gridCol w:w="2707"/>
        <w:gridCol w:w="3300"/>
      </w:tblGrid>
      <w:tr>
        <w:trPr>
          <w:trHeight w:val="343" w:hRule="exact"/>
        </w:trPr>
        <w:tc>
          <w:tcPr>
            <w:tcW w:w="2510" w:type="dxa"/>
            <w:vMerge w:val="restart"/>
            <w:tcBorders>
              <w:top w:val="single" w:sz="12" w:space="0" w:color="000000"/>
              <w:left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负 债</w:t>
            </w:r>
          </w:p>
        </w:tc>
        <w:tc>
          <w:tcPr>
            <w:tcW w:w="590" w:type="dxa"/>
            <w:vMerge w:val="restart"/>
            <w:tcBorders>
              <w:top w:val="single" w:sz="12" w:space="0" w:color="000000"/>
              <w:left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27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33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341" w:hRule="exact"/>
        </w:trPr>
        <w:tc>
          <w:tcPr>
            <w:tcW w:w="2510" w:type="dxa"/>
            <w:vMerge/>
            <w:tcBorders>
              <w:left w:val="single" w:sz="12" w:space="0" w:color="000000"/>
              <w:bottom w:val="single" w:sz="12" w:space="0" w:color="000000"/>
              <w:right w:val="single" w:sz="12" w:space="0" w:color="000000"/>
            </w:tcBorders>
          </w:tcPr>
          <w:p>
            <w:pPr/>
          </w:p>
        </w:tc>
        <w:tc>
          <w:tcPr>
            <w:tcW w:w="590" w:type="dxa"/>
            <w:vMerge/>
            <w:tcBorders>
              <w:left w:val="single" w:sz="12" w:space="0" w:color="000000"/>
              <w:bottom w:val="single" w:sz="12" w:space="0" w:color="000000"/>
              <w:right w:val="single" w:sz="12" w:space="0" w:color="000000"/>
            </w:tcBorders>
          </w:tcPr>
          <w:p>
            <w:pPr/>
          </w:p>
        </w:tc>
        <w:tc>
          <w:tcPr>
            <w:tcW w:w="27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33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343" w:hRule="exact"/>
        </w:trPr>
        <w:tc>
          <w:tcPr>
            <w:tcW w:w="25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590" w:type="dxa"/>
            <w:tcBorders>
              <w:top w:val="single" w:sz="12" w:space="0" w:color="000000"/>
              <w:left w:val="single" w:sz="12" w:space="0" w:color="000000"/>
              <w:bottom w:val="single" w:sz="12" w:space="0" w:color="000000"/>
              <w:right w:val="single" w:sz="12" w:space="0" w:color="000000"/>
            </w:tcBorders>
          </w:tcPr>
          <w:p>
            <w:pPr/>
          </w:p>
        </w:tc>
        <w:tc>
          <w:tcPr>
            <w:tcW w:w="2707" w:type="dxa"/>
            <w:tcBorders>
              <w:top w:val="single" w:sz="12" w:space="0" w:color="000000"/>
              <w:left w:val="single" w:sz="12" w:space="0" w:color="000000"/>
              <w:bottom w:val="single" w:sz="12" w:space="0" w:color="000000"/>
              <w:right w:val="single" w:sz="12" w:space="0" w:color="000000"/>
            </w:tcBorders>
          </w:tcPr>
          <w:p>
            <w:pPr/>
          </w:p>
        </w:tc>
        <w:tc>
          <w:tcPr>
            <w:tcW w:w="3300"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5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5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03" w:right="0"/>
              <w:jc w:val="left"/>
              <w:rPr>
                <w:rFonts w:ascii="Arial" w:hAnsi="Arial" w:cs="Arial" w:eastAsia="Arial" w:hint="default"/>
                <w:sz w:val="18"/>
                <w:szCs w:val="18"/>
              </w:rPr>
            </w:pPr>
            <w:r>
              <w:rPr>
                <w:rFonts w:ascii="Arial"/>
                <w:sz w:val="18"/>
              </w:rPr>
              <w:t>6.15</w:t>
            </w:r>
          </w:p>
        </w:tc>
        <w:tc>
          <w:tcPr>
            <w:tcW w:w="27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33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35,000,000.00</w:t>
            </w:r>
          </w:p>
        </w:tc>
      </w:tr>
      <w:tr>
        <w:trPr>
          <w:trHeight w:val="343" w:hRule="exact"/>
        </w:trPr>
        <w:tc>
          <w:tcPr>
            <w:tcW w:w="25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590" w:type="dxa"/>
            <w:tcBorders>
              <w:top w:val="single" w:sz="12" w:space="0" w:color="000000"/>
              <w:left w:val="single" w:sz="12" w:space="0" w:color="000000"/>
              <w:bottom w:val="single" w:sz="12" w:space="0" w:color="000000"/>
              <w:right w:val="single" w:sz="12" w:space="0" w:color="000000"/>
            </w:tcBorders>
          </w:tcPr>
          <w:p>
            <w:pPr/>
          </w:p>
        </w:tc>
        <w:tc>
          <w:tcPr>
            <w:tcW w:w="27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33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25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5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03" w:right="0"/>
              <w:jc w:val="left"/>
              <w:rPr>
                <w:rFonts w:ascii="Arial" w:hAnsi="Arial" w:cs="Arial" w:eastAsia="Arial" w:hint="default"/>
                <w:sz w:val="18"/>
                <w:szCs w:val="18"/>
              </w:rPr>
            </w:pPr>
            <w:r>
              <w:rPr>
                <w:rFonts w:ascii="Arial"/>
                <w:sz w:val="18"/>
              </w:rPr>
              <w:t>6.16</w:t>
            </w:r>
          </w:p>
        </w:tc>
        <w:tc>
          <w:tcPr>
            <w:tcW w:w="27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33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2,900,000.00</w:t>
            </w:r>
          </w:p>
        </w:tc>
      </w:tr>
      <w:tr>
        <w:trPr>
          <w:trHeight w:val="343" w:hRule="exact"/>
        </w:trPr>
        <w:tc>
          <w:tcPr>
            <w:tcW w:w="25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5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03" w:right="0"/>
              <w:jc w:val="left"/>
              <w:rPr>
                <w:rFonts w:ascii="Arial" w:hAnsi="Arial" w:cs="Arial" w:eastAsia="Arial" w:hint="default"/>
                <w:sz w:val="18"/>
                <w:szCs w:val="18"/>
              </w:rPr>
            </w:pPr>
            <w:r>
              <w:rPr>
                <w:rFonts w:ascii="Arial"/>
                <w:sz w:val="18"/>
              </w:rPr>
              <w:t>6.17</w:t>
            </w:r>
          </w:p>
        </w:tc>
        <w:tc>
          <w:tcPr>
            <w:tcW w:w="27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12,683,022.89</w:t>
            </w:r>
          </w:p>
        </w:tc>
        <w:tc>
          <w:tcPr>
            <w:tcW w:w="33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19,792,798.86</w:t>
            </w:r>
          </w:p>
        </w:tc>
      </w:tr>
      <w:tr>
        <w:trPr>
          <w:trHeight w:val="341" w:hRule="exact"/>
        </w:trPr>
        <w:tc>
          <w:tcPr>
            <w:tcW w:w="25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5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03" w:right="0"/>
              <w:jc w:val="left"/>
              <w:rPr>
                <w:rFonts w:ascii="Arial" w:hAnsi="Arial" w:cs="Arial" w:eastAsia="Arial" w:hint="default"/>
                <w:sz w:val="18"/>
                <w:szCs w:val="18"/>
              </w:rPr>
            </w:pPr>
            <w:r>
              <w:rPr>
                <w:rFonts w:ascii="Arial"/>
                <w:sz w:val="18"/>
              </w:rPr>
              <w:t>6.18</w:t>
            </w:r>
          </w:p>
        </w:tc>
        <w:tc>
          <w:tcPr>
            <w:tcW w:w="27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1,132,151.71</w:t>
            </w:r>
          </w:p>
        </w:tc>
        <w:tc>
          <w:tcPr>
            <w:tcW w:w="33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177,475.51</w:t>
            </w:r>
          </w:p>
        </w:tc>
      </w:tr>
      <w:tr>
        <w:trPr>
          <w:trHeight w:val="343" w:hRule="exact"/>
        </w:trPr>
        <w:tc>
          <w:tcPr>
            <w:tcW w:w="25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5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03" w:right="0"/>
              <w:jc w:val="left"/>
              <w:rPr>
                <w:rFonts w:ascii="Arial" w:hAnsi="Arial" w:cs="Arial" w:eastAsia="Arial" w:hint="default"/>
                <w:sz w:val="18"/>
                <w:szCs w:val="18"/>
              </w:rPr>
            </w:pPr>
            <w:r>
              <w:rPr>
                <w:rFonts w:ascii="Arial"/>
                <w:sz w:val="18"/>
              </w:rPr>
              <w:t>6.19</w:t>
            </w:r>
          </w:p>
        </w:tc>
        <w:tc>
          <w:tcPr>
            <w:tcW w:w="27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33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25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5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03" w:right="0"/>
              <w:jc w:val="left"/>
              <w:rPr>
                <w:rFonts w:ascii="Arial" w:hAnsi="Arial" w:cs="Arial" w:eastAsia="Arial" w:hint="default"/>
                <w:sz w:val="18"/>
                <w:szCs w:val="18"/>
              </w:rPr>
            </w:pPr>
            <w:r>
              <w:rPr>
                <w:rFonts w:ascii="Arial"/>
                <w:sz w:val="18"/>
              </w:rPr>
              <w:t>6.20</w:t>
            </w:r>
          </w:p>
        </w:tc>
        <w:tc>
          <w:tcPr>
            <w:tcW w:w="27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-7,505,245.57</w:t>
            </w:r>
          </w:p>
        </w:tc>
        <w:tc>
          <w:tcPr>
            <w:tcW w:w="33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2,002,047.55</w:t>
            </w:r>
          </w:p>
        </w:tc>
      </w:tr>
      <w:tr>
        <w:trPr>
          <w:trHeight w:val="343" w:hRule="exact"/>
        </w:trPr>
        <w:tc>
          <w:tcPr>
            <w:tcW w:w="25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590" w:type="dxa"/>
            <w:tcBorders>
              <w:top w:val="single" w:sz="12" w:space="0" w:color="000000"/>
              <w:left w:val="single" w:sz="12" w:space="0" w:color="000000"/>
              <w:bottom w:val="single" w:sz="12" w:space="0" w:color="000000"/>
              <w:right w:val="single" w:sz="12" w:space="0" w:color="000000"/>
            </w:tcBorders>
          </w:tcPr>
          <w:p>
            <w:pPr/>
          </w:p>
        </w:tc>
        <w:tc>
          <w:tcPr>
            <w:tcW w:w="27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33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25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590" w:type="dxa"/>
            <w:tcBorders>
              <w:top w:val="single" w:sz="12" w:space="0" w:color="000000"/>
              <w:left w:val="single" w:sz="12" w:space="0" w:color="000000"/>
              <w:bottom w:val="single" w:sz="12" w:space="0" w:color="000000"/>
              <w:right w:val="single" w:sz="12" w:space="0" w:color="000000"/>
            </w:tcBorders>
          </w:tcPr>
          <w:p>
            <w:pPr/>
          </w:p>
        </w:tc>
        <w:tc>
          <w:tcPr>
            <w:tcW w:w="27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33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3" w:hRule="exact"/>
        </w:trPr>
        <w:tc>
          <w:tcPr>
            <w:tcW w:w="25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5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03" w:right="0"/>
              <w:jc w:val="left"/>
              <w:rPr>
                <w:rFonts w:ascii="Arial" w:hAnsi="Arial" w:cs="Arial" w:eastAsia="Arial" w:hint="default"/>
                <w:sz w:val="18"/>
                <w:szCs w:val="18"/>
              </w:rPr>
            </w:pPr>
            <w:r>
              <w:rPr>
                <w:rFonts w:ascii="Arial"/>
                <w:sz w:val="18"/>
              </w:rPr>
              <w:t>6.21</w:t>
            </w:r>
          </w:p>
        </w:tc>
        <w:tc>
          <w:tcPr>
            <w:tcW w:w="27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13,051,151.03</w:t>
            </w:r>
          </w:p>
        </w:tc>
        <w:tc>
          <w:tcPr>
            <w:tcW w:w="33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3,041,097.26</w:t>
            </w:r>
          </w:p>
        </w:tc>
      </w:tr>
      <w:tr>
        <w:trPr>
          <w:trHeight w:val="341" w:hRule="exact"/>
        </w:trPr>
        <w:tc>
          <w:tcPr>
            <w:tcW w:w="25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590" w:type="dxa"/>
            <w:tcBorders>
              <w:top w:val="single" w:sz="12" w:space="0" w:color="000000"/>
              <w:left w:val="single" w:sz="12" w:space="0" w:color="000000"/>
              <w:bottom w:val="single" w:sz="12" w:space="0" w:color="000000"/>
              <w:right w:val="single" w:sz="12" w:space="0" w:color="000000"/>
            </w:tcBorders>
          </w:tcPr>
          <w:p>
            <w:pPr/>
          </w:p>
        </w:tc>
        <w:tc>
          <w:tcPr>
            <w:tcW w:w="27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33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3" w:hRule="exact"/>
        </w:trPr>
        <w:tc>
          <w:tcPr>
            <w:tcW w:w="25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590" w:type="dxa"/>
            <w:tcBorders>
              <w:top w:val="single" w:sz="12" w:space="0" w:color="000000"/>
              <w:left w:val="single" w:sz="12" w:space="0" w:color="000000"/>
              <w:bottom w:val="single" w:sz="12" w:space="0" w:color="000000"/>
              <w:right w:val="single" w:sz="12" w:space="0" w:color="000000"/>
            </w:tcBorders>
          </w:tcPr>
          <w:p>
            <w:pPr/>
          </w:p>
        </w:tc>
        <w:tc>
          <w:tcPr>
            <w:tcW w:w="27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33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25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590" w:type="dxa"/>
            <w:tcBorders>
              <w:top w:val="single" w:sz="12" w:space="0" w:color="000000"/>
              <w:left w:val="single" w:sz="12" w:space="0" w:color="000000"/>
              <w:bottom w:val="single" w:sz="12" w:space="0" w:color="000000"/>
              <w:right w:val="single" w:sz="12" w:space="0" w:color="000000"/>
            </w:tcBorders>
          </w:tcPr>
          <w:p>
            <w:pPr/>
          </w:p>
        </w:tc>
        <w:tc>
          <w:tcPr>
            <w:tcW w:w="27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1"/>
              <w:jc w:val="center"/>
              <w:rPr>
                <w:rFonts w:ascii="Arial" w:hAnsi="Arial" w:cs="Arial" w:eastAsia="Arial" w:hint="default"/>
                <w:sz w:val="18"/>
                <w:szCs w:val="18"/>
              </w:rPr>
            </w:pPr>
            <w:r>
              <w:rPr>
                <w:rFonts w:ascii="Arial"/>
                <w:b/>
                <w:sz w:val="18"/>
              </w:rPr>
              <w:t>19,361,080.06</w:t>
            </w:r>
            <w:r>
              <w:rPr>
                <w:rFonts w:ascii="Arial"/>
                <w:sz w:val="18"/>
              </w:rPr>
            </w:r>
          </w:p>
        </w:tc>
        <w:tc>
          <w:tcPr>
            <w:tcW w:w="33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0"/>
              <w:jc w:val="center"/>
              <w:rPr>
                <w:rFonts w:ascii="Arial" w:hAnsi="Arial" w:cs="Arial" w:eastAsia="Arial" w:hint="default"/>
                <w:sz w:val="18"/>
                <w:szCs w:val="18"/>
              </w:rPr>
            </w:pPr>
            <w:r>
              <w:rPr>
                <w:rFonts w:ascii="Arial"/>
                <w:b/>
                <w:sz w:val="18"/>
              </w:rPr>
              <w:t>62,913,419.18</w:t>
            </w:r>
            <w:r>
              <w:rPr>
                <w:rFonts w:ascii="Arial"/>
                <w:sz w:val="18"/>
              </w:rPr>
            </w:r>
          </w:p>
        </w:tc>
      </w:tr>
      <w:tr>
        <w:trPr>
          <w:trHeight w:val="343" w:hRule="exact"/>
        </w:trPr>
        <w:tc>
          <w:tcPr>
            <w:tcW w:w="25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590" w:type="dxa"/>
            <w:tcBorders>
              <w:top w:val="single" w:sz="12" w:space="0" w:color="000000"/>
              <w:left w:val="single" w:sz="12" w:space="0" w:color="000000"/>
              <w:bottom w:val="single" w:sz="12" w:space="0" w:color="000000"/>
              <w:right w:val="single" w:sz="12" w:space="0" w:color="000000"/>
            </w:tcBorders>
          </w:tcPr>
          <w:p>
            <w:pPr/>
          </w:p>
        </w:tc>
        <w:tc>
          <w:tcPr>
            <w:tcW w:w="2707" w:type="dxa"/>
            <w:tcBorders>
              <w:top w:val="single" w:sz="12" w:space="0" w:color="000000"/>
              <w:left w:val="single" w:sz="12" w:space="0" w:color="000000"/>
              <w:bottom w:val="single" w:sz="12" w:space="0" w:color="000000"/>
              <w:right w:val="single" w:sz="12" w:space="0" w:color="000000"/>
            </w:tcBorders>
          </w:tcPr>
          <w:p>
            <w:pPr/>
          </w:p>
        </w:tc>
        <w:tc>
          <w:tcPr>
            <w:tcW w:w="3300"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5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590" w:type="dxa"/>
            <w:tcBorders>
              <w:top w:val="single" w:sz="12" w:space="0" w:color="000000"/>
              <w:left w:val="single" w:sz="12" w:space="0" w:color="000000"/>
              <w:bottom w:val="single" w:sz="12" w:space="0" w:color="000000"/>
              <w:right w:val="single" w:sz="12" w:space="0" w:color="000000"/>
            </w:tcBorders>
          </w:tcPr>
          <w:p>
            <w:pPr/>
          </w:p>
        </w:tc>
        <w:tc>
          <w:tcPr>
            <w:tcW w:w="2707" w:type="dxa"/>
            <w:tcBorders>
              <w:top w:val="single" w:sz="12" w:space="0" w:color="000000"/>
              <w:left w:val="single" w:sz="12" w:space="0" w:color="000000"/>
              <w:bottom w:val="single" w:sz="12" w:space="0" w:color="000000"/>
              <w:right w:val="single" w:sz="12" w:space="0" w:color="000000"/>
            </w:tcBorders>
          </w:tcPr>
          <w:p>
            <w:pPr/>
          </w:p>
        </w:tc>
        <w:tc>
          <w:tcPr>
            <w:tcW w:w="3300"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5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590" w:type="dxa"/>
            <w:tcBorders>
              <w:top w:val="single" w:sz="12" w:space="0" w:color="000000"/>
              <w:left w:val="single" w:sz="12" w:space="0" w:color="000000"/>
              <w:bottom w:val="single" w:sz="12" w:space="0" w:color="000000"/>
              <w:right w:val="single" w:sz="12" w:space="0" w:color="000000"/>
            </w:tcBorders>
          </w:tcPr>
          <w:p>
            <w:pPr/>
          </w:p>
        </w:tc>
        <w:tc>
          <w:tcPr>
            <w:tcW w:w="2707" w:type="dxa"/>
            <w:tcBorders>
              <w:top w:val="single" w:sz="12" w:space="0" w:color="000000"/>
              <w:left w:val="single" w:sz="12" w:space="0" w:color="000000"/>
              <w:bottom w:val="single" w:sz="12" w:space="0" w:color="000000"/>
              <w:right w:val="single" w:sz="12" w:space="0" w:color="000000"/>
            </w:tcBorders>
          </w:tcPr>
          <w:p>
            <w:pPr/>
          </w:p>
        </w:tc>
        <w:tc>
          <w:tcPr>
            <w:tcW w:w="3300"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5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590" w:type="dxa"/>
            <w:tcBorders>
              <w:top w:val="single" w:sz="12" w:space="0" w:color="000000"/>
              <w:left w:val="single" w:sz="12" w:space="0" w:color="000000"/>
              <w:bottom w:val="single" w:sz="12" w:space="0" w:color="000000"/>
              <w:right w:val="single" w:sz="12" w:space="0" w:color="000000"/>
            </w:tcBorders>
          </w:tcPr>
          <w:p>
            <w:pPr/>
          </w:p>
        </w:tc>
        <w:tc>
          <w:tcPr>
            <w:tcW w:w="2707" w:type="dxa"/>
            <w:tcBorders>
              <w:top w:val="single" w:sz="12" w:space="0" w:color="000000"/>
              <w:left w:val="single" w:sz="12" w:space="0" w:color="000000"/>
              <w:bottom w:val="single" w:sz="12" w:space="0" w:color="000000"/>
              <w:right w:val="single" w:sz="12" w:space="0" w:color="000000"/>
            </w:tcBorders>
          </w:tcPr>
          <w:p>
            <w:pPr/>
          </w:p>
        </w:tc>
        <w:tc>
          <w:tcPr>
            <w:tcW w:w="3300"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5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590" w:type="dxa"/>
            <w:tcBorders>
              <w:top w:val="single" w:sz="12" w:space="0" w:color="000000"/>
              <w:left w:val="single" w:sz="12" w:space="0" w:color="000000"/>
              <w:bottom w:val="single" w:sz="12" w:space="0" w:color="000000"/>
              <w:right w:val="single" w:sz="12" w:space="0" w:color="000000"/>
            </w:tcBorders>
          </w:tcPr>
          <w:p>
            <w:pPr/>
          </w:p>
        </w:tc>
        <w:tc>
          <w:tcPr>
            <w:tcW w:w="2707" w:type="dxa"/>
            <w:tcBorders>
              <w:top w:val="single" w:sz="12" w:space="0" w:color="000000"/>
              <w:left w:val="single" w:sz="12" w:space="0" w:color="000000"/>
              <w:bottom w:val="single" w:sz="12" w:space="0" w:color="000000"/>
              <w:right w:val="single" w:sz="12" w:space="0" w:color="000000"/>
            </w:tcBorders>
          </w:tcPr>
          <w:p>
            <w:pPr/>
          </w:p>
        </w:tc>
        <w:tc>
          <w:tcPr>
            <w:tcW w:w="3300"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5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590" w:type="dxa"/>
            <w:tcBorders>
              <w:top w:val="single" w:sz="12" w:space="0" w:color="000000"/>
              <w:left w:val="single" w:sz="12" w:space="0" w:color="000000"/>
              <w:bottom w:val="single" w:sz="12" w:space="0" w:color="000000"/>
              <w:right w:val="single" w:sz="12" w:space="0" w:color="000000"/>
            </w:tcBorders>
          </w:tcPr>
          <w:p>
            <w:pPr/>
          </w:p>
        </w:tc>
        <w:tc>
          <w:tcPr>
            <w:tcW w:w="2707" w:type="dxa"/>
            <w:tcBorders>
              <w:top w:val="single" w:sz="12" w:space="0" w:color="000000"/>
              <w:left w:val="single" w:sz="12" w:space="0" w:color="000000"/>
              <w:bottom w:val="single" w:sz="12" w:space="0" w:color="000000"/>
              <w:right w:val="single" w:sz="12" w:space="0" w:color="000000"/>
            </w:tcBorders>
          </w:tcPr>
          <w:p>
            <w:pPr/>
          </w:p>
        </w:tc>
        <w:tc>
          <w:tcPr>
            <w:tcW w:w="3300"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5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590" w:type="dxa"/>
            <w:tcBorders>
              <w:top w:val="single" w:sz="12" w:space="0" w:color="000000"/>
              <w:left w:val="single" w:sz="12" w:space="0" w:color="000000"/>
              <w:bottom w:val="single" w:sz="12" w:space="0" w:color="000000"/>
              <w:right w:val="single" w:sz="12" w:space="0" w:color="000000"/>
            </w:tcBorders>
          </w:tcPr>
          <w:p>
            <w:pPr/>
          </w:p>
        </w:tc>
        <w:tc>
          <w:tcPr>
            <w:tcW w:w="2707" w:type="dxa"/>
            <w:tcBorders>
              <w:top w:val="single" w:sz="12" w:space="0" w:color="000000"/>
              <w:left w:val="single" w:sz="12" w:space="0" w:color="000000"/>
              <w:bottom w:val="single" w:sz="12" w:space="0" w:color="000000"/>
              <w:right w:val="single" w:sz="12" w:space="0" w:color="000000"/>
            </w:tcBorders>
          </w:tcPr>
          <w:p>
            <w:pPr/>
          </w:p>
        </w:tc>
        <w:tc>
          <w:tcPr>
            <w:tcW w:w="3300"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5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590" w:type="dxa"/>
            <w:tcBorders>
              <w:top w:val="single" w:sz="12" w:space="0" w:color="000000"/>
              <w:left w:val="single" w:sz="12" w:space="0" w:color="000000"/>
              <w:bottom w:val="single" w:sz="12" w:space="0" w:color="000000"/>
              <w:right w:val="single" w:sz="12" w:space="0" w:color="000000"/>
            </w:tcBorders>
          </w:tcPr>
          <w:p>
            <w:pPr/>
          </w:p>
        </w:tc>
        <w:tc>
          <w:tcPr>
            <w:tcW w:w="2707" w:type="dxa"/>
            <w:tcBorders>
              <w:top w:val="single" w:sz="12" w:space="0" w:color="000000"/>
              <w:left w:val="single" w:sz="12" w:space="0" w:color="000000"/>
              <w:bottom w:val="single" w:sz="12" w:space="0" w:color="000000"/>
              <w:right w:val="single" w:sz="12" w:space="0" w:color="000000"/>
            </w:tcBorders>
          </w:tcPr>
          <w:p>
            <w:pPr/>
          </w:p>
        </w:tc>
        <w:tc>
          <w:tcPr>
            <w:tcW w:w="3300"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5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590" w:type="dxa"/>
            <w:tcBorders>
              <w:top w:val="single" w:sz="12" w:space="0" w:color="000000"/>
              <w:left w:val="single" w:sz="12" w:space="0" w:color="000000"/>
              <w:bottom w:val="single" w:sz="12" w:space="0" w:color="000000"/>
              <w:right w:val="single" w:sz="12" w:space="0" w:color="000000"/>
            </w:tcBorders>
          </w:tcPr>
          <w:p>
            <w:pPr/>
          </w:p>
        </w:tc>
        <w:tc>
          <w:tcPr>
            <w:tcW w:w="27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0"/>
              <w:jc w:val="center"/>
              <w:rPr>
                <w:rFonts w:ascii="Arial" w:hAnsi="Arial" w:cs="Arial" w:eastAsia="Arial" w:hint="default"/>
                <w:sz w:val="18"/>
                <w:szCs w:val="18"/>
              </w:rPr>
            </w:pPr>
            <w:r>
              <w:rPr>
                <w:rFonts w:ascii="Arial"/>
                <w:b/>
                <w:w w:val="99"/>
                <w:sz w:val="18"/>
              </w:rPr>
              <w:t>-</w:t>
            </w:r>
            <w:r>
              <w:rPr>
                <w:rFonts w:ascii="Arial"/>
                <w:sz w:val="18"/>
              </w:rPr>
            </w:r>
          </w:p>
        </w:tc>
        <w:tc>
          <w:tcPr>
            <w:tcW w:w="33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0"/>
              <w:jc w:val="center"/>
              <w:rPr>
                <w:rFonts w:ascii="Arial" w:hAnsi="Arial" w:cs="Arial" w:eastAsia="Arial" w:hint="default"/>
                <w:sz w:val="18"/>
                <w:szCs w:val="18"/>
              </w:rPr>
            </w:pPr>
            <w:r>
              <w:rPr>
                <w:rFonts w:ascii="Arial"/>
                <w:b/>
                <w:w w:val="99"/>
                <w:sz w:val="18"/>
              </w:rPr>
              <w:t>-</w:t>
            </w:r>
            <w:r>
              <w:rPr>
                <w:rFonts w:ascii="Arial"/>
                <w:sz w:val="18"/>
              </w:rPr>
            </w:r>
          </w:p>
        </w:tc>
      </w:tr>
      <w:tr>
        <w:trPr>
          <w:trHeight w:val="341" w:hRule="exact"/>
        </w:trPr>
        <w:tc>
          <w:tcPr>
            <w:tcW w:w="25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590" w:type="dxa"/>
            <w:tcBorders>
              <w:top w:val="single" w:sz="12" w:space="0" w:color="000000"/>
              <w:left w:val="single" w:sz="12" w:space="0" w:color="000000"/>
              <w:bottom w:val="single" w:sz="12" w:space="0" w:color="000000"/>
              <w:right w:val="single" w:sz="12" w:space="0" w:color="000000"/>
            </w:tcBorders>
          </w:tcPr>
          <w:p>
            <w:pPr/>
          </w:p>
        </w:tc>
        <w:tc>
          <w:tcPr>
            <w:tcW w:w="27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1"/>
              <w:jc w:val="center"/>
              <w:rPr>
                <w:rFonts w:ascii="Arial" w:hAnsi="Arial" w:cs="Arial" w:eastAsia="Arial" w:hint="default"/>
                <w:sz w:val="18"/>
                <w:szCs w:val="18"/>
              </w:rPr>
            </w:pPr>
            <w:r>
              <w:rPr>
                <w:rFonts w:ascii="Arial"/>
                <w:b/>
                <w:sz w:val="18"/>
              </w:rPr>
              <w:t>19,361,080.06</w:t>
            </w:r>
            <w:r>
              <w:rPr>
                <w:rFonts w:ascii="Arial"/>
                <w:sz w:val="18"/>
              </w:rPr>
            </w:r>
          </w:p>
        </w:tc>
        <w:tc>
          <w:tcPr>
            <w:tcW w:w="33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0"/>
              <w:jc w:val="center"/>
              <w:rPr>
                <w:rFonts w:ascii="Arial" w:hAnsi="Arial" w:cs="Arial" w:eastAsia="Arial" w:hint="default"/>
                <w:sz w:val="18"/>
                <w:szCs w:val="18"/>
              </w:rPr>
            </w:pPr>
            <w:r>
              <w:rPr>
                <w:rFonts w:ascii="Arial"/>
                <w:b/>
                <w:sz w:val="18"/>
              </w:rPr>
              <w:t>62,913,419.18</w:t>
            </w:r>
            <w:r>
              <w:rPr>
                <w:rFonts w:ascii="Arial"/>
                <w:sz w:val="18"/>
              </w:rPr>
            </w:r>
          </w:p>
        </w:tc>
      </w:tr>
      <w:tr>
        <w:trPr>
          <w:trHeight w:val="343" w:hRule="exact"/>
        </w:trPr>
        <w:tc>
          <w:tcPr>
            <w:tcW w:w="25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590" w:type="dxa"/>
            <w:tcBorders>
              <w:top w:val="single" w:sz="12" w:space="0" w:color="000000"/>
              <w:left w:val="single" w:sz="12" w:space="0" w:color="000000"/>
              <w:bottom w:val="single" w:sz="12" w:space="0" w:color="000000"/>
              <w:right w:val="single" w:sz="12" w:space="0" w:color="000000"/>
            </w:tcBorders>
          </w:tcPr>
          <w:p>
            <w:pPr/>
          </w:p>
        </w:tc>
        <w:tc>
          <w:tcPr>
            <w:tcW w:w="2707" w:type="dxa"/>
            <w:tcBorders>
              <w:top w:val="single" w:sz="12" w:space="0" w:color="000000"/>
              <w:left w:val="single" w:sz="12" w:space="0" w:color="000000"/>
              <w:bottom w:val="single" w:sz="12" w:space="0" w:color="000000"/>
              <w:right w:val="single" w:sz="12" w:space="0" w:color="000000"/>
            </w:tcBorders>
          </w:tcPr>
          <w:p>
            <w:pPr/>
          </w:p>
        </w:tc>
        <w:tc>
          <w:tcPr>
            <w:tcW w:w="3300"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5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03" w:right="0"/>
              <w:jc w:val="left"/>
              <w:rPr>
                <w:rFonts w:ascii="Arial" w:hAnsi="Arial" w:cs="Arial" w:eastAsia="Arial" w:hint="default"/>
                <w:sz w:val="18"/>
                <w:szCs w:val="18"/>
              </w:rPr>
            </w:pPr>
            <w:r>
              <w:rPr>
                <w:rFonts w:ascii="Arial"/>
                <w:sz w:val="18"/>
              </w:rPr>
              <w:t>6.22</w:t>
            </w:r>
          </w:p>
        </w:tc>
        <w:tc>
          <w:tcPr>
            <w:tcW w:w="27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107,000,000.00</w:t>
            </w:r>
          </w:p>
        </w:tc>
        <w:tc>
          <w:tcPr>
            <w:tcW w:w="33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80,000,000.00</w:t>
            </w:r>
          </w:p>
        </w:tc>
      </w:tr>
      <w:tr>
        <w:trPr>
          <w:trHeight w:val="343" w:hRule="exact"/>
        </w:trPr>
        <w:tc>
          <w:tcPr>
            <w:tcW w:w="25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03" w:right="0"/>
              <w:jc w:val="left"/>
              <w:rPr>
                <w:rFonts w:ascii="Arial" w:hAnsi="Arial" w:cs="Arial" w:eastAsia="Arial" w:hint="default"/>
                <w:sz w:val="18"/>
                <w:szCs w:val="18"/>
              </w:rPr>
            </w:pPr>
            <w:r>
              <w:rPr>
                <w:rFonts w:ascii="Arial"/>
                <w:sz w:val="18"/>
              </w:rPr>
              <w:t>6.23</w:t>
            </w:r>
          </w:p>
        </w:tc>
        <w:tc>
          <w:tcPr>
            <w:tcW w:w="27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530,301,603.03</w:t>
            </w:r>
          </w:p>
        </w:tc>
        <w:tc>
          <w:tcPr>
            <w:tcW w:w="33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28,526,833.47</w:t>
            </w:r>
          </w:p>
        </w:tc>
      </w:tr>
      <w:tr>
        <w:trPr>
          <w:trHeight w:val="341" w:hRule="exact"/>
        </w:trPr>
        <w:tc>
          <w:tcPr>
            <w:tcW w:w="25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590" w:type="dxa"/>
            <w:tcBorders>
              <w:top w:val="single" w:sz="12" w:space="0" w:color="000000"/>
              <w:left w:val="single" w:sz="12" w:space="0" w:color="000000"/>
              <w:bottom w:val="single" w:sz="12" w:space="0" w:color="000000"/>
              <w:right w:val="single" w:sz="12" w:space="0" w:color="000000"/>
            </w:tcBorders>
          </w:tcPr>
          <w:p>
            <w:pPr/>
          </w:p>
        </w:tc>
        <w:tc>
          <w:tcPr>
            <w:tcW w:w="27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33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3" w:hRule="exact"/>
        </w:trPr>
        <w:tc>
          <w:tcPr>
            <w:tcW w:w="25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03" w:right="0"/>
              <w:jc w:val="left"/>
              <w:rPr>
                <w:rFonts w:ascii="Arial" w:hAnsi="Arial" w:cs="Arial" w:eastAsia="Arial" w:hint="default"/>
                <w:sz w:val="18"/>
                <w:szCs w:val="18"/>
              </w:rPr>
            </w:pPr>
            <w:r>
              <w:rPr>
                <w:rFonts w:ascii="Arial"/>
                <w:sz w:val="18"/>
              </w:rPr>
              <w:t>6.24</w:t>
            </w:r>
          </w:p>
        </w:tc>
        <w:tc>
          <w:tcPr>
            <w:tcW w:w="27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8,422,352.91</w:t>
            </w:r>
          </w:p>
        </w:tc>
        <w:tc>
          <w:tcPr>
            <w:tcW w:w="33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6,030,508.74</w:t>
            </w:r>
          </w:p>
        </w:tc>
      </w:tr>
      <w:tr>
        <w:trPr>
          <w:trHeight w:val="341" w:hRule="exact"/>
        </w:trPr>
        <w:tc>
          <w:tcPr>
            <w:tcW w:w="25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5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03" w:right="0"/>
              <w:jc w:val="left"/>
              <w:rPr>
                <w:rFonts w:ascii="Arial" w:hAnsi="Arial" w:cs="Arial" w:eastAsia="Arial" w:hint="default"/>
                <w:sz w:val="18"/>
                <w:szCs w:val="18"/>
              </w:rPr>
            </w:pPr>
            <w:r>
              <w:rPr>
                <w:rFonts w:ascii="Arial"/>
                <w:sz w:val="18"/>
              </w:rPr>
              <w:t>6.25</w:t>
            </w:r>
          </w:p>
        </w:tc>
        <w:tc>
          <w:tcPr>
            <w:tcW w:w="27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80,830,292.17</w:t>
            </w:r>
          </w:p>
        </w:tc>
        <w:tc>
          <w:tcPr>
            <w:tcW w:w="33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56,121,922.03</w:t>
            </w:r>
          </w:p>
        </w:tc>
      </w:tr>
      <w:tr>
        <w:trPr>
          <w:trHeight w:val="343" w:hRule="exact"/>
        </w:trPr>
        <w:tc>
          <w:tcPr>
            <w:tcW w:w="25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590" w:type="dxa"/>
            <w:tcBorders>
              <w:top w:val="single" w:sz="12" w:space="0" w:color="000000"/>
              <w:left w:val="single" w:sz="12" w:space="0" w:color="000000"/>
              <w:bottom w:val="single" w:sz="12" w:space="0" w:color="000000"/>
              <w:right w:val="single" w:sz="12" w:space="0" w:color="000000"/>
            </w:tcBorders>
          </w:tcPr>
          <w:p>
            <w:pPr/>
          </w:p>
        </w:tc>
        <w:tc>
          <w:tcPr>
            <w:tcW w:w="2707" w:type="dxa"/>
            <w:tcBorders>
              <w:top w:val="single" w:sz="12" w:space="0" w:color="000000"/>
              <w:left w:val="single" w:sz="12" w:space="0" w:color="000000"/>
              <w:bottom w:val="single" w:sz="12" w:space="0" w:color="000000"/>
              <w:right w:val="single" w:sz="12" w:space="0" w:color="000000"/>
            </w:tcBorders>
          </w:tcPr>
          <w:p>
            <w:pPr/>
          </w:p>
        </w:tc>
        <w:tc>
          <w:tcPr>
            <w:tcW w:w="3300"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5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归属于母公司股本权益合计</w:t>
            </w:r>
          </w:p>
        </w:tc>
        <w:tc>
          <w:tcPr>
            <w:tcW w:w="590" w:type="dxa"/>
            <w:tcBorders>
              <w:top w:val="single" w:sz="12" w:space="0" w:color="000000"/>
              <w:left w:val="single" w:sz="12" w:space="0" w:color="000000"/>
              <w:bottom w:val="single" w:sz="12" w:space="0" w:color="000000"/>
              <w:right w:val="single" w:sz="12" w:space="0" w:color="000000"/>
            </w:tcBorders>
          </w:tcPr>
          <w:p>
            <w:pPr/>
          </w:p>
        </w:tc>
        <w:tc>
          <w:tcPr>
            <w:tcW w:w="27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0"/>
              <w:jc w:val="center"/>
              <w:rPr>
                <w:rFonts w:ascii="Arial" w:hAnsi="Arial" w:cs="Arial" w:eastAsia="Arial" w:hint="default"/>
                <w:sz w:val="18"/>
                <w:szCs w:val="18"/>
              </w:rPr>
            </w:pPr>
            <w:r>
              <w:rPr>
                <w:rFonts w:ascii="Arial"/>
                <w:b/>
                <w:sz w:val="18"/>
              </w:rPr>
              <w:t>726,554,248.11</w:t>
            </w:r>
            <w:r>
              <w:rPr>
                <w:rFonts w:ascii="Arial"/>
                <w:sz w:val="18"/>
              </w:rPr>
            </w:r>
          </w:p>
        </w:tc>
        <w:tc>
          <w:tcPr>
            <w:tcW w:w="33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1"/>
              <w:jc w:val="center"/>
              <w:rPr>
                <w:rFonts w:ascii="Arial" w:hAnsi="Arial" w:cs="Arial" w:eastAsia="Arial" w:hint="default"/>
                <w:sz w:val="18"/>
                <w:szCs w:val="18"/>
              </w:rPr>
            </w:pPr>
            <w:r>
              <w:rPr>
                <w:rFonts w:ascii="Arial"/>
                <w:b/>
                <w:sz w:val="18"/>
              </w:rPr>
              <w:t>170,679,264.24</w:t>
            </w:r>
            <w:r>
              <w:rPr>
                <w:rFonts w:ascii="Arial"/>
                <w:sz w:val="18"/>
              </w:rPr>
            </w:r>
          </w:p>
        </w:tc>
      </w:tr>
      <w:tr>
        <w:trPr>
          <w:trHeight w:val="343" w:hRule="exact"/>
        </w:trPr>
        <w:tc>
          <w:tcPr>
            <w:tcW w:w="25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5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03" w:right="0"/>
              <w:jc w:val="left"/>
              <w:rPr>
                <w:rFonts w:ascii="Arial" w:hAnsi="Arial" w:cs="Arial" w:eastAsia="Arial" w:hint="default"/>
                <w:sz w:val="18"/>
                <w:szCs w:val="18"/>
              </w:rPr>
            </w:pPr>
            <w:r>
              <w:rPr>
                <w:rFonts w:ascii="Arial"/>
                <w:sz w:val="18"/>
              </w:rPr>
              <w:t>6.26</w:t>
            </w:r>
          </w:p>
        </w:tc>
        <w:tc>
          <w:tcPr>
            <w:tcW w:w="2707" w:type="dxa"/>
            <w:tcBorders>
              <w:top w:val="single" w:sz="12" w:space="0" w:color="000000"/>
              <w:left w:val="single" w:sz="12" w:space="0" w:color="000000"/>
              <w:bottom w:val="single" w:sz="12" w:space="0" w:color="000000"/>
              <w:right w:val="single" w:sz="12" w:space="0" w:color="000000"/>
            </w:tcBorders>
          </w:tcPr>
          <w:p>
            <w:pPr/>
          </w:p>
        </w:tc>
        <w:tc>
          <w:tcPr>
            <w:tcW w:w="33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0"/>
              <w:jc w:val="center"/>
              <w:rPr>
                <w:rFonts w:ascii="Arial" w:hAnsi="Arial" w:cs="Arial" w:eastAsia="Arial" w:hint="default"/>
                <w:sz w:val="18"/>
                <w:szCs w:val="18"/>
              </w:rPr>
            </w:pPr>
            <w:r>
              <w:rPr>
                <w:rFonts w:ascii="Arial"/>
                <w:b/>
                <w:sz w:val="18"/>
              </w:rPr>
              <w:t>6,827,960.62</w:t>
            </w:r>
            <w:r>
              <w:rPr>
                <w:rFonts w:ascii="Arial"/>
                <w:sz w:val="18"/>
              </w:rPr>
            </w:r>
          </w:p>
        </w:tc>
      </w:tr>
      <w:tr>
        <w:trPr>
          <w:trHeight w:val="341" w:hRule="exact"/>
        </w:trPr>
        <w:tc>
          <w:tcPr>
            <w:tcW w:w="25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股东权益合计</w:t>
            </w:r>
          </w:p>
        </w:tc>
        <w:tc>
          <w:tcPr>
            <w:tcW w:w="590" w:type="dxa"/>
            <w:tcBorders>
              <w:top w:val="single" w:sz="12" w:space="0" w:color="000000"/>
              <w:left w:val="single" w:sz="12" w:space="0" w:color="000000"/>
              <w:bottom w:val="single" w:sz="12" w:space="0" w:color="000000"/>
              <w:right w:val="single" w:sz="12" w:space="0" w:color="000000"/>
            </w:tcBorders>
          </w:tcPr>
          <w:p>
            <w:pPr/>
          </w:p>
        </w:tc>
        <w:tc>
          <w:tcPr>
            <w:tcW w:w="27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0"/>
              <w:jc w:val="center"/>
              <w:rPr>
                <w:rFonts w:ascii="Arial" w:hAnsi="Arial" w:cs="Arial" w:eastAsia="Arial" w:hint="default"/>
                <w:sz w:val="18"/>
                <w:szCs w:val="18"/>
              </w:rPr>
            </w:pPr>
            <w:r>
              <w:rPr>
                <w:rFonts w:ascii="Arial"/>
                <w:b/>
                <w:sz w:val="18"/>
              </w:rPr>
              <w:t>726,554,248.11</w:t>
            </w:r>
            <w:r>
              <w:rPr>
                <w:rFonts w:ascii="Arial"/>
                <w:sz w:val="18"/>
              </w:rPr>
            </w:r>
          </w:p>
        </w:tc>
        <w:tc>
          <w:tcPr>
            <w:tcW w:w="33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1"/>
              <w:jc w:val="center"/>
              <w:rPr>
                <w:rFonts w:ascii="Arial" w:hAnsi="Arial" w:cs="Arial" w:eastAsia="Arial" w:hint="default"/>
                <w:sz w:val="18"/>
                <w:szCs w:val="18"/>
              </w:rPr>
            </w:pPr>
            <w:r>
              <w:rPr>
                <w:rFonts w:ascii="Arial"/>
                <w:b/>
                <w:sz w:val="18"/>
              </w:rPr>
              <w:t>177,507,224.86</w:t>
            </w:r>
            <w:r>
              <w:rPr>
                <w:rFonts w:ascii="Arial"/>
                <w:sz w:val="18"/>
              </w:rPr>
            </w:r>
          </w:p>
        </w:tc>
      </w:tr>
      <w:tr>
        <w:trPr>
          <w:trHeight w:val="341" w:hRule="exact"/>
        </w:trPr>
        <w:tc>
          <w:tcPr>
            <w:tcW w:w="25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负债及股东权益总计</w:t>
            </w:r>
          </w:p>
        </w:tc>
        <w:tc>
          <w:tcPr>
            <w:tcW w:w="590" w:type="dxa"/>
            <w:tcBorders>
              <w:top w:val="single" w:sz="12" w:space="0" w:color="000000"/>
              <w:left w:val="single" w:sz="12" w:space="0" w:color="000000"/>
              <w:bottom w:val="single" w:sz="12" w:space="0" w:color="000000"/>
              <w:right w:val="single" w:sz="12" w:space="0" w:color="000000"/>
            </w:tcBorders>
          </w:tcPr>
          <w:p>
            <w:pPr/>
          </w:p>
        </w:tc>
        <w:tc>
          <w:tcPr>
            <w:tcW w:w="27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0"/>
              <w:jc w:val="center"/>
              <w:rPr>
                <w:rFonts w:ascii="Arial" w:hAnsi="Arial" w:cs="Arial" w:eastAsia="Arial" w:hint="default"/>
                <w:sz w:val="18"/>
                <w:szCs w:val="18"/>
              </w:rPr>
            </w:pPr>
            <w:r>
              <w:rPr>
                <w:rFonts w:ascii="Arial"/>
                <w:b/>
                <w:sz w:val="18"/>
              </w:rPr>
              <w:t>745,915,328.17</w:t>
            </w:r>
            <w:r>
              <w:rPr>
                <w:rFonts w:ascii="Arial"/>
                <w:sz w:val="18"/>
              </w:rPr>
            </w:r>
          </w:p>
        </w:tc>
        <w:tc>
          <w:tcPr>
            <w:tcW w:w="33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1"/>
              <w:jc w:val="center"/>
              <w:rPr>
                <w:rFonts w:ascii="Arial" w:hAnsi="Arial" w:cs="Arial" w:eastAsia="Arial" w:hint="default"/>
                <w:sz w:val="18"/>
                <w:szCs w:val="18"/>
              </w:rPr>
            </w:pPr>
            <w:r>
              <w:rPr>
                <w:rFonts w:ascii="Arial"/>
                <w:b/>
                <w:sz w:val="18"/>
              </w:rPr>
              <w:t>240,420,644.04</w:t>
            </w:r>
            <w:r>
              <w:rPr>
                <w:rFonts w:ascii="Arial"/>
                <w:sz w:val="18"/>
              </w:rPr>
            </w:r>
          </w:p>
        </w:tc>
      </w:tr>
    </w:tbl>
    <w:p>
      <w:pPr>
        <w:tabs>
          <w:tab w:pos="2956" w:val="left" w:leader="none"/>
          <w:tab w:pos="7187" w:val="left" w:leader="none"/>
        </w:tabs>
        <w:spacing w:line="208" w:lineRule="exact" w:before="0"/>
        <w:ind w:left="343" w:right="0" w:firstLine="0"/>
        <w:jc w:val="left"/>
        <w:rPr>
          <w:rFonts w:ascii="宋体" w:hAnsi="宋体" w:cs="宋体" w:eastAsia="宋体" w:hint="default"/>
          <w:sz w:val="18"/>
          <w:szCs w:val="18"/>
        </w:rPr>
      </w:pPr>
      <w:r>
        <w:rPr>
          <w:rFonts w:ascii="宋体" w:hAnsi="宋体" w:cs="宋体" w:eastAsia="宋体" w:hint="default"/>
          <w:w w:val="95"/>
          <w:sz w:val="18"/>
          <w:szCs w:val="18"/>
        </w:rPr>
        <w:t>法定代表人：纪立军</w:t>
        <w:tab/>
        <w:t>主管会计工作负责人：郑强</w:t>
        <w:tab/>
      </w:r>
      <w:r>
        <w:rPr>
          <w:rFonts w:ascii="宋体" w:hAnsi="宋体" w:cs="宋体" w:eastAsia="宋体" w:hint="default"/>
          <w:sz w:val="18"/>
          <w:szCs w:val="18"/>
        </w:rPr>
        <w:t>会计机构负责人：王迎辉</w:t>
      </w:r>
    </w:p>
    <w:p>
      <w:pPr>
        <w:spacing w:after="0" w:line="208" w:lineRule="exact"/>
        <w:jc w:val="left"/>
        <w:rPr>
          <w:rFonts w:ascii="宋体" w:hAnsi="宋体" w:cs="宋体" w:eastAsia="宋体" w:hint="default"/>
          <w:sz w:val="18"/>
          <w:szCs w:val="18"/>
        </w:rPr>
        <w:sectPr>
          <w:pgSz w:w="11900" w:h="16840"/>
          <w:pgMar w:header="877" w:footer="983" w:top="1060" w:bottom="1180" w:left="1560" w:right="860"/>
        </w:sectPr>
      </w:pPr>
    </w:p>
    <w:p>
      <w:pPr>
        <w:spacing w:line="240" w:lineRule="auto" w:before="4"/>
        <w:rPr>
          <w:rFonts w:ascii="宋体" w:hAnsi="宋体" w:cs="宋体" w:eastAsia="宋体" w:hint="default"/>
          <w:sz w:val="24"/>
          <w:szCs w:val="24"/>
        </w:rPr>
      </w:pPr>
    </w:p>
    <w:p>
      <w:pPr>
        <w:pStyle w:val="Heading2"/>
        <w:spacing w:line="240" w:lineRule="auto"/>
        <w:ind w:left="3455" w:right="3524"/>
        <w:jc w:val="center"/>
      </w:pPr>
      <w:r>
        <w:rPr/>
        <w:t>母公司资产负债表</w:t>
      </w:r>
    </w:p>
    <w:p>
      <w:pPr>
        <w:tabs>
          <w:tab w:pos="5551" w:val="left" w:leader="none"/>
          <w:tab w:pos="8198" w:val="left" w:leader="none"/>
        </w:tabs>
        <w:spacing w:before="145"/>
        <w:ind w:left="239" w:right="0" w:firstLine="0"/>
        <w:jc w:val="left"/>
        <w:rPr>
          <w:rFonts w:ascii="宋体" w:hAnsi="宋体" w:cs="宋体" w:eastAsia="宋体" w:hint="default"/>
          <w:sz w:val="18"/>
          <w:szCs w:val="18"/>
        </w:rPr>
      </w:pPr>
      <w:r>
        <w:rPr>
          <w:rFonts w:ascii="宋体" w:hAnsi="宋体" w:cs="宋体" w:eastAsia="宋体" w:hint="default"/>
          <w:spacing w:val="-1"/>
          <w:sz w:val="18"/>
          <w:szCs w:val="18"/>
        </w:rPr>
        <w:t>编制单位：上海安诺其纺织化工股份有限公司</w:t>
        <w:tab/>
      </w:r>
      <w:r>
        <w:rPr>
          <w:rFonts w:ascii="Arial" w:hAnsi="Arial" w:cs="Arial" w:eastAsia="Arial" w:hint="default"/>
          <w:spacing w:val="-1"/>
          <w:sz w:val="18"/>
          <w:szCs w:val="18"/>
        </w:rPr>
        <w:t>2010</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31</w:t>
      </w:r>
      <w:r>
        <w:rPr>
          <w:rFonts w:ascii="Arial" w:hAnsi="Arial" w:cs="Arial" w:eastAsia="Arial" w:hint="default"/>
          <w:spacing w:val="-4"/>
          <w:sz w:val="18"/>
          <w:szCs w:val="18"/>
        </w:rPr>
        <w:t> </w:t>
      </w:r>
      <w:r>
        <w:rPr>
          <w:rFonts w:ascii="宋体" w:hAnsi="宋体" w:cs="宋体" w:eastAsia="宋体" w:hint="default"/>
          <w:sz w:val="18"/>
          <w:szCs w:val="18"/>
        </w:rPr>
        <w:t>日</w:t>
        <w:tab/>
      </w:r>
      <w:r>
        <w:rPr>
          <w:rFonts w:ascii="宋体" w:hAnsi="宋体" w:cs="宋体" w:eastAsia="宋体" w:hint="default"/>
          <w:spacing w:val="-2"/>
          <w:sz w:val="18"/>
          <w:szCs w:val="18"/>
        </w:rPr>
        <w:t>单位：元</w:t>
      </w:r>
    </w:p>
    <w:p>
      <w:pPr>
        <w:spacing w:line="240" w:lineRule="auto" w:before="6"/>
        <w:rPr>
          <w:rFonts w:ascii="宋体" w:hAnsi="宋体" w:cs="宋体" w:eastAsia="宋体" w:hint="default"/>
          <w:sz w:val="6"/>
          <w:szCs w:val="6"/>
        </w:rPr>
      </w:pPr>
    </w:p>
    <w:tbl>
      <w:tblPr>
        <w:tblW w:w="0" w:type="auto"/>
        <w:jc w:val="left"/>
        <w:tblInd w:w="117" w:type="dxa"/>
        <w:tblLayout w:type="fixed"/>
        <w:tblCellMar>
          <w:top w:w="0" w:type="dxa"/>
          <w:left w:w="0" w:type="dxa"/>
          <w:bottom w:w="0" w:type="dxa"/>
          <w:right w:w="0" w:type="dxa"/>
        </w:tblCellMar>
        <w:tblLook w:val="01E0"/>
      </w:tblPr>
      <w:tblGrid>
        <w:gridCol w:w="2311"/>
        <w:gridCol w:w="888"/>
        <w:gridCol w:w="3060"/>
        <w:gridCol w:w="3058"/>
      </w:tblGrid>
      <w:tr>
        <w:trPr>
          <w:trHeight w:val="343" w:hRule="exact"/>
        </w:trPr>
        <w:tc>
          <w:tcPr>
            <w:tcW w:w="2311" w:type="dxa"/>
            <w:vMerge w:val="restart"/>
            <w:tcBorders>
              <w:top w:val="single" w:sz="12" w:space="0" w:color="000000"/>
              <w:left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453" w:val="left" w:leader="none"/>
              </w:tabs>
              <w:spacing w:line="240" w:lineRule="auto"/>
              <w:ind w:right="0"/>
              <w:jc w:val="center"/>
              <w:rPr>
                <w:rFonts w:ascii="宋体" w:hAnsi="宋体" w:cs="宋体" w:eastAsia="宋体" w:hint="default"/>
                <w:sz w:val="18"/>
                <w:szCs w:val="18"/>
              </w:rPr>
            </w:pPr>
            <w:r>
              <w:rPr>
                <w:rFonts w:ascii="宋体" w:hAnsi="宋体" w:cs="宋体" w:eastAsia="宋体" w:hint="default"/>
                <w:w w:val="95"/>
                <w:sz w:val="18"/>
                <w:szCs w:val="18"/>
              </w:rPr>
              <w:t>资</w:t>
              <w:tab/>
            </w:r>
            <w:r>
              <w:rPr>
                <w:rFonts w:ascii="宋体" w:hAnsi="宋体" w:cs="宋体" w:eastAsia="宋体" w:hint="default"/>
                <w:sz w:val="18"/>
                <w:szCs w:val="18"/>
              </w:rPr>
              <w:t>产</w:t>
            </w:r>
          </w:p>
        </w:tc>
        <w:tc>
          <w:tcPr>
            <w:tcW w:w="888" w:type="dxa"/>
            <w:vMerge w:val="restart"/>
            <w:tcBorders>
              <w:top w:val="single" w:sz="12" w:space="0" w:color="000000"/>
              <w:left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3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3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341" w:hRule="exact"/>
        </w:trPr>
        <w:tc>
          <w:tcPr>
            <w:tcW w:w="2311" w:type="dxa"/>
            <w:vMerge/>
            <w:tcBorders>
              <w:left w:val="single" w:sz="12" w:space="0" w:color="000000"/>
              <w:bottom w:val="single" w:sz="12" w:space="0" w:color="000000"/>
              <w:right w:val="single" w:sz="12" w:space="0" w:color="000000"/>
            </w:tcBorders>
          </w:tcPr>
          <w:p>
            <w:pPr/>
          </w:p>
        </w:tc>
        <w:tc>
          <w:tcPr>
            <w:tcW w:w="888" w:type="dxa"/>
            <w:vMerge/>
            <w:tcBorders>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3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343" w:hRule="exact"/>
        </w:trPr>
        <w:tc>
          <w:tcPr>
            <w:tcW w:w="23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
        </w:tc>
        <w:tc>
          <w:tcPr>
            <w:tcW w:w="3058"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3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338,672,443.05</w:t>
            </w:r>
          </w:p>
        </w:tc>
        <w:tc>
          <w:tcPr>
            <w:tcW w:w="3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25,921,085.34</w:t>
            </w:r>
          </w:p>
        </w:tc>
      </w:tr>
      <w:tr>
        <w:trPr>
          <w:trHeight w:val="343" w:hRule="exact"/>
        </w:trPr>
        <w:tc>
          <w:tcPr>
            <w:tcW w:w="23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20,025,583.34</w:t>
            </w:r>
          </w:p>
        </w:tc>
        <w:tc>
          <w:tcPr>
            <w:tcW w:w="3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23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14,846,799.50</w:t>
            </w:r>
          </w:p>
        </w:tc>
        <w:tc>
          <w:tcPr>
            <w:tcW w:w="3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34,067,134.61</w:t>
            </w:r>
          </w:p>
        </w:tc>
      </w:tr>
      <w:tr>
        <w:trPr>
          <w:trHeight w:val="343" w:hRule="exact"/>
        </w:trPr>
        <w:tc>
          <w:tcPr>
            <w:tcW w:w="23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8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12.1</w:t>
            </w:r>
          </w:p>
        </w:tc>
        <w:tc>
          <w:tcPr>
            <w:tcW w:w="3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40,329,141.77</w:t>
            </w:r>
          </w:p>
        </w:tc>
        <w:tc>
          <w:tcPr>
            <w:tcW w:w="3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41,773,915.62</w:t>
            </w:r>
          </w:p>
        </w:tc>
      </w:tr>
      <w:tr>
        <w:trPr>
          <w:trHeight w:val="341" w:hRule="exact"/>
        </w:trPr>
        <w:tc>
          <w:tcPr>
            <w:tcW w:w="23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10,856,992.60</w:t>
            </w:r>
          </w:p>
        </w:tc>
        <w:tc>
          <w:tcPr>
            <w:tcW w:w="3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215,761.37</w:t>
            </w:r>
          </w:p>
        </w:tc>
      </w:tr>
      <w:tr>
        <w:trPr>
          <w:trHeight w:val="343" w:hRule="exact"/>
        </w:trPr>
        <w:tc>
          <w:tcPr>
            <w:tcW w:w="23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413,519.44</w:t>
            </w:r>
          </w:p>
        </w:tc>
        <w:tc>
          <w:tcPr>
            <w:tcW w:w="3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23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3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3" w:hRule="exact"/>
        </w:trPr>
        <w:tc>
          <w:tcPr>
            <w:tcW w:w="23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8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12.2</w:t>
            </w:r>
          </w:p>
        </w:tc>
        <w:tc>
          <w:tcPr>
            <w:tcW w:w="3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8,112,295.71</w:t>
            </w:r>
          </w:p>
        </w:tc>
        <w:tc>
          <w:tcPr>
            <w:tcW w:w="3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2,188,540.36</w:t>
            </w:r>
          </w:p>
        </w:tc>
      </w:tr>
      <w:tr>
        <w:trPr>
          <w:trHeight w:val="341" w:hRule="exact"/>
        </w:trPr>
        <w:tc>
          <w:tcPr>
            <w:tcW w:w="23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44,681,901.35</w:t>
            </w:r>
          </w:p>
        </w:tc>
        <w:tc>
          <w:tcPr>
            <w:tcW w:w="3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21,704,005.21</w:t>
            </w:r>
          </w:p>
        </w:tc>
      </w:tr>
      <w:tr>
        <w:trPr>
          <w:trHeight w:val="343" w:hRule="exact"/>
        </w:trPr>
        <w:tc>
          <w:tcPr>
            <w:tcW w:w="23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3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23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3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3" w:hRule="exact"/>
        </w:trPr>
        <w:tc>
          <w:tcPr>
            <w:tcW w:w="23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1"/>
              <w:jc w:val="center"/>
              <w:rPr>
                <w:rFonts w:ascii="Arial" w:hAnsi="Arial" w:cs="Arial" w:eastAsia="Arial" w:hint="default"/>
                <w:sz w:val="18"/>
                <w:szCs w:val="18"/>
              </w:rPr>
            </w:pPr>
            <w:r>
              <w:rPr>
                <w:rFonts w:ascii="Arial"/>
                <w:b/>
                <w:sz w:val="18"/>
              </w:rPr>
              <w:t>477,938,676.76</w:t>
            </w:r>
            <w:r>
              <w:rPr>
                <w:rFonts w:ascii="Arial"/>
                <w:sz w:val="18"/>
              </w:rPr>
            </w:r>
          </w:p>
        </w:tc>
        <w:tc>
          <w:tcPr>
            <w:tcW w:w="3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0"/>
              <w:jc w:val="center"/>
              <w:rPr>
                <w:rFonts w:ascii="Arial" w:hAnsi="Arial" w:cs="Arial" w:eastAsia="Arial" w:hint="default"/>
                <w:sz w:val="18"/>
                <w:szCs w:val="18"/>
              </w:rPr>
            </w:pPr>
            <w:r>
              <w:rPr>
                <w:rFonts w:ascii="Arial"/>
                <w:b/>
                <w:sz w:val="18"/>
              </w:rPr>
              <w:t>125,870,442.51</w:t>
            </w:r>
            <w:r>
              <w:rPr>
                <w:rFonts w:ascii="Arial"/>
                <w:sz w:val="18"/>
              </w:rPr>
            </w:r>
          </w:p>
        </w:tc>
      </w:tr>
      <w:tr>
        <w:trPr>
          <w:trHeight w:val="341" w:hRule="exact"/>
        </w:trPr>
        <w:tc>
          <w:tcPr>
            <w:tcW w:w="2311" w:type="dxa"/>
            <w:tcBorders>
              <w:top w:val="single" w:sz="12" w:space="0" w:color="000000"/>
              <w:left w:val="single" w:sz="12" w:space="0" w:color="000000"/>
              <w:bottom w:val="single" w:sz="12" w:space="0" w:color="000000"/>
              <w:right w:val="single" w:sz="12" w:space="0" w:color="000000"/>
            </w:tcBorders>
          </w:tcPr>
          <w:p>
            <w:pP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
        </w:tc>
        <w:tc>
          <w:tcPr>
            <w:tcW w:w="3058"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3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
        </w:tc>
        <w:tc>
          <w:tcPr>
            <w:tcW w:w="3058"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3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
        </w:tc>
        <w:tc>
          <w:tcPr>
            <w:tcW w:w="3058"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3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
        </w:tc>
        <w:tc>
          <w:tcPr>
            <w:tcW w:w="3058"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3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
        </w:tc>
        <w:tc>
          <w:tcPr>
            <w:tcW w:w="3058"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3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8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12.3</w:t>
            </w:r>
          </w:p>
        </w:tc>
        <w:tc>
          <w:tcPr>
            <w:tcW w:w="3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223,589,800.00</w:t>
            </w:r>
          </w:p>
        </w:tc>
        <w:tc>
          <w:tcPr>
            <w:tcW w:w="3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61,200,000.00</w:t>
            </w:r>
          </w:p>
        </w:tc>
      </w:tr>
      <w:tr>
        <w:trPr>
          <w:trHeight w:val="341" w:hRule="exact"/>
        </w:trPr>
        <w:tc>
          <w:tcPr>
            <w:tcW w:w="23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3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3" w:hRule="exact"/>
        </w:trPr>
        <w:tc>
          <w:tcPr>
            <w:tcW w:w="23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40,945,750.67</w:t>
            </w:r>
          </w:p>
        </w:tc>
        <w:tc>
          <w:tcPr>
            <w:tcW w:w="3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41,141,228.21</w:t>
            </w:r>
          </w:p>
        </w:tc>
      </w:tr>
      <w:tr>
        <w:trPr>
          <w:trHeight w:val="341" w:hRule="exact"/>
        </w:trPr>
        <w:tc>
          <w:tcPr>
            <w:tcW w:w="23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531,099.00</w:t>
            </w:r>
          </w:p>
        </w:tc>
        <w:tc>
          <w:tcPr>
            <w:tcW w:w="3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3" w:hRule="exact"/>
        </w:trPr>
        <w:tc>
          <w:tcPr>
            <w:tcW w:w="23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3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23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3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3" w:hRule="exact"/>
        </w:trPr>
        <w:tc>
          <w:tcPr>
            <w:tcW w:w="23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3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23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3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3" w:hRule="exact"/>
        </w:trPr>
        <w:tc>
          <w:tcPr>
            <w:tcW w:w="23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3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23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3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3" w:hRule="exact"/>
        </w:trPr>
        <w:tc>
          <w:tcPr>
            <w:tcW w:w="23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3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23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100,000.00</w:t>
            </w:r>
          </w:p>
        </w:tc>
        <w:tc>
          <w:tcPr>
            <w:tcW w:w="3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3" w:hRule="exact"/>
        </w:trPr>
        <w:tc>
          <w:tcPr>
            <w:tcW w:w="23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487,247.24</w:t>
            </w:r>
          </w:p>
        </w:tc>
        <w:tc>
          <w:tcPr>
            <w:tcW w:w="3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421,762.08</w:t>
            </w:r>
          </w:p>
        </w:tc>
      </w:tr>
      <w:tr>
        <w:trPr>
          <w:trHeight w:val="341" w:hRule="exact"/>
        </w:trPr>
        <w:tc>
          <w:tcPr>
            <w:tcW w:w="23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3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3" w:hRule="exact"/>
        </w:trPr>
        <w:tc>
          <w:tcPr>
            <w:tcW w:w="23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1"/>
              <w:jc w:val="center"/>
              <w:rPr>
                <w:rFonts w:ascii="Arial" w:hAnsi="Arial" w:cs="Arial" w:eastAsia="Arial" w:hint="default"/>
                <w:sz w:val="18"/>
                <w:szCs w:val="18"/>
              </w:rPr>
            </w:pPr>
            <w:r>
              <w:rPr>
                <w:rFonts w:ascii="Arial"/>
                <w:b/>
                <w:sz w:val="18"/>
              </w:rPr>
              <w:t>265,653,896.91</w:t>
            </w:r>
            <w:r>
              <w:rPr>
                <w:rFonts w:ascii="Arial"/>
                <w:sz w:val="18"/>
              </w:rPr>
            </w:r>
          </w:p>
        </w:tc>
        <w:tc>
          <w:tcPr>
            <w:tcW w:w="3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0"/>
              <w:jc w:val="center"/>
              <w:rPr>
                <w:rFonts w:ascii="Arial" w:hAnsi="Arial" w:cs="Arial" w:eastAsia="Arial" w:hint="default"/>
                <w:sz w:val="18"/>
                <w:szCs w:val="18"/>
              </w:rPr>
            </w:pPr>
            <w:r>
              <w:rPr>
                <w:rFonts w:ascii="Arial"/>
                <w:b/>
                <w:sz w:val="18"/>
              </w:rPr>
              <w:t>102,762,990.29</w:t>
            </w:r>
            <w:r>
              <w:rPr>
                <w:rFonts w:ascii="Arial"/>
                <w:sz w:val="18"/>
              </w:rPr>
            </w:r>
          </w:p>
        </w:tc>
      </w:tr>
      <w:tr>
        <w:trPr>
          <w:trHeight w:val="341" w:hRule="exact"/>
        </w:trPr>
        <w:tc>
          <w:tcPr>
            <w:tcW w:w="2311" w:type="dxa"/>
            <w:tcBorders>
              <w:top w:val="single" w:sz="12" w:space="0" w:color="000000"/>
              <w:left w:val="single" w:sz="12" w:space="0" w:color="000000"/>
              <w:bottom w:val="single" w:sz="12" w:space="0" w:color="000000"/>
              <w:right w:val="single" w:sz="12" w:space="0" w:color="000000"/>
            </w:tcBorders>
          </w:tcPr>
          <w:p>
            <w:pP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
        </w:tc>
        <w:tc>
          <w:tcPr>
            <w:tcW w:w="3058"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3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1"/>
              <w:jc w:val="center"/>
              <w:rPr>
                <w:rFonts w:ascii="Arial" w:hAnsi="Arial" w:cs="Arial" w:eastAsia="Arial" w:hint="default"/>
                <w:sz w:val="18"/>
                <w:szCs w:val="18"/>
              </w:rPr>
            </w:pPr>
            <w:r>
              <w:rPr>
                <w:rFonts w:ascii="Arial"/>
                <w:b/>
                <w:sz w:val="18"/>
              </w:rPr>
              <w:t>743,592,573.67</w:t>
            </w:r>
            <w:r>
              <w:rPr>
                <w:rFonts w:ascii="Arial"/>
                <w:sz w:val="18"/>
              </w:rPr>
            </w:r>
          </w:p>
        </w:tc>
        <w:tc>
          <w:tcPr>
            <w:tcW w:w="3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0"/>
              <w:jc w:val="center"/>
              <w:rPr>
                <w:rFonts w:ascii="Arial" w:hAnsi="Arial" w:cs="Arial" w:eastAsia="Arial" w:hint="default"/>
                <w:sz w:val="18"/>
                <w:szCs w:val="18"/>
              </w:rPr>
            </w:pPr>
            <w:r>
              <w:rPr>
                <w:rFonts w:ascii="Arial"/>
                <w:b/>
                <w:sz w:val="18"/>
              </w:rPr>
              <w:t>228,633,432.80</w:t>
            </w:r>
            <w:r>
              <w:rPr>
                <w:rFonts w:ascii="Arial"/>
                <w:sz w:val="18"/>
              </w:rPr>
            </w:r>
          </w:p>
        </w:tc>
      </w:tr>
    </w:tbl>
    <w:p>
      <w:pPr>
        <w:tabs>
          <w:tab w:pos="2853" w:val="left" w:leader="none"/>
          <w:tab w:pos="7084" w:val="left" w:leader="none"/>
        </w:tabs>
        <w:spacing w:line="208" w:lineRule="exact" w:before="0"/>
        <w:ind w:left="239" w:right="0" w:firstLine="0"/>
        <w:jc w:val="left"/>
        <w:rPr>
          <w:rFonts w:ascii="宋体" w:hAnsi="宋体" w:cs="宋体" w:eastAsia="宋体" w:hint="default"/>
          <w:sz w:val="18"/>
          <w:szCs w:val="18"/>
        </w:rPr>
      </w:pPr>
      <w:r>
        <w:rPr>
          <w:rFonts w:ascii="宋体" w:hAnsi="宋体" w:cs="宋体" w:eastAsia="宋体" w:hint="default"/>
          <w:w w:val="95"/>
          <w:sz w:val="18"/>
          <w:szCs w:val="18"/>
        </w:rPr>
        <w:t>法定代表人：纪立军</w:t>
        <w:tab/>
        <w:t>主管会计工作负责人：郑强</w:t>
        <w:tab/>
      </w:r>
      <w:r>
        <w:rPr>
          <w:rFonts w:ascii="宋体" w:hAnsi="宋体" w:cs="宋体" w:eastAsia="宋体" w:hint="default"/>
          <w:sz w:val="18"/>
          <w:szCs w:val="18"/>
        </w:rPr>
        <w:t>会计机构负责人：王迎辉</w:t>
      </w:r>
    </w:p>
    <w:p>
      <w:pPr>
        <w:spacing w:after="0" w:line="208" w:lineRule="exact"/>
        <w:jc w:val="left"/>
        <w:rPr>
          <w:rFonts w:ascii="宋体" w:hAnsi="宋体" w:cs="宋体" w:eastAsia="宋体" w:hint="default"/>
          <w:sz w:val="18"/>
          <w:szCs w:val="18"/>
        </w:rPr>
        <w:sectPr>
          <w:pgSz w:w="11900" w:h="16840"/>
          <w:pgMar w:header="877" w:footer="983" w:top="1060" w:bottom="1180" w:left="1560" w:right="760"/>
        </w:sectPr>
      </w:pPr>
    </w:p>
    <w:p>
      <w:pPr>
        <w:spacing w:line="240" w:lineRule="auto" w:before="4"/>
        <w:rPr>
          <w:rFonts w:ascii="宋体" w:hAnsi="宋体" w:cs="宋体" w:eastAsia="宋体" w:hint="default"/>
          <w:sz w:val="24"/>
          <w:szCs w:val="24"/>
        </w:rPr>
      </w:pPr>
    </w:p>
    <w:p>
      <w:pPr>
        <w:pStyle w:val="Heading2"/>
        <w:spacing w:line="240" w:lineRule="auto"/>
        <w:ind w:left="2987" w:right="0"/>
        <w:jc w:val="left"/>
      </w:pPr>
      <w:r>
        <w:rPr/>
        <w:t>母公司资产负债表（续）</w:t>
      </w:r>
    </w:p>
    <w:p>
      <w:pPr>
        <w:tabs>
          <w:tab w:pos="5551" w:val="left" w:leader="none"/>
          <w:tab w:pos="8198" w:val="left" w:leader="none"/>
        </w:tabs>
        <w:spacing w:before="145"/>
        <w:ind w:left="239" w:right="0" w:firstLine="0"/>
        <w:jc w:val="left"/>
        <w:rPr>
          <w:rFonts w:ascii="宋体" w:hAnsi="宋体" w:cs="宋体" w:eastAsia="宋体" w:hint="default"/>
          <w:sz w:val="18"/>
          <w:szCs w:val="18"/>
        </w:rPr>
      </w:pPr>
      <w:r>
        <w:rPr>
          <w:rFonts w:ascii="宋体" w:hAnsi="宋体" w:cs="宋体" w:eastAsia="宋体" w:hint="default"/>
          <w:spacing w:val="-1"/>
          <w:sz w:val="18"/>
          <w:szCs w:val="18"/>
        </w:rPr>
        <w:t>编制单位：上海安诺其纺织化工股份有限公司</w:t>
        <w:tab/>
      </w:r>
      <w:r>
        <w:rPr>
          <w:rFonts w:ascii="Arial" w:hAnsi="Arial" w:cs="Arial" w:eastAsia="Arial" w:hint="default"/>
          <w:spacing w:val="-1"/>
          <w:sz w:val="18"/>
          <w:szCs w:val="18"/>
        </w:rPr>
        <w:t>2010</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31</w:t>
      </w:r>
      <w:r>
        <w:rPr>
          <w:rFonts w:ascii="Arial" w:hAnsi="Arial" w:cs="Arial" w:eastAsia="Arial" w:hint="default"/>
          <w:spacing w:val="-4"/>
          <w:sz w:val="18"/>
          <w:szCs w:val="18"/>
        </w:rPr>
        <w:t> </w:t>
      </w:r>
      <w:r>
        <w:rPr>
          <w:rFonts w:ascii="宋体" w:hAnsi="宋体" w:cs="宋体" w:eastAsia="宋体" w:hint="default"/>
          <w:sz w:val="18"/>
          <w:szCs w:val="18"/>
        </w:rPr>
        <w:t>日</w:t>
        <w:tab/>
      </w:r>
      <w:r>
        <w:rPr>
          <w:rFonts w:ascii="宋体" w:hAnsi="宋体" w:cs="宋体" w:eastAsia="宋体" w:hint="default"/>
          <w:spacing w:val="-2"/>
          <w:sz w:val="18"/>
          <w:szCs w:val="18"/>
        </w:rPr>
        <w:t>单位：元</w:t>
      </w:r>
    </w:p>
    <w:p>
      <w:pPr>
        <w:spacing w:line="240" w:lineRule="auto" w:before="6"/>
        <w:rPr>
          <w:rFonts w:ascii="宋体" w:hAnsi="宋体" w:cs="宋体" w:eastAsia="宋体" w:hint="default"/>
          <w:sz w:val="6"/>
          <w:szCs w:val="6"/>
        </w:rPr>
      </w:pPr>
    </w:p>
    <w:tbl>
      <w:tblPr>
        <w:tblW w:w="0" w:type="auto"/>
        <w:jc w:val="left"/>
        <w:tblInd w:w="117" w:type="dxa"/>
        <w:tblLayout w:type="fixed"/>
        <w:tblCellMar>
          <w:top w:w="0" w:type="dxa"/>
          <w:left w:w="0" w:type="dxa"/>
          <w:bottom w:w="0" w:type="dxa"/>
          <w:right w:w="0" w:type="dxa"/>
        </w:tblCellMar>
        <w:tblLook w:val="01E0"/>
      </w:tblPr>
      <w:tblGrid>
        <w:gridCol w:w="2808"/>
        <w:gridCol w:w="962"/>
        <w:gridCol w:w="2638"/>
        <w:gridCol w:w="2729"/>
      </w:tblGrid>
      <w:tr>
        <w:trPr>
          <w:trHeight w:val="343" w:hRule="exact"/>
        </w:trPr>
        <w:tc>
          <w:tcPr>
            <w:tcW w:w="2808" w:type="dxa"/>
            <w:vMerge w:val="restart"/>
            <w:tcBorders>
              <w:top w:val="single" w:sz="12" w:space="0" w:color="000000"/>
              <w:left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负 债</w:t>
            </w:r>
          </w:p>
        </w:tc>
        <w:tc>
          <w:tcPr>
            <w:tcW w:w="962" w:type="dxa"/>
            <w:vMerge w:val="restart"/>
            <w:tcBorders>
              <w:top w:val="single" w:sz="12" w:space="0" w:color="000000"/>
              <w:left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26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7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341" w:hRule="exact"/>
        </w:trPr>
        <w:tc>
          <w:tcPr>
            <w:tcW w:w="2808" w:type="dxa"/>
            <w:vMerge/>
            <w:tcBorders>
              <w:left w:val="single" w:sz="12" w:space="0" w:color="000000"/>
              <w:bottom w:val="single" w:sz="12" w:space="0" w:color="000000"/>
              <w:right w:val="single" w:sz="12" w:space="0" w:color="000000"/>
            </w:tcBorders>
          </w:tcPr>
          <w:p>
            <w:pPr/>
          </w:p>
        </w:tc>
        <w:tc>
          <w:tcPr>
            <w:tcW w:w="962" w:type="dxa"/>
            <w:vMerge/>
            <w:tcBorders>
              <w:left w:val="single" w:sz="12" w:space="0" w:color="000000"/>
              <w:bottom w:val="single" w:sz="12" w:space="0" w:color="000000"/>
              <w:right w:val="single" w:sz="12" w:space="0" w:color="000000"/>
            </w:tcBorders>
          </w:tcPr>
          <w:p>
            <w:pPr/>
          </w:p>
        </w:tc>
        <w:tc>
          <w:tcPr>
            <w:tcW w:w="26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27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343" w:hRule="exact"/>
        </w:trPr>
        <w:tc>
          <w:tcPr>
            <w:tcW w:w="28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962" w:type="dxa"/>
            <w:tcBorders>
              <w:top w:val="single" w:sz="12" w:space="0" w:color="000000"/>
              <w:left w:val="single" w:sz="12" w:space="0" w:color="000000"/>
              <w:bottom w:val="single" w:sz="12" w:space="0" w:color="000000"/>
              <w:right w:val="single" w:sz="12" w:space="0" w:color="000000"/>
            </w:tcBorders>
          </w:tcPr>
          <w:p>
            <w:pPr/>
          </w:p>
        </w:tc>
        <w:tc>
          <w:tcPr>
            <w:tcW w:w="2638" w:type="dxa"/>
            <w:tcBorders>
              <w:top w:val="single" w:sz="12" w:space="0" w:color="000000"/>
              <w:left w:val="single" w:sz="12" w:space="0" w:color="000000"/>
              <w:bottom w:val="single" w:sz="12" w:space="0" w:color="000000"/>
              <w:right w:val="single" w:sz="12" w:space="0" w:color="000000"/>
            </w:tcBorders>
          </w:tcPr>
          <w:p>
            <w:pPr/>
          </w:p>
        </w:tc>
        <w:tc>
          <w:tcPr>
            <w:tcW w:w="2729"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8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962" w:type="dxa"/>
            <w:tcBorders>
              <w:top w:val="single" w:sz="12" w:space="0" w:color="000000"/>
              <w:left w:val="single" w:sz="12" w:space="0" w:color="000000"/>
              <w:bottom w:val="single" w:sz="12" w:space="0" w:color="000000"/>
              <w:right w:val="single" w:sz="12" w:space="0" w:color="000000"/>
            </w:tcBorders>
          </w:tcPr>
          <w:p>
            <w:pPr/>
          </w:p>
        </w:tc>
        <w:tc>
          <w:tcPr>
            <w:tcW w:w="2638" w:type="dxa"/>
            <w:tcBorders>
              <w:top w:val="single" w:sz="12" w:space="0" w:color="000000"/>
              <w:left w:val="single" w:sz="12" w:space="0" w:color="000000"/>
              <w:bottom w:val="single" w:sz="12" w:space="0" w:color="000000"/>
              <w:right w:val="single" w:sz="12" w:space="0" w:color="000000"/>
            </w:tcBorders>
          </w:tcPr>
          <w:p>
            <w:pPr/>
          </w:p>
        </w:tc>
        <w:tc>
          <w:tcPr>
            <w:tcW w:w="27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30,000,000.00</w:t>
            </w:r>
          </w:p>
        </w:tc>
      </w:tr>
      <w:tr>
        <w:trPr>
          <w:trHeight w:val="343" w:hRule="exact"/>
        </w:trPr>
        <w:tc>
          <w:tcPr>
            <w:tcW w:w="28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962" w:type="dxa"/>
            <w:tcBorders>
              <w:top w:val="single" w:sz="12" w:space="0" w:color="000000"/>
              <w:left w:val="single" w:sz="12" w:space="0" w:color="000000"/>
              <w:bottom w:val="single" w:sz="12" w:space="0" w:color="000000"/>
              <w:right w:val="single" w:sz="12" w:space="0" w:color="000000"/>
            </w:tcBorders>
          </w:tcPr>
          <w:p>
            <w:pPr/>
          </w:p>
        </w:tc>
        <w:tc>
          <w:tcPr>
            <w:tcW w:w="2638" w:type="dxa"/>
            <w:tcBorders>
              <w:top w:val="single" w:sz="12" w:space="0" w:color="000000"/>
              <w:left w:val="single" w:sz="12" w:space="0" w:color="000000"/>
              <w:bottom w:val="single" w:sz="12" w:space="0" w:color="000000"/>
              <w:right w:val="single" w:sz="12" w:space="0" w:color="000000"/>
            </w:tcBorders>
          </w:tcPr>
          <w:p>
            <w:pPr/>
          </w:p>
        </w:tc>
        <w:tc>
          <w:tcPr>
            <w:tcW w:w="2729"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8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962" w:type="dxa"/>
            <w:tcBorders>
              <w:top w:val="single" w:sz="12" w:space="0" w:color="000000"/>
              <w:left w:val="single" w:sz="12" w:space="0" w:color="000000"/>
              <w:bottom w:val="single" w:sz="12" w:space="0" w:color="000000"/>
              <w:right w:val="single" w:sz="12" w:space="0" w:color="000000"/>
            </w:tcBorders>
          </w:tcPr>
          <w:p>
            <w:pPr/>
          </w:p>
        </w:tc>
        <w:tc>
          <w:tcPr>
            <w:tcW w:w="2638" w:type="dxa"/>
            <w:tcBorders>
              <w:top w:val="single" w:sz="12" w:space="0" w:color="000000"/>
              <w:left w:val="single" w:sz="12" w:space="0" w:color="000000"/>
              <w:bottom w:val="single" w:sz="12" w:space="0" w:color="000000"/>
              <w:right w:val="single" w:sz="12" w:space="0" w:color="000000"/>
            </w:tcBorders>
          </w:tcPr>
          <w:p>
            <w:pPr/>
          </w:p>
        </w:tc>
        <w:tc>
          <w:tcPr>
            <w:tcW w:w="27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2,900,000.00</w:t>
            </w:r>
          </w:p>
        </w:tc>
      </w:tr>
      <w:tr>
        <w:trPr>
          <w:trHeight w:val="343" w:hRule="exact"/>
        </w:trPr>
        <w:tc>
          <w:tcPr>
            <w:tcW w:w="28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962" w:type="dxa"/>
            <w:tcBorders>
              <w:top w:val="single" w:sz="12" w:space="0" w:color="000000"/>
              <w:left w:val="single" w:sz="12" w:space="0" w:color="000000"/>
              <w:bottom w:val="single" w:sz="12" w:space="0" w:color="000000"/>
              <w:right w:val="single" w:sz="12" w:space="0" w:color="000000"/>
            </w:tcBorders>
          </w:tcPr>
          <w:p>
            <w:pPr/>
          </w:p>
        </w:tc>
        <w:tc>
          <w:tcPr>
            <w:tcW w:w="26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10,301,761.61</w:t>
            </w:r>
          </w:p>
        </w:tc>
        <w:tc>
          <w:tcPr>
            <w:tcW w:w="27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22,972,625.04</w:t>
            </w:r>
          </w:p>
        </w:tc>
      </w:tr>
      <w:tr>
        <w:trPr>
          <w:trHeight w:val="341" w:hRule="exact"/>
        </w:trPr>
        <w:tc>
          <w:tcPr>
            <w:tcW w:w="28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962" w:type="dxa"/>
            <w:tcBorders>
              <w:top w:val="single" w:sz="12" w:space="0" w:color="000000"/>
              <w:left w:val="single" w:sz="12" w:space="0" w:color="000000"/>
              <w:bottom w:val="single" w:sz="12" w:space="0" w:color="000000"/>
              <w:right w:val="single" w:sz="12" w:space="0" w:color="000000"/>
            </w:tcBorders>
          </w:tcPr>
          <w:p>
            <w:pPr/>
          </w:p>
        </w:tc>
        <w:tc>
          <w:tcPr>
            <w:tcW w:w="26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842,932.71</w:t>
            </w:r>
          </w:p>
        </w:tc>
        <w:tc>
          <w:tcPr>
            <w:tcW w:w="27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164,475.51</w:t>
            </w:r>
          </w:p>
        </w:tc>
      </w:tr>
      <w:tr>
        <w:trPr>
          <w:trHeight w:val="343" w:hRule="exact"/>
        </w:trPr>
        <w:tc>
          <w:tcPr>
            <w:tcW w:w="28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962" w:type="dxa"/>
            <w:tcBorders>
              <w:top w:val="single" w:sz="12" w:space="0" w:color="000000"/>
              <w:left w:val="single" w:sz="12" w:space="0" w:color="000000"/>
              <w:bottom w:val="single" w:sz="12" w:space="0" w:color="000000"/>
              <w:right w:val="single" w:sz="12" w:space="0" w:color="000000"/>
            </w:tcBorders>
          </w:tcPr>
          <w:p>
            <w:pPr/>
          </w:p>
        </w:tc>
        <w:tc>
          <w:tcPr>
            <w:tcW w:w="2638" w:type="dxa"/>
            <w:tcBorders>
              <w:top w:val="single" w:sz="12" w:space="0" w:color="000000"/>
              <w:left w:val="single" w:sz="12" w:space="0" w:color="000000"/>
              <w:bottom w:val="single" w:sz="12" w:space="0" w:color="000000"/>
              <w:right w:val="single" w:sz="12" w:space="0" w:color="000000"/>
            </w:tcBorders>
          </w:tcPr>
          <w:p>
            <w:pPr/>
          </w:p>
        </w:tc>
        <w:tc>
          <w:tcPr>
            <w:tcW w:w="2729"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8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962" w:type="dxa"/>
            <w:tcBorders>
              <w:top w:val="single" w:sz="12" w:space="0" w:color="000000"/>
              <w:left w:val="single" w:sz="12" w:space="0" w:color="000000"/>
              <w:bottom w:val="single" w:sz="12" w:space="0" w:color="000000"/>
              <w:right w:val="single" w:sz="12" w:space="0" w:color="000000"/>
            </w:tcBorders>
          </w:tcPr>
          <w:p>
            <w:pPr/>
          </w:p>
        </w:tc>
        <w:tc>
          <w:tcPr>
            <w:tcW w:w="26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-1,007,431.15</w:t>
            </w:r>
          </w:p>
        </w:tc>
        <w:tc>
          <w:tcPr>
            <w:tcW w:w="27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3,217,945.33</w:t>
            </w:r>
          </w:p>
        </w:tc>
      </w:tr>
      <w:tr>
        <w:trPr>
          <w:trHeight w:val="343" w:hRule="exact"/>
        </w:trPr>
        <w:tc>
          <w:tcPr>
            <w:tcW w:w="28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962" w:type="dxa"/>
            <w:tcBorders>
              <w:top w:val="single" w:sz="12" w:space="0" w:color="000000"/>
              <w:left w:val="single" w:sz="12" w:space="0" w:color="000000"/>
              <w:bottom w:val="single" w:sz="12" w:space="0" w:color="000000"/>
              <w:right w:val="single" w:sz="12" w:space="0" w:color="000000"/>
            </w:tcBorders>
          </w:tcPr>
          <w:p>
            <w:pPr/>
          </w:p>
        </w:tc>
        <w:tc>
          <w:tcPr>
            <w:tcW w:w="2638" w:type="dxa"/>
            <w:tcBorders>
              <w:top w:val="single" w:sz="12" w:space="0" w:color="000000"/>
              <w:left w:val="single" w:sz="12" w:space="0" w:color="000000"/>
              <w:bottom w:val="single" w:sz="12" w:space="0" w:color="000000"/>
              <w:right w:val="single" w:sz="12" w:space="0" w:color="000000"/>
            </w:tcBorders>
          </w:tcPr>
          <w:p>
            <w:pPr/>
          </w:p>
        </w:tc>
        <w:tc>
          <w:tcPr>
            <w:tcW w:w="2729"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8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962" w:type="dxa"/>
            <w:tcBorders>
              <w:top w:val="single" w:sz="12" w:space="0" w:color="000000"/>
              <w:left w:val="single" w:sz="12" w:space="0" w:color="000000"/>
              <w:bottom w:val="single" w:sz="12" w:space="0" w:color="000000"/>
              <w:right w:val="single" w:sz="12" w:space="0" w:color="000000"/>
            </w:tcBorders>
          </w:tcPr>
          <w:p>
            <w:pPr/>
          </w:p>
        </w:tc>
        <w:tc>
          <w:tcPr>
            <w:tcW w:w="2638" w:type="dxa"/>
            <w:tcBorders>
              <w:top w:val="single" w:sz="12" w:space="0" w:color="000000"/>
              <w:left w:val="single" w:sz="12" w:space="0" w:color="000000"/>
              <w:bottom w:val="single" w:sz="12" w:space="0" w:color="000000"/>
              <w:right w:val="single" w:sz="12" w:space="0" w:color="000000"/>
            </w:tcBorders>
          </w:tcPr>
          <w:p>
            <w:pPr/>
          </w:p>
        </w:tc>
        <w:tc>
          <w:tcPr>
            <w:tcW w:w="2729"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8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962" w:type="dxa"/>
            <w:tcBorders>
              <w:top w:val="single" w:sz="12" w:space="0" w:color="000000"/>
              <w:left w:val="single" w:sz="12" w:space="0" w:color="000000"/>
              <w:bottom w:val="single" w:sz="12" w:space="0" w:color="000000"/>
              <w:right w:val="single" w:sz="12" w:space="0" w:color="000000"/>
            </w:tcBorders>
          </w:tcPr>
          <w:p>
            <w:pPr/>
          </w:p>
        </w:tc>
        <w:tc>
          <w:tcPr>
            <w:tcW w:w="26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9,420,747.84</w:t>
            </w:r>
          </w:p>
        </w:tc>
        <w:tc>
          <w:tcPr>
            <w:tcW w:w="27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546,465.97</w:t>
            </w:r>
          </w:p>
        </w:tc>
      </w:tr>
      <w:tr>
        <w:trPr>
          <w:trHeight w:val="341" w:hRule="exact"/>
        </w:trPr>
        <w:tc>
          <w:tcPr>
            <w:tcW w:w="28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962" w:type="dxa"/>
            <w:tcBorders>
              <w:top w:val="single" w:sz="12" w:space="0" w:color="000000"/>
              <w:left w:val="single" w:sz="12" w:space="0" w:color="000000"/>
              <w:bottom w:val="single" w:sz="12" w:space="0" w:color="000000"/>
              <w:right w:val="single" w:sz="12" w:space="0" w:color="000000"/>
            </w:tcBorders>
          </w:tcPr>
          <w:p>
            <w:pPr/>
          </w:p>
        </w:tc>
        <w:tc>
          <w:tcPr>
            <w:tcW w:w="2638" w:type="dxa"/>
            <w:tcBorders>
              <w:top w:val="single" w:sz="12" w:space="0" w:color="000000"/>
              <w:left w:val="single" w:sz="12" w:space="0" w:color="000000"/>
              <w:bottom w:val="single" w:sz="12" w:space="0" w:color="000000"/>
              <w:right w:val="single" w:sz="12" w:space="0" w:color="000000"/>
            </w:tcBorders>
          </w:tcPr>
          <w:p>
            <w:pPr/>
          </w:p>
        </w:tc>
        <w:tc>
          <w:tcPr>
            <w:tcW w:w="2729"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8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962" w:type="dxa"/>
            <w:tcBorders>
              <w:top w:val="single" w:sz="12" w:space="0" w:color="000000"/>
              <w:left w:val="single" w:sz="12" w:space="0" w:color="000000"/>
              <w:bottom w:val="single" w:sz="12" w:space="0" w:color="000000"/>
              <w:right w:val="single" w:sz="12" w:space="0" w:color="000000"/>
            </w:tcBorders>
          </w:tcPr>
          <w:p>
            <w:pPr/>
          </w:p>
        </w:tc>
        <w:tc>
          <w:tcPr>
            <w:tcW w:w="2638" w:type="dxa"/>
            <w:tcBorders>
              <w:top w:val="single" w:sz="12" w:space="0" w:color="000000"/>
              <w:left w:val="single" w:sz="12" w:space="0" w:color="000000"/>
              <w:bottom w:val="single" w:sz="12" w:space="0" w:color="000000"/>
              <w:right w:val="single" w:sz="12" w:space="0" w:color="000000"/>
            </w:tcBorders>
          </w:tcPr>
          <w:p>
            <w:pPr/>
          </w:p>
        </w:tc>
        <w:tc>
          <w:tcPr>
            <w:tcW w:w="2729"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8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962" w:type="dxa"/>
            <w:tcBorders>
              <w:top w:val="single" w:sz="12" w:space="0" w:color="000000"/>
              <w:left w:val="single" w:sz="12" w:space="0" w:color="000000"/>
              <w:bottom w:val="single" w:sz="12" w:space="0" w:color="000000"/>
              <w:right w:val="single" w:sz="12" w:space="0" w:color="000000"/>
            </w:tcBorders>
          </w:tcPr>
          <w:p>
            <w:pPr/>
          </w:p>
        </w:tc>
        <w:tc>
          <w:tcPr>
            <w:tcW w:w="26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0"/>
              <w:jc w:val="center"/>
              <w:rPr>
                <w:rFonts w:ascii="Arial" w:hAnsi="Arial" w:cs="Arial" w:eastAsia="Arial" w:hint="default"/>
                <w:sz w:val="18"/>
                <w:szCs w:val="18"/>
              </w:rPr>
            </w:pPr>
            <w:r>
              <w:rPr>
                <w:rFonts w:ascii="Arial"/>
                <w:b/>
                <w:sz w:val="18"/>
              </w:rPr>
              <w:t>19,558,011.01</w:t>
            </w:r>
            <w:r>
              <w:rPr>
                <w:rFonts w:ascii="Arial"/>
                <w:sz w:val="18"/>
              </w:rPr>
            </w:r>
          </w:p>
        </w:tc>
        <w:tc>
          <w:tcPr>
            <w:tcW w:w="27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0"/>
              <w:jc w:val="center"/>
              <w:rPr>
                <w:rFonts w:ascii="Arial" w:hAnsi="Arial" w:cs="Arial" w:eastAsia="Arial" w:hint="default"/>
                <w:sz w:val="18"/>
                <w:szCs w:val="18"/>
              </w:rPr>
            </w:pPr>
            <w:r>
              <w:rPr>
                <w:rFonts w:ascii="Arial"/>
                <w:b/>
                <w:sz w:val="18"/>
              </w:rPr>
              <w:t>59,801,511.85</w:t>
            </w:r>
            <w:r>
              <w:rPr>
                <w:rFonts w:ascii="Arial"/>
                <w:sz w:val="18"/>
              </w:rPr>
            </w:r>
          </w:p>
        </w:tc>
      </w:tr>
      <w:tr>
        <w:trPr>
          <w:trHeight w:val="343" w:hRule="exact"/>
        </w:trPr>
        <w:tc>
          <w:tcPr>
            <w:tcW w:w="2808" w:type="dxa"/>
            <w:tcBorders>
              <w:top w:val="single" w:sz="12" w:space="0" w:color="000000"/>
              <w:left w:val="single" w:sz="12" w:space="0" w:color="000000"/>
              <w:bottom w:val="single" w:sz="12" w:space="0" w:color="000000"/>
              <w:right w:val="single" w:sz="12" w:space="0" w:color="000000"/>
            </w:tcBorders>
          </w:tcPr>
          <w:p>
            <w:pPr/>
          </w:p>
        </w:tc>
        <w:tc>
          <w:tcPr>
            <w:tcW w:w="962" w:type="dxa"/>
            <w:tcBorders>
              <w:top w:val="single" w:sz="12" w:space="0" w:color="000000"/>
              <w:left w:val="single" w:sz="12" w:space="0" w:color="000000"/>
              <w:bottom w:val="single" w:sz="12" w:space="0" w:color="000000"/>
              <w:right w:val="single" w:sz="12" w:space="0" w:color="000000"/>
            </w:tcBorders>
          </w:tcPr>
          <w:p>
            <w:pPr/>
          </w:p>
        </w:tc>
        <w:tc>
          <w:tcPr>
            <w:tcW w:w="2638" w:type="dxa"/>
            <w:tcBorders>
              <w:top w:val="single" w:sz="12" w:space="0" w:color="000000"/>
              <w:left w:val="single" w:sz="12" w:space="0" w:color="000000"/>
              <w:bottom w:val="single" w:sz="12" w:space="0" w:color="000000"/>
              <w:right w:val="single" w:sz="12" w:space="0" w:color="000000"/>
            </w:tcBorders>
          </w:tcPr>
          <w:p>
            <w:pPr/>
          </w:p>
        </w:tc>
        <w:tc>
          <w:tcPr>
            <w:tcW w:w="2729"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8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962" w:type="dxa"/>
            <w:tcBorders>
              <w:top w:val="single" w:sz="12" w:space="0" w:color="000000"/>
              <w:left w:val="single" w:sz="12" w:space="0" w:color="000000"/>
              <w:bottom w:val="single" w:sz="12" w:space="0" w:color="000000"/>
              <w:right w:val="single" w:sz="12" w:space="0" w:color="000000"/>
            </w:tcBorders>
          </w:tcPr>
          <w:p>
            <w:pPr/>
          </w:p>
        </w:tc>
        <w:tc>
          <w:tcPr>
            <w:tcW w:w="2638" w:type="dxa"/>
            <w:tcBorders>
              <w:top w:val="single" w:sz="12" w:space="0" w:color="000000"/>
              <w:left w:val="single" w:sz="12" w:space="0" w:color="000000"/>
              <w:bottom w:val="single" w:sz="12" w:space="0" w:color="000000"/>
              <w:right w:val="single" w:sz="12" w:space="0" w:color="000000"/>
            </w:tcBorders>
          </w:tcPr>
          <w:p>
            <w:pPr/>
          </w:p>
        </w:tc>
        <w:tc>
          <w:tcPr>
            <w:tcW w:w="2729"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8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962" w:type="dxa"/>
            <w:tcBorders>
              <w:top w:val="single" w:sz="12" w:space="0" w:color="000000"/>
              <w:left w:val="single" w:sz="12" w:space="0" w:color="000000"/>
              <w:bottom w:val="single" w:sz="12" w:space="0" w:color="000000"/>
              <w:right w:val="single" w:sz="12" w:space="0" w:color="000000"/>
            </w:tcBorders>
          </w:tcPr>
          <w:p>
            <w:pPr/>
          </w:p>
        </w:tc>
        <w:tc>
          <w:tcPr>
            <w:tcW w:w="2638" w:type="dxa"/>
            <w:tcBorders>
              <w:top w:val="single" w:sz="12" w:space="0" w:color="000000"/>
              <w:left w:val="single" w:sz="12" w:space="0" w:color="000000"/>
              <w:bottom w:val="single" w:sz="12" w:space="0" w:color="000000"/>
              <w:right w:val="single" w:sz="12" w:space="0" w:color="000000"/>
            </w:tcBorders>
          </w:tcPr>
          <w:p>
            <w:pPr/>
          </w:p>
        </w:tc>
        <w:tc>
          <w:tcPr>
            <w:tcW w:w="2729"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8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962" w:type="dxa"/>
            <w:tcBorders>
              <w:top w:val="single" w:sz="12" w:space="0" w:color="000000"/>
              <w:left w:val="single" w:sz="12" w:space="0" w:color="000000"/>
              <w:bottom w:val="single" w:sz="12" w:space="0" w:color="000000"/>
              <w:right w:val="single" w:sz="12" w:space="0" w:color="000000"/>
            </w:tcBorders>
          </w:tcPr>
          <w:p>
            <w:pPr/>
          </w:p>
        </w:tc>
        <w:tc>
          <w:tcPr>
            <w:tcW w:w="2638" w:type="dxa"/>
            <w:tcBorders>
              <w:top w:val="single" w:sz="12" w:space="0" w:color="000000"/>
              <w:left w:val="single" w:sz="12" w:space="0" w:color="000000"/>
              <w:bottom w:val="single" w:sz="12" w:space="0" w:color="000000"/>
              <w:right w:val="single" w:sz="12" w:space="0" w:color="000000"/>
            </w:tcBorders>
          </w:tcPr>
          <w:p>
            <w:pPr/>
          </w:p>
        </w:tc>
        <w:tc>
          <w:tcPr>
            <w:tcW w:w="2729"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8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962" w:type="dxa"/>
            <w:tcBorders>
              <w:top w:val="single" w:sz="12" w:space="0" w:color="000000"/>
              <w:left w:val="single" w:sz="12" w:space="0" w:color="000000"/>
              <w:bottom w:val="single" w:sz="12" w:space="0" w:color="000000"/>
              <w:right w:val="single" w:sz="12" w:space="0" w:color="000000"/>
            </w:tcBorders>
          </w:tcPr>
          <w:p>
            <w:pPr/>
          </w:p>
        </w:tc>
        <w:tc>
          <w:tcPr>
            <w:tcW w:w="2638" w:type="dxa"/>
            <w:tcBorders>
              <w:top w:val="single" w:sz="12" w:space="0" w:color="000000"/>
              <w:left w:val="single" w:sz="12" w:space="0" w:color="000000"/>
              <w:bottom w:val="single" w:sz="12" w:space="0" w:color="000000"/>
              <w:right w:val="single" w:sz="12" w:space="0" w:color="000000"/>
            </w:tcBorders>
          </w:tcPr>
          <w:p>
            <w:pPr/>
          </w:p>
        </w:tc>
        <w:tc>
          <w:tcPr>
            <w:tcW w:w="2729"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8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962" w:type="dxa"/>
            <w:tcBorders>
              <w:top w:val="single" w:sz="12" w:space="0" w:color="000000"/>
              <w:left w:val="single" w:sz="12" w:space="0" w:color="000000"/>
              <w:bottom w:val="single" w:sz="12" w:space="0" w:color="000000"/>
              <w:right w:val="single" w:sz="12" w:space="0" w:color="000000"/>
            </w:tcBorders>
          </w:tcPr>
          <w:p>
            <w:pPr/>
          </w:p>
        </w:tc>
        <w:tc>
          <w:tcPr>
            <w:tcW w:w="2638" w:type="dxa"/>
            <w:tcBorders>
              <w:top w:val="single" w:sz="12" w:space="0" w:color="000000"/>
              <w:left w:val="single" w:sz="12" w:space="0" w:color="000000"/>
              <w:bottom w:val="single" w:sz="12" w:space="0" w:color="000000"/>
              <w:right w:val="single" w:sz="12" w:space="0" w:color="000000"/>
            </w:tcBorders>
          </w:tcPr>
          <w:p>
            <w:pPr/>
          </w:p>
        </w:tc>
        <w:tc>
          <w:tcPr>
            <w:tcW w:w="2729"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8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962" w:type="dxa"/>
            <w:tcBorders>
              <w:top w:val="single" w:sz="12" w:space="0" w:color="000000"/>
              <w:left w:val="single" w:sz="12" w:space="0" w:color="000000"/>
              <w:bottom w:val="single" w:sz="12" w:space="0" w:color="000000"/>
              <w:right w:val="single" w:sz="12" w:space="0" w:color="000000"/>
            </w:tcBorders>
          </w:tcPr>
          <w:p>
            <w:pPr/>
          </w:p>
        </w:tc>
        <w:tc>
          <w:tcPr>
            <w:tcW w:w="2638" w:type="dxa"/>
            <w:tcBorders>
              <w:top w:val="single" w:sz="12" w:space="0" w:color="000000"/>
              <w:left w:val="single" w:sz="12" w:space="0" w:color="000000"/>
              <w:bottom w:val="single" w:sz="12" w:space="0" w:color="000000"/>
              <w:right w:val="single" w:sz="12" w:space="0" w:color="000000"/>
            </w:tcBorders>
          </w:tcPr>
          <w:p>
            <w:pPr/>
          </w:p>
        </w:tc>
        <w:tc>
          <w:tcPr>
            <w:tcW w:w="2729"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8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962" w:type="dxa"/>
            <w:tcBorders>
              <w:top w:val="single" w:sz="12" w:space="0" w:color="000000"/>
              <w:left w:val="single" w:sz="12" w:space="0" w:color="000000"/>
              <w:bottom w:val="single" w:sz="12" w:space="0" w:color="000000"/>
              <w:right w:val="single" w:sz="12" w:space="0" w:color="000000"/>
            </w:tcBorders>
          </w:tcPr>
          <w:p>
            <w:pPr/>
          </w:p>
        </w:tc>
        <w:tc>
          <w:tcPr>
            <w:tcW w:w="2638" w:type="dxa"/>
            <w:tcBorders>
              <w:top w:val="single" w:sz="12" w:space="0" w:color="000000"/>
              <w:left w:val="single" w:sz="12" w:space="0" w:color="000000"/>
              <w:bottom w:val="single" w:sz="12" w:space="0" w:color="000000"/>
              <w:right w:val="single" w:sz="12" w:space="0" w:color="000000"/>
            </w:tcBorders>
          </w:tcPr>
          <w:p>
            <w:pPr/>
          </w:p>
        </w:tc>
        <w:tc>
          <w:tcPr>
            <w:tcW w:w="2729"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8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962" w:type="dxa"/>
            <w:tcBorders>
              <w:top w:val="single" w:sz="12" w:space="0" w:color="000000"/>
              <w:left w:val="single" w:sz="12" w:space="0" w:color="000000"/>
              <w:bottom w:val="single" w:sz="12" w:space="0" w:color="000000"/>
              <w:right w:val="single" w:sz="12" w:space="0" w:color="000000"/>
            </w:tcBorders>
          </w:tcPr>
          <w:p>
            <w:pPr/>
          </w:p>
        </w:tc>
        <w:tc>
          <w:tcPr>
            <w:tcW w:w="2638" w:type="dxa"/>
            <w:tcBorders>
              <w:top w:val="single" w:sz="12" w:space="0" w:color="000000"/>
              <w:left w:val="single" w:sz="12" w:space="0" w:color="000000"/>
              <w:bottom w:val="single" w:sz="12" w:space="0" w:color="000000"/>
              <w:right w:val="single" w:sz="12" w:space="0" w:color="000000"/>
            </w:tcBorders>
          </w:tcPr>
          <w:p>
            <w:pPr/>
          </w:p>
        </w:tc>
        <w:tc>
          <w:tcPr>
            <w:tcW w:w="2729"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8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962" w:type="dxa"/>
            <w:tcBorders>
              <w:top w:val="single" w:sz="12" w:space="0" w:color="000000"/>
              <w:left w:val="single" w:sz="12" w:space="0" w:color="000000"/>
              <w:bottom w:val="single" w:sz="12" w:space="0" w:color="000000"/>
              <w:right w:val="single" w:sz="12" w:space="0" w:color="000000"/>
            </w:tcBorders>
          </w:tcPr>
          <w:p>
            <w:pPr/>
          </w:p>
        </w:tc>
        <w:tc>
          <w:tcPr>
            <w:tcW w:w="26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0"/>
              <w:jc w:val="center"/>
              <w:rPr>
                <w:rFonts w:ascii="Arial" w:hAnsi="Arial" w:cs="Arial" w:eastAsia="Arial" w:hint="default"/>
                <w:sz w:val="18"/>
                <w:szCs w:val="18"/>
              </w:rPr>
            </w:pPr>
            <w:r>
              <w:rPr>
                <w:rFonts w:ascii="Arial"/>
                <w:b/>
                <w:w w:val="99"/>
                <w:sz w:val="18"/>
              </w:rPr>
              <w:t>-</w:t>
            </w:r>
            <w:r>
              <w:rPr>
                <w:rFonts w:ascii="Arial"/>
                <w:sz w:val="18"/>
              </w:rPr>
            </w:r>
          </w:p>
        </w:tc>
        <w:tc>
          <w:tcPr>
            <w:tcW w:w="27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0"/>
              <w:jc w:val="center"/>
              <w:rPr>
                <w:rFonts w:ascii="Arial" w:hAnsi="Arial" w:cs="Arial" w:eastAsia="Arial" w:hint="default"/>
                <w:sz w:val="18"/>
                <w:szCs w:val="18"/>
              </w:rPr>
            </w:pPr>
            <w:r>
              <w:rPr>
                <w:rFonts w:ascii="Arial"/>
                <w:b/>
                <w:w w:val="99"/>
                <w:sz w:val="18"/>
              </w:rPr>
              <w:t>-</w:t>
            </w:r>
            <w:r>
              <w:rPr>
                <w:rFonts w:ascii="Arial"/>
                <w:sz w:val="18"/>
              </w:rPr>
            </w:r>
          </w:p>
        </w:tc>
      </w:tr>
      <w:tr>
        <w:trPr>
          <w:trHeight w:val="343" w:hRule="exact"/>
        </w:trPr>
        <w:tc>
          <w:tcPr>
            <w:tcW w:w="28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962" w:type="dxa"/>
            <w:tcBorders>
              <w:top w:val="single" w:sz="12" w:space="0" w:color="000000"/>
              <w:left w:val="single" w:sz="12" w:space="0" w:color="000000"/>
              <w:bottom w:val="single" w:sz="12" w:space="0" w:color="000000"/>
              <w:right w:val="single" w:sz="12" w:space="0" w:color="000000"/>
            </w:tcBorders>
          </w:tcPr>
          <w:p>
            <w:pPr/>
          </w:p>
        </w:tc>
        <w:tc>
          <w:tcPr>
            <w:tcW w:w="26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0"/>
              <w:jc w:val="center"/>
              <w:rPr>
                <w:rFonts w:ascii="Arial" w:hAnsi="Arial" w:cs="Arial" w:eastAsia="Arial" w:hint="default"/>
                <w:sz w:val="18"/>
                <w:szCs w:val="18"/>
              </w:rPr>
            </w:pPr>
            <w:r>
              <w:rPr>
                <w:rFonts w:ascii="Arial"/>
                <w:b/>
                <w:sz w:val="18"/>
              </w:rPr>
              <w:t>19,558,011.01</w:t>
            </w:r>
            <w:r>
              <w:rPr>
                <w:rFonts w:ascii="Arial"/>
                <w:sz w:val="18"/>
              </w:rPr>
            </w:r>
          </w:p>
        </w:tc>
        <w:tc>
          <w:tcPr>
            <w:tcW w:w="27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0"/>
              <w:jc w:val="center"/>
              <w:rPr>
                <w:rFonts w:ascii="Arial" w:hAnsi="Arial" w:cs="Arial" w:eastAsia="Arial" w:hint="default"/>
                <w:sz w:val="18"/>
                <w:szCs w:val="18"/>
              </w:rPr>
            </w:pPr>
            <w:r>
              <w:rPr>
                <w:rFonts w:ascii="Arial"/>
                <w:b/>
                <w:sz w:val="18"/>
              </w:rPr>
              <w:t>59,801,511.85</w:t>
            </w:r>
            <w:r>
              <w:rPr>
                <w:rFonts w:ascii="Arial"/>
                <w:sz w:val="18"/>
              </w:rPr>
            </w:r>
          </w:p>
        </w:tc>
      </w:tr>
      <w:tr>
        <w:trPr>
          <w:trHeight w:val="341" w:hRule="exact"/>
        </w:trPr>
        <w:tc>
          <w:tcPr>
            <w:tcW w:w="2808" w:type="dxa"/>
            <w:tcBorders>
              <w:top w:val="single" w:sz="12" w:space="0" w:color="000000"/>
              <w:left w:val="single" w:sz="12" w:space="0" w:color="000000"/>
              <w:bottom w:val="single" w:sz="12" w:space="0" w:color="000000"/>
              <w:right w:val="single" w:sz="12" w:space="0" w:color="000000"/>
            </w:tcBorders>
          </w:tcPr>
          <w:p>
            <w:pPr/>
          </w:p>
        </w:tc>
        <w:tc>
          <w:tcPr>
            <w:tcW w:w="962" w:type="dxa"/>
            <w:tcBorders>
              <w:top w:val="single" w:sz="12" w:space="0" w:color="000000"/>
              <w:left w:val="single" w:sz="12" w:space="0" w:color="000000"/>
              <w:bottom w:val="single" w:sz="12" w:space="0" w:color="000000"/>
              <w:right w:val="single" w:sz="12" w:space="0" w:color="000000"/>
            </w:tcBorders>
          </w:tcPr>
          <w:p>
            <w:pPr/>
          </w:p>
        </w:tc>
        <w:tc>
          <w:tcPr>
            <w:tcW w:w="2638" w:type="dxa"/>
            <w:tcBorders>
              <w:top w:val="single" w:sz="12" w:space="0" w:color="000000"/>
              <w:left w:val="single" w:sz="12" w:space="0" w:color="000000"/>
              <w:bottom w:val="single" w:sz="12" w:space="0" w:color="000000"/>
              <w:right w:val="single" w:sz="12" w:space="0" w:color="000000"/>
            </w:tcBorders>
          </w:tcPr>
          <w:p>
            <w:pPr/>
          </w:p>
        </w:tc>
        <w:tc>
          <w:tcPr>
            <w:tcW w:w="2729"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8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962" w:type="dxa"/>
            <w:tcBorders>
              <w:top w:val="single" w:sz="12" w:space="0" w:color="000000"/>
              <w:left w:val="single" w:sz="12" w:space="0" w:color="000000"/>
              <w:bottom w:val="single" w:sz="12" w:space="0" w:color="000000"/>
              <w:right w:val="single" w:sz="12" w:space="0" w:color="000000"/>
            </w:tcBorders>
          </w:tcPr>
          <w:p>
            <w:pPr/>
          </w:p>
        </w:tc>
        <w:tc>
          <w:tcPr>
            <w:tcW w:w="2638" w:type="dxa"/>
            <w:tcBorders>
              <w:top w:val="single" w:sz="12" w:space="0" w:color="000000"/>
              <w:left w:val="single" w:sz="12" w:space="0" w:color="000000"/>
              <w:bottom w:val="single" w:sz="12" w:space="0" w:color="000000"/>
              <w:right w:val="single" w:sz="12" w:space="0" w:color="000000"/>
            </w:tcBorders>
          </w:tcPr>
          <w:p>
            <w:pPr/>
          </w:p>
        </w:tc>
        <w:tc>
          <w:tcPr>
            <w:tcW w:w="2729"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8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962" w:type="dxa"/>
            <w:tcBorders>
              <w:top w:val="single" w:sz="12" w:space="0" w:color="000000"/>
              <w:left w:val="single" w:sz="12" w:space="0" w:color="000000"/>
              <w:bottom w:val="single" w:sz="12" w:space="0" w:color="000000"/>
              <w:right w:val="single" w:sz="12" w:space="0" w:color="000000"/>
            </w:tcBorders>
          </w:tcPr>
          <w:p>
            <w:pPr/>
          </w:p>
        </w:tc>
        <w:tc>
          <w:tcPr>
            <w:tcW w:w="26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107,000,000.00</w:t>
            </w:r>
          </w:p>
        </w:tc>
        <w:tc>
          <w:tcPr>
            <w:tcW w:w="27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80,000,000.00</w:t>
            </w:r>
          </w:p>
        </w:tc>
      </w:tr>
      <w:tr>
        <w:trPr>
          <w:trHeight w:val="343" w:hRule="exact"/>
        </w:trPr>
        <w:tc>
          <w:tcPr>
            <w:tcW w:w="28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62" w:type="dxa"/>
            <w:tcBorders>
              <w:top w:val="single" w:sz="12" w:space="0" w:color="000000"/>
              <w:left w:val="single" w:sz="12" w:space="0" w:color="000000"/>
              <w:bottom w:val="single" w:sz="12" w:space="0" w:color="000000"/>
              <w:right w:val="single" w:sz="12" w:space="0" w:color="000000"/>
            </w:tcBorders>
          </w:tcPr>
          <w:p>
            <w:pPr/>
          </w:p>
        </w:tc>
        <w:tc>
          <w:tcPr>
            <w:tcW w:w="26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532,811,033.47</w:t>
            </w:r>
          </w:p>
        </w:tc>
        <w:tc>
          <w:tcPr>
            <w:tcW w:w="27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28,526,833.47</w:t>
            </w:r>
          </w:p>
        </w:tc>
      </w:tr>
      <w:tr>
        <w:trPr>
          <w:trHeight w:val="341" w:hRule="exact"/>
        </w:trPr>
        <w:tc>
          <w:tcPr>
            <w:tcW w:w="28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62" w:type="dxa"/>
            <w:tcBorders>
              <w:top w:val="single" w:sz="12" w:space="0" w:color="000000"/>
              <w:left w:val="single" w:sz="12" w:space="0" w:color="000000"/>
              <w:bottom w:val="single" w:sz="12" w:space="0" w:color="000000"/>
              <w:right w:val="single" w:sz="12" w:space="0" w:color="000000"/>
            </w:tcBorders>
          </w:tcPr>
          <w:p>
            <w:pPr/>
          </w:p>
        </w:tc>
        <w:tc>
          <w:tcPr>
            <w:tcW w:w="2638" w:type="dxa"/>
            <w:tcBorders>
              <w:top w:val="single" w:sz="12" w:space="0" w:color="000000"/>
              <w:left w:val="single" w:sz="12" w:space="0" w:color="000000"/>
              <w:bottom w:val="single" w:sz="12" w:space="0" w:color="000000"/>
              <w:right w:val="single" w:sz="12" w:space="0" w:color="000000"/>
            </w:tcBorders>
          </w:tcPr>
          <w:p>
            <w:pPr/>
          </w:p>
        </w:tc>
        <w:tc>
          <w:tcPr>
            <w:tcW w:w="2729"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8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62" w:type="dxa"/>
            <w:tcBorders>
              <w:top w:val="single" w:sz="12" w:space="0" w:color="000000"/>
              <w:left w:val="single" w:sz="12" w:space="0" w:color="000000"/>
              <w:bottom w:val="single" w:sz="12" w:space="0" w:color="000000"/>
              <w:right w:val="single" w:sz="12" w:space="0" w:color="000000"/>
            </w:tcBorders>
          </w:tcPr>
          <w:p>
            <w:pPr/>
          </w:p>
        </w:tc>
        <w:tc>
          <w:tcPr>
            <w:tcW w:w="26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8,422,352.91</w:t>
            </w:r>
          </w:p>
        </w:tc>
        <w:tc>
          <w:tcPr>
            <w:tcW w:w="27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6,030,508.74</w:t>
            </w:r>
          </w:p>
        </w:tc>
      </w:tr>
      <w:tr>
        <w:trPr>
          <w:trHeight w:val="341" w:hRule="exact"/>
        </w:trPr>
        <w:tc>
          <w:tcPr>
            <w:tcW w:w="28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62" w:type="dxa"/>
            <w:tcBorders>
              <w:top w:val="single" w:sz="12" w:space="0" w:color="000000"/>
              <w:left w:val="single" w:sz="12" w:space="0" w:color="000000"/>
              <w:bottom w:val="single" w:sz="12" w:space="0" w:color="000000"/>
              <w:right w:val="single" w:sz="12" w:space="0" w:color="000000"/>
            </w:tcBorders>
          </w:tcPr>
          <w:p>
            <w:pPr/>
          </w:p>
        </w:tc>
        <w:tc>
          <w:tcPr>
            <w:tcW w:w="26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75,801,176.28</w:t>
            </w:r>
          </w:p>
        </w:tc>
        <w:tc>
          <w:tcPr>
            <w:tcW w:w="27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54,274,578.74</w:t>
            </w:r>
          </w:p>
        </w:tc>
      </w:tr>
      <w:tr>
        <w:trPr>
          <w:trHeight w:val="343" w:hRule="exact"/>
        </w:trPr>
        <w:tc>
          <w:tcPr>
            <w:tcW w:w="28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962" w:type="dxa"/>
            <w:tcBorders>
              <w:top w:val="single" w:sz="12" w:space="0" w:color="000000"/>
              <w:left w:val="single" w:sz="12" w:space="0" w:color="000000"/>
              <w:bottom w:val="single" w:sz="12" w:space="0" w:color="000000"/>
              <w:right w:val="single" w:sz="12" w:space="0" w:color="000000"/>
            </w:tcBorders>
          </w:tcPr>
          <w:p>
            <w:pPr/>
          </w:p>
        </w:tc>
        <w:tc>
          <w:tcPr>
            <w:tcW w:w="2638" w:type="dxa"/>
            <w:tcBorders>
              <w:top w:val="single" w:sz="12" w:space="0" w:color="000000"/>
              <w:left w:val="single" w:sz="12" w:space="0" w:color="000000"/>
              <w:bottom w:val="single" w:sz="12" w:space="0" w:color="000000"/>
              <w:right w:val="single" w:sz="12" w:space="0" w:color="000000"/>
            </w:tcBorders>
          </w:tcPr>
          <w:p>
            <w:pPr/>
          </w:p>
        </w:tc>
        <w:tc>
          <w:tcPr>
            <w:tcW w:w="2729"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8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股东权益合计</w:t>
            </w:r>
          </w:p>
        </w:tc>
        <w:tc>
          <w:tcPr>
            <w:tcW w:w="962" w:type="dxa"/>
            <w:tcBorders>
              <w:top w:val="single" w:sz="12" w:space="0" w:color="000000"/>
              <w:left w:val="single" w:sz="12" w:space="0" w:color="000000"/>
              <w:bottom w:val="single" w:sz="12" w:space="0" w:color="000000"/>
              <w:right w:val="single" w:sz="12" w:space="0" w:color="000000"/>
            </w:tcBorders>
          </w:tcPr>
          <w:p>
            <w:pPr/>
          </w:p>
        </w:tc>
        <w:tc>
          <w:tcPr>
            <w:tcW w:w="26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1"/>
              <w:jc w:val="center"/>
              <w:rPr>
                <w:rFonts w:ascii="Arial" w:hAnsi="Arial" w:cs="Arial" w:eastAsia="Arial" w:hint="default"/>
                <w:sz w:val="18"/>
                <w:szCs w:val="18"/>
              </w:rPr>
            </w:pPr>
            <w:r>
              <w:rPr>
                <w:rFonts w:ascii="Arial"/>
                <w:b/>
                <w:sz w:val="18"/>
              </w:rPr>
              <w:t>724,034,562.66</w:t>
            </w:r>
            <w:r>
              <w:rPr>
                <w:rFonts w:ascii="Arial"/>
                <w:sz w:val="18"/>
              </w:rPr>
            </w:r>
          </w:p>
        </w:tc>
        <w:tc>
          <w:tcPr>
            <w:tcW w:w="27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1"/>
              <w:jc w:val="center"/>
              <w:rPr>
                <w:rFonts w:ascii="Arial" w:hAnsi="Arial" w:cs="Arial" w:eastAsia="Arial" w:hint="default"/>
                <w:sz w:val="18"/>
                <w:szCs w:val="18"/>
              </w:rPr>
            </w:pPr>
            <w:r>
              <w:rPr>
                <w:rFonts w:ascii="Arial"/>
                <w:b/>
                <w:sz w:val="18"/>
              </w:rPr>
              <w:t>168,831,920.95</w:t>
            </w:r>
            <w:r>
              <w:rPr>
                <w:rFonts w:ascii="Arial"/>
                <w:sz w:val="18"/>
              </w:rPr>
            </w:r>
          </w:p>
        </w:tc>
      </w:tr>
      <w:tr>
        <w:trPr>
          <w:trHeight w:val="341" w:hRule="exact"/>
        </w:trPr>
        <w:tc>
          <w:tcPr>
            <w:tcW w:w="28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负债及股东权益总计</w:t>
            </w:r>
          </w:p>
        </w:tc>
        <w:tc>
          <w:tcPr>
            <w:tcW w:w="962" w:type="dxa"/>
            <w:tcBorders>
              <w:top w:val="single" w:sz="12" w:space="0" w:color="000000"/>
              <w:left w:val="single" w:sz="12" w:space="0" w:color="000000"/>
              <w:bottom w:val="single" w:sz="12" w:space="0" w:color="000000"/>
              <w:right w:val="single" w:sz="12" w:space="0" w:color="000000"/>
            </w:tcBorders>
          </w:tcPr>
          <w:p>
            <w:pPr/>
          </w:p>
        </w:tc>
        <w:tc>
          <w:tcPr>
            <w:tcW w:w="26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1"/>
              <w:jc w:val="center"/>
              <w:rPr>
                <w:rFonts w:ascii="Arial" w:hAnsi="Arial" w:cs="Arial" w:eastAsia="Arial" w:hint="default"/>
                <w:sz w:val="18"/>
                <w:szCs w:val="18"/>
              </w:rPr>
            </w:pPr>
            <w:r>
              <w:rPr>
                <w:rFonts w:ascii="Arial"/>
                <w:b/>
                <w:sz w:val="18"/>
              </w:rPr>
              <w:t>743,592,573.67</w:t>
            </w:r>
            <w:r>
              <w:rPr>
                <w:rFonts w:ascii="Arial"/>
                <w:sz w:val="18"/>
              </w:rPr>
            </w:r>
          </w:p>
        </w:tc>
        <w:tc>
          <w:tcPr>
            <w:tcW w:w="27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1"/>
              <w:jc w:val="center"/>
              <w:rPr>
                <w:rFonts w:ascii="Arial" w:hAnsi="Arial" w:cs="Arial" w:eastAsia="Arial" w:hint="default"/>
                <w:sz w:val="18"/>
                <w:szCs w:val="18"/>
              </w:rPr>
            </w:pPr>
            <w:r>
              <w:rPr>
                <w:rFonts w:ascii="Arial"/>
                <w:b/>
                <w:sz w:val="18"/>
              </w:rPr>
              <w:t>228,633,432.80</w:t>
            </w:r>
            <w:r>
              <w:rPr>
                <w:rFonts w:ascii="Arial"/>
                <w:sz w:val="18"/>
              </w:rPr>
            </w:r>
          </w:p>
        </w:tc>
      </w:tr>
    </w:tbl>
    <w:p>
      <w:pPr>
        <w:tabs>
          <w:tab w:pos="2956" w:val="left" w:leader="none"/>
          <w:tab w:pos="7187" w:val="left" w:leader="none"/>
        </w:tabs>
        <w:spacing w:line="208" w:lineRule="exact" w:before="0"/>
        <w:ind w:left="343" w:right="0" w:firstLine="0"/>
        <w:jc w:val="left"/>
        <w:rPr>
          <w:rFonts w:ascii="宋体" w:hAnsi="宋体" w:cs="宋体" w:eastAsia="宋体" w:hint="default"/>
          <w:sz w:val="18"/>
          <w:szCs w:val="18"/>
        </w:rPr>
      </w:pPr>
      <w:r>
        <w:rPr>
          <w:rFonts w:ascii="宋体" w:hAnsi="宋体" w:cs="宋体" w:eastAsia="宋体" w:hint="default"/>
          <w:w w:val="95"/>
          <w:sz w:val="18"/>
          <w:szCs w:val="18"/>
        </w:rPr>
        <w:t>法定代表人：纪立军</w:t>
        <w:tab/>
        <w:t>主管会计工作负责人：郑强</w:t>
        <w:tab/>
      </w:r>
      <w:r>
        <w:rPr>
          <w:rFonts w:ascii="宋体" w:hAnsi="宋体" w:cs="宋体" w:eastAsia="宋体" w:hint="default"/>
          <w:sz w:val="18"/>
          <w:szCs w:val="18"/>
        </w:rPr>
        <w:t>会计机构负责人：王迎辉</w:t>
      </w:r>
    </w:p>
    <w:p>
      <w:pPr>
        <w:spacing w:after="0" w:line="208" w:lineRule="exact"/>
        <w:jc w:val="left"/>
        <w:rPr>
          <w:rFonts w:ascii="宋体" w:hAnsi="宋体" w:cs="宋体" w:eastAsia="宋体" w:hint="default"/>
          <w:sz w:val="18"/>
          <w:szCs w:val="18"/>
        </w:rPr>
        <w:sectPr>
          <w:pgSz w:w="11900" w:h="16840"/>
          <w:pgMar w:header="877" w:footer="983" w:top="1060" w:bottom="1180" w:left="1560" w:right="860"/>
        </w:sectPr>
      </w:pPr>
    </w:p>
    <w:p>
      <w:pPr>
        <w:spacing w:line="240" w:lineRule="auto" w:before="4"/>
        <w:rPr>
          <w:rFonts w:ascii="宋体" w:hAnsi="宋体" w:cs="宋体" w:eastAsia="宋体" w:hint="default"/>
          <w:sz w:val="24"/>
          <w:szCs w:val="24"/>
        </w:rPr>
      </w:pPr>
    </w:p>
    <w:p>
      <w:pPr>
        <w:pStyle w:val="Heading2"/>
        <w:spacing w:line="240" w:lineRule="auto"/>
        <w:ind w:right="71"/>
        <w:jc w:val="center"/>
      </w:pPr>
      <w:r>
        <w:rPr/>
        <w:t>利润表（合并）</w:t>
      </w:r>
    </w:p>
    <w:p>
      <w:pPr>
        <w:tabs>
          <w:tab w:pos="5451" w:val="left" w:leader="none"/>
          <w:tab w:pos="8098" w:val="left" w:leader="none"/>
        </w:tabs>
        <w:spacing w:before="145"/>
        <w:ind w:left="139" w:right="0" w:firstLine="0"/>
        <w:jc w:val="left"/>
        <w:rPr>
          <w:rFonts w:ascii="宋体" w:hAnsi="宋体" w:cs="宋体" w:eastAsia="宋体" w:hint="default"/>
          <w:sz w:val="18"/>
          <w:szCs w:val="18"/>
        </w:rPr>
      </w:pPr>
      <w:r>
        <w:rPr>
          <w:rFonts w:ascii="宋体" w:hAnsi="宋体" w:cs="宋体" w:eastAsia="宋体" w:hint="default"/>
          <w:spacing w:val="-1"/>
          <w:sz w:val="18"/>
          <w:szCs w:val="18"/>
        </w:rPr>
        <w:t>编制单位：上海安诺其纺织化工股份有限公司</w:t>
        <w:tab/>
      </w:r>
      <w:r>
        <w:rPr>
          <w:rFonts w:ascii="Arial" w:hAnsi="Arial" w:cs="Arial" w:eastAsia="Arial" w:hint="default"/>
          <w:spacing w:val="-1"/>
          <w:sz w:val="18"/>
          <w:szCs w:val="18"/>
        </w:rPr>
        <w:t>2010</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31</w:t>
      </w:r>
      <w:r>
        <w:rPr>
          <w:rFonts w:ascii="Arial" w:hAnsi="Arial" w:cs="Arial" w:eastAsia="Arial" w:hint="default"/>
          <w:spacing w:val="-4"/>
          <w:sz w:val="18"/>
          <w:szCs w:val="18"/>
        </w:rPr>
        <w:t> </w:t>
      </w:r>
      <w:r>
        <w:rPr>
          <w:rFonts w:ascii="宋体" w:hAnsi="宋体" w:cs="宋体" w:eastAsia="宋体" w:hint="default"/>
          <w:sz w:val="18"/>
          <w:szCs w:val="18"/>
        </w:rPr>
        <w:t>日</w:t>
        <w:tab/>
      </w:r>
      <w:r>
        <w:rPr>
          <w:rFonts w:ascii="宋体" w:hAnsi="宋体" w:cs="宋体" w:eastAsia="宋体" w:hint="default"/>
          <w:spacing w:val="-2"/>
          <w:sz w:val="18"/>
          <w:szCs w:val="18"/>
        </w:rPr>
        <w:t>单位：元</w:t>
      </w:r>
    </w:p>
    <w:p>
      <w:pPr>
        <w:spacing w:line="240" w:lineRule="auto" w:before="6"/>
        <w:rPr>
          <w:rFonts w:ascii="宋体" w:hAnsi="宋体" w:cs="宋体" w:eastAsia="宋体" w:hint="default"/>
          <w:sz w:val="6"/>
          <w:szCs w:val="6"/>
        </w:rPr>
      </w:pPr>
    </w:p>
    <w:tbl>
      <w:tblPr>
        <w:tblW w:w="0" w:type="auto"/>
        <w:jc w:val="left"/>
        <w:tblInd w:w="166" w:type="dxa"/>
        <w:tblLayout w:type="fixed"/>
        <w:tblCellMar>
          <w:top w:w="0" w:type="dxa"/>
          <w:left w:w="0" w:type="dxa"/>
          <w:bottom w:w="0" w:type="dxa"/>
          <w:right w:w="0" w:type="dxa"/>
        </w:tblCellMar>
        <w:tblLook w:val="01E0"/>
      </w:tblPr>
      <w:tblGrid>
        <w:gridCol w:w="3595"/>
        <w:gridCol w:w="742"/>
        <w:gridCol w:w="2246"/>
        <w:gridCol w:w="2436"/>
      </w:tblGrid>
      <w:tr>
        <w:trPr>
          <w:trHeight w:val="343" w:hRule="exact"/>
        </w:trPr>
        <w:tc>
          <w:tcPr>
            <w:tcW w:w="3595" w:type="dxa"/>
            <w:vMerge w:val="restart"/>
            <w:tcBorders>
              <w:top w:val="single" w:sz="12" w:space="0" w:color="000000"/>
              <w:left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742" w:type="dxa"/>
            <w:vMerge w:val="restart"/>
            <w:tcBorders>
              <w:top w:val="single" w:sz="12" w:space="0" w:color="000000"/>
              <w:left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22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年度</w:t>
            </w:r>
          </w:p>
        </w:tc>
        <w:tc>
          <w:tcPr>
            <w:tcW w:w="24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5"/>
                <w:sz w:val="18"/>
                <w:szCs w:val="18"/>
              </w:rPr>
              <w:t> </w:t>
            </w:r>
            <w:r>
              <w:rPr>
                <w:rFonts w:ascii="宋体" w:hAnsi="宋体" w:cs="宋体" w:eastAsia="宋体" w:hint="default"/>
                <w:sz w:val="18"/>
                <w:szCs w:val="18"/>
              </w:rPr>
              <w:t>年度</w:t>
            </w:r>
          </w:p>
        </w:tc>
      </w:tr>
      <w:tr>
        <w:trPr>
          <w:trHeight w:val="341" w:hRule="exact"/>
        </w:trPr>
        <w:tc>
          <w:tcPr>
            <w:tcW w:w="3595" w:type="dxa"/>
            <w:vMerge/>
            <w:tcBorders>
              <w:left w:val="single" w:sz="12" w:space="0" w:color="000000"/>
              <w:bottom w:val="single" w:sz="12" w:space="0" w:color="000000"/>
              <w:right w:val="single" w:sz="12" w:space="0" w:color="000000"/>
            </w:tcBorders>
          </w:tcPr>
          <w:p>
            <w:pPr/>
          </w:p>
        </w:tc>
        <w:tc>
          <w:tcPr>
            <w:tcW w:w="742" w:type="dxa"/>
            <w:vMerge/>
            <w:tcBorders>
              <w:left w:val="single" w:sz="12" w:space="0" w:color="000000"/>
              <w:bottom w:val="single" w:sz="12" w:space="0" w:color="000000"/>
              <w:right w:val="single" w:sz="12" w:space="0" w:color="000000"/>
            </w:tcBorders>
          </w:tcPr>
          <w:p>
            <w:pPr/>
          </w:p>
        </w:tc>
        <w:tc>
          <w:tcPr>
            <w:tcW w:w="22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合并</w:t>
            </w:r>
          </w:p>
        </w:tc>
        <w:tc>
          <w:tcPr>
            <w:tcW w:w="24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374" w:hRule="exact"/>
        </w:trPr>
        <w:tc>
          <w:tcPr>
            <w:tcW w:w="359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left="9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7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0"/>
              <w:jc w:val="center"/>
              <w:rPr>
                <w:rFonts w:ascii="Arial" w:hAnsi="Arial" w:cs="Arial" w:eastAsia="Arial" w:hint="default"/>
                <w:sz w:val="18"/>
                <w:szCs w:val="18"/>
              </w:rPr>
            </w:pPr>
            <w:r>
              <w:rPr>
                <w:rFonts w:ascii="Arial"/>
                <w:sz w:val="18"/>
              </w:rPr>
              <w:t>6.27</w:t>
            </w:r>
          </w:p>
        </w:tc>
        <w:tc>
          <w:tcPr>
            <w:tcW w:w="22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3"/>
              <w:jc w:val="center"/>
              <w:rPr>
                <w:rFonts w:ascii="Arial" w:hAnsi="Arial" w:cs="Arial" w:eastAsia="Arial" w:hint="default"/>
                <w:sz w:val="18"/>
                <w:szCs w:val="18"/>
              </w:rPr>
            </w:pPr>
            <w:r>
              <w:rPr>
                <w:rFonts w:ascii="Arial"/>
                <w:b/>
                <w:sz w:val="18"/>
              </w:rPr>
              <w:t>187,685,492.14</w:t>
            </w:r>
            <w:r>
              <w:rPr>
                <w:rFonts w:ascii="Arial"/>
                <w:sz w:val="18"/>
              </w:rPr>
            </w:r>
          </w:p>
        </w:tc>
        <w:tc>
          <w:tcPr>
            <w:tcW w:w="24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1"/>
              <w:jc w:val="center"/>
              <w:rPr>
                <w:rFonts w:ascii="Arial" w:hAnsi="Arial" w:cs="Arial" w:eastAsia="Arial" w:hint="default"/>
                <w:sz w:val="18"/>
                <w:szCs w:val="18"/>
              </w:rPr>
            </w:pPr>
            <w:r>
              <w:rPr>
                <w:rFonts w:ascii="Arial"/>
                <w:b/>
                <w:sz w:val="18"/>
              </w:rPr>
              <w:t>196,030,683.00</w:t>
            </w:r>
            <w:r>
              <w:rPr>
                <w:rFonts w:ascii="Arial"/>
                <w:sz w:val="18"/>
              </w:rPr>
            </w:r>
          </w:p>
        </w:tc>
      </w:tr>
      <w:tr>
        <w:trPr>
          <w:trHeight w:val="377" w:hRule="exact"/>
        </w:trPr>
        <w:tc>
          <w:tcPr>
            <w:tcW w:w="359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left="9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7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0"/>
              <w:jc w:val="center"/>
              <w:rPr>
                <w:rFonts w:ascii="Arial" w:hAnsi="Arial" w:cs="Arial" w:eastAsia="Arial" w:hint="default"/>
                <w:sz w:val="18"/>
                <w:szCs w:val="18"/>
              </w:rPr>
            </w:pPr>
            <w:r>
              <w:rPr>
                <w:rFonts w:ascii="Arial"/>
                <w:sz w:val="18"/>
              </w:rPr>
              <w:t>6.27</w:t>
            </w:r>
          </w:p>
        </w:tc>
        <w:tc>
          <w:tcPr>
            <w:tcW w:w="22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3"/>
              <w:jc w:val="center"/>
              <w:rPr>
                <w:rFonts w:ascii="Arial" w:hAnsi="Arial" w:cs="Arial" w:eastAsia="Arial" w:hint="default"/>
                <w:sz w:val="18"/>
                <w:szCs w:val="18"/>
              </w:rPr>
            </w:pPr>
            <w:r>
              <w:rPr>
                <w:rFonts w:ascii="Arial"/>
                <w:b/>
                <w:sz w:val="18"/>
              </w:rPr>
              <w:t>117,280,184.19</w:t>
            </w:r>
            <w:r>
              <w:rPr>
                <w:rFonts w:ascii="Arial"/>
                <w:sz w:val="18"/>
              </w:rPr>
            </w:r>
          </w:p>
        </w:tc>
        <w:tc>
          <w:tcPr>
            <w:tcW w:w="24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1"/>
              <w:jc w:val="center"/>
              <w:rPr>
                <w:rFonts w:ascii="Arial" w:hAnsi="Arial" w:cs="Arial" w:eastAsia="Arial" w:hint="default"/>
                <w:sz w:val="18"/>
                <w:szCs w:val="18"/>
              </w:rPr>
            </w:pPr>
            <w:r>
              <w:rPr>
                <w:rFonts w:ascii="Arial"/>
                <w:b/>
                <w:sz w:val="18"/>
              </w:rPr>
              <w:t>112,778,857.33</w:t>
            </w:r>
            <w:r>
              <w:rPr>
                <w:rFonts w:ascii="Arial"/>
                <w:sz w:val="18"/>
              </w:rPr>
            </w:r>
          </w:p>
        </w:tc>
      </w:tr>
      <w:tr>
        <w:trPr>
          <w:trHeight w:val="374" w:hRule="exact"/>
        </w:trPr>
        <w:tc>
          <w:tcPr>
            <w:tcW w:w="359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left="9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742" w:type="dxa"/>
            <w:tcBorders>
              <w:top w:val="single" w:sz="12" w:space="0" w:color="000000"/>
              <w:left w:val="single" w:sz="12" w:space="0" w:color="000000"/>
              <w:bottom w:val="single" w:sz="12" w:space="0" w:color="000000"/>
              <w:right w:val="single" w:sz="12" w:space="0" w:color="000000"/>
            </w:tcBorders>
          </w:tcPr>
          <w:p>
            <w:pPr/>
          </w:p>
        </w:tc>
        <w:tc>
          <w:tcPr>
            <w:tcW w:w="22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3"/>
              <w:jc w:val="center"/>
              <w:rPr>
                <w:rFonts w:ascii="Arial" w:hAnsi="Arial" w:cs="Arial" w:eastAsia="Arial" w:hint="default"/>
                <w:sz w:val="18"/>
                <w:szCs w:val="18"/>
              </w:rPr>
            </w:pPr>
            <w:r>
              <w:rPr>
                <w:rFonts w:ascii="Arial"/>
                <w:b/>
                <w:sz w:val="18"/>
              </w:rPr>
              <w:t>153,621.91</w:t>
            </w:r>
            <w:r>
              <w:rPr>
                <w:rFonts w:ascii="Arial"/>
                <w:sz w:val="18"/>
              </w:rPr>
            </w:r>
          </w:p>
        </w:tc>
        <w:tc>
          <w:tcPr>
            <w:tcW w:w="24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1"/>
              <w:jc w:val="center"/>
              <w:rPr>
                <w:rFonts w:ascii="Arial" w:hAnsi="Arial" w:cs="Arial" w:eastAsia="Arial" w:hint="default"/>
                <w:sz w:val="18"/>
                <w:szCs w:val="18"/>
              </w:rPr>
            </w:pPr>
            <w:r>
              <w:rPr>
                <w:rFonts w:ascii="Arial"/>
                <w:b/>
                <w:sz w:val="18"/>
              </w:rPr>
              <w:t>201,395.53</w:t>
            </w:r>
            <w:r>
              <w:rPr>
                <w:rFonts w:ascii="Arial"/>
                <w:sz w:val="18"/>
              </w:rPr>
            </w:r>
          </w:p>
        </w:tc>
      </w:tr>
      <w:tr>
        <w:trPr>
          <w:trHeight w:val="374" w:hRule="exact"/>
        </w:trPr>
        <w:tc>
          <w:tcPr>
            <w:tcW w:w="359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left="9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7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0"/>
              <w:jc w:val="center"/>
              <w:rPr>
                <w:rFonts w:ascii="Arial" w:hAnsi="Arial" w:cs="Arial" w:eastAsia="Arial" w:hint="default"/>
                <w:sz w:val="18"/>
                <w:szCs w:val="18"/>
              </w:rPr>
            </w:pPr>
            <w:r>
              <w:rPr>
                <w:rFonts w:ascii="Arial"/>
                <w:sz w:val="18"/>
              </w:rPr>
              <w:t>6.28</w:t>
            </w:r>
          </w:p>
        </w:tc>
        <w:tc>
          <w:tcPr>
            <w:tcW w:w="22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1"/>
              <w:jc w:val="center"/>
              <w:rPr>
                <w:rFonts w:ascii="Arial" w:hAnsi="Arial" w:cs="Arial" w:eastAsia="Arial" w:hint="default"/>
                <w:sz w:val="18"/>
                <w:szCs w:val="18"/>
              </w:rPr>
            </w:pPr>
            <w:r>
              <w:rPr>
                <w:rFonts w:ascii="Arial"/>
                <w:b/>
                <w:sz w:val="18"/>
              </w:rPr>
              <w:t>16,217,503.16</w:t>
            </w:r>
            <w:r>
              <w:rPr>
                <w:rFonts w:ascii="Arial"/>
                <w:sz w:val="18"/>
              </w:rPr>
            </w:r>
          </w:p>
        </w:tc>
        <w:tc>
          <w:tcPr>
            <w:tcW w:w="24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0"/>
              <w:jc w:val="center"/>
              <w:rPr>
                <w:rFonts w:ascii="Arial" w:hAnsi="Arial" w:cs="Arial" w:eastAsia="Arial" w:hint="default"/>
                <w:sz w:val="18"/>
                <w:szCs w:val="18"/>
              </w:rPr>
            </w:pPr>
            <w:r>
              <w:rPr>
                <w:rFonts w:ascii="Arial"/>
                <w:b/>
                <w:sz w:val="18"/>
              </w:rPr>
              <w:t>11,173,833.09</w:t>
            </w:r>
            <w:r>
              <w:rPr>
                <w:rFonts w:ascii="Arial"/>
                <w:sz w:val="18"/>
              </w:rPr>
            </w:r>
          </w:p>
        </w:tc>
      </w:tr>
      <w:tr>
        <w:trPr>
          <w:trHeight w:val="374" w:hRule="exact"/>
        </w:trPr>
        <w:tc>
          <w:tcPr>
            <w:tcW w:w="359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left="9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7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0"/>
              <w:jc w:val="center"/>
              <w:rPr>
                <w:rFonts w:ascii="Arial" w:hAnsi="Arial" w:cs="Arial" w:eastAsia="Arial" w:hint="default"/>
                <w:sz w:val="18"/>
                <w:szCs w:val="18"/>
              </w:rPr>
            </w:pPr>
            <w:r>
              <w:rPr>
                <w:rFonts w:ascii="Arial"/>
                <w:sz w:val="18"/>
              </w:rPr>
              <w:t>6.29</w:t>
            </w:r>
          </w:p>
        </w:tc>
        <w:tc>
          <w:tcPr>
            <w:tcW w:w="22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1"/>
              <w:jc w:val="center"/>
              <w:rPr>
                <w:rFonts w:ascii="Arial" w:hAnsi="Arial" w:cs="Arial" w:eastAsia="Arial" w:hint="default"/>
                <w:sz w:val="18"/>
                <w:szCs w:val="18"/>
              </w:rPr>
            </w:pPr>
            <w:r>
              <w:rPr>
                <w:rFonts w:ascii="Arial"/>
                <w:b/>
                <w:sz w:val="18"/>
              </w:rPr>
              <w:t>32,086,671.58</w:t>
            </w:r>
            <w:r>
              <w:rPr>
                <w:rFonts w:ascii="Arial"/>
                <w:sz w:val="18"/>
              </w:rPr>
            </w:r>
          </w:p>
        </w:tc>
        <w:tc>
          <w:tcPr>
            <w:tcW w:w="24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0"/>
              <w:jc w:val="center"/>
              <w:rPr>
                <w:rFonts w:ascii="Arial" w:hAnsi="Arial" w:cs="Arial" w:eastAsia="Arial" w:hint="default"/>
                <w:sz w:val="18"/>
                <w:szCs w:val="18"/>
              </w:rPr>
            </w:pPr>
            <w:r>
              <w:rPr>
                <w:rFonts w:ascii="Arial"/>
                <w:b/>
                <w:sz w:val="18"/>
              </w:rPr>
              <w:t>20,987,995.61</w:t>
            </w:r>
            <w:r>
              <w:rPr>
                <w:rFonts w:ascii="Arial"/>
                <w:sz w:val="18"/>
              </w:rPr>
            </w:r>
          </w:p>
        </w:tc>
      </w:tr>
      <w:tr>
        <w:trPr>
          <w:trHeight w:val="377" w:hRule="exact"/>
        </w:trPr>
        <w:tc>
          <w:tcPr>
            <w:tcW w:w="359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left="9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7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0"/>
              <w:jc w:val="center"/>
              <w:rPr>
                <w:rFonts w:ascii="Arial" w:hAnsi="Arial" w:cs="Arial" w:eastAsia="Arial" w:hint="default"/>
                <w:sz w:val="18"/>
                <w:szCs w:val="18"/>
              </w:rPr>
            </w:pPr>
            <w:r>
              <w:rPr>
                <w:rFonts w:ascii="Arial"/>
                <w:sz w:val="18"/>
              </w:rPr>
              <w:t>6.30</w:t>
            </w:r>
          </w:p>
        </w:tc>
        <w:tc>
          <w:tcPr>
            <w:tcW w:w="22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3"/>
              <w:jc w:val="center"/>
              <w:rPr>
                <w:rFonts w:ascii="Arial" w:hAnsi="Arial" w:cs="Arial" w:eastAsia="Arial" w:hint="default"/>
                <w:sz w:val="18"/>
                <w:szCs w:val="18"/>
              </w:rPr>
            </w:pPr>
            <w:r>
              <w:rPr>
                <w:rFonts w:ascii="Arial"/>
                <w:b/>
                <w:sz w:val="18"/>
              </w:rPr>
              <w:t>-2,826,844.69</w:t>
            </w:r>
            <w:r>
              <w:rPr>
                <w:rFonts w:ascii="Arial"/>
                <w:sz w:val="18"/>
              </w:rPr>
            </w:r>
          </w:p>
        </w:tc>
        <w:tc>
          <w:tcPr>
            <w:tcW w:w="24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0"/>
              <w:jc w:val="center"/>
              <w:rPr>
                <w:rFonts w:ascii="Arial" w:hAnsi="Arial" w:cs="Arial" w:eastAsia="Arial" w:hint="default"/>
                <w:sz w:val="18"/>
                <w:szCs w:val="18"/>
              </w:rPr>
            </w:pPr>
            <w:r>
              <w:rPr>
                <w:rFonts w:ascii="Arial"/>
                <w:b/>
                <w:sz w:val="18"/>
              </w:rPr>
              <w:t>1,306,685.88</w:t>
            </w:r>
            <w:r>
              <w:rPr>
                <w:rFonts w:ascii="Arial"/>
                <w:sz w:val="18"/>
              </w:rPr>
            </w:r>
          </w:p>
        </w:tc>
      </w:tr>
      <w:tr>
        <w:trPr>
          <w:trHeight w:val="374" w:hRule="exact"/>
        </w:trPr>
        <w:tc>
          <w:tcPr>
            <w:tcW w:w="359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left="9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7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0"/>
              <w:jc w:val="center"/>
              <w:rPr>
                <w:rFonts w:ascii="Arial" w:hAnsi="Arial" w:cs="Arial" w:eastAsia="Arial" w:hint="default"/>
                <w:sz w:val="18"/>
                <w:szCs w:val="18"/>
              </w:rPr>
            </w:pPr>
            <w:r>
              <w:rPr>
                <w:rFonts w:ascii="Arial"/>
                <w:sz w:val="18"/>
              </w:rPr>
              <w:t>6.31</w:t>
            </w:r>
          </w:p>
        </w:tc>
        <w:tc>
          <w:tcPr>
            <w:tcW w:w="22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3"/>
              <w:jc w:val="center"/>
              <w:rPr>
                <w:rFonts w:ascii="Arial" w:hAnsi="Arial" w:cs="Arial" w:eastAsia="Arial" w:hint="default"/>
                <w:sz w:val="18"/>
                <w:szCs w:val="18"/>
              </w:rPr>
            </w:pPr>
            <w:r>
              <w:rPr>
                <w:rFonts w:ascii="Arial"/>
                <w:b/>
                <w:sz w:val="18"/>
              </w:rPr>
              <w:t>536,733.38</w:t>
            </w:r>
            <w:r>
              <w:rPr>
                <w:rFonts w:ascii="Arial"/>
                <w:sz w:val="18"/>
              </w:rPr>
            </w:r>
          </w:p>
        </w:tc>
        <w:tc>
          <w:tcPr>
            <w:tcW w:w="24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1"/>
              <w:jc w:val="center"/>
              <w:rPr>
                <w:rFonts w:ascii="Arial" w:hAnsi="Arial" w:cs="Arial" w:eastAsia="Arial" w:hint="default"/>
                <w:sz w:val="18"/>
                <w:szCs w:val="18"/>
              </w:rPr>
            </w:pPr>
            <w:r>
              <w:rPr>
                <w:rFonts w:ascii="Arial"/>
                <w:b/>
                <w:sz w:val="18"/>
              </w:rPr>
              <w:t>868,925.67</w:t>
            </w:r>
            <w:r>
              <w:rPr>
                <w:rFonts w:ascii="Arial"/>
                <w:sz w:val="18"/>
              </w:rPr>
            </w:r>
          </w:p>
        </w:tc>
      </w:tr>
      <w:tr>
        <w:trPr>
          <w:trHeight w:val="374" w:hRule="exact"/>
        </w:trPr>
        <w:tc>
          <w:tcPr>
            <w:tcW w:w="359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left="93" w:right="0"/>
              <w:jc w:val="left"/>
              <w:rPr>
                <w:rFonts w:ascii="宋体" w:hAnsi="宋体" w:cs="宋体" w:eastAsia="宋体" w:hint="default"/>
                <w:sz w:val="18"/>
                <w:szCs w:val="18"/>
              </w:rPr>
            </w:pPr>
            <w:r>
              <w:rPr>
                <w:rFonts w:ascii="宋体" w:hAnsi="宋体" w:cs="宋体" w:eastAsia="宋体" w:hint="default"/>
                <w:sz w:val="18"/>
                <w:szCs w:val="18"/>
              </w:rPr>
              <w:t>加：公允价值变动收益</w:t>
            </w:r>
          </w:p>
        </w:tc>
        <w:tc>
          <w:tcPr>
            <w:tcW w:w="742" w:type="dxa"/>
            <w:tcBorders>
              <w:top w:val="single" w:sz="12" w:space="0" w:color="000000"/>
              <w:left w:val="single" w:sz="12" w:space="0" w:color="000000"/>
              <w:bottom w:val="single" w:sz="12" w:space="0" w:color="000000"/>
              <w:right w:val="single" w:sz="12" w:space="0" w:color="000000"/>
            </w:tcBorders>
          </w:tcPr>
          <w:p>
            <w:pPr/>
          </w:p>
        </w:tc>
        <w:tc>
          <w:tcPr>
            <w:tcW w:w="22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1"/>
              <w:jc w:val="center"/>
              <w:rPr>
                <w:rFonts w:ascii="Arial" w:hAnsi="Arial" w:cs="Arial" w:eastAsia="Arial" w:hint="default"/>
                <w:sz w:val="18"/>
                <w:szCs w:val="18"/>
              </w:rPr>
            </w:pPr>
            <w:r>
              <w:rPr>
                <w:rFonts w:ascii="Arial"/>
                <w:b/>
                <w:sz w:val="18"/>
              </w:rPr>
              <w:t>25,583.34</w:t>
            </w:r>
            <w:r>
              <w:rPr>
                <w:rFonts w:ascii="Arial"/>
                <w:sz w:val="18"/>
              </w:rPr>
            </w:r>
          </w:p>
        </w:tc>
        <w:tc>
          <w:tcPr>
            <w:tcW w:w="24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0"/>
              <w:jc w:val="center"/>
              <w:rPr>
                <w:rFonts w:ascii="Arial" w:hAnsi="Arial" w:cs="Arial" w:eastAsia="Arial" w:hint="default"/>
                <w:sz w:val="18"/>
                <w:szCs w:val="18"/>
              </w:rPr>
            </w:pPr>
            <w:r>
              <w:rPr>
                <w:rFonts w:ascii="Arial"/>
                <w:b/>
                <w:w w:val="99"/>
                <w:sz w:val="18"/>
              </w:rPr>
              <w:t>-</w:t>
            </w:r>
            <w:r>
              <w:rPr>
                <w:rFonts w:ascii="Arial"/>
                <w:sz w:val="18"/>
              </w:rPr>
            </w:r>
          </w:p>
        </w:tc>
      </w:tr>
      <w:tr>
        <w:trPr>
          <w:trHeight w:val="374" w:hRule="exact"/>
        </w:trPr>
        <w:tc>
          <w:tcPr>
            <w:tcW w:w="359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left="9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742" w:type="dxa"/>
            <w:tcBorders>
              <w:top w:val="single" w:sz="12" w:space="0" w:color="000000"/>
              <w:left w:val="single" w:sz="12" w:space="0" w:color="000000"/>
              <w:bottom w:val="single" w:sz="12" w:space="0" w:color="000000"/>
              <w:right w:val="single" w:sz="12" w:space="0" w:color="000000"/>
            </w:tcBorders>
          </w:tcPr>
          <w:p>
            <w:pPr/>
          </w:p>
        </w:tc>
        <w:tc>
          <w:tcPr>
            <w:tcW w:w="22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1"/>
              <w:jc w:val="center"/>
              <w:rPr>
                <w:rFonts w:ascii="Arial" w:hAnsi="Arial" w:cs="Arial" w:eastAsia="Arial" w:hint="default"/>
                <w:sz w:val="18"/>
                <w:szCs w:val="18"/>
              </w:rPr>
            </w:pPr>
            <w:r>
              <w:rPr>
                <w:rFonts w:ascii="Arial"/>
                <w:b/>
                <w:sz w:val="18"/>
              </w:rPr>
              <w:t>69,333.36</w:t>
            </w:r>
            <w:r>
              <w:rPr>
                <w:rFonts w:ascii="Arial"/>
                <w:sz w:val="18"/>
              </w:rPr>
            </w:r>
          </w:p>
        </w:tc>
        <w:tc>
          <w:tcPr>
            <w:tcW w:w="24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0"/>
              <w:jc w:val="center"/>
              <w:rPr>
                <w:rFonts w:ascii="Arial" w:hAnsi="Arial" w:cs="Arial" w:eastAsia="Arial" w:hint="default"/>
                <w:sz w:val="18"/>
                <w:szCs w:val="18"/>
              </w:rPr>
            </w:pPr>
            <w:r>
              <w:rPr>
                <w:rFonts w:ascii="Arial"/>
                <w:b/>
                <w:w w:val="99"/>
                <w:sz w:val="18"/>
              </w:rPr>
              <w:t>-</w:t>
            </w:r>
            <w:r>
              <w:rPr>
                <w:rFonts w:ascii="Arial"/>
                <w:sz w:val="18"/>
              </w:rPr>
            </w:r>
          </w:p>
        </w:tc>
      </w:tr>
      <w:tr>
        <w:trPr>
          <w:trHeight w:val="377" w:hRule="exact"/>
        </w:trPr>
        <w:tc>
          <w:tcPr>
            <w:tcW w:w="359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left="9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742" w:type="dxa"/>
            <w:tcBorders>
              <w:top w:val="single" w:sz="12" w:space="0" w:color="000000"/>
              <w:left w:val="single" w:sz="12" w:space="0" w:color="000000"/>
              <w:bottom w:val="single" w:sz="12" w:space="0" w:color="000000"/>
              <w:right w:val="single" w:sz="12" w:space="0" w:color="000000"/>
            </w:tcBorders>
          </w:tcPr>
          <w:p>
            <w:pPr/>
          </w:p>
        </w:tc>
        <w:tc>
          <w:tcPr>
            <w:tcW w:w="22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0"/>
              <w:jc w:val="center"/>
              <w:rPr>
                <w:rFonts w:ascii="Arial" w:hAnsi="Arial" w:cs="Arial" w:eastAsia="Arial" w:hint="default"/>
                <w:sz w:val="18"/>
                <w:szCs w:val="18"/>
              </w:rPr>
            </w:pPr>
            <w:r>
              <w:rPr>
                <w:rFonts w:ascii="Arial"/>
                <w:b/>
                <w:w w:val="99"/>
                <w:sz w:val="18"/>
              </w:rPr>
              <w:t>-</w:t>
            </w:r>
            <w:r>
              <w:rPr>
                <w:rFonts w:ascii="Arial"/>
                <w:sz w:val="18"/>
              </w:rPr>
            </w:r>
          </w:p>
        </w:tc>
        <w:tc>
          <w:tcPr>
            <w:tcW w:w="2436" w:type="dxa"/>
            <w:tcBorders>
              <w:top w:val="single" w:sz="12" w:space="0" w:color="000000"/>
              <w:left w:val="single" w:sz="12" w:space="0" w:color="000000"/>
              <w:bottom w:val="single" w:sz="12" w:space="0" w:color="000000"/>
              <w:right w:val="single" w:sz="12" w:space="0" w:color="000000"/>
            </w:tcBorders>
          </w:tcPr>
          <w:p>
            <w:pPr/>
          </w:p>
        </w:tc>
      </w:tr>
      <w:tr>
        <w:trPr>
          <w:trHeight w:val="374" w:hRule="exact"/>
        </w:trPr>
        <w:tc>
          <w:tcPr>
            <w:tcW w:w="3595" w:type="dxa"/>
            <w:tcBorders>
              <w:top w:val="single" w:sz="12" w:space="0" w:color="000000"/>
              <w:left w:val="single" w:sz="12" w:space="0" w:color="000000"/>
              <w:bottom w:val="single" w:sz="12" w:space="0" w:color="000000"/>
              <w:right w:val="single" w:sz="12" w:space="0" w:color="000000"/>
            </w:tcBorders>
          </w:tcPr>
          <w:p>
            <w:pPr/>
          </w:p>
        </w:tc>
        <w:tc>
          <w:tcPr>
            <w:tcW w:w="742" w:type="dxa"/>
            <w:tcBorders>
              <w:top w:val="single" w:sz="12" w:space="0" w:color="000000"/>
              <w:left w:val="single" w:sz="12" w:space="0" w:color="000000"/>
              <w:bottom w:val="single" w:sz="12" w:space="0" w:color="000000"/>
              <w:right w:val="single" w:sz="12" w:space="0" w:color="000000"/>
            </w:tcBorders>
          </w:tcPr>
          <w:p>
            <w:pPr/>
          </w:p>
        </w:tc>
        <w:tc>
          <w:tcPr>
            <w:tcW w:w="2246" w:type="dxa"/>
            <w:tcBorders>
              <w:top w:val="single" w:sz="12" w:space="0" w:color="000000"/>
              <w:left w:val="single" w:sz="12" w:space="0" w:color="000000"/>
              <w:bottom w:val="single" w:sz="12" w:space="0" w:color="000000"/>
              <w:right w:val="single" w:sz="12" w:space="0" w:color="000000"/>
            </w:tcBorders>
          </w:tcPr>
          <w:p>
            <w:pPr/>
          </w:p>
        </w:tc>
        <w:tc>
          <w:tcPr>
            <w:tcW w:w="2436" w:type="dxa"/>
            <w:tcBorders>
              <w:top w:val="single" w:sz="12" w:space="0" w:color="000000"/>
              <w:left w:val="single" w:sz="12" w:space="0" w:color="000000"/>
              <w:bottom w:val="single" w:sz="12" w:space="0" w:color="000000"/>
              <w:right w:val="single" w:sz="12" w:space="0" w:color="000000"/>
            </w:tcBorders>
          </w:tcPr>
          <w:p>
            <w:pPr/>
          </w:p>
        </w:tc>
      </w:tr>
      <w:tr>
        <w:trPr>
          <w:trHeight w:val="374" w:hRule="exact"/>
        </w:trPr>
        <w:tc>
          <w:tcPr>
            <w:tcW w:w="359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left="93" w:right="0"/>
              <w:jc w:val="left"/>
              <w:rPr>
                <w:rFonts w:ascii="宋体" w:hAnsi="宋体" w:cs="宋体" w:eastAsia="宋体" w:hint="default"/>
                <w:sz w:val="18"/>
                <w:szCs w:val="18"/>
              </w:rPr>
            </w:pPr>
            <w:r>
              <w:rPr>
                <w:rFonts w:ascii="宋体" w:hAnsi="宋体" w:cs="宋体" w:eastAsia="宋体" w:hint="default"/>
                <w:sz w:val="18"/>
                <w:szCs w:val="18"/>
              </w:rPr>
              <w:t>二、营业利润</w:t>
            </w:r>
          </w:p>
        </w:tc>
        <w:tc>
          <w:tcPr>
            <w:tcW w:w="742" w:type="dxa"/>
            <w:tcBorders>
              <w:top w:val="single" w:sz="12" w:space="0" w:color="000000"/>
              <w:left w:val="single" w:sz="12" w:space="0" w:color="000000"/>
              <w:bottom w:val="single" w:sz="12" w:space="0" w:color="000000"/>
              <w:right w:val="single" w:sz="12" w:space="0" w:color="000000"/>
            </w:tcBorders>
          </w:tcPr>
          <w:p>
            <w:pPr/>
          </w:p>
        </w:tc>
        <w:tc>
          <w:tcPr>
            <w:tcW w:w="22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1"/>
              <w:jc w:val="center"/>
              <w:rPr>
                <w:rFonts w:ascii="Arial" w:hAnsi="Arial" w:cs="Arial" w:eastAsia="Arial" w:hint="default"/>
                <w:sz w:val="18"/>
                <w:szCs w:val="18"/>
              </w:rPr>
            </w:pPr>
            <w:r>
              <w:rPr>
                <w:rFonts w:ascii="Arial"/>
                <w:b/>
                <w:sz w:val="18"/>
              </w:rPr>
              <w:t>24,332,539.31</w:t>
            </w:r>
            <w:r>
              <w:rPr>
                <w:rFonts w:ascii="Arial"/>
                <w:sz w:val="18"/>
              </w:rPr>
            </w:r>
          </w:p>
        </w:tc>
        <w:tc>
          <w:tcPr>
            <w:tcW w:w="24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0"/>
              <w:jc w:val="center"/>
              <w:rPr>
                <w:rFonts w:ascii="Arial" w:hAnsi="Arial" w:cs="Arial" w:eastAsia="Arial" w:hint="default"/>
                <w:sz w:val="18"/>
                <w:szCs w:val="18"/>
              </w:rPr>
            </w:pPr>
            <w:r>
              <w:rPr>
                <w:rFonts w:ascii="Arial"/>
                <w:b/>
                <w:sz w:val="18"/>
              </w:rPr>
              <w:t>48,712,989.89</w:t>
            </w:r>
            <w:r>
              <w:rPr>
                <w:rFonts w:ascii="Arial"/>
                <w:sz w:val="18"/>
              </w:rPr>
            </w:r>
          </w:p>
        </w:tc>
      </w:tr>
      <w:tr>
        <w:trPr>
          <w:trHeight w:val="374" w:hRule="exact"/>
        </w:trPr>
        <w:tc>
          <w:tcPr>
            <w:tcW w:w="359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left="9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7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0"/>
              <w:jc w:val="center"/>
              <w:rPr>
                <w:rFonts w:ascii="Arial" w:hAnsi="Arial" w:cs="Arial" w:eastAsia="Arial" w:hint="default"/>
                <w:sz w:val="18"/>
                <w:szCs w:val="18"/>
              </w:rPr>
            </w:pPr>
            <w:r>
              <w:rPr>
                <w:rFonts w:ascii="Arial"/>
                <w:sz w:val="18"/>
              </w:rPr>
              <w:t>6.32</w:t>
            </w:r>
          </w:p>
        </w:tc>
        <w:tc>
          <w:tcPr>
            <w:tcW w:w="22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1"/>
              <w:jc w:val="center"/>
              <w:rPr>
                <w:rFonts w:ascii="Arial" w:hAnsi="Arial" w:cs="Arial" w:eastAsia="Arial" w:hint="default"/>
                <w:sz w:val="18"/>
                <w:szCs w:val="18"/>
              </w:rPr>
            </w:pPr>
            <w:r>
              <w:rPr>
                <w:rFonts w:ascii="Arial"/>
                <w:sz w:val="18"/>
              </w:rPr>
              <w:t>8,513,430.37</w:t>
            </w:r>
          </w:p>
        </w:tc>
        <w:tc>
          <w:tcPr>
            <w:tcW w:w="24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0"/>
              <w:jc w:val="center"/>
              <w:rPr>
                <w:rFonts w:ascii="Arial" w:hAnsi="Arial" w:cs="Arial" w:eastAsia="Arial" w:hint="default"/>
                <w:sz w:val="18"/>
                <w:szCs w:val="18"/>
              </w:rPr>
            </w:pPr>
            <w:r>
              <w:rPr>
                <w:rFonts w:ascii="Arial"/>
                <w:sz w:val="18"/>
              </w:rPr>
              <w:t>5,885,480.00</w:t>
            </w:r>
          </w:p>
        </w:tc>
      </w:tr>
      <w:tr>
        <w:trPr>
          <w:trHeight w:val="377" w:hRule="exact"/>
        </w:trPr>
        <w:tc>
          <w:tcPr>
            <w:tcW w:w="359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left="9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7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0"/>
              <w:jc w:val="center"/>
              <w:rPr>
                <w:rFonts w:ascii="Arial" w:hAnsi="Arial" w:cs="Arial" w:eastAsia="Arial" w:hint="default"/>
                <w:sz w:val="18"/>
                <w:szCs w:val="18"/>
              </w:rPr>
            </w:pPr>
            <w:r>
              <w:rPr>
                <w:rFonts w:ascii="Arial"/>
                <w:sz w:val="18"/>
              </w:rPr>
              <w:t>6.33</w:t>
            </w:r>
          </w:p>
        </w:tc>
        <w:tc>
          <w:tcPr>
            <w:tcW w:w="22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1"/>
              <w:jc w:val="center"/>
              <w:rPr>
                <w:rFonts w:ascii="Arial" w:hAnsi="Arial" w:cs="Arial" w:eastAsia="Arial" w:hint="default"/>
                <w:sz w:val="18"/>
                <w:szCs w:val="18"/>
              </w:rPr>
            </w:pPr>
            <w:r>
              <w:rPr>
                <w:rFonts w:ascii="Arial"/>
                <w:sz w:val="18"/>
              </w:rPr>
              <w:t>1,251,081.50</w:t>
            </w:r>
          </w:p>
        </w:tc>
        <w:tc>
          <w:tcPr>
            <w:tcW w:w="24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1"/>
              <w:jc w:val="center"/>
              <w:rPr>
                <w:rFonts w:ascii="Arial" w:hAnsi="Arial" w:cs="Arial" w:eastAsia="Arial" w:hint="default"/>
                <w:sz w:val="18"/>
                <w:szCs w:val="18"/>
              </w:rPr>
            </w:pPr>
            <w:r>
              <w:rPr>
                <w:rFonts w:ascii="Arial"/>
                <w:sz w:val="18"/>
              </w:rPr>
              <w:t>315,000.00</w:t>
            </w:r>
          </w:p>
        </w:tc>
      </w:tr>
      <w:tr>
        <w:trPr>
          <w:trHeight w:val="374" w:hRule="exact"/>
        </w:trPr>
        <w:tc>
          <w:tcPr>
            <w:tcW w:w="359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left="9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742" w:type="dxa"/>
            <w:tcBorders>
              <w:top w:val="single" w:sz="12" w:space="0" w:color="000000"/>
              <w:left w:val="single" w:sz="12" w:space="0" w:color="000000"/>
              <w:bottom w:val="single" w:sz="12" w:space="0" w:color="000000"/>
              <w:right w:val="single" w:sz="12" w:space="0" w:color="000000"/>
            </w:tcBorders>
          </w:tcPr>
          <w:p>
            <w:pPr/>
          </w:p>
        </w:tc>
        <w:tc>
          <w:tcPr>
            <w:tcW w:w="22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1"/>
              <w:jc w:val="center"/>
              <w:rPr>
                <w:rFonts w:ascii="Arial" w:hAnsi="Arial" w:cs="Arial" w:eastAsia="Arial" w:hint="default"/>
                <w:sz w:val="18"/>
                <w:szCs w:val="18"/>
              </w:rPr>
            </w:pPr>
            <w:r>
              <w:rPr>
                <w:rFonts w:ascii="Arial"/>
                <w:sz w:val="18"/>
              </w:rPr>
              <w:t>74,241.50</w:t>
            </w:r>
          </w:p>
        </w:tc>
        <w:tc>
          <w:tcPr>
            <w:tcW w:w="2436" w:type="dxa"/>
            <w:tcBorders>
              <w:top w:val="single" w:sz="12" w:space="0" w:color="000000"/>
              <w:left w:val="single" w:sz="12" w:space="0" w:color="000000"/>
              <w:bottom w:val="single" w:sz="12" w:space="0" w:color="000000"/>
              <w:right w:val="single" w:sz="12" w:space="0" w:color="000000"/>
            </w:tcBorders>
          </w:tcPr>
          <w:p>
            <w:pPr/>
          </w:p>
        </w:tc>
      </w:tr>
      <w:tr>
        <w:trPr>
          <w:trHeight w:val="374" w:hRule="exact"/>
        </w:trPr>
        <w:tc>
          <w:tcPr>
            <w:tcW w:w="3595" w:type="dxa"/>
            <w:tcBorders>
              <w:top w:val="single" w:sz="12" w:space="0" w:color="000000"/>
              <w:left w:val="single" w:sz="12" w:space="0" w:color="000000"/>
              <w:bottom w:val="single" w:sz="12" w:space="0" w:color="000000"/>
              <w:right w:val="single" w:sz="12" w:space="0" w:color="000000"/>
            </w:tcBorders>
          </w:tcPr>
          <w:p>
            <w:pPr/>
          </w:p>
        </w:tc>
        <w:tc>
          <w:tcPr>
            <w:tcW w:w="742" w:type="dxa"/>
            <w:tcBorders>
              <w:top w:val="single" w:sz="12" w:space="0" w:color="000000"/>
              <w:left w:val="single" w:sz="12" w:space="0" w:color="000000"/>
              <w:bottom w:val="single" w:sz="12" w:space="0" w:color="000000"/>
              <w:right w:val="single" w:sz="12" w:space="0" w:color="000000"/>
            </w:tcBorders>
          </w:tcPr>
          <w:p>
            <w:pPr/>
          </w:p>
        </w:tc>
        <w:tc>
          <w:tcPr>
            <w:tcW w:w="2246" w:type="dxa"/>
            <w:tcBorders>
              <w:top w:val="single" w:sz="12" w:space="0" w:color="000000"/>
              <w:left w:val="single" w:sz="12" w:space="0" w:color="000000"/>
              <w:bottom w:val="single" w:sz="12" w:space="0" w:color="000000"/>
              <w:right w:val="single" w:sz="12" w:space="0" w:color="000000"/>
            </w:tcBorders>
          </w:tcPr>
          <w:p>
            <w:pPr/>
          </w:p>
        </w:tc>
        <w:tc>
          <w:tcPr>
            <w:tcW w:w="2436" w:type="dxa"/>
            <w:tcBorders>
              <w:top w:val="single" w:sz="12" w:space="0" w:color="000000"/>
              <w:left w:val="single" w:sz="12" w:space="0" w:color="000000"/>
              <w:bottom w:val="single" w:sz="12" w:space="0" w:color="000000"/>
              <w:right w:val="single" w:sz="12" w:space="0" w:color="000000"/>
            </w:tcBorders>
          </w:tcPr>
          <w:p>
            <w:pPr/>
          </w:p>
        </w:tc>
      </w:tr>
      <w:tr>
        <w:trPr>
          <w:trHeight w:val="374" w:hRule="exact"/>
        </w:trPr>
        <w:tc>
          <w:tcPr>
            <w:tcW w:w="359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left="93" w:right="0"/>
              <w:jc w:val="left"/>
              <w:rPr>
                <w:rFonts w:ascii="宋体" w:hAnsi="宋体" w:cs="宋体" w:eastAsia="宋体" w:hint="default"/>
                <w:sz w:val="18"/>
                <w:szCs w:val="18"/>
              </w:rPr>
            </w:pPr>
            <w:r>
              <w:rPr>
                <w:rFonts w:ascii="宋体" w:hAnsi="宋体" w:cs="宋体" w:eastAsia="宋体" w:hint="default"/>
                <w:sz w:val="18"/>
                <w:szCs w:val="18"/>
              </w:rPr>
              <w:t>三、利润总额</w:t>
            </w:r>
          </w:p>
        </w:tc>
        <w:tc>
          <w:tcPr>
            <w:tcW w:w="742" w:type="dxa"/>
            <w:tcBorders>
              <w:top w:val="single" w:sz="12" w:space="0" w:color="000000"/>
              <w:left w:val="single" w:sz="12" w:space="0" w:color="000000"/>
              <w:bottom w:val="single" w:sz="12" w:space="0" w:color="000000"/>
              <w:right w:val="single" w:sz="12" w:space="0" w:color="000000"/>
            </w:tcBorders>
          </w:tcPr>
          <w:p>
            <w:pPr/>
          </w:p>
        </w:tc>
        <w:tc>
          <w:tcPr>
            <w:tcW w:w="22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1"/>
              <w:jc w:val="center"/>
              <w:rPr>
                <w:rFonts w:ascii="Arial" w:hAnsi="Arial" w:cs="Arial" w:eastAsia="Arial" w:hint="default"/>
                <w:sz w:val="18"/>
                <w:szCs w:val="18"/>
              </w:rPr>
            </w:pPr>
            <w:r>
              <w:rPr>
                <w:rFonts w:ascii="Arial"/>
                <w:b/>
                <w:sz w:val="18"/>
              </w:rPr>
              <w:t>31,594,888.18</w:t>
            </w:r>
            <w:r>
              <w:rPr>
                <w:rFonts w:ascii="Arial"/>
                <w:sz w:val="18"/>
              </w:rPr>
            </w:r>
          </w:p>
        </w:tc>
        <w:tc>
          <w:tcPr>
            <w:tcW w:w="24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0"/>
              <w:jc w:val="center"/>
              <w:rPr>
                <w:rFonts w:ascii="Arial" w:hAnsi="Arial" w:cs="Arial" w:eastAsia="Arial" w:hint="default"/>
                <w:sz w:val="18"/>
                <w:szCs w:val="18"/>
              </w:rPr>
            </w:pPr>
            <w:r>
              <w:rPr>
                <w:rFonts w:ascii="Arial"/>
                <w:b/>
                <w:sz w:val="18"/>
              </w:rPr>
              <w:t>54,283,469.89</w:t>
            </w:r>
            <w:r>
              <w:rPr>
                <w:rFonts w:ascii="Arial"/>
                <w:sz w:val="18"/>
              </w:rPr>
            </w:r>
          </w:p>
        </w:tc>
      </w:tr>
      <w:tr>
        <w:trPr>
          <w:trHeight w:val="377" w:hRule="exact"/>
        </w:trPr>
        <w:tc>
          <w:tcPr>
            <w:tcW w:w="359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left="9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7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0"/>
              <w:jc w:val="center"/>
              <w:rPr>
                <w:rFonts w:ascii="Arial" w:hAnsi="Arial" w:cs="Arial" w:eastAsia="Arial" w:hint="default"/>
                <w:sz w:val="18"/>
                <w:szCs w:val="18"/>
              </w:rPr>
            </w:pPr>
            <w:r>
              <w:rPr>
                <w:rFonts w:ascii="Arial"/>
                <w:sz w:val="18"/>
              </w:rPr>
              <w:t>6.34</w:t>
            </w:r>
          </w:p>
        </w:tc>
        <w:tc>
          <w:tcPr>
            <w:tcW w:w="22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1"/>
              <w:jc w:val="center"/>
              <w:rPr>
                <w:rFonts w:ascii="Arial" w:hAnsi="Arial" w:cs="Arial" w:eastAsia="Arial" w:hint="default"/>
                <w:sz w:val="18"/>
                <w:szCs w:val="18"/>
              </w:rPr>
            </w:pPr>
            <w:r>
              <w:rPr>
                <w:rFonts w:ascii="Arial"/>
                <w:sz w:val="18"/>
              </w:rPr>
              <w:t>3,982,064.93</w:t>
            </w:r>
          </w:p>
        </w:tc>
        <w:tc>
          <w:tcPr>
            <w:tcW w:w="24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0"/>
              <w:jc w:val="center"/>
              <w:rPr>
                <w:rFonts w:ascii="Arial" w:hAnsi="Arial" w:cs="Arial" w:eastAsia="Arial" w:hint="default"/>
                <w:sz w:val="18"/>
                <w:szCs w:val="18"/>
              </w:rPr>
            </w:pPr>
            <w:r>
              <w:rPr>
                <w:rFonts w:ascii="Arial"/>
                <w:sz w:val="18"/>
              </w:rPr>
              <w:t>7,004,367.49</w:t>
            </w:r>
          </w:p>
        </w:tc>
      </w:tr>
      <w:tr>
        <w:trPr>
          <w:trHeight w:val="374" w:hRule="exact"/>
        </w:trPr>
        <w:tc>
          <w:tcPr>
            <w:tcW w:w="3595" w:type="dxa"/>
            <w:tcBorders>
              <w:top w:val="single" w:sz="12" w:space="0" w:color="000000"/>
              <w:left w:val="single" w:sz="12" w:space="0" w:color="000000"/>
              <w:bottom w:val="single" w:sz="12" w:space="0" w:color="000000"/>
              <w:right w:val="single" w:sz="12" w:space="0" w:color="000000"/>
            </w:tcBorders>
          </w:tcPr>
          <w:p>
            <w:pPr/>
          </w:p>
        </w:tc>
        <w:tc>
          <w:tcPr>
            <w:tcW w:w="742" w:type="dxa"/>
            <w:tcBorders>
              <w:top w:val="single" w:sz="12" w:space="0" w:color="000000"/>
              <w:left w:val="single" w:sz="12" w:space="0" w:color="000000"/>
              <w:bottom w:val="single" w:sz="12" w:space="0" w:color="000000"/>
              <w:right w:val="single" w:sz="12" w:space="0" w:color="000000"/>
            </w:tcBorders>
          </w:tcPr>
          <w:p>
            <w:pPr/>
          </w:p>
        </w:tc>
        <w:tc>
          <w:tcPr>
            <w:tcW w:w="2246" w:type="dxa"/>
            <w:tcBorders>
              <w:top w:val="single" w:sz="12" w:space="0" w:color="000000"/>
              <w:left w:val="single" w:sz="12" w:space="0" w:color="000000"/>
              <w:bottom w:val="single" w:sz="12" w:space="0" w:color="000000"/>
              <w:right w:val="single" w:sz="12" w:space="0" w:color="000000"/>
            </w:tcBorders>
          </w:tcPr>
          <w:p>
            <w:pPr/>
          </w:p>
        </w:tc>
        <w:tc>
          <w:tcPr>
            <w:tcW w:w="2436" w:type="dxa"/>
            <w:tcBorders>
              <w:top w:val="single" w:sz="12" w:space="0" w:color="000000"/>
              <w:left w:val="single" w:sz="12" w:space="0" w:color="000000"/>
              <w:bottom w:val="single" w:sz="12" w:space="0" w:color="000000"/>
              <w:right w:val="single" w:sz="12" w:space="0" w:color="000000"/>
            </w:tcBorders>
          </w:tcPr>
          <w:p>
            <w:pPr/>
          </w:p>
        </w:tc>
      </w:tr>
      <w:tr>
        <w:trPr>
          <w:trHeight w:val="374" w:hRule="exact"/>
        </w:trPr>
        <w:tc>
          <w:tcPr>
            <w:tcW w:w="359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left="93" w:right="0"/>
              <w:jc w:val="left"/>
              <w:rPr>
                <w:rFonts w:ascii="宋体" w:hAnsi="宋体" w:cs="宋体" w:eastAsia="宋体" w:hint="default"/>
                <w:sz w:val="18"/>
                <w:szCs w:val="18"/>
              </w:rPr>
            </w:pPr>
            <w:r>
              <w:rPr>
                <w:rFonts w:ascii="宋体" w:hAnsi="宋体" w:cs="宋体" w:eastAsia="宋体" w:hint="default"/>
                <w:sz w:val="18"/>
                <w:szCs w:val="18"/>
              </w:rPr>
              <w:t>四、净利润</w:t>
            </w:r>
          </w:p>
        </w:tc>
        <w:tc>
          <w:tcPr>
            <w:tcW w:w="742" w:type="dxa"/>
            <w:tcBorders>
              <w:top w:val="single" w:sz="12" w:space="0" w:color="000000"/>
              <w:left w:val="single" w:sz="12" w:space="0" w:color="000000"/>
              <w:bottom w:val="single" w:sz="12" w:space="0" w:color="000000"/>
              <w:right w:val="single" w:sz="12" w:space="0" w:color="000000"/>
            </w:tcBorders>
          </w:tcPr>
          <w:p>
            <w:pPr/>
          </w:p>
        </w:tc>
        <w:tc>
          <w:tcPr>
            <w:tcW w:w="22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1"/>
              <w:jc w:val="center"/>
              <w:rPr>
                <w:rFonts w:ascii="Arial" w:hAnsi="Arial" w:cs="Arial" w:eastAsia="Arial" w:hint="default"/>
                <w:sz w:val="18"/>
                <w:szCs w:val="18"/>
              </w:rPr>
            </w:pPr>
            <w:r>
              <w:rPr>
                <w:rFonts w:ascii="Arial"/>
                <w:b/>
                <w:sz w:val="18"/>
              </w:rPr>
              <w:t>27,612,823.25</w:t>
            </w:r>
            <w:r>
              <w:rPr>
                <w:rFonts w:ascii="Arial"/>
                <w:sz w:val="18"/>
              </w:rPr>
            </w:r>
          </w:p>
        </w:tc>
        <w:tc>
          <w:tcPr>
            <w:tcW w:w="24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0"/>
              <w:jc w:val="center"/>
              <w:rPr>
                <w:rFonts w:ascii="Arial" w:hAnsi="Arial" w:cs="Arial" w:eastAsia="Arial" w:hint="default"/>
                <w:sz w:val="18"/>
                <w:szCs w:val="18"/>
              </w:rPr>
            </w:pPr>
            <w:r>
              <w:rPr>
                <w:rFonts w:ascii="Arial"/>
                <w:b/>
                <w:sz w:val="18"/>
              </w:rPr>
              <w:t>47,279,102.40</w:t>
            </w:r>
            <w:r>
              <w:rPr>
                <w:rFonts w:ascii="Arial"/>
                <w:sz w:val="18"/>
              </w:rPr>
            </w:r>
          </w:p>
        </w:tc>
      </w:tr>
      <w:tr>
        <w:trPr>
          <w:trHeight w:val="374" w:hRule="exact"/>
        </w:trPr>
        <w:tc>
          <w:tcPr>
            <w:tcW w:w="359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left="93"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742" w:type="dxa"/>
            <w:tcBorders>
              <w:top w:val="single" w:sz="12" w:space="0" w:color="000000"/>
              <w:left w:val="single" w:sz="12" w:space="0" w:color="000000"/>
              <w:bottom w:val="single" w:sz="12" w:space="0" w:color="000000"/>
              <w:right w:val="single" w:sz="12" w:space="0" w:color="000000"/>
            </w:tcBorders>
          </w:tcPr>
          <w:p>
            <w:pPr/>
          </w:p>
        </w:tc>
        <w:tc>
          <w:tcPr>
            <w:tcW w:w="22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1"/>
              <w:jc w:val="center"/>
              <w:rPr>
                <w:rFonts w:ascii="Arial" w:hAnsi="Arial" w:cs="Arial" w:eastAsia="Arial" w:hint="default"/>
                <w:sz w:val="18"/>
                <w:szCs w:val="18"/>
              </w:rPr>
            </w:pPr>
            <w:r>
              <w:rPr>
                <w:rFonts w:ascii="Arial"/>
                <w:sz w:val="18"/>
              </w:rPr>
              <w:t>27,100,214.31</w:t>
            </w:r>
          </w:p>
        </w:tc>
        <w:tc>
          <w:tcPr>
            <w:tcW w:w="24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0"/>
              <w:jc w:val="center"/>
              <w:rPr>
                <w:rFonts w:ascii="Arial" w:hAnsi="Arial" w:cs="Arial" w:eastAsia="Arial" w:hint="default"/>
                <w:sz w:val="18"/>
                <w:szCs w:val="18"/>
              </w:rPr>
            </w:pPr>
            <w:r>
              <w:rPr>
                <w:rFonts w:ascii="Arial"/>
                <w:sz w:val="18"/>
              </w:rPr>
              <w:t>46,307,372.12</w:t>
            </w:r>
          </w:p>
        </w:tc>
      </w:tr>
      <w:tr>
        <w:trPr>
          <w:trHeight w:val="377" w:hRule="exact"/>
        </w:trPr>
        <w:tc>
          <w:tcPr>
            <w:tcW w:w="359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left="9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742" w:type="dxa"/>
            <w:tcBorders>
              <w:top w:val="single" w:sz="12" w:space="0" w:color="000000"/>
              <w:left w:val="single" w:sz="12" w:space="0" w:color="000000"/>
              <w:bottom w:val="single" w:sz="12" w:space="0" w:color="000000"/>
              <w:right w:val="single" w:sz="12" w:space="0" w:color="000000"/>
            </w:tcBorders>
          </w:tcPr>
          <w:p>
            <w:pPr/>
          </w:p>
        </w:tc>
        <w:tc>
          <w:tcPr>
            <w:tcW w:w="22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3"/>
              <w:jc w:val="center"/>
              <w:rPr>
                <w:rFonts w:ascii="Arial" w:hAnsi="Arial" w:cs="Arial" w:eastAsia="Arial" w:hint="default"/>
                <w:sz w:val="18"/>
                <w:szCs w:val="18"/>
              </w:rPr>
            </w:pPr>
            <w:r>
              <w:rPr>
                <w:rFonts w:ascii="Arial"/>
                <w:sz w:val="18"/>
              </w:rPr>
              <w:t>512,608.94</w:t>
            </w:r>
          </w:p>
        </w:tc>
        <w:tc>
          <w:tcPr>
            <w:tcW w:w="24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1"/>
              <w:jc w:val="center"/>
              <w:rPr>
                <w:rFonts w:ascii="Arial" w:hAnsi="Arial" w:cs="Arial" w:eastAsia="Arial" w:hint="default"/>
                <w:sz w:val="18"/>
                <w:szCs w:val="18"/>
              </w:rPr>
            </w:pPr>
            <w:r>
              <w:rPr>
                <w:rFonts w:ascii="Arial"/>
                <w:sz w:val="18"/>
              </w:rPr>
              <w:t>971,730.28</w:t>
            </w:r>
          </w:p>
        </w:tc>
      </w:tr>
      <w:tr>
        <w:trPr>
          <w:trHeight w:val="374" w:hRule="exact"/>
        </w:trPr>
        <w:tc>
          <w:tcPr>
            <w:tcW w:w="359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left="93" w:right="0"/>
              <w:jc w:val="left"/>
              <w:rPr>
                <w:rFonts w:ascii="宋体" w:hAnsi="宋体" w:cs="宋体" w:eastAsia="宋体" w:hint="default"/>
                <w:sz w:val="18"/>
                <w:szCs w:val="18"/>
              </w:rPr>
            </w:pPr>
            <w:r>
              <w:rPr>
                <w:rFonts w:ascii="宋体" w:hAnsi="宋体" w:cs="宋体" w:eastAsia="宋体" w:hint="default"/>
                <w:sz w:val="18"/>
                <w:szCs w:val="18"/>
              </w:rPr>
              <w:t>其中：被合并方在合并前实现利润</w:t>
            </w:r>
          </w:p>
        </w:tc>
        <w:tc>
          <w:tcPr>
            <w:tcW w:w="742" w:type="dxa"/>
            <w:tcBorders>
              <w:top w:val="single" w:sz="12" w:space="0" w:color="000000"/>
              <w:left w:val="single" w:sz="12" w:space="0" w:color="000000"/>
              <w:bottom w:val="single" w:sz="12" w:space="0" w:color="000000"/>
              <w:right w:val="single" w:sz="12" w:space="0" w:color="000000"/>
            </w:tcBorders>
          </w:tcPr>
          <w:p>
            <w:pPr/>
          </w:p>
        </w:tc>
        <w:tc>
          <w:tcPr>
            <w:tcW w:w="2246" w:type="dxa"/>
            <w:tcBorders>
              <w:top w:val="single" w:sz="12" w:space="0" w:color="000000"/>
              <w:left w:val="single" w:sz="12" w:space="0" w:color="000000"/>
              <w:bottom w:val="single" w:sz="12" w:space="0" w:color="000000"/>
              <w:right w:val="single" w:sz="12" w:space="0" w:color="000000"/>
            </w:tcBorders>
          </w:tcPr>
          <w:p>
            <w:pPr/>
          </w:p>
        </w:tc>
        <w:tc>
          <w:tcPr>
            <w:tcW w:w="2436" w:type="dxa"/>
            <w:tcBorders>
              <w:top w:val="single" w:sz="12" w:space="0" w:color="000000"/>
              <w:left w:val="single" w:sz="12" w:space="0" w:color="000000"/>
              <w:bottom w:val="single" w:sz="12" w:space="0" w:color="000000"/>
              <w:right w:val="single" w:sz="12" w:space="0" w:color="000000"/>
            </w:tcBorders>
          </w:tcPr>
          <w:p>
            <w:pPr/>
          </w:p>
        </w:tc>
      </w:tr>
      <w:tr>
        <w:trPr>
          <w:trHeight w:val="374" w:hRule="exact"/>
        </w:trPr>
        <w:tc>
          <w:tcPr>
            <w:tcW w:w="3595" w:type="dxa"/>
            <w:tcBorders>
              <w:top w:val="single" w:sz="12" w:space="0" w:color="000000"/>
              <w:left w:val="single" w:sz="12" w:space="0" w:color="000000"/>
              <w:bottom w:val="single" w:sz="12" w:space="0" w:color="000000"/>
              <w:right w:val="single" w:sz="12" w:space="0" w:color="000000"/>
            </w:tcBorders>
          </w:tcPr>
          <w:p>
            <w:pPr/>
          </w:p>
        </w:tc>
        <w:tc>
          <w:tcPr>
            <w:tcW w:w="742" w:type="dxa"/>
            <w:tcBorders>
              <w:top w:val="single" w:sz="12" w:space="0" w:color="000000"/>
              <w:left w:val="single" w:sz="12" w:space="0" w:color="000000"/>
              <w:bottom w:val="single" w:sz="12" w:space="0" w:color="000000"/>
              <w:right w:val="single" w:sz="12" w:space="0" w:color="000000"/>
            </w:tcBorders>
          </w:tcPr>
          <w:p>
            <w:pPr/>
          </w:p>
        </w:tc>
        <w:tc>
          <w:tcPr>
            <w:tcW w:w="2246" w:type="dxa"/>
            <w:tcBorders>
              <w:top w:val="single" w:sz="12" w:space="0" w:color="000000"/>
              <w:left w:val="single" w:sz="12" w:space="0" w:color="000000"/>
              <w:bottom w:val="single" w:sz="12" w:space="0" w:color="000000"/>
              <w:right w:val="single" w:sz="12" w:space="0" w:color="000000"/>
            </w:tcBorders>
          </w:tcPr>
          <w:p>
            <w:pPr/>
          </w:p>
        </w:tc>
        <w:tc>
          <w:tcPr>
            <w:tcW w:w="2436" w:type="dxa"/>
            <w:tcBorders>
              <w:top w:val="single" w:sz="12" w:space="0" w:color="000000"/>
              <w:left w:val="single" w:sz="12" w:space="0" w:color="000000"/>
              <w:bottom w:val="single" w:sz="12" w:space="0" w:color="000000"/>
              <w:right w:val="single" w:sz="12" w:space="0" w:color="000000"/>
            </w:tcBorders>
          </w:tcPr>
          <w:p>
            <w:pPr/>
          </w:p>
        </w:tc>
      </w:tr>
      <w:tr>
        <w:trPr>
          <w:trHeight w:val="655" w:hRule="exact"/>
        </w:trPr>
        <w:tc>
          <w:tcPr>
            <w:tcW w:w="3595" w:type="dxa"/>
            <w:tcBorders>
              <w:top w:val="single" w:sz="12" w:space="0" w:color="000000"/>
              <w:left w:val="single" w:sz="12" w:space="0" w:color="000000"/>
              <w:bottom w:val="single" w:sz="12" w:space="0" w:color="000000"/>
              <w:right w:val="single" w:sz="12" w:space="0" w:color="000000"/>
            </w:tcBorders>
          </w:tcPr>
          <w:p>
            <w:pPr>
              <w:pStyle w:val="TableParagraph"/>
              <w:spacing w:line="302" w:lineRule="auto" w:before="10"/>
              <w:ind w:left="93" w:right="89"/>
              <w:jc w:val="left"/>
              <w:rPr>
                <w:rFonts w:ascii="Arial" w:hAnsi="Arial" w:cs="Arial" w:eastAsia="Arial" w:hint="default"/>
                <w:sz w:val="18"/>
                <w:szCs w:val="18"/>
              </w:rPr>
            </w:pPr>
            <w:r>
              <w:rPr>
                <w:rFonts w:ascii="宋体" w:hAnsi="宋体" w:cs="宋体" w:eastAsia="宋体" w:hint="default"/>
                <w:spacing w:val="3"/>
                <w:sz w:val="18"/>
                <w:szCs w:val="18"/>
              </w:rPr>
              <w:t>五、每股收益</w:t>
            </w:r>
            <w:r>
              <w:rPr>
                <w:rFonts w:ascii="Arial" w:hAnsi="Arial" w:cs="Arial" w:eastAsia="Arial" w:hint="default"/>
                <w:b/>
                <w:bCs/>
                <w:spacing w:val="3"/>
                <w:sz w:val="18"/>
                <w:szCs w:val="18"/>
              </w:rPr>
              <w:t>(</w:t>
            </w:r>
            <w:r>
              <w:rPr>
                <w:rFonts w:ascii="宋体" w:hAnsi="宋体" w:cs="宋体" w:eastAsia="宋体" w:hint="default"/>
                <w:spacing w:val="3"/>
                <w:sz w:val="18"/>
                <w:szCs w:val="18"/>
              </w:rPr>
              <w:t>基于归属于母公司普通股股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东合并净利润</w:t>
            </w:r>
            <w:r>
              <w:rPr>
                <w:rFonts w:ascii="Arial" w:hAnsi="Arial" w:cs="Arial" w:eastAsia="Arial" w:hint="default"/>
                <w:b/>
                <w:bCs/>
                <w:sz w:val="18"/>
                <w:szCs w:val="18"/>
              </w:rPr>
              <w:t>)</w:t>
            </w:r>
            <w:r>
              <w:rPr>
                <w:rFonts w:ascii="Arial" w:hAnsi="Arial" w:cs="Arial" w:eastAsia="Arial" w:hint="default"/>
                <w:sz w:val="18"/>
                <w:szCs w:val="18"/>
              </w:rPr>
            </w:r>
          </w:p>
        </w:tc>
        <w:tc>
          <w:tcPr>
            <w:tcW w:w="742" w:type="dxa"/>
            <w:tcBorders>
              <w:top w:val="single" w:sz="12" w:space="0" w:color="000000"/>
              <w:left w:val="single" w:sz="12" w:space="0" w:color="000000"/>
              <w:bottom w:val="single" w:sz="12" w:space="0" w:color="000000"/>
              <w:right w:val="single" w:sz="12" w:space="0" w:color="000000"/>
            </w:tcBorders>
          </w:tcPr>
          <w:p>
            <w:pPr/>
          </w:p>
        </w:tc>
        <w:tc>
          <w:tcPr>
            <w:tcW w:w="2246" w:type="dxa"/>
            <w:tcBorders>
              <w:top w:val="single" w:sz="12" w:space="0" w:color="000000"/>
              <w:left w:val="single" w:sz="12" w:space="0" w:color="000000"/>
              <w:bottom w:val="single" w:sz="12" w:space="0" w:color="000000"/>
              <w:right w:val="single" w:sz="12" w:space="0" w:color="000000"/>
            </w:tcBorders>
          </w:tcPr>
          <w:p>
            <w:pPr/>
          </w:p>
        </w:tc>
        <w:tc>
          <w:tcPr>
            <w:tcW w:w="2436" w:type="dxa"/>
            <w:tcBorders>
              <w:top w:val="single" w:sz="12" w:space="0" w:color="000000"/>
              <w:left w:val="single" w:sz="12" w:space="0" w:color="000000"/>
              <w:bottom w:val="single" w:sz="12" w:space="0" w:color="000000"/>
              <w:right w:val="single" w:sz="12" w:space="0" w:color="000000"/>
            </w:tcBorders>
          </w:tcPr>
          <w:p>
            <w:pPr/>
          </w:p>
        </w:tc>
      </w:tr>
      <w:tr>
        <w:trPr>
          <w:trHeight w:val="374" w:hRule="exact"/>
        </w:trPr>
        <w:tc>
          <w:tcPr>
            <w:tcW w:w="359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left="93"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7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0"/>
              <w:jc w:val="center"/>
              <w:rPr>
                <w:rFonts w:ascii="Arial" w:hAnsi="Arial" w:cs="Arial" w:eastAsia="Arial" w:hint="default"/>
                <w:sz w:val="18"/>
                <w:szCs w:val="18"/>
              </w:rPr>
            </w:pPr>
            <w:r>
              <w:rPr>
                <w:rFonts w:ascii="Arial"/>
                <w:sz w:val="18"/>
              </w:rPr>
              <w:t>6.35</w:t>
            </w:r>
          </w:p>
        </w:tc>
        <w:tc>
          <w:tcPr>
            <w:tcW w:w="22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3"/>
              <w:jc w:val="center"/>
              <w:rPr>
                <w:rFonts w:ascii="Arial" w:hAnsi="Arial" w:cs="Arial" w:eastAsia="Arial" w:hint="default"/>
                <w:sz w:val="18"/>
                <w:szCs w:val="18"/>
              </w:rPr>
            </w:pPr>
            <w:r>
              <w:rPr>
                <w:rFonts w:ascii="Arial"/>
                <w:sz w:val="18"/>
              </w:rPr>
              <w:t>0.2765</w:t>
            </w:r>
          </w:p>
        </w:tc>
        <w:tc>
          <w:tcPr>
            <w:tcW w:w="24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1"/>
              <w:jc w:val="center"/>
              <w:rPr>
                <w:rFonts w:ascii="Arial" w:hAnsi="Arial" w:cs="Arial" w:eastAsia="Arial" w:hint="default"/>
                <w:sz w:val="18"/>
                <w:szCs w:val="18"/>
              </w:rPr>
            </w:pPr>
            <w:r>
              <w:rPr>
                <w:rFonts w:ascii="Arial"/>
                <w:sz w:val="18"/>
              </w:rPr>
              <w:t>0.5788</w:t>
            </w:r>
          </w:p>
        </w:tc>
      </w:tr>
      <w:tr>
        <w:trPr>
          <w:trHeight w:val="374" w:hRule="exact"/>
        </w:trPr>
        <w:tc>
          <w:tcPr>
            <w:tcW w:w="359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left="93"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7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0"/>
              <w:jc w:val="center"/>
              <w:rPr>
                <w:rFonts w:ascii="Arial" w:hAnsi="Arial" w:cs="Arial" w:eastAsia="Arial" w:hint="default"/>
                <w:sz w:val="18"/>
                <w:szCs w:val="18"/>
              </w:rPr>
            </w:pPr>
            <w:r>
              <w:rPr>
                <w:rFonts w:ascii="Arial"/>
                <w:sz w:val="18"/>
              </w:rPr>
              <w:t>6.35</w:t>
            </w:r>
          </w:p>
        </w:tc>
        <w:tc>
          <w:tcPr>
            <w:tcW w:w="22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3"/>
              <w:jc w:val="center"/>
              <w:rPr>
                <w:rFonts w:ascii="Arial" w:hAnsi="Arial" w:cs="Arial" w:eastAsia="Arial" w:hint="default"/>
                <w:sz w:val="18"/>
                <w:szCs w:val="18"/>
              </w:rPr>
            </w:pPr>
            <w:r>
              <w:rPr>
                <w:rFonts w:ascii="Arial"/>
                <w:sz w:val="18"/>
              </w:rPr>
              <w:t>0.2765</w:t>
            </w:r>
          </w:p>
        </w:tc>
        <w:tc>
          <w:tcPr>
            <w:tcW w:w="24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1"/>
              <w:jc w:val="center"/>
              <w:rPr>
                <w:rFonts w:ascii="Arial" w:hAnsi="Arial" w:cs="Arial" w:eastAsia="Arial" w:hint="default"/>
                <w:sz w:val="18"/>
                <w:szCs w:val="18"/>
              </w:rPr>
            </w:pPr>
            <w:r>
              <w:rPr>
                <w:rFonts w:ascii="Arial"/>
                <w:sz w:val="18"/>
              </w:rPr>
              <w:t>0.5788</w:t>
            </w:r>
          </w:p>
        </w:tc>
      </w:tr>
      <w:tr>
        <w:trPr>
          <w:trHeight w:val="374" w:hRule="exact"/>
        </w:trPr>
        <w:tc>
          <w:tcPr>
            <w:tcW w:w="359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left="93"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742" w:type="dxa"/>
            <w:tcBorders>
              <w:top w:val="single" w:sz="12" w:space="0" w:color="000000"/>
              <w:left w:val="single" w:sz="12" w:space="0" w:color="000000"/>
              <w:bottom w:val="single" w:sz="12" w:space="0" w:color="000000"/>
              <w:right w:val="single" w:sz="12" w:space="0" w:color="000000"/>
            </w:tcBorders>
          </w:tcPr>
          <w:p>
            <w:pPr/>
          </w:p>
        </w:tc>
        <w:tc>
          <w:tcPr>
            <w:tcW w:w="22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0"/>
              <w:jc w:val="center"/>
              <w:rPr>
                <w:rFonts w:ascii="Arial" w:hAnsi="Arial" w:cs="Arial" w:eastAsia="Arial" w:hint="default"/>
                <w:sz w:val="18"/>
                <w:szCs w:val="18"/>
              </w:rPr>
            </w:pPr>
            <w:r>
              <w:rPr>
                <w:rFonts w:ascii="Arial"/>
                <w:b/>
                <w:w w:val="99"/>
                <w:sz w:val="18"/>
              </w:rPr>
              <w:t>-</w:t>
            </w:r>
            <w:r>
              <w:rPr>
                <w:rFonts w:ascii="Arial"/>
                <w:sz w:val="18"/>
              </w:rPr>
            </w:r>
          </w:p>
        </w:tc>
        <w:tc>
          <w:tcPr>
            <w:tcW w:w="24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0"/>
              <w:jc w:val="center"/>
              <w:rPr>
                <w:rFonts w:ascii="Arial" w:hAnsi="Arial" w:cs="Arial" w:eastAsia="Arial" w:hint="default"/>
                <w:sz w:val="18"/>
                <w:szCs w:val="18"/>
              </w:rPr>
            </w:pPr>
            <w:r>
              <w:rPr>
                <w:rFonts w:ascii="Arial"/>
                <w:b/>
                <w:w w:val="99"/>
                <w:sz w:val="18"/>
              </w:rPr>
              <w:t>-</w:t>
            </w:r>
            <w:r>
              <w:rPr>
                <w:rFonts w:ascii="Arial"/>
                <w:sz w:val="18"/>
              </w:rPr>
            </w:r>
          </w:p>
        </w:tc>
      </w:tr>
      <w:tr>
        <w:trPr>
          <w:trHeight w:val="377" w:hRule="exact"/>
        </w:trPr>
        <w:tc>
          <w:tcPr>
            <w:tcW w:w="359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left="9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742" w:type="dxa"/>
            <w:tcBorders>
              <w:top w:val="single" w:sz="12" w:space="0" w:color="000000"/>
              <w:left w:val="single" w:sz="12" w:space="0" w:color="000000"/>
              <w:bottom w:val="single" w:sz="12" w:space="0" w:color="000000"/>
              <w:right w:val="single" w:sz="12" w:space="0" w:color="000000"/>
            </w:tcBorders>
          </w:tcPr>
          <w:p>
            <w:pPr/>
          </w:p>
        </w:tc>
        <w:tc>
          <w:tcPr>
            <w:tcW w:w="22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1"/>
              <w:jc w:val="center"/>
              <w:rPr>
                <w:rFonts w:ascii="Arial" w:hAnsi="Arial" w:cs="Arial" w:eastAsia="Arial" w:hint="default"/>
                <w:sz w:val="18"/>
                <w:szCs w:val="18"/>
              </w:rPr>
            </w:pPr>
            <w:r>
              <w:rPr>
                <w:rFonts w:ascii="Arial"/>
                <w:b/>
                <w:sz w:val="18"/>
              </w:rPr>
              <w:t>27,612,823.25</w:t>
            </w:r>
            <w:r>
              <w:rPr>
                <w:rFonts w:ascii="Arial"/>
                <w:sz w:val="18"/>
              </w:rPr>
            </w:r>
          </w:p>
        </w:tc>
        <w:tc>
          <w:tcPr>
            <w:tcW w:w="24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0"/>
              <w:jc w:val="center"/>
              <w:rPr>
                <w:rFonts w:ascii="Arial" w:hAnsi="Arial" w:cs="Arial" w:eastAsia="Arial" w:hint="default"/>
                <w:sz w:val="18"/>
                <w:szCs w:val="18"/>
              </w:rPr>
            </w:pPr>
            <w:r>
              <w:rPr>
                <w:rFonts w:ascii="Arial"/>
                <w:b/>
                <w:sz w:val="18"/>
              </w:rPr>
              <w:t>47,279,102.40</w:t>
            </w:r>
            <w:r>
              <w:rPr>
                <w:rFonts w:ascii="Arial"/>
                <w:sz w:val="18"/>
              </w:rPr>
            </w:r>
          </w:p>
        </w:tc>
      </w:tr>
      <w:tr>
        <w:trPr>
          <w:trHeight w:val="374" w:hRule="exact"/>
        </w:trPr>
        <w:tc>
          <w:tcPr>
            <w:tcW w:w="359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left="93"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742" w:type="dxa"/>
            <w:tcBorders>
              <w:top w:val="single" w:sz="12" w:space="0" w:color="000000"/>
              <w:left w:val="single" w:sz="12" w:space="0" w:color="000000"/>
              <w:bottom w:val="single" w:sz="12" w:space="0" w:color="000000"/>
              <w:right w:val="single" w:sz="12" w:space="0" w:color="000000"/>
            </w:tcBorders>
          </w:tcPr>
          <w:p>
            <w:pPr/>
          </w:p>
        </w:tc>
        <w:tc>
          <w:tcPr>
            <w:tcW w:w="22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1"/>
              <w:jc w:val="center"/>
              <w:rPr>
                <w:rFonts w:ascii="Arial" w:hAnsi="Arial" w:cs="Arial" w:eastAsia="Arial" w:hint="default"/>
                <w:sz w:val="18"/>
                <w:szCs w:val="18"/>
              </w:rPr>
            </w:pPr>
            <w:r>
              <w:rPr>
                <w:rFonts w:ascii="Arial"/>
                <w:sz w:val="18"/>
              </w:rPr>
              <w:t>27,100,214.31</w:t>
            </w:r>
          </w:p>
        </w:tc>
        <w:tc>
          <w:tcPr>
            <w:tcW w:w="24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0"/>
              <w:jc w:val="center"/>
              <w:rPr>
                <w:rFonts w:ascii="Arial" w:hAnsi="Arial" w:cs="Arial" w:eastAsia="Arial" w:hint="default"/>
                <w:sz w:val="18"/>
                <w:szCs w:val="18"/>
              </w:rPr>
            </w:pPr>
            <w:r>
              <w:rPr>
                <w:rFonts w:ascii="Arial"/>
                <w:sz w:val="18"/>
              </w:rPr>
              <w:t>46,307,372.12</w:t>
            </w:r>
          </w:p>
        </w:tc>
      </w:tr>
      <w:tr>
        <w:trPr>
          <w:trHeight w:val="374" w:hRule="exact"/>
        </w:trPr>
        <w:tc>
          <w:tcPr>
            <w:tcW w:w="359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left="9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742" w:type="dxa"/>
            <w:tcBorders>
              <w:top w:val="single" w:sz="12" w:space="0" w:color="000000"/>
              <w:left w:val="single" w:sz="12" w:space="0" w:color="000000"/>
              <w:bottom w:val="single" w:sz="12" w:space="0" w:color="000000"/>
              <w:right w:val="single" w:sz="12" w:space="0" w:color="000000"/>
            </w:tcBorders>
          </w:tcPr>
          <w:p>
            <w:pPr/>
          </w:p>
        </w:tc>
        <w:tc>
          <w:tcPr>
            <w:tcW w:w="22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3"/>
              <w:jc w:val="center"/>
              <w:rPr>
                <w:rFonts w:ascii="Arial" w:hAnsi="Arial" w:cs="Arial" w:eastAsia="Arial" w:hint="default"/>
                <w:sz w:val="18"/>
                <w:szCs w:val="18"/>
              </w:rPr>
            </w:pPr>
            <w:r>
              <w:rPr>
                <w:rFonts w:ascii="Arial"/>
                <w:sz w:val="18"/>
              </w:rPr>
              <w:t>512,608.94</w:t>
            </w:r>
          </w:p>
        </w:tc>
        <w:tc>
          <w:tcPr>
            <w:tcW w:w="24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1"/>
              <w:jc w:val="center"/>
              <w:rPr>
                <w:rFonts w:ascii="Arial" w:hAnsi="Arial" w:cs="Arial" w:eastAsia="Arial" w:hint="default"/>
                <w:sz w:val="18"/>
                <w:szCs w:val="18"/>
              </w:rPr>
            </w:pPr>
            <w:r>
              <w:rPr>
                <w:rFonts w:ascii="Arial"/>
                <w:sz w:val="18"/>
              </w:rPr>
              <w:t>971,730.28</w:t>
            </w:r>
          </w:p>
        </w:tc>
      </w:tr>
    </w:tbl>
    <w:p>
      <w:pPr>
        <w:tabs>
          <w:tab w:pos="2856" w:val="left" w:leader="none"/>
          <w:tab w:pos="7087" w:val="left" w:leader="none"/>
        </w:tabs>
        <w:spacing w:line="208" w:lineRule="exact" w:before="0"/>
        <w:ind w:left="243" w:right="0" w:firstLine="0"/>
        <w:jc w:val="left"/>
        <w:rPr>
          <w:rFonts w:ascii="宋体" w:hAnsi="宋体" w:cs="宋体" w:eastAsia="宋体" w:hint="default"/>
          <w:sz w:val="18"/>
          <w:szCs w:val="18"/>
        </w:rPr>
      </w:pPr>
      <w:r>
        <w:rPr>
          <w:rFonts w:ascii="宋体" w:hAnsi="宋体" w:cs="宋体" w:eastAsia="宋体" w:hint="default"/>
          <w:w w:val="95"/>
          <w:sz w:val="18"/>
          <w:szCs w:val="18"/>
        </w:rPr>
        <w:t>法定代表人：纪立军</w:t>
        <w:tab/>
        <w:t>主管会计工作负责人：郑强</w:t>
        <w:tab/>
      </w:r>
      <w:r>
        <w:rPr>
          <w:rFonts w:ascii="宋体" w:hAnsi="宋体" w:cs="宋体" w:eastAsia="宋体" w:hint="default"/>
          <w:sz w:val="18"/>
          <w:szCs w:val="18"/>
        </w:rPr>
        <w:t>会计机构负责人：王迎辉</w:t>
      </w:r>
    </w:p>
    <w:p>
      <w:pPr>
        <w:spacing w:after="0" w:line="208" w:lineRule="exact"/>
        <w:jc w:val="left"/>
        <w:rPr>
          <w:rFonts w:ascii="宋体" w:hAnsi="宋体" w:cs="宋体" w:eastAsia="宋体" w:hint="default"/>
          <w:sz w:val="18"/>
          <w:szCs w:val="18"/>
        </w:rPr>
        <w:sectPr>
          <w:pgSz w:w="11900" w:h="16840"/>
          <w:pgMar w:header="877" w:footer="983" w:top="1060" w:bottom="1180" w:left="1660" w:right="860"/>
        </w:sectPr>
      </w:pPr>
    </w:p>
    <w:p>
      <w:pPr>
        <w:spacing w:line="240" w:lineRule="auto" w:before="4"/>
        <w:rPr>
          <w:rFonts w:ascii="宋体" w:hAnsi="宋体" w:cs="宋体" w:eastAsia="宋体" w:hint="default"/>
          <w:sz w:val="24"/>
          <w:szCs w:val="24"/>
        </w:rPr>
      </w:pPr>
    </w:p>
    <w:p>
      <w:pPr>
        <w:pStyle w:val="Heading2"/>
        <w:spacing w:line="240" w:lineRule="auto"/>
        <w:ind w:left="3454" w:right="3426"/>
        <w:jc w:val="center"/>
      </w:pPr>
      <w:r>
        <w:rPr/>
        <w:t>利润表（母公司）</w:t>
      </w:r>
    </w:p>
    <w:p>
      <w:pPr>
        <w:tabs>
          <w:tab w:pos="5551" w:val="left" w:leader="none"/>
          <w:tab w:pos="8198" w:val="left" w:leader="none"/>
        </w:tabs>
        <w:spacing w:before="145"/>
        <w:ind w:left="239" w:right="0" w:firstLine="0"/>
        <w:jc w:val="left"/>
        <w:rPr>
          <w:rFonts w:ascii="宋体" w:hAnsi="宋体" w:cs="宋体" w:eastAsia="宋体" w:hint="default"/>
          <w:sz w:val="18"/>
          <w:szCs w:val="18"/>
        </w:rPr>
      </w:pPr>
      <w:r>
        <w:rPr>
          <w:rFonts w:ascii="宋体" w:hAnsi="宋体" w:cs="宋体" w:eastAsia="宋体" w:hint="default"/>
          <w:spacing w:val="-1"/>
          <w:sz w:val="18"/>
          <w:szCs w:val="18"/>
        </w:rPr>
        <w:t>编制单位：上海安诺其纺织化工股份有限公司</w:t>
        <w:tab/>
      </w:r>
      <w:r>
        <w:rPr>
          <w:rFonts w:ascii="Arial" w:hAnsi="Arial" w:cs="Arial" w:eastAsia="Arial" w:hint="default"/>
          <w:spacing w:val="-1"/>
          <w:sz w:val="18"/>
          <w:szCs w:val="18"/>
        </w:rPr>
        <w:t>2010</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31</w:t>
      </w:r>
      <w:r>
        <w:rPr>
          <w:rFonts w:ascii="Arial" w:hAnsi="Arial" w:cs="Arial" w:eastAsia="Arial" w:hint="default"/>
          <w:spacing w:val="-4"/>
          <w:sz w:val="18"/>
          <w:szCs w:val="18"/>
        </w:rPr>
        <w:t> </w:t>
      </w:r>
      <w:r>
        <w:rPr>
          <w:rFonts w:ascii="宋体" w:hAnsi="宋体" w:cs="宋体" w:eastAsia="宋体" w:hint="default"/>
          <w:sz w:val="18"/>
          <w:szCs w:val="18"/>
        </w:rPr>
        <w:t>日</w:t>
        <w:tab/>
      </w:r>
      <w:r>
        <w:rPr>
          <w:rFonts w:ascii="宋体" w:hAnsi="宋体" w:cs="宋体" w:eastAsia="宋体" w:hint="default"/>
          <w:spacing w:val="-2"/>
          <w:sz w:val="18"/>
          <w:szCs w:val="18"/>
        </w:rPr>
        <w:t>单位：元</w:t>
      </w:r>
    </w:p>
    <w:p>
      <w:pPr>
        <w:spacing w:line="240" w:lineRule="auto" w:before="6"/>
        <w:rPr>
          <w:rFonts w:ascii="宋体" w:hAnsi="宋体" w:cs="宋体" w:eastAsia="宋体" w:hint="default"/>
          <w:sz w:val="6"/>
          <w:szCs w:val="6"/>
        </w:rPr>
      </w:pPr>
    </w:p>
    <w:tbl>
      <w:tblPr>
        <w:tblW w:w="0" w:type="auto"/>
        <w:jc w:val="left"/>
        <w:tblInd w:w="117" w:type="dxa"/>
        <w:tblLayout w:type="fixed"/>
        <w:tblCellMar>
          <w:top w:w="0" w:type="dxa"/>
          <w:left w:w="0" w:type="dxa"/>
          <w:bottom w:w="0" w:type="dxa"/>
          <w:right w:w="0" w:type="dxa"/>
        </w:tblCellMar>
        <w:tblLook w:val="01E0"/>
      </w:tblPr>
      <w:tblGrid>
        <w:gridCol w:w="3506"/>
        <w:gridCol w:w="626"/>
        <w:gridCol w:w="2575"/>
        <w:gridCol w:w="2494"/>
      </w:tblGrid>
      <w:tr>
        <w:trPr>
          <w:trHeight w:val="343" w:hRule="exact"/>
        </w:trPr>
        <w:tc>
          <w:tcPr>
            <w:tcW w:w="3506" w:type="dxa"/>
            <w:vMerge w:val="restart"/>
            <w:tcBorders>
              <w:top w:val="single" w:sz="12" w:space="0" w:color="000000"/>
              <w:left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626" w:type="dxa"/>
            <w:vMerge w:val="restart"/>
            <w:tcBorders>
              <w:top w:val="single" w:sz="12" w:space="0" w:color="000000"/>
              <w:left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25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年度</w:t>
            </w:r>
          </w:p>
        </w:tc>
        <w:tc>
          <w:tcPr>
            <w:tcW w:w="24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年度</w:t>
            </w:r>
          </w:p>
        </w:tc>
      </w:tr>
      <w:tr>
        <w:trPr>
          <w:trHeight w:val="341" w:hRule="exact"/>
        </w:trPr>
        <w:tc>
          <w:tcPr>
            <w:tcW w:w="3506" w:type="dxa"/>
            <w:vMerge/>
            <w:tcBorders>
              <w:left w:val="single" w:sz="12" w:space="0" w:color="000000"/>
              <w:bottom w:val="single" w:sz="12" w:space="0" w:color="000000"/>
              <w:right w:val="single" w:sz="12" w:space="0" w:color="000000"/>
            </w:tcBorders>
          </w:tcPr>
          <w:p>
            <w:pPr/>
          </w:p>
        </w:tc>
        <w:tc>
          <w:tcPr>
            <w:tcW w:w="626" w:type="dxa"/>
            <w:vMerge/>
            <w:tcBorders>
              <w:left w:val="single" w:sz="12" w:space="0" w:color="000000"/>
              <w:bottom w:val="single" w:sz="12" w:space="0" w:color="000000"/>
              <w:right w:val="single" w:sz="12" w:space="0" w:color="000000"/>
            </w:tcBorders>
          </w:tcPr>
          <w:p>
            <w:pPr/>
          </w:p>
        </w:tc>
        <w:tc>
          <w:tcPr>
            <w:tcW w:w="25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24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343" w:hRule="exact"/>
        </w:trPr>
        <w:tc>
          <w:tcPr>
            <w:tcW w:w="35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6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12.4</w:t>
            </w:r>
          </w:p>
        </w:tc>
        <w:tc>
          <w:tcPr>
            <w:tcW w:w="25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642"/>
              <w:jc w:val="right"/>
              <w:rPr>
                <w:rFonts w:ascii="宋体" w:hAnsi="宋体" w:cs="宋体" w:eastAsia="宋体" w:hint="default"/>
                <w:sz w:val="18"/>
                <w:szCs w:val="18"/>
              </w:rPr>
            </w:pPr>
            <w:r>
              <w:rPr>
                <w:rFonts w:ascii="宋体"/>
                <w:spacing w:val="-1"/>
                <w:sz w:val="18"/>
              </w:rPr>
              <w:t>174,880,979.47</w:t>
            </w:r>
          </w:p>
        </w:tc>
        <w:tc>
          <w:tcPr>
            <w:tcW w:w="24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193,206,139.21</w:t>
            </w:r>
          </w:p>
        </w:tc>
      </w:tr>
      <w:tr>
        <w:trPr>
          <w:trHeight w:val="341" w:hRule="exact"/>
        </w:trPr>
        <w:tc>
          <w:tcPr>
            <w:tcW w:w="35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6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12.4</w:t>
            </w:r>
          </w:p>
        </w:tc>
        <w:tc>
          <w:tcPr>
            <w:tcW w:w="25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642"/>
              <w:jc w:val="right"/>
              <w:rPr>
                <w:rFonts w:ascii="宋体" w:hAnsi="宋体" w:cs="宋体" w:eastAsia="宋体" w:hint="default"/>
                <w:sz w:val="18"/>
                <w:szCs w:val="18"/>
              </w:rPr>
            </w:pPr>
            <w:r>
              <w:rPr>
                <w:rFonts w:ascii="宋体"/>
                <w:spacing w:val="-1"/>
                <w:sz w:val="18"/>
              </w:rPr>
              <w:t>113,828,816.72</w:t>
            </w:r>
          </w:p>
        </w:tc>
        <w:tc>
          <w:tcPr>
            <w:tcW w:w="24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118,200,039.99</w:t>
            </w:r>
          </w:p>
        </w:tc>
      </w:tr>
      <w:tr>
        <w:trPr>
          <w:trHeight w:val="343" w:hRule="exact"/>
        </w:trPr>
        <w:tc>
          <w:tcPr>
            <w:tcW w:w="35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626" w:type="dxa"/>
            <w:tcBorders>
              <w:top w:val="single" w:sz="12" w:space="0" w:color="000000"/>
              <w:left w:val="single" w:sz="12" w:space="0" w:color="000000"/>
              <w:bottom w:val="single" w:sz="12" w:space="0" w:color="000000"/>
              <w:right w:val="single" w:sz="12" w:space="0" w:color="000000"/>
            </w:tcBorders>
          </w:tcPr>
          <w:p>
            <w:pPr/>
          </w:p>
        </w:tc>
        <w:tc>
          <w:tcPr>
            <w:tcW w:w="25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820" w:right="0"/>
              <w:jc w:val="left"/>
              <w:rPr>
                <w:rFonts w:ascii="宋体" w:hAnsi="宋体" w:cs="宋体" w:eastAsia="宋体" w:hint="default"/>
                <w:sz w:val="18"/>
                <w:szCs w:val="18"/>
              </w:rPr>
            </w:pPr>
            <w:r>
              <w:rPr>
                <w:rFonts w:ascii="宋体"/>
                <w:sz w:val="18"/>
              </w:rPr>
              <w:t>122,869.43</w:t>
            </w:r>
          </w:p>
        </w:tc>
        <w:tc>
          <w:tcPr>
            <w:tcW w:w="24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201,395.53</w:t>
            </w:r>
          </w:p>
        </w:tc>
      </w:tr>
      <w:tr>
        <w:trPr>
          <w:trHeight w:val="341" w:hRule="exact"/>
        </w:trPr>
        <w:tc>
          <w:tcPr>
            <w:tcW w:w="35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626" w:type="dxa"/>
            <w:tcBorders>
              <w:top w:val="single" w:sz="12" w:space="0" w:color="000000"/>
              <w:left w:val="single" w:sz="12" w:space="0" w:color="000000"/>
              <w:bottom w:val="single" w:sz="12" w:space="0" w:color="000000"/>
              <w:right w:val="single" w:sz="12" w:space="0" w:color="000000"/>
            </w:tcBorders>
          </w:tcPr>
          <w:p>
            <w:pPr/>
          </w:p>
        </w:tc>
        <w:tc>
          <w:tcPr>
            <w:tcW w:w="25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685"/>
              <w:jc w:val="right"/>
              <w:rPr>
                <w:rFonts w:ascii="宋体" w:hAnsi="宋体" w:cs="宋体" w:eastAsia="宋体" w:hint="default"/>
                <w:sz w:val="18"/>
                <w:szCs w:val="18"/>
              </w:rPr>
            </w:pPr>
            <w:r>
              <w:rPr>
                <w:rFonts w:ascii="宋体"/>
                <w:spacing w:val="-1"/>
                <w:sz w:val="18"/>
              </w:rPr>
              <w:t>14,915,724.08</w:t>
            </w:r>
          </w:p>
        </w:tc>
        <w:tc>
          <w:tcPr>
            <w:tcW w:w="24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10,520,363.35</w:t>
            </w:r>
          </w:p>
        </w:tc>
      </w:tr>
      <w:tr>
        <w:trPr>
          <w:trHeight w:val="343" w:hRule="exact"/>
        </w:trPr>
        <w:tc>
          <w:tcPr>
            <w:tcW w:w="35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626" w:type="dxa"/>
            <w:tcBorders>
              <w:top w:val="single" w:sz="12" w:space="0" w:color="000000"/>
              <w:left w:val="single" w:sz="12" w:space="0" w:color="000000"/>
              <w:bottom w:val="single" w:sz="12" w:space="0" w:color="000000"/>
              <w:right w:val="single" w:sz="12" w:space="0" w:color="000000"/>
            </w:tcBorders>
          </w:tcPr>
          <w:p>
            <w:pPr/>
          </w:p>
        </w:tc>
        <w:tc>
          <w:tcPr>
            <w:tcW w:w="25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685"/>
              <w:jc w:val="right"/>
              <w:rPr>
                <w:rFonts w:ascii="宋体" w:hAnsi="宋体" w:cs="宋体" w:eastAsia="宋体" w:hint="default"/>
                <w:sz w:val="18"/>
                <w:szCs w:val="18"/>
              </w:rPr>
            </w:pPr>
            <w:r>
              <w:rPr>
                <w:rFonts w:ascii="宋体"/>
                <w:spacing w:val="-1"/>
                <w:sz w:val="18"/>
              </w:rPr>
              <w:t>25,683,107.67</w:t>
            </w:r>
          </w:p>
        </w:tc>
        <w:tc>
          <w:tcPr>
            <w:tcW w:w="24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16,458,131.06</w:t>
            </w:r>
          </w:p>
        </w:tc>
      </w:tr>
      <w:tr>
        <w:trPr>
          <w:trHeight w:val="341" w:hRule="exact"/>
        </w:trPr>
        <w:tc>
          <w:tcPr>
            <w:tcW w:w="35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626" w:type="dxa"/>
            <w:tcBorders>
              <w:top w:val="single" w:sz="12" w:space="0" w:color="000000"/>
              <w:left w:val="single" w:sz="12" w:space="0" w:color="000000"/>
              <w:bottom w:val="single" w:sz="12" w:space="0" w:color="000000"/>
              <w:right w:val="single" w:sz="12" w:space="0" w:color="000000"/>
            </w:tcBorders>
          </w:tcPr>
          <w:p>
            <w:pPr/>
          </w:p>
        </w:tc>
        <w:tc>
          <w:tcPr>
            <w:tcW w:w="25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685"/>
              <w:jc w:val="right"/>
              <w:rPr>
                <w:rFonts w:ascii="宋体" w:hAnsi="宋体" w:cs="宋体" w:eastAsia="宋体" w:hint="default"/>
                <w:sz w:val="18"/>
                <w:szCs w:val="18"/>
              </w:rPr>
            </w:pPr>
            <w:r>
              <w:rPr>
                <w:rFonts w:ascii="宋体"/>
                <w:spacing w:val="-1"/>
                <w:sz w:val="18"/>
              </w:rPr>
              <w:t>-2,737,197.75</w:t>
            </w:r>
          </w:p>
        </w:tc>
        <w:tc>
          <w:tcPr>
            <w:tcW w:w="24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1,098,339.44</w:t>
            </w:r>
          </w:p>
        </w:tc>
      </w:tr>
      <w:tr>
        <w:trPr>
          <w:trHeight w:val="343" w:hRule="exact"/>
        </w:trPr>
        <w:tc>
          <w:tcPr>
            <w:tcW w:w="35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626" w:type="dxa"/>
            <w:tcBorders>
              <w:top w:val="single" w:sz="12" w:space="0" w:color="000000"/>
              <w:left w:val="single" w:sz="12" w:space="0" w:color="000000"/>
              <w:bottom w:val="single" w:sz="12" w:space="0" w:color="000000"/>
              <w:right w:val="single" w:sz="12" w:space="0" w:color="000000"/>
            </w:tcBorders>
          </w:tcPr>
          <w:p>
            <w:pPr/>
          </w:p>
        </w:tc>
        <w:tc>
          <w:tcPr>
            <w:tcW w:w="25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820" w:right="0"/>
              <w:jc w:val="left"/>
              <w:rPr>
                <w:rFonts w:ascii="宋体" w:hAnsi="宋体" w:cs="宋体" w:eastAsia="宋体" w:hint="default"/>
                <w:sz w:val="18"/>
                <w:szCs w:val="18"/>
              </w:rPr>
            </w:pPr>
            <w:r>
              <w:rPr>
                <w:rFonts w:ascii="宋体"/>
                <w:sz w:val="18"/>
              </w:rPr>
              <w:t>373,937.44</w:t>
            </w:r>
          </w:p>
        </w:tc>
        <w:tc>
          <w:tcPr>
            <w:tcW w:w="24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847,653.10</w:t>
            </w:r>
          </w:p>
        </w:tc>
      </w:tr>
      <w:tr>
        <w:trPr>
          <w:trHeight w:val="341" w:hRule="exact"/>
        </w:trPr>
        <w:tc>
          <w:tcPr>
            <w:tcW w:w="35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加：公允价值变动收益</w:t>
            </w:r>
          </w:p>
        </w:tc>
        <w:tc>
          <w:tcPr>
            <w:tcW w:w="626" w:type="dxa"/>
            <w:tcBorders>
              <w:top w:val="single" w:sz="12" w:space="0" w:color="000000"/>
              <w:left w:val="single" w:sz="12" w:space="0" w:color="000000"/>
              <w:bottom w:val="single" w:sz="12" w:space="0" w:color="000000"/>
              <w:right w:val="single" w:sz="12" w:space="0" w:color="000000"/>
            </w:tcBorders>
          </w:tcPr>
          <w:p>
            <w:pPr/>
          </w:p>
        </w:tc>
        <w:tc>
          <w:tcPr>
            <w:tcW w:w="25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25,583.34</w:t>
            </w:r>
          </w:p>
        </w:tc>
        <w:tc>
          <w:tcPr>
            <w:tcW w:w="2494"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35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626" w:type="dxa"/>
            <w:tcBorders>
              <w:top w:val="single" w:sz="12" w:space="0" w:color="000000"/>
              <w:left w:val="single" w:sz="12" w:space="0" w:color="000000"/>
              <w:bottom w:val="single" w:sz="12" w:space="0" w:color="000000"/>
              <w:right w:val="single" w:sz="12" w:space="0" w:color="000000"/>
            </w:tcBorders>
          </w:tcPr>
          <w:p>
            <w:pPr/>
          </w:p>
        </w:tc>
        <w:tc>
          <w:tcPr>
            <w:tcW w:w="25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69,333.36</w:t>
            </w:r>
          </w:p>
        </w:tc>
        <w:tc>
          <w:tcPr>
            <w:tcW w:w="2494"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35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626" w:type="dxa"/>
            <w:tcBorders>
              <w:top w:val="single" w:sz="12" w:space="0" w:color="000000"/>
              <w:left w:val="single" w:sz="12" w:space="0" w:color="000000"/>
              <w:bottom w:val="single" w:sz="12" w:space="0" w:color="000000"/>
              <w:right w:val="single" w:sz="12" w:space="0" w:color="000000"/>
            </w:tcBorders>
          </w:tcPr>
          <w:p>
            <w:pPr/>
          </w:p>
        </w:tc>
        <w:tc>
          <w:tcPr>
            <w:tcW w:w="2575" w:type="dxa"/>
            <w:tcBorders>
              <w:top w:val="single" w:sz="12" w:space="0" w:color="000000"/>
              <w:left w:val="single" w:sz="12" w:space="0" w:color="000000"/>
              <w:bottom w:val="single" w:sz="12" w:space="0" w:color="000000"/>
              <w:right w:val="single" w:sz="12" w:space="0" w:color="000000"/>
            </w:tcBorders>
          </w:tcPr>
          <w:p>
            <w:pPr/>
          </w:p>
        </w:tc>
        <w:tc>
          <w:tcPr>
            <w:tcW w:w="2494"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3506" w:type="dxa"/>
            <w:tcBorders>
              <w:top w:val="single" w:sz="12" w:space="0" w:color="000000"/>
              <w:left w:val="single" w:sz="12" w:space="0" w:color="000000"/>
              <w:bottom w:val="single" w:sz="12" w:space="0" w:color="000000"/>
              <w:right w:val="single" w:sz="12" w:space="0" w:color="000000"/>
            </w:tcBorders>
          </w:tcPr>
          <w:p>
            <w:pPr/>
          </w:p>
        </w:tc>
        <w:tc>
          <w:tcPr>
            <w:tcW w:w="626" w:type="dxa"/>
            <w:tcBorders>
              <w:top w:val="single" w:sz="12" w:space="0" w:color="000000"/>
              <w:left w:val="single" w:sz="12" w:space="0" w:color="000000"/>
              <w:bottom w:val="single" w:sz="12" w:space="0" w:color="000000"/>
              <w:right w:val="single" w:sz="12" w:space="0" w:color="000000"/>
            </w:tcBorders>
          </w:tcPr>
          <w:p>
            <w:pPr/>
          </w:p>
        </w:tc>
        <w:tc>
          <w:tcPr>
            <w:tcW w:w="2575" w:type="dxa"/>
            <w:tcBorders>
              <w:top w:val="single" w:sz="12" w:space="0" w:color="000000"/>
              <w:left w:val="single" w:sz="12" w:space="0" w:color="000000"/>
              <w:bottom w:val="single" w:sz="12" w:space="0" w:color="000000"/>
              <w:right w:val="single" w:sz="12" w:space="0" w:color="000000"/>
            </w:tcBorders>
          </w:tcPr>
          <w:p>
            <w:pPr/>
          </w:p>
        </w:tc>
        <w:tc>
          <w:tcPr>
            <w:tcW w:w="2494"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35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二、营业利润</w:t>
            </w:r>
          </w:p>
        </w:tc>
        <w:tc>
          <w:tcPr>
            <w:tcW w:w="626" w:type="dxa"/>
            <w:tcBorders>
              <w:top w:val="single" w:sz="12" w:space="0" w:color="000000"/>
              <w:left w:val="single" w:sz="12" w:space="0" w:color="000000"/>
              <w:bottom w:val="single" w:sz="12" w:space="0" w:color="000000"/>
              <w:right w:val="single" w:sz="12" w:space="0" w:color="000000"/>
            </w:tcBorders>
          </w:tcPr>
          <w:p>
            <w:pPr/>
          </w:p>
        </w:tc>
        <w:tc>
          <w:tcPr>
            <w:tcW w:w="25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685"/>
              <w:jc w:val="right"/>
              <w:rPr>
                <w:rFonts w:ascii="宋体" w:hAnsi="宋体" w:cs="宋体" w:eastAsia="宋体" w:hint="default"/>
                <w:sz w:val="18"/>
                <w:szCs w:val="18"/>
              </w:rPr>
            </w:pPr>
            <w:r>
              <w:rPr>
                <w:rFonts w:ascii="宋体"/>
                <w:spacing w:val="-1"/>
                <w:sz w:val="18"/>
              </w:rPr>
              <w:t>22,788,638.58</w:t>
            </w:r>
          </w:p>
        </w:tc>
        <w:tc>
          <w:tcPr>
            <w:tcW w:w="24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45,880,216.74</w:t>
            </w:r>
          </w:p>
        </w:tc>
      </w:tr>
      <w:tr>
        <w:trPr>
          <w:trHeight w:val="343" w:hRule="exact"/>
        </w:trPr>
        <w:tc>
          <w:tcPr>
            <w:tcW w:w="35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626" w:type="dxa"/>
            <w:tcBorders>
              <w:top w:val="single" w:sz="12" w:space="0" w:color="000000"/>
              <w:left w:val="single" w:sz="12" w:space="0" w:color="000000"/>
              <w:bottom w:val="single" w:sz="12" w:space="0" w:color="000000"/>
              <w:right w:val="single" w:sz="12" w:space="0" w:color="000000"/>
            </w:tcBorders>
          </w:tcPr>
          <w:p>
            <w:pPr/>
          </w:p>
        </w:tc>
        <w:tc>
          <w:tcPr>
            <w:tcW w:w="25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731"/>
              <w:jc w:val="right"/>
              <w:rPr>
                <w:rFonts w:ascii="宋体" w:hAnsi="宋体" w:cs="宋体" w:eastAsia="宋体" w:hint="default"/>
                <w:sz w:val="18"/>
                <w:szCs w:val="18"/>
              </w:rPr>
            </w:pPr>
            <w:r>
              <w:rPr>
                <w:rFonts w:ascii="宋体"/>
                <w:spacing w:val="-1"/>
                <w:sz w:val="18"/>
              </w:rPr>
              <w:t>5,242,100.00</w:t>
            </w:r>
          </w:p>
        </w:tc>
        <w:tc>
          <w:tcPr>
            <w:tcW w:w="24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2,203,880.00</w:t>
            </w:r>
          </w:p>
        </w:tc>
      </w:tr>
      <w:tr>
        <w:trPr>
          <w:trHeight w:val="341" w:hRule="exact"/>
        </w:trPr>
        <w:tc>
          <w:tcPr>
            <w:tcW w:w="35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626" w:type="dxa"/>
            <w:tcBorders>
              <w:top w:val="single" w:sz="12" w:space="0" w:color="000000"/>
              <w:left w:val="single" w:sz="12" w:space="0" w:color="000000"/>
              <w:bottom w:val="single" w:sz="12" w:space="0" w:color="000000"/>
              <w:right w:val="single" w:sz="12" w:space="0" w:color="000000"/>
            </w:tcBorders>
          </w:tcPr>
          <w:p>
            <w:pPr/>
          </w:p>
        </w:tc>
        <w:tc>
          <w:tcPr>
            <w:tcW w:w="25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731"/>
              <w:jc w:val="right"/>
              <w:rPr>
                <w:rFonts w:ascii="宋体" w:hAnsi="宋体" w:cs="宋体" w:eastAsia="宋体" w:hint="default"/>
                <w:sz w:val="18"/>
                <w:szCs w:val="18"/>
              </w:rPr>
            </w:pPr>
            <w:r>
              <w:rPr>
                <w:rFonts w:ascii="宋体"/>
                <w:spacing w:val="-1"/>
                <w:sz w:val="18"/>
              </w:rPr>
              <w:t>1,135,000.00</w:t>
            </w:r>
          </w:p>
        </w:tc>
        <w:tc>
          <w:tcPr>
            <w:tcW w:w="24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315,000.00</w:t>
            </w:r>
          </w:p>
        </w:tc>
      </w:tr>
      <w:tr>
        <w:trPr>
          <w:trHeight w:val="343" w:hRule="exact"/>
        </w:trPr>
        <w:tc>
          <w:tcPr>
            <w:tcW w:w="35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626" w:type="dxa"/>
            <w:tcBorders>
              <w:top w:val="single" w:sz="12" w:space="0" w:color="000000"/>
              <w:left w:val="single" w:sz="12" w:space="0" w:color="000000"/>
              <w:bottom w:val="single" w:sz="12" w:space="0" w:color="000000"/>
              <w:right w:val="single" w:sz="12" w:space="0" w:color="000000"/>
            </w:tcBorders>
          </w:tcPr>
          <w:p>
            <w:pPr/>
          </w:p>
        </w:tc>
        <w:tc>
          <w:tcPr>
            <w:tcW w:w="2575" w:type="dxa"/>
            <w:tcBorders>
              <w:top w:val="single" w:sz="12" w:space="0" w:color="000000"/>
              <w:left w:val="single" w:sz="12" w:space="0" w:color="000000"/>
              <w:bottom w:val="single" w:sz="12" w:space="0" w:color="000000"/>
              <w:right w:val="single" w:sz="12" w:space="0" w:color="000000"/>
            </w:tcBorders>
          </w:tcPr>
          <w:p>
            <w:pPr/>
          </w:p>
        </w:tc>
        <w:tc>
          <w:tcPr>
            <w:tcW w:w="2494"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3506" w:type="dxa"/>
            <w:tcBorders>
              <w:top w:val="single" w:sz="12" w:space="0" w:color="000000"/>
              <w:left w:val="single" w:sz="12" w:space="0" w:color="000000"/>
              <w:bottom w:val="single" w:sz="12" w:space="0" w:color="000000"/>
              <w:right w:val="single" w:sz="12" w:space="0" w:color="000000"/>
            </w:tcBorders>
          </w:tcPr>
          <w:p>
            <w:pPr/>
          </w:p>
        </w:tc>
        <w:tc>
          <w:tcPr>
            <w:tcW w:w="626" w:type="dxa"/>
            <w:tcBorders>
              <w:top w:val="single" w:sz="12" w:space="0" w:color="000000"/>
              <w:left w:val="single" w:sz="12" w:space="0" w:color="000000"/>
              <w:bottom w:val="single" w:sz="12" w:space="0" w:color="000000"/>
              <w:right w:val="single" w:sz="12" w:space="0" w:color="000000"/>
            </w:tcBorders>
          </w:tcPr>
          <w:p>
            <w:pPr/>
          </w:p>
        </w:tc>
        <w:tc>
          <w:tcPr>
            <w:tcW w:w="2575" w:type="dxa"/>
            <w:tcBorders>
              <w:top w:val="single" w:sz="12" w:space="0" w:color="000000"/>
              <w:left w:val="single" w:sz="12" w:space="0" w:color="000000"/>
              <w:bottom w:val="single" w:sz="12" w:space="0" w:color="000000"/>
              <w:right w:val="single" w:sz="12" w:space="0" w:color="000000"/>
            </w:tcBorders>
          </w:tcPr>
          <w:p>
            <w:pPr/>
          </w:p>
        </w:tc>
        <w:tc>
          <w:tcPr>
            <w:tcW w:w="2494"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35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三、利润总额</w:t>
            </w:r>
          </w:p>
        </w:tc>
        <w:tc>
          <w:tcPr>
            <w:tcW w:w="626" w:type="dxa"/>
            <w:tcBorders>
              <w:top w:val="single" w:sz="12" w:space="0" w:color="000000"/>
              <w:left w:val="single" w:sz="12" w:space="0" w:color="000000"/>
              <w:bottom w:val="single" w:sz="12" w:space="0" w:color="000000"/>
              <w:right w:val="single" w:sz="12" w:space="0" w:color="000000"/>
            </w:tcBorders>
          </w:tcPr>
          <w:p>
            <w:pPr/>
          </w:p>
        </w:tc>
        <w:tc>
          <w:tcPr>
            <w:tcW w:w="25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685"/>
              <w:jc w:val="right"/>
              <w:rPr>
                <w:rFonts w:ascii="宋体" w:hAnsi="宋体" w:cs="宋体" w:eastAsia="宋体" w:hint="default"/>
                <w:sz w:val="18"/>
                <w:szCs w:val="18"/>
              </w:rPr>
            </w:pPr>
            <w:r>
              <w:rPr>
                <w:rFonts w:ascii="宋体"/>
                <w:spacing w:val="-1"/>
                <w:sz w:val="18"/>
              </w:rPr>
              <w:t>26,895,738.58</w:t>
            </w:r>
          </w:p>
        </w:tc>
        <w:tc>
          <w:tcPr>
            <w:tcW w:w="24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47,769,096.74</w:t>
            </w:r>
          </w:p>
        </w:tc>
      </w:tr>
      <w:tr>
        <w:trPr>
          <w:trHeight w:val="341" w:hRule="exact"/>
        </w:trPr>
        <w:tc>
          <w:tcPr>
            <w:tcW w:w="35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626" w:type="dxa"/>
            <w:tcBorders>
              <w:top w:val="single" w:sz="12" w:space="0" w:color="000000"/>
              <w:left w:val="single" w:sz="12" w:space="0" w:color="000000"/>
              <w:bottom w:val="single" w:sz="12" w:space="0" w:color="000000"/>
              <w:right w:val="single" w:sz="12" w:space="0" w:color="000000"/>
            </w:tcBorders>
          </w:tcPr>
          <w:p>
            <w:pPr/>
          </w:p>
        </w:tc>
        <w:tc>
          <w:tcPr>
            <w:tcW w:w="25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731"/>
              <w:jc w:val="right"/>
              <w:rPr>
                <w:rFonts w:ascii="宋体" w:hAnsi="宋体" w:cs="宋体" w:eastAsia="宋体" w:hint="default"/>
                <w:sz w:val="18"/>
                <w:szCs w:val="18"/>
              </w:rPr>
            </w:pPr>
            <w:r>
              <w:rPr>
                <w:rFonts w:ascii="宋体"/>
                <w:spacing w:val="-1"/>
                <w:sz w:val="18"/>
              </w:rPr>
              <w:t>2,977,296.87</w:t>
            </w:r>
          </w:p>
        </w:tc>
        <w:tc>
          <w:tcPr>
            <w:tcW w:w="24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5,823,365.71</w:t>
            </w:r>
          </w:p>
        </w:tc>
      </w:tr>
      <w:tr>
        <w:trPr>
          <w:trHeight w:val="343" w:hRule="exact"/>
        </w:trPr>
        <w:tc>
          <w:tcPr>
            <w:tcW w:w="3506" w:type="dxa"/>
            <w:tcBorders>
              <w:top w:val="single" w:sz="12" w:space="0" w:color="000000"/>
              <w:left w:val="single" w:sz="12" w:space="0" w:color="000000"/>
              <w:bottom w:val="single" w:sz="12" w:space="0" w:color="000000"/>
              <w:right w:val="single" w:sz="12" w:space="0" w:color="000000"/>
            </w:tcBorders>
          </w:tcPr>
          <w:p>
            <w:pPr/>
          </w:p>
        </w:tc>
        <w:tc>
          <w:tcPr>
            <w:tcW w:w="626" w:type="dxa"/>
            <w:tcBorders>
              <w:top w:val="single" w:sz="12" w:space="0" w:color="000000"/>
              <w:left w:val="single" w:sz="12" w:space="0" w:color="000000"/>
              <w:bottom w:val="single" w:sz="12" w:space="0" w:color="000000"/>
              <w:right w:val="single" w:sz="12" w:space="0" w:color="000000"/>
            </w:tcBorders>
          </w:tcPr>
          <w:p>
            <w:pPr/>
          </w:p>
        </w:tc>
        <w:tc>
          <w:tcPr>
            <w:tcW w:w="2575" w:type="dxa"/>
            <w:tcBorders>
              <w:top w:val="single" w:sz="12" w:space="0" w:color="000000"/>
              <w:left w:val="single" w:sz="12" w:space="0" w:color="000000"/>
              <w:bottom w:val="single" w:sz="12" w:space="0" w:color="000000"/>
              <w:right w:val="single" w:sz="12" w:space="0" w:color="000000"/>
            </w:tcBorders>
          </w:tcPr>
          <w:p>
            <w:pPr/>
          </w:p>
        </w:tc>
        <w:tc>
          <w:tcPr>
            <w:tcW w:w="2494"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35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四、净利润</w:t>
            </w:r>
          </w:p>
        </w:tc>
        <w:tc>
          <w:tcPr>
            <w:tcW w:w="626" w:type="dxa"/>
            <w:tcBorders>
              <w:top w:val="single" w:sz="12" w:space="0" w:color="000000"/>
              <w:left w:val="single" w:sz="12" w:space="0" w:color="000000"/>
              <w:bottom w:val="single" w:sz="12" w:space="0" w:color="000000"/>
              <w:right w:val="single" w:sz="12" w:space="0" w:color="000000"/>
            </w:tcBorders>
          </w:tcPr>
          <w:p>
            <w:pPr/>
          </w:p>
        </w:tc>
        <w:tc>
          <w:tcPr>
            <w:tcW w:w="25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685"/>
              <w:jc w:val="right"/>
              <w:rPr>
                <w:rFonts w:ascii="宋体" w:hAnsi="宋体" w:cs="宋体" w:eastAsia="宋体" w:hint="default"/>
                <w:sz w:val="18"/>
                <w:szCs w:val="18"/>
              </w:rPr>
            </w:pPr>
            <w:r>
              <w:rPr>
                <w:rFonts w:ascii="宋体"/>
                <w:spacing w:val="-1"/>
                <w:sz w:val="18"/>
              </w:rPr>
              <w:t>23,918,441.71</w:t>
            </w:r>
          </w:p>
        </w:tc>
        <w:tc>
          <w:tcPr>
            <w:tcW w:w="24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41,945,731.03</w:t>
            </w:r>
          </w:p>
        </w:tc>
      </w:tr>
    </w:tbl>
    <w:p>
      <w:pPr>
        <w:spacing w:line="240" w:lineRule="auto" w:before="0"/>
        <w:rPr>
          <w:rFonts w:ascii="宋体" w:hAnsi="宋体" w:cs="宋体" w:eastAsia="宋体" w:hint="default"/>
          <w:sz w:val="15"/>
          <w:szCs w:val="15"/>
        </w:rPr>
      </w:pPr>
    </w:p>
    <w:p>
      <w:pPr>
        <w:tabs>
          <w:tab w:pos="2853" w:val="left" w:leader="none"/>
          <w:tab w:pos="7084" w:val="left" w:leader="none"/>
        </w:tabs>
        <w:spacing w:before="44"/>
        <w:ind w:left="239" w:right="0" w:firstLine="0"/>
        <w:jc w:val="left"/>
        <w:rPr>
          <w:rFonts w:ascii="宋体" w:hAnsi="宋体" w:cs="宋体" w:eastAsia="宋体" w:hint="default"/>
          <w:sz w:val="18"/>
          <w:szCs w:val="18"/>
        </w:rPr>
      </w:pPr>
      <w:r>
        <w:rPr>
          <w:rFonts w:ascii="宋体" w:hAnsi="宋体" w:cs="宋体" w:eastAsia="宋体" w:hint="default"/>
          <w:w w:val="95"/>
          <w:sz w:val="18"/>
          <w:szCs w:val="18"/>
        </w:rPr>
        <w:t>法定代表人：纪立军</w:t>
        <w:tab/>
        <w:t>主管会计工作负责人：郑强</w:t>
        <w:tab/>
      </w:r>
      <w:r>
        <w:rPr>
          <w:rFonts w:ascii="宋体" w:hAnsi="宋体" w:cs="宋体" w:eastAsia="宋体" w:hint="default"/>
          <w:sz w:val="18"/>
          <w:szCs w:val="18"/>
        </w:rPr>
        <w:t>会计机构负责人：王迎辉</w:t>
      </w:r>
    </w:p>
    <w:p>
      <w:pPr>
        <w:spacing w:after="0"/>
        <w:jc w:val="left"/>
        <w:rPr>
          <w:rFonts w:ascii="宋体" w:hAnsi="宋体" w:cs="宋体" w:eastAsia="宋体" w:hint="default"/>
          <w:sz w:val="18"/>
          <w:szCs w:val="18"/>
        </w:rPr>
        <w:sectPr>
          <w:footerReference w:type="default" r:id="rId50"/>
          <w:pgSz w:w="11900" w:h="16840"/>
          <w:pgMar w:footer="983" w:header="877" w:top="1060" w:bottom="1180" w:left="1560" w:right="860"/>
          <w:pgNumType w:start="70"/>
        </w:sectPr>
      </w:pPr>
    </w:p>
    <w:p>
      <w:pPr>
        <w:spacing w:line="240" w:lineRule="auto" w:before="4"/>
        <w:rPr>
          <w:rFonts w:ascii="宋体" w:hAnsi="宋体" w:cs="宋体" w:eastAsia="宋体" w:hint="default"/>
          <w:sz w:val="24"/>
          <w:szCs w:val="24"/>
        </w:rPr>
      </w:pPr>
    </w:p>
    <w:p>
      <w:pPr>
        <w:pStyle w:val="Heading2"/>
        <w:spacing w:line="240" w:lineRule="auto"/>
        <w:ind w:right="69"/>
        <w:jc w:val="center"/>
      </w:pPr>
      <w:r>
        <w:rPr/>
        <w:t>现金流量表（合并）</w:t>
      </w:r>
    </w:p>
    <w:p>
      <w:pPr>
        <w:tabs>
          <w:tab w:pos="5313" w:val="left" w:leader="none"/>
          <w:tab w:pos="7960" w:val="left" w:leader="none"/>
        </w:tabs>
        <w:spacing w:before="145"/>
        <w:ind w:left="0" w:right="258" w:firstLine="0"/>
        <w:jc w:val="center"/>
        <w:rPr>
          <w:rFonts w:ascii="宋体" w:hAnsi="宋体" w:cs="宋体" w:eastAsia="宋体" w:hint="default"/>
          <w:sz w:val="18"/>
          <w:szCs w:val="18"/>
        </w:rPr>
      </w:pPr>
      <w:r>
        <w:rPr>
          <w:rFonts w:ascii="宋体" w:hAnsi="宋体" w:cs="宋体" w:eastAsia="宋体" w:hint="default"/>
          <w:w w:val="95"/>
          <w:sz w:val="18"/>
          <w:szCs w:val="18"/>
        </w:rPr>
        <w:t>编制单位：上海安诺其纺织化工股份有限公司</w:t>
        <w:tab/>
      </w: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tab/>
        <w:t>单位：元</w:t>
      </w:r>
    </w:p>
    <w:p>
      <w:pPr>
        <w:spacing w:line="240" w:lineRule="auto" w:before="6"/>
        <w:rPr>
          <w:rFonts w:ascii="宋体" w:hAnsi="宋体" w:cs="宋体" w:eastAsia="宋体" w:hint="default"/>
          <w:sz w:val="6"/>
          <w:szCs w:val="6"/>
        </w:rPr>
      </w:pPr>
    </w:p>
    <w:tbl>
      <w:tblPr>
        <w:tblW w:w="0" w:type="auto"/>
        <w:jc w:val="left"/>
        <w:tblInd w:w="226" w:type="dxa"/>
        <w:tblLayout w:type="fixed"/>
        <w:tblCellMar>
          <w:top w:w="0" w:type="dxa"/>
          <w:left w:w="0" w:type="dxa"/>
          <w:bottom w:w="0" w:type="dxa"/>
          <w:right w:w="0" w:type="dxa"/>
        </w:tblCellMar>
        <w:tblLook w:val="01E0"/>
      </w:tblPr>
      <w:tblGrid>
        <w:gridCol w:w="4008"/>
        <w:gridCol w:w="684"/>
        <w:gridCol w:w="2203"/>
        <w:gridCol w:w="2004"/>
      </w:tblGrid>
      <w:tr>
        <w:trPr>
          <w:trHeight w:val="343" w:hRule="exact"/>
        </w:trPr>
        <w:tc>
          <w:tcPr>
            <w:tcW w:w="4008" w:type="dxa"/>
            <w:vMerge w:val="restart"/>
            <w:tcBorders>
              <w:top w:val="single" w:sz="12" w:space="0" w:color="000000"/>
              <w:left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684" w:type="dxa"/>
            <w:vMerge w:val="restart"/>
            <w:tcBorders>
              <w:top w:val="single" w:sz="12" w:space="0" w:color="000000"/>
              <w:left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22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年度</w:t>
            </w:r>
          </w:p>
        </w:tc>
        <w:tc>
          <w:tcPr>
            <w:tcW w:w="20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5"/>
                <w:sz w:val="18"/>
                <w:szCs w:val="18"/>
              </w:rPr>
              <w:t> </w:t>
            </w:r>
            <w:r>
              <w:rPr>
                <w:rFonts w:ascii="宋体" w:hAnsi="宋体" w:cs="宋体" w:eastAsia="宋体" w:hint="default"/>
                <w:sz w:val="18"/>
                <w:szCs w:val="18"/>
              </w:rPr>
              <w:t>年度</w:t>
            </w:r>
          </w:p>
        </w:tc>
      </w:tr>
      <w:tr>
        <w:trPr>
          <w:trHeight w:val="341" w:hRule="exact"/>
        </w:trPr>
        <w:tc>
          <w:tcPr>
            <w:tcW w:w="4008" w:type="dxa"/>
            <w:vMerge/>
            <w:tcBorders>
              <w:left w:val="single" w:sz="12" w:space="0" w:color="000000"/>
              <w:bottom w:val="single" w:sz="12" w:space="0" w:color="000000"/>
              <w:right w:val="single" w:sz="12" w:space="0" w:color="000000"/>
            </w:tcBorders>
          </w:tcPr>
          <w:p>
            <w:pPr/>
          </w:p>
        </w:tc>
        <w:tc>
          <w:tcPr>
            <w:tcW w:w="684" w:type="dxa"/>
            <w:vMerge/>
            <w:tcBorders>
              <w:left w:val="single" w:sz="12" w:space="0" w:color="000000"/>
              <w:bottom w:val="single" w:sz="12" w:space="0" w:color="000000"/>
              <w:right w:val="single" w:sz="12" w:space="0" w:color="000000"/>
            </w:tcBorders>
          </w:tcPr>
          <w:p>
            <w:pPr/>
          </w:p>
        </w:tc>
        <w:tc>
          <w:tcPr>
            <w:tcW w:w="22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20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343" w:hRule="exact"/>
        </w:trPr>
        <w:tc>
          <w:tcPr>
            <w:tcW w:w="40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684" w:type="dxa"/>
            <w:tcBorders>
              <w:top w:val="single" w:sz="12" w:space="0" w:color="000000"/>
              <w:left w:val="single" w:sz="12" w:space="0" w:color="000000"/>
              <w:bottom w:val="single" w:sz="12" w:space="0" w:color="000000"/>
              <w:right w:val="single" w:sz="12" w:space="0" w:color="000000"/>
            </w:tcBorders>
          </w:tcPr>
          <w:p>
            <w:pPr/>
          </w:p>
        </w:tc>
        <w:tc>
          <w:tcPr>
            <w:tcW w:w="2203" w:type="dxa"/>
            <w:tcBorders>
              <w:top w:val="single" w:sz="12" w:space="0" w:color="000000"/>
              <w:left w:val="single" w:sz="12" w:space="0" w:color="000000"/>
              <w:bottom w:val="single" w:sz="12" w:space="0" w:color="000000"/>
              <w:right w:val="single" w:sz="12" w:space="0" w:color="000000"/>
            </w:tcBorders>
          </w:tcPr>
          <w:p>
            <w:pPr/>
          </w:p>
        </w:tc>
        <w:tc>
          <w:tcPr>
            <w:tcW w:w="2004"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40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684" w:type="dxa"/>
            <w:tcBorders>
              <w:top w:val="single" w:sz="12" w:space="0" w:color="000000"/>
              <w:left w:val="single" w:sz="12" w:space="0" w:color="000000"/>
              <w:bottom w:val="single" w:sz="12" w:space="0" w:color="000000"/>
              <w:right w:val="single" w:sz="12" w:space="0" w:color="000000"/>
            </w:tcBorders>
          </w:tcPr>
          <w:p>
            <w:pPr/>
          </w:p>
        </w:tc>
        <w:tc>
          <w:tcPr>
            <w:tcW w:w="22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91,795,425.14</w:t>
            </w:r>
          </w:p>
        </w:tc>
        <w:tc>
          <w:tcPr>
            <w:tcW w:w="20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81,924,868.76</w:t>
            </w:r>
          </w:p>
        </w:tc>
      </w:tr>
      <w:tr>
        <w:trPr>
          <w:trHeight w:val="343" w:hRule="exact"/>
        </w:trPr>
        <w:tc>
          <w:tcPr>
            <w:tcW w:w="40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684" w:type="dxa"/>
            <w:tcBorders>
              <w:top w:val="single" w:sz="12" w:space="0" w:color="000000"/>
              <w:left w:val="single" w:sz="12" w:space="0" w:color="000000"/>
              <w:bottom w:val="single" w:sz="12" w:space="0" w:color="000000"/>
              <w:right w:val="single" w:sz="12" w:space="0" w:color="000000"/>
            </w:tcBorders>
          </w:tcPr>
          <w:p>
            <w:pPr/>
          </w:p>
        </w:tc>
        <w:tc>
          <w:tcPr>
            <w:tcW w:w="22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695,782.78</w:t>
            </w:r>
          </w:p>
        </w:tc>
        <w:tc>
          <w:tcPr>
            <w:tcW w:w="20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3,975,179.58</w:t>
            </w:r>
          </w:p>
        </w:tc>
      </w:tr>
      <w:tr>
        <w:trPr>
          <w:trHeight w:val="341" w:hRule="exact"/>
        </w:trPr>
        <w:tc>
          <w:tcPr>
            <w:tcW w:w="40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6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6.36</w:t>
            </w:r>
          </w:p>
        </w:tc>
        <w:tc>
          <w:tcPr>
            <w:tcW w:w="22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12,278,197.51</w:t>
            </w:r>
          </w:p>
        </w:tc>
        <w:tc>
          <w:tcPr>
            <w:tcW w:w="20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10,803,911.91</w:t>
            </w:r>
          </w:p>
        </w:tc>
      </w:tr>
      <w:tr>
        <w:trPr>
          <w:trHeight w:val="343" w:hRule="exact"/>
        </w:trPr>
        <w:tc>
          <w:tcPr>
            <w:tcW w:w="40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684" w:type="dxa"/>
            <w:tcBorders>
              <w:top w:val="single" w:sz="12" w:space="0" w:color="000000"/>
              <w:left w:val="single" w:sz="12" w:space="0" w:color="000000"/>
              <w:bottom w:val="single" w:sz="12" w:space="0" w:color="000000"/>
              <w:right w:val="single" w:sz="12" w:space="0" w:color="000000"/>
            </w:tcBorders>
          </w:tcPr>
          <w:p>
            <w:pPr/>
          </w:p>
        </w:tc>
        <w:tc>
          <w:tcPr>
            <w:tcW w:w="22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0"/>
              <w:jc w:val="center"/>
              <w:rPr>
                <w:rFonts w:ascii="Arial" w:hAnsi="Arial" w:cs="Arial" w:eastAsia="Arial" w:hint="default"/>
                <w:sz w:val="18"/>
                <w:szCs w:val="18"/>
              </w:rPr>
            </w:pPr>
            <w:r>
              <w:rPr>
                <w:rFonts w:ascii="Arial"/>
                <w:b/>
                <w:sz w:val="18"/>
              </w:rPr>
              <w:t>104,769,405.43</w:t>
            </w:r>
            <w:r>
              <w:rPr>
                <w:rFonts w:ascii="Arial"/>
                <w:sz w:val="18"/>
              </w:rPr>
            </w:r>
          </w:p>
        </w:tc>
        <w:tc>
          <w:tcPr>
            <w:tcW w:w="20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0"/>
              <w:jc w:val="center"/>
              <w:rPr>
                <w:rFonts w:ascii="Arial" w:hAnsi="Arial" w:cs="Arial" w:eastAsia="Arial" w:hint="default"/>
                <w:sz w:val="18"/>
                <w:szCs w:val="18"/>
              </w:rPr>
            </w:pPr>
            <w:r>
              <w:rPr>
                <w:rFonts w:ascii="Arial"/>
                <w:b/>
                <w:sz w:val="18"/>
              </w:rPr>
              <w:t>96,703,960.25</w:t>
            </w:r>
            <w:r>
              <w:rPr>
                <w:rFonts w:ascii="Arial"/>
                <w:sz w:val="18"/>
              </w:rPr>
            </w:r>
          </w:p>
        </w:tc>
      </w:tr>
      <w:tr>
        <w:trPr>
          <w:trHeight w:val="341" w:hRule="exact"/>
        </w:trPr>
        <w:tc>
          <w:tcPr>
            <w:tcW w:w="40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684" w:type="dxa"/>
            <w:tcBorders>
              <w:top w:val="single" w:sz="12" w:space="0" w:color="000000"/>
              <w:left w:val="single" w:sz="12" w:space="0" w:color="000000"/>
              <w:bottom w:val="single" w:sz="12" w:space="0" w:color="000000"/>
              <w:right w:val="single" w:sz="12" w:space="0" w:color="000000"/>
            </w:tcBorders>
          </w:tcPr>
          <w:p>
            <w:pPr/>
          </w:p>
        </w:tc>
        <w:tc>
          <w:tcPr>
            <w:tcW w:w="22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47,959,840.88</w:t>
            </w:r>
          </w:p>
        </w:tc>
        <w:tc>
          <w:tcPr>
            <w:tcW w:w="20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10,549,932.80</w:t>
            </w:r>
          </w:p>
        </w:tc>
      </w:tr>
      <w:tr>
        <w:trPr>
          <w:trHeight w:val="343" w:hRule="exact"/>
        </w:trPr>
        <w:tc>
          <w:tcPr>
            <w:tcW w:w="40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684" w:type="dxa"/>
            <w:tcBorders>
              <w:top w:val="single" w:sz="12" w:space="0" w:color="000000"/>
              <w:left w:val="single" w:sz="12" w:space="0" w:color="000000"/>
              <w:bottom w:val="single" w:sz="12" w:space="0" w:color="000000"/>
              <w:right w:val="single" w:sz="12" w:space="0" w:color="000000"/>
            </w:tcBorders>
          </w:tcPr>
          <w:p>
            <w:pPr/>
          </w:p>
        </w:tc>
        <w:tc>
          <w:tcPr>
            <w:tcW w:w="22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20,546,476.21</w:t>
            </w:r>
          </w:p>
        </w:tc>
        <w:tc>
          <w:tcPr>
            <w:tcW w:w="20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13,446,366.60</w:t>
            </w:r>
          </w:p>
        </w:tc>
      </w:tr>
      <w:tr>
        <w:trPr>
          <w:trHeight w:val="341" w:hRule="exact"/>
        </w:trPr>
        <w:tc>
          <w:tcPr>
            <w:tcW w:w="40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684" w:type="dxa"/>
            <w:tcBorders>
              <w:top w:val="single" w:sz="12" w:space="0" w:color="000000"/>
              <w:left w:val="single" w:sz="12" w:space="0" w:color="000000"/>
              <w:bottom w:val="single" w:sz="12" w:space="0" w:color="000000"/>
              <w:right w:val="single" w:sz="12" w:space="0" w:color="000000"/>
            </w:tcBorders>
          </w:tcPr>
          <w:p>
            <w:pPr/>
          </w:p>
        </w:tc>
        <w:tc>
          <w:tcPr>
            <w:tcW w:w="22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17,805,089.54</w:t>
            </w:r>
          </w:p>
        </w:tc>
        <w:tc>
          <w:tcPr>
            <w:tcW w:w="20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18,940,476.33</w:t>
            </w:r>
          </w:p>
        </w:tc>
      </w:tr>
      <w:tr>
        <w:trPr>
          <w:trHeight w:val="343" w:hRule="exact"/>
        </w:trPr>
        <w:tc>
          <w:tcPr>
            <w:tcW w:w="40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6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6.36</w:t>
            </w:r>
          </w:p>
        </w:tc>
        <w:tc>
          <w:tcPr>
            <w:tcW w:w="22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25,135,665.90</w:t>
            </w:r>
          </w:p>
        </w:tc>
        <w:tc>
          <w:tcPr>
            <w:tcW w:w="20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16,422,562.38</w:t>
            </w:r>
          </w:p>
        </w:tc>
      </w:tr>
      <w:tr>
        <w:trPr>
          <w:trHeight w:val="341" w:hRule="exact"/>
        </w:trPr>
        <w:tc>
          <w:tcPr>
            <w:tcW w:w="40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684" w:type="dxa"/>
            <w:tcBorders>
              <w:top w:val="single" w:sz="12" w:space="0" w:color="000000"/>
              <w:left w:val="single" w:sz="12" w:space="0" w:color="000000"/>
              <w:bottom w:val="single" w:sz="12" w:space="0" w:color="000000"/>
              <w:right w:val="single" w:sz="12" w:space="0" w:color="000000"/>
            </w:tcBorders>
          </w:tcPr>
          <w:p>
            <w:pPr/>
          </w:p>
        </w:tc>
        <w:tc>
          <w:tcPr>
            <w:tcW w:w="22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0"/>
              <w:jc w:val="center"/>
              <w:rPr>
                <w:rFonts w:ascii="Arial" w:hAnsi="Arial" w:cs="Arial" w:eastAsia="Arial" w:hint="default"/>
                <w:sz w:val="18"/>
                <w:szCs w:val="18"/>
              </w:rPr>
            </w:pPr>
            <w:r>
              <w:rPr>
                <w:rFonts w:ascii="Arial"/>
                <w:b/>
                <w:sz w:val="18"/>
              </w:rPr>
              <w:t>111,447,072.53</w:t>
            </w:r>
            <w:r>
              <w:rPr>
                <w:rFonts w:ascii="Arial"/>
                <w:sz w:val="18"/>
              </w:rPr>
            </w:r>
          </w:p>
        </w:tc>
        <w:tc>
          <w:tcPr>
            <w:tcW w:w="20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0"/>
              <w:jc w:val="center"/>
              <w:rPr>
                <w:rFonts w:ascii="Arial" w:hAnsi="Arial" w:cs="Arial" w:eastAsia="Arial" w:hint="default"/>
                <w:sz w:val="18"/>
                <w:szCs w:val="18"/>
              </w:rPr>
            </w:pPr>
            <w:r>
              <w:rPr>
                <w:rFonts w:ascii="Arial"/>
                <w:b/>
                <w:sz w:val="18"/>
              </w:rPr>
              <w:t>59,359,338.11</w:t>
            </w:r>
            <w:r>
              <w:rPr>
                <w:rFonts w:ascii="Arial"/>
                <w:sz w:val="18"/>
              </w:rPr>
            </w:r>
          </w:p>
        </w:tc>
      </w:tr>
      <w:tr>
        <w:trPr>
          <w:trHeight w:val="343" w:hRule="exact"/>
        </w:trPr>
        <w:tc>
          <w:tcPr>
            <w:tcW w:w="40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684" w:type="dxa"/>
            <w:tcBorders>
              <w:top w:val="single" w:sz="12" w:space="0" w:color="000000"/>
              <w:left w:val="single" w:sz="12" w:space="0" w:color="000000"/>
              <w:bottom w:val="single" w:sz="12" w:space="0" w:color="000000"/>
              <w:right w:val="single" w:sz="12" w:space="0" w:color="000000"/>
            </w:tcBorders>
          </w:tcPr>
          <w:p>
            <w:pPr/>
          </w:p>
        </w:tc>
        <w:tc>
          <w:tcPr>
            <w:tcW w:w="22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0"/>
              <w:jc w:val="center"/>
              <w:rPr>
                <w:rFonts w:ascii="Arial" w:hAnsi="Arial" w:cs="Arial" w:eastAsia="Arial" w:hint="default"/>
                <w:sz w:val="18"/>
                <w:szCs w:val="18"/>
              </w:rPr>
            </w:pPr>
            <w:r>
              <w:rPr>
                <w:rFonts w:ascii="Arial"/>
                <w:b/>
                <w:sz w:val="18"/>
              </w:rPr>
              <w:t>-6,677,667.10</w:t>
            </w:r>
            <w:r>
              <w:rPr>
                <w:rFonts w:ascii="Arial"/>
                <w:sz w:val="18"/>
              </w:rPr>
            </w:r>
          </w:p>
        </w:tc>
        <w:tc>
          <w:tcPr>
            <w:tcW w:w="20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0"/>
              <w:jc w:val="center"/>
              <w:rPr>
                <w:rFonts w:ascii="Arial" w:hAnsi="Arial" w:cs="Arial" w:eastAsia="Arial" w:hint="default"/>
                <w:sz w:val="18"/>
                <w:szCs w:val="18"/>
              </w:rPr>
            </w:pPr>
            <w:r>
              <w:rPr>
                <w:rFonts w:ascii="Arial"/>
                <w:b/>
                <w:sz w:val="18"/>
              </w:rPr>
              <w:t>37,344,622.14</w:t>
            </w:r>
            <w:r>
              <w:rPr>
                <w:rFonts w:ascii="Arial"/>
                <w:sz w:val="18"/>
              </w:rPr>
            </w:r>
          </w:p>
        </w:tc>
      </w:tr>
      <w:tr>
        <w:trPr>
          <w:trHeight w:val="341" w:hRule="exact"/>
        </w:trPr>
        <w:tc>
          <w:tcPr>
            <w:tcW w:w="4008" w:type="dxa"/>
            <w:tcBorders>
              <w:top w:val="single" w:sz="12" w:space="0" w:color="000000"/>
              <w:left w:val="single" w:sz="12" w:space="0" w:color="000000"/>
              <w:bottom w:val="single" w:sz="12" w:space="0" w:color="000000"/>
              <w:right w:val="single" w:sz="12" w:space="0" w:color="000000"/>
            </w:tcBorders>
          </w:tcPr>
          <w:p>
            <w:pPr/>
          </w:p>
        </w:tc>
        <w:tc>
          <w:tcPr>
            <w:tcW w:w="684" w:type="dxa"/>
            <w:tcBorders>
              <w:top w:val="single" w:sz="12" w:space="0" w:color="000000"/>
              <w:left w:val="single" w:sz="12" w:space="0" w:color="000000"/>
              <w:bottom w:val="single" w:sz="12" w:space="0" w:color="000000"/>
              <w:right w:val="single" w:sz="12" w:space="0" w:color="000000"/>
            </w:tcBorders>
          </w:tcPr>
          <w:p>
            <w:pPr/>
          </w:p>
        </w:tc>
        <w:tc>
          <w:tcPr>
            <w:tcW w:w="2203" w:type="dxa"/>
            <w:tcBorders>
              <w:top w:val="single" w:sz="12" w:space="0" w:color="000000"/>
              <w:left w:val="single" w:sz="12" w:space="0" w:color="000000"/>
              <w:bottom w:val="single" w:sz="12" w:space="0" w:color="000000"/>
              <w:right w:val="single" w:sz="12" w:space="0" w:color="000000"/>
            </w:tcBorders>
          </w:tcPr>
          <w:p>
            <w:pPr/>
          </w:p>
        </w:tc>
        <w:tc>
          <w:tcPr>
            <w:tcW w:w="2004"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40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684" w:type="dxa"/>
            <w:tcBorders>
              <w:top w:val="single" w:sz="12" w:space="0" w:color="000000"/>
              <w:left w:val="single" w:sz="12" w:space="0" w:color="000000"/>
              <w:bottom w:val="single" w:sz="12" w:space="0" w:color="000000"/>
              <w:right w:val="single" w:sz="12" w:space="0" w:color="000000"/>
            </w:tcBorders>
          </w:tcPr>
          <w:p>
            <w:pPr/>
          </w:p>
        </w:tc>
        <w:tc>
          <w:tcPr>
            <w:tcW w:w="2203" w:type="dxa"/>
            <w:tcBorders>
              <w:top w:val="single" w:sz="12" w:space="0" w:color="000000"/>
              <w:left w:val="single" w:sz="12" w:space="0" w:color="000000"/>
              <w:bottom w:val="single" w:sz="12" w:space="0" w:color="000000"/>
              <w:right w:val="single" w:sz="12" w:space="0" w:color="000000"/>
            </w:tcBorders>
          </w:tcPr>
          <w:p>
            <w:pPr/>
          </w:p>
        </w:tc>
        <w:tc>
          <w:tcPr>
            <w:tcW w:w="2004"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40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684" w:type="dxa"/>
            <w:tcBorders>
              <w:top w:val="single" w:sz="12" w:space="0" w:color="000000"/>
              <w:left w:val="single" w:sz="12" w:space="0" w:color="000000"/>
              <w:bottom w:val="single" w:sz="12" w:space="0" w:color="000000"/>
              <w:right w:val="single" w:sz="12" w:space="0" w:color="000000"/>
            </w:tcBorders>
          </w:tcPr>
          <w:p>
            <w:pPr/>
          </w:p>
        </w:tc>
        <w:tc>
          <w:tcPr>
            <w:tcW w:w="22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20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3" w:hRule="exact"/>
        </w:trPr>
        <w:tc>
          <w:tcPr>
            <w:tcW w:w="40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684" w:type="dxa"/>
            <w:tcBorders>
              <w:top w:val="single" w:sz="12" w:space="0" w:color="000000"/>
              <w:left w:val="single" w:sz="12" w:space="0" w:color="000000"/>
              <w:bottom w:val="single" w:sz="12" w:space="0" w:color="000000"/>
              <w:right w:val="single" w:sz="12" w:space="0" w:color="000000"/>
            </w:tcBorders>
          </w:tcPr>
          <w:p>
            <w:pPr/>
          </w:p>
        </w:tc>
        <w:tc>
          <w:tcPr>
            <w:tcW w:w="22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69,333.36</w:t>
            </w:r>
          </w:p>
        </w:tc>
        <w:tc>
          <w:tcPr>
            <w:tcW w:w="20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653" w:hRule="exact"/>
        </w:trPr>
        <w:tc>
          <w:tcPr>
            <w:tcW w:w="4008"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93" w:right="94"/>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现金净额</w:t>
            </w:r>
          </w:p>
        </w:tc>
        <w:tc>
          <w:tcPr>
            <w:tcW w:w="684" w:type="dxa"/>
            <w:tcBorders>
              <w:top w:val="single" w:sz="12" w:space="0" w:color="000000"/>
              <w:left w:val="single" w:sz="12" w:space="0" w:color="000000"/>
              <w:bottom w:val="single" w:sz="12" w:space="0" w:color="000000"/>
              <w:right w:val="single" w:sz="12" w:space="0" w:color="000000"/>
            </w:tcBorders>
          </w:tcPr>
          <w:p>
            <w:pPr/>
          </w:p>
        </w:tc>
        <w:tc>
          <w:tcPr>
            <w:tcW w:w="22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20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3" w:hRule="exact"/>
        </w:trPr>
        <w:tc>
          <w:tcPr>
            <w:tcW w:w="40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684" w:type="dxa"/>
            <w:tcBorders>
              <w:top w:val="single" w:sz="12" w:space="0" w:color="000000"/>
              <w:left w:val="single" w:sz="12" w:space="0" w:color="000000"/>
              <w:bottom w:val="single" w:sz="12" w:space="0" w:color="000000"/>
              <w:right w:val="single" w:sz="12" w:space="0" w:color="000000"/>
            </w:tcBorders>
          </w:tcPr>
          <w:p>
            <w:pPr/>
          </w:p>
        </w:tc>
        <w:tc>
          <w:tcPr>
            <w:tcW w:w="22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20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40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684" w:type="dxa"/>
            <w:tcBorders>
              <w:top w:val="single" w:sz="12" w:space="0" w:color="000000"/>
              <w:left w:val="single" w:sz="12" w:space="0" w:color="000000"/>
              <w:bottom w:val="single" w:sz="12" w:space="0" w:color="000000"/>
              <w:right w:val="single" w:sz="12" w:space="0" w:color="000000"/>
            </w:tcBorders>
          </w:tcPr>
          <w:p>
            <w:pPr/>
          </w:p>
        </w:tc>
        <w:tc>
          <w:tcPr>
            <w:tcW w:w="22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20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3" w:hRule="exact"/>
        </w:trPr>
        <w:tc>
          <w:tcPr>
            <w:tcW w:w="40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684" w:type="dxa"/>
            <w:tcBorders>
              <w:top w:val="single" w:sz="12" w:space="0" w:color="000000"/>
              <w:left w:val="single" w:sz="12" w:space="0" w:color="000000"/>
              <w:bottom w:val="single" w:sz="12" w:space="0" w:color="000000"/>
              <w:right w:val="single" w:sz="12" w:space="0" w:color="000000"/>
            </w:tcBorders>
          </w:tcPr>
          <w:p>
            <w:pPr/>
          </w:p>
        </w:tc>
        <w:tc>
          <w:tcPr>
            <w:tcW w:w="22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1"/>
              <w:jc w:val="center"/>
              <w:rPr>
                <w:rFonts w:ascii="Arial" w:hAnsi="Arial" w:cs="Arial" w:eastAsia="Arial" w:hint="default"/>
                <w:sz w:val="18"/>
                <w:szCs w:val="18"/>
              </w:rPr>
            </w:pPr>
            <w:r>
              <w:rPr>
                <w:rFonts w:ascii="Arial"/>
                <w:b/>
                <w:sz w:val="18"/>
              </w:rPr>
              <w:t>69,333.36</w:t>
            </w:r>
            <w:r>
              <w:rPr>
                <w:rFonts w:ascii="Arial"/>
                <w:sz w:val="18"/>
              </w:rPr>
            </w:r>
          </w:p>
        </w:tc>
        <w:tc>
          <w:tcPr>
            <w:tcW w:w="20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0"/>
              <w:jc w:val="center"/>
              <w:rPr>
                <w:rFonts w:ascii="Arial" w:hAnsi="Arial" w:cs="Arial" w:eastAsia="Arial" w:hint="default"/>
                <w:sz w:val="18"/>
                <w:szCs w:val="18"/>
              </w:rPr>
            </w:pPr>
            <w:r>
              <w:rPr>
                <w:rFonts w:ascii="Arial"/>
                <w:b/>
                <w:w w:val="99"/>
                <w:sz w:val="18"/>
              </w:rPr>
              <w:t>-</w:t>
            </w:r>
            <w:r>
              <w:rPr>
                <w:rFonts w:ascii="Arial"/>
                <w:sz w:val="18"/>
              </w:rPr>
            </w:r>
          </w:p>
        </w:tc>
      </w:tr>
      <w:tr>
        <w:trPr>
          <w:trHeight w:val="653" w:hRule="exact"/>
        </w:trPr>
        <w:tc>
          <w:tcPr>
            <w:tcW w:w="4008"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93" w:right="94"/>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现金</w:t>
            </w:r>
          </w:p>
        </w:tc>
        <w:tc>
          <w:tcPr>
            <w:tcW w:w="684" w:type="dxa"/>
            <w:tcBorders>
              <w:top w:val="single" w:sz="12" w:space="0" w:color="000000"/>
              <w:left w:val="single" w:sz="12" w:space="0" w:color="000000"/>
              <w:bottom w:val="single" w:sz="12" w:space="0" w:color="000000"/>
              <w:right w:val="single" w:sz="12" w:space="0" w:color="000000"/>
            </w:tcBorders>
          </w:tcPr>
          <w:p>
            <w:pPr/>
          </w:p>
        </w:tc>
        <w:tc>
          <w:tcPr>
            <w:tcW w:w="22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sz w:val="18"/>
              </w:rPr>
              <w:t>68,512,411.21</w:t>
            </w:r>
          </w:p>
        </w:tc>
        <w:tc>
          <w:tcPr>
            <w:tcW w:w="20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42,712,128.37</w:t>
            </w:r>
          </w:p>
        </w:tc>
      </w:tr>
      <w:tr>
        <w:trPr>
          <w:trHeight w:val="343" w:hRule="exact"/>
        </w:trPr>
        <w:tc>
          <w:tcPr>
            <w:tcW w:w="40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684" w:type="dxa"/>
            <w:tcBorders>
              <w:top w:val="single" w:sz="12" w:space="0" w:color="000000"/>
              <w:left w:val="single" w:sz="12" w:space="0" w:color="000000"/>
              <w:bottom w:val="single" w:sz="12" w:space="0" w:color="000000"/>
              <w:right w:val="single" w:sz="12" w:space="0" w:color="000000"/>
            </w:tcBorders>
          </w:tcPr>
          <w:p>
            <w:pPr/>
          </w:p>
        </w:tc>
        <w:tc>
          <w:tcPr>
            <w:tcW w:w="22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20,690,000.00</w:t>
            </w:r>
          </w:p>
        </w:tc>
        <w:tc>
          <w:tcPr>
            <w:tcW w:w="20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40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684" w:type="dxa"/>
            <w:tcBorders>
              <w:top w:val="single" w:sz="12" w:space="0" w:color="000000"/>
              <w:left w:val="single" w:sz="12" w:space="0" w:color="000000"/>
              <w:bottom w:val="single" w:sz="12" w:space="0" w:color="000000"/>
              <w:right w:val="single" w:sz="12" w:space="0" w:color="000000"/>
            </w:tcBorders>
          </w:tcPr>
          <w:p>
            <w:pPr/>
          </w:p>
        </w:tc>
        <w:tc>
          <w:tcPr>
            <w:tcW w:w="22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20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3" w:hRule="exact"/>
        </w:trPr>
        <w:tc>
          <w:tcPr>
            <w:tcW w:w="40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684" w:type="dxa"/>
            <w:tcBorders>
              <w:top w:val="single" w:sz="12" w:space="0" w:color="000000"/>
              <w:left w:val="single" w:sz="12" w:space="0" w:color="000000"/>
              <w:bottom w:val="single" w:sz="12" w:space="0" w:color="000000"/>
              <w:right w:val="single" w:sz="12" w:space="0" w:color="000000"/>
            </w:tcBorders>
          </w:tcPr>
          <w:p>
            <w:pPr/>
          </w:p>
        </w:tc>
        <w:tc>
          <w:tcPr>
            <w:tcW w:w="22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20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40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684" w:type="dxa"/>
            <w:tcBorders>
              <w:top w:val="single" w:sz="12" w:space="0" w:color="000000"/>
              <w:left w:val="single" w:sz="12" w:space="0" w:color="000000"/>
              <w:bottom w:val="single" w:sz="12" w:space="0" w:color="000000"/>
              <w:right w:val="single" w:sz="12" w:space="0" w:color="000000"/>
            </w:tcBorders>
          </w:tcPr>
          <w:p>
            <w:pPr/>
          </w:p>
        </w:tc>
        <w:tc>
          <w:tcPr>
            <w:tcW w:w="22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1"/>
              <w:jc w:val="center"/>
              <w:rPr>
                <w:rFonts w:ascii="Arial" w:hAnsi="Arial" w:cs="Arial" w:eastAsia="Arial" w:hint="default"/>
                <w:sz w:val="18"/>
                <w:szCs w:val="18"/>
              </w:rPr>
            </w:pPr>
            <w:r>
              <w:rPr>
                <w:rFonts w:ascii="Arial"/>
                <w:b/>
                <w:sz w:val="18"/>
              </w:rPr>
              <w:t>89,202,411.21</w:t>
            </w:r>
            <w:r>
              <w:rPr>
                <w:rFonts w:ascii="Arial"/>
                <w:sz w:val="18"/>
              </w:rPr>
            </w:r>
          </w:p>
        </w:tc>
        <w:tc>
          <w:tcPr>
            <w:tcW w:w="20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0"/>
              <w:jc w:val="center"/>
              <w:rPr>
                <w:rFonts w:ascii="Arial" w:hAnsi="Arial" w:cs="Arial" w:eastAsia="Arial" w:hint="default"/>
                <w:sz w:val="18"/>
                <w:szCs w:val="18"/>
              </w:rPr>
            </w:pPr>
            <w:r>
              <w:rPr>
                <w:rFonts w:ascii="Arial"/>
                <w:b/>
                <w:sz w:val="18"/>
              </w:rPr>
              <w:t>42,712,128.37</w:t>
            </w:r>
            <w:r>
              <w:rPr>
                <w:rFonts w:ascii="Arial"/>
                <w:sz w:val="18"/>
              </w:rPr>
            </w:r>
          </w:p>
        </w:tc>
      </w:tr>
      <w:tr>
        <w:trPr>
          <w:trHeight w:val="343" w:hRule="exact"/>
        </w:trPr>
        <w:tc>
          <w:tcPr>
            <w:tcW w:w="40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684" w:type="dxa"/>
            <w:tcBorders>
              <w:top w:val="single" w:sz="12" w:space="0" w:color="000000"/>
              <w:left w:val="single" w:sz="12" w:space="0" w:color="000000"/>
              <w:bottom w:val="single" w:sz="12" w:space="0" w:color="000000"/>
              <w:right w:val="single" w:sz="12" w:space="0" w:color="000000"/>
            </w:tcBorders>
          </w:tcPr>
          <w:p>
            <w:pPr/>
          </w:p>
        </w:tc>
        <w:tc>
          <w:tcPr>
            <w:tcW w:w="22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0"/>
              <w:jc w:val="center"/>
              <w:rPr>
                <w:rFonts w:ascii="Arial" w:hAnsi="Arial" w:cs="Arial" w:eastAsia="Arial" w:hint="default"/>
                <w:sz w:val="18"/>
                <w:szCs w:val="18"/>
              </w:rPr>
            </w:pPr>
            <w:r>
              <w:rPr>
                <w:rFonts w:ascii="Arial"/>
                <w:b/>
                <w:sz w:val="18"/>
              </w:rPr>
              <w:t>-89,133,077.85</w:t>
            </w:r>
            <w:r>
              <w:rPr>
                <w:rFonts w:ascii="Arial"/>
                <w:sz w:val="18"/>
              </w:rPr>
            </w:r>
          </w:p>
        </w:tc>
        <w:tc>
          <w:tcPr>
            <w:tcW w:w="20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1"/>
              <w:jc w:val="center"/>
              <w:rPr>
                <w:rFonts w:ascii="Arial" w:hAnsi="Arial" w:cs="Arial" w:eastAsia="Arial" w:hint="default"/>
                <w:sz w:val="18"/>
                <w:szCs w:val="18"/>
              </w:rPr>
            </w:pPr>
            <w:r>
              <w:rPr>
                <w:rFonts w:ascii="Arial"/>
                <w:b/>
                <w:sz w:val="18"/>
              </w:rPr>
              <w:t>-42,712,128.37</w:t>
            </w:r>
            <w:r>
              <w:rPr>
                <w:rFonts w:ascii="Arial"/>
                <w:sz w:val="18"/>
              </w:rPr>
            </w:r>
          </w:p>
        </w:tc>
      </w:tr>
      <w:tr>
        <w:trPr>
          <w:trHeight w:val="341" w:hRule="exact"/>
        </w:trPr>
        <w:tc>
          <w:tcPr>
            <w:tcW w:w="4008" w:type="dxa"/>
            <w:tcBorders>
              <w:top w:val="single" w:sz="12" w:space="0" w:color="000000"/>
              <w:left w:val="single" w:sz="12" w:space="0" w:color="000000"/>
              <w:bottom w:val="single" w:sz="12" w:space="0" w:color="000000"/>
              <w:right w:val="single" w:sz="12" w:space="0" w:color="000000"/>
            </w:tcBorders>
          </w:tcPr>
          <w:p>
            <w:pPr/>
          </w:p>
        </w:tc>
        <w:tc>
          <w:tcPr>
            <w:tcW w:w="684" w:type="dxa"/>
            <w:tcBorders>
              <w:top w:val="single" w:sz="12" w:space="0" w:color="000000"/>
              <w:left w:val="single" w:sz="12" w:space="0" w:color="000000"/>
              <w:bottom w:val="single" w:sz="12" w:space="0" w:color="000000"/>
              <w:right w:val="single" w:sz="12" w:space="0" w:color="000000"/>
            </w:tcBorders>
          </w:tcPr>
          <w:p>
            <w:pPr/>
          </w:p>
        </w:tc>
        <w:tc>
          <w:tcPr>
            <w:tcW w:w="2203" w:type="dxa"/>
            <w:tcBorders>
              <w:top w:val="single" w:sz="12" w:space="0" w:color="000000"/>
              <w:left w:val="single" w:sz="12" w:space="0" w:color="000000"/>
              <w:bottom w:val="single" w:sz="12" w:space="0" w:color="000000"/>
              <w:right w:val="single" w:sz="12" w:space="0" w:color="000000"/>
            </w:tcBorders>
          </w:tcPr>
          <w:p>
            <w:pPr/>
          </w:p>
        </w:tc>
        <w:tc>
          <w:tcPr>
            <w:tcW w:w="2004"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40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684" w:type="dxa"/>
            <w:tcBorders>
              <w:top w:val="single" w:sz="12" w:space="0" w:color="000000"/>
              <w:left w:val="single" w:sz="12" w:space="0" w:color="000000"/>
              <w:bottom w:val="single" w:sz="12" w:space="0" w:color="000000"/>
              <w:right w:val="single" w:sz="12" w:space="0" w:color="000000"/>
            </w:tcBorders>
          </w:tcPr>
          <w:p>
            <w:pPr/>
          </w:p>
        </w:tc>
        <w:tc>
          <w:tcPr>
            <w:tcW w:w="2203" w:type="dxa"/>
            <w:tcBorders>
              <w:top w:val="single" w:sz="12" w:space="0" w:color="000000"/>
              <w:left w:val="single" w:sz="12" w:space="0" w:color="000000"/>
              <w:bottom w:val="single" w:sz="12" w:space="0" w:color="000000"/>
              <w:right w:val="single" w:sz="12" w:space="0" w:color="000000"/>
            </w:tcBorders>
          </w:tcPr>
          <w:p>
            <w:pPr/>
          </w:p>
        </w:tc>
        <w:tc>
          <w:tcPr>
            <w:tcW w:w="2004"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40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684" w:type="dxa"/>
            <w:tcBorders>
              <w:top w:val="single" w:sz="12" w:space="0" w:color="000000"/>
              <w:left w:val="single" w:sz="12" w:space="0" w:color="000000"/>
              <w:bottom w:val="single" w:sz="12" w:space="0" w:color="000000"/>
              <w:right w:val="single" w:sz="12" w:space="0" w:color="000000"/>
            </w:tcBorders>
          </w:tcPr>
          <w:p>
            <w:pPr/>
          </w:p>
        </w:tc>
        <w:tc>
          <w:tcPr>
            <w:tcW w:w="22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538,534,000.00</w:t>
            </w:r>
          </w:p>
        </w:tc>
        <w:tc>
          <w:tcPr>
            <w:tcW w:w="20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3" w:hRule="exact"/>
        </w:trPr>
        <w:tc>
          <w:tcPr>
            <w:tcW w:w="40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684" w:type="dxa"/>
            <w:tcBorders>
              <w:top w:val="single" w:sz="12" w:space="0" w:color="000000"/>
              <w:left w:val="single" w:sz="12" w:space="0" w:color="000000"/>
              <w:bottom w:val="single" w:sz="12" w:space="0" w:color="000000"/>
              <w:right w:val="single" w:sz="12" w:space="0" w:color="000000"/>
            </w:tcBorders>
          </w:tcPr>
          <w:p>
            <w:pPr/>
          </w:p>
        </w:tc>
        <w:tc>
          <w:tcPr>
            <w:tcW w:w="2203" w:type="dxa"/>
            <w:tcBorders>
              <w:top w:val="single" w:sz="12" w:space="0" w:color="000000"/>
              <w:left w:val="single" w:sz="12" w:space="0" w:color="000000"/>
              <w:bottom w:val="single" w:sz="12" w:space="0" w:color="000000"/>
              <w:right w:val="single" w:sz="12" w:space="0" w:color="000000"/>
            </w:tcBorders>
          </w:tcPr>
          <w:p>
            <w:pPr/>
          </w:p>
        </w:tc>
        <w:tc>
          <w:tcPr>
            <w:tcW w:w="20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40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684" w:type="dxa"/>
            <w:tcBorders>
              <w:top w:val="single" w:sz="12" w:space="0" w:color="000000"/>
              <w:left w:val="single" w:sz="12" w:space="0" w:color="000000"/>
              <w:bottom w:val="single" w:sz="12" w:space="0" w:color="000000"/>
              <w:right w:val="single" w:sz="12" w:space="0" w:color="000000"/>
            </w:tcBorders>
          </w:tcPr>
          <w:p>
            <w:pPr/>
          </w:p>
        </w:tc>
        <w:tc>
          <w:tcPr>
            <w:tcW w:w="22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19,000,000.00</w:t>
            </w:r>
          </w:p>
        </w:tc>
        <w:tc>
          <w:tcPr>
            <w:tcW w:w="20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49,000,000.00</w:t>
            </w:r>
          </w:p>
        </w:tc>
      </w:tr>
      <w:tr>
        <w:trPr>
          <w:trHeight w:val="343" w:hRule="exact"/>
        </w:trPr>
        <w:tc>
          <w:tcPr>
            <w:tcW w:w="40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684" w:type="dxa"/>
            <w:tcBorders>
              <w:top w:val="single" w:sz="12" w:space="0" w:color="000000"/>
              <w:left w:val="single" w:sz="12" w:space="0" w:color="000000"/>
              <w:bottom w:val="single" w:sz="12" w:space="0" w:color="000000"/>
              <w:right w:val="single" w:sz="12" w:space="0" w:color="000000"/>
            </w:tcBorders>
          </w:tcPr>
          <w:p>
            <w:pPr/>
          </w:p>
        </w:tc>
        <w:tc>
          <w:tcPr>
            <w:tcW w:w="22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20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40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684" w:type="dxa"/>
            <w:tcBorders>
              <w:top w:val="single" w:sz="12" w:space="0" w:color="000000"/>
              <w:left w:val="single" w:sz="12" w:space="0" w:color="000000"/>
              <w:bottom w:val="single" w:sz="12" w:space="0" w:color="000000"/>
              <w:right w:val="single" w:sz="12" w:space="0" w:color="000000"/>
            </w:tcBorders>
          </w:tcPr>
          <w:p>
            <w:pPr/>
          </w:p>
        </w:tc>
        <w:tc>
          <w:tcPr>
            <w:tcW w:w="22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20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3" w:hRule="exact"/>
        </w:trPr>
        <w:tc>
          <w:tcPr>
            <w:tcW w:w="40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684" w:type="dxa"/>
            <w:tcBorders>
              <w:top w:val="single" w:sz="12" w:space="0" w:color="000000"/>
              <w:left w:val="single" w:sz="12" w:space="0" w:color="000000"/>
              <w:bottom w:val="single" w:sz="12" w:space="0" w:color="000000"/>
              <w:right w:val="single" w:sz="12" w:space="0" w:color="000000"/>
            </w:tcBorders>
          </w:tcPr>
          <w:p>
            <w:pPr/>
          </w:p>
        </w:tc>
        <w:tc>
          <w:tcPr>
            <w:tcW w:w="22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0"/>
              <w:jc w:val="center"/>
              <w:rPr>
                <w:rFonts w:ascii="Arial" w:hAnsi="Arial" w:cs="Arial" w:eastAsia="Arial" w:hint="default"/>
                <w:sz w:val="18"/>
                <w:szCs w:val="18"/>
              </w:rPr>
            </w:pPr>
            <w:r>
              <w:rPr>
                <w:rFonts w:ascii="Arial"/>
                <w:b/>
                <w:sz w:val="18"/>
              </w:rPr>
              <w:t>557,534,000.00</w:t>
            </w:r>
            <w:r>
              <w:rPr>
                <w:rFonts w:ascii="Arial"/>
                <w:sz w:val="18"/>
              </w:rPr>
            </w:r>
          </w:p>
        </w:tc>
        <w:tc>
          <w:tcPr>
            <w:tcW w:w="20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0"/>
              <w:jc w:val="center"/>
              <w:rPr>
                <w:rFonts w:ascii="Arial" w:hAnsi="Arial" w:cs="Arial" w:eastAsia="Arial" w:hint="default"/>
                <w:sz w:val="18"/>
                <w:szCs w:val="18"/>
              </w:rPr>
            </w:pPr>
            <w:r>
              <w:rPr>
                <w:rFonts w:ascii="Arial"/>
                <w:b/>
                <w:sz w:val="18"/>
              </w:rPr>
              <w:t>49,000,000.00</w:t>
            </w:r>
            <w:r>
              <w:rPr>
                <w:rFonts w:ascii="Arial"/>
                <w:sz w:val="18"/>
              </w:rPr>
            </w:r>
          </w:p>
        </w:tc>
      </w:tr>
      <w:tr>
        <w:trPr>
          <w:trHeight w:val="341" w:hRule="exact"/>
        </w:trPr>
        <w:tc>
          <w:tcPr>
            <w:tcW w:w="40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684" w:type="dxa"/>
            <w:tcBorders>
              <w:top w:val="single" w:sz="12" w:space="0" w:color="000000"/>
              <w:left w:val="single" w:sz="12" w:space="0" w:color="000000"/>
              <w:bottom w:val="single" w:sz="12" w:space="0" w:color="000000"/>
              <w:right w:val="single" w:sz="12" w:space="0" w:color="000000"/>
            </w:tcBorders>
          </w:tcPr>
          <w:p>
            <w:pPr/>
          </w:p>
        </w:tc>
        <w:tc>
          <w:tcPr>
            <w:tcW w:w="22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54,000,000.00</w:t>
            </w:r>
          </w:p>
        </w:tc>
        <w:tc>
          <w:tcPr>
            <w:tcW w:w="20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31,000,000.00</w:t>
            </w:r>
          </w:p>
        </w:tc>
      </w:tr>
    </w:tbl>
    <w:p>
      <w:pPr>
        <w:spacing w:after="0" w:line="240" w:lineRule="auto"/>
        <w:jc w:val="center"/>
        <w:rPr>
          <w:rFonts w:ascii="Arial" w:hAnsi="Arial" w:cs="Arial" w:eastAsia="Arial" w:hint="default"/>
          <w:sz w:val="18"/>
          <w:szCs w:val="18"/>
        </w:rPr>
        <w:sectPr>
          <w:pgSz w:w="11900" w:h="16840"/>
          <w:pgMar w:header="877" w:footer="983" w:top="1060" w:bottom="1180" w:left="1660" w:right="860"/>
        </w:sectPr>
      </w:pPr>
    </w:p>
    <w:p>
      <w:pPr>
        <w:spacing w:line="240" w:lineRule="auto" w:before="6"/>
        <w:rPr>
          <w:rFonts w:ascii="宋体" w:hAnsi="宋体" w:cs="宋体" w:eastAsia="宋体" w:hint="default"/>
          <w:sz w:val="28"/>
          <w:szCs w:val="28"/>
        </w:rPr>
      </w:pPr>
    </w:p>
    <w:tbl>
      <w:tblPr>
        <w:tblW w:w="0" w:type="auto"/>
        <w:jc w:val="left"/>
        <w:tblInd w:w="226" w:type="dxa"/>
        <w:tblLayout w:type="fixed"/>
        <w:tblCellMar>
          <w:top w:w="0" w:type="dxa"/>
          <w:left w:w="0" w:type="dxa"/>
          <w:bottom w:w="0" w:type="dxa"/>
          <w:right w:w="0" w:type="dxa"/>
        </w:tblCellMar>
        <w:tblLook w:val="01E0"/>
      </w:tblPr>
      <w:tblGrid>
        <w:gridCol w:w="4008"/>
        <w:gridCol w:w="684"/>
        <w:gridCol w:w="2203"/>
        <w:gridCol w:w="2004"/>
      </w:tblGrid>
      <w:tr>
        <w:trPr>
          <w:trHeight w:val="341" w:hRule="exact"/>
        </w:trPr>
        <w:tc>
          <w:tcPr>
            <w:tcW w:w="40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684" w:type="dxa"/>
            <w:tcBorders>
              <w:top w:val="single" w:sz="12" w:space="0" w:color="000000"/>
              <w:left w:val="single" w:sz="12" w:space="0" w:color="000000"/>
              <w:bottom w:val="single" w:sz="12" w:space="0" w:color="000000"/>
              <w:right w:val="single" w:sz="12" w:space="0" w:color="000000"/>
            </w:tcBorders>
          </w:tcPr>
          <w:p>
            <w:pPr/>
          </w:p>
        </w:tc>
        <w:tc>
          <w:tcPr>
            <w:tcW w:w="22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812,420.27</w:t>
            </w:r>
          </w:p>
        </w:tc>
        <w:tc>
          <w:tcPr>
            <w:tcW w:w="20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1,391,774.76</w:t>
            </w:r>
          </w:p>
        </w:tc>
      </w:tr>
      <w:tr>
        <w:trPr>
          <w:trHeight w:val="343" w:hRule="exact"/>
        </w:trPr>
        <w:tc>
          <w:tcPr>
            <w:tcW w:w="40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684" w:type="dxa"/>
            <w:tcBorders>
              <w:top w:val="single" w:sz="12" w:space="0" w:color="000000"/>
              <w:left w:val="single" w:sz="12" w:space="0" w:color="000000"/>
              <w:bottom w:val="single" w:sz="12" w:space="0" w:color="000000"/>
              <w:right w:val="single" w:sz="12" w:space="0" w:color="000000"/>
            </w:tcBorders>
          </w:tcPr>
          <w:p>
            <w:pPr/>
          </w:p>
        </w:tc>
        <w:tc>
          <w:tcPr>
            <w:tcW w:w="22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20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40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6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51" w:right="0"/>
              <w:jc w:val="left"/>
              <w:rPr>
                <w:rFonts w:ascii="Arial" w:hAnsi="Arial" w:cs="Arial" w:eastAsia="Arial" w:hint="default"/>
                <w:sz w:val="18"/>
                <w:szCs w:val="18"/>
              </w:rPr>
            </w:pPr>
            <w:r>
              <w:rPr>
                <w:rFonts w:ascii="Arial"/>
                <w:sz w:val="18"/>
              </w:rPr>
              <w:t>6.36</w:t>
            </w:r>
          </w:p>
        </w:tc>
        <w:tc>
          <w:tcPr>
            <w:tcW w:w="22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5,729,800.00</w:t>
            </w:r>
          </w:p>
        </w:tc>
        <w:tc>
          <w:tcPr>
            <w:tcW w:w="20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3" w:hRule="exact"/>
        </w:trPr>
        <w:tc>
          <w:tcPr>
            <w:tcW w:w="40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684" w:type="dxa"/>
            <w:tcBorders>
              <w:top w:val="single" w:sz="12" w:space="0" w:color="000000"/>
              <w:left w:val="single" w:sz="12" w:space="0" w:color="000000"/>
              <w:bottom w:val="single" w:sz="12" w:space="0" w:color="000000"/>
              <w:right w:val="single" w:sz="12" w:space="0" w:color="000000"/>
            </w:tcBorders>
          </w:tcPr>
          <w:p>
            <w:pPr/>
          </w:p>
        </w:tc>
        <w:tc>
          <w:tcPr>
            <w:tcW w:w="22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1"/>
              <w:jc w:val="center"/>
              <w:rPr>
                <w:rFonts w:ascii="Arial" w:hAnsi="Arial" w:cs="Arial" w:eastAsia="Arial" w:hint="default"/>
                <w:sz w:val="18"/>
                <w:szCs w:val="18"/>
              </w:rPr>
            </w:pPr>
            <w:r>
              <w:rPr>
                <w:rFonts w:ascii="Arial"/>
                <w:b/>
                <w:sz w:val="18"/>
              </w:rPr>
              <w:t>60,542,220.27</w:t>
            </w:r>
            <w:r>
              <w:rPr>
                <w:rFonts w:ascii="Arial"/>
                <w:sz w:val="18"/>
              </w:rPr>
            </w:r>
          </w:p>
        </w:tc>
        <w:tc>
          <w:tcPr>
            <w:tcW w:w="20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0"/>
              <w:jc w:val="center"/>
              <w:rPr>
                <w:rFonts w:ascii="Arial" w:hAnsi="Arial" w:cs="Arial" w:eastAsia="Arial" w:hint="default"/>
                <w:sz w:val="18"/>
                <w:szCs w:val="18"/>
              </w:rPr>
            </w:pPr>
            <w:r>
              <w:rPr>
                <w:rFonts w:ascii="Arial"/>
                <w:b/>
                <w:sz w:val="18"/>
              </w:rPr>
              <w:t>32,391,774.76</w:t>
            </w:r>
            <w:r>
              <w:rPr>
                <w:rFonts w:ascii="Arial"/>
                <w:sz w:val="18"/>
              </w:rPr>
            </w:r>
          </w:p>
        </w:tc>
      </w:tr>
      <w:tr>
        <w:trPr>
          <w:trHeight w:val="341" w:hRule="exact"/>
        </w:trPr>
        <w:tc>
          <w:tcPr>
            <w:tcW w:w="40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684" w:type="dxa"/>
            <w:tcBorders>
              <w:top w:val="single" w:sz="12" w:space="0" w:color="000000"/>
              <w:left w:val="single" w:sz="12" w:space="0" w:color="000000"/>
              <w:bottom w:val="single" w:sz="12" w:space="0" w:color="000000"/>
              <w:right w:val="single" w:sz="12" w:space="0" w:color="000000"/>
            </w:tcBorders>
          </w:tcPr>
          <w:p>
            <w:pPr/>
          </w:p>
        </w:tc>
        <w:tc>
          <w:tcPr>
            <w:tcW w:w="22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0"/>
              <w:jc w:val="center"/>
              <w:rPr>
                <w:rFonts w:ascii="Arial" w:hAnsi="Arial" w:cs="Arial" w:eastAsia="Arial" w:hint="default"/>
                <w:sz w:val="18"/>
                <w:szCs w:val="18"/>
              </w:rPr>
            </w:pPr>
            <w:r>
              <w:rPr>
                <w:rFonts w:ascii="Arial"/>
                <w:b/>
                <w:sz w:val="18"/>
              </w:rPr>
              <w:t>496,991,779.73</w:t>
            </w:r>
            <w:r>
              <w:rPr>
                <w:rFonts w:ascii="Arial"/>
                <w:sz w:val="18"/>
              </w:rPr>
            </w:r>
          </w:p>
        </w:tc>
        <w:tc>
          <w:tcPr>
            <w:tcW w:w="20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0"/>
              <w:jc w:val="center"/>
              <w:rPr>
                <w:rFonts w:ascii="Arial" w:hAnsi="Arial" w:cs="Arial" w:eastAsia="Arial" w:hint="default"/>
                <w:sz w:val="18"/>
                <w:szCs w:val="18"/>
              </w:rPr>
            </w:pPr>
            <w:r>
              <w:rPr>
                <w:rFonts w:ascii="Arial"/>
                <w:b/>
                <w:sz w:val="18"/>
              </w:rPr>
              <w:t>16,608,225.24</w:t>
            </w:r>
            <w:r>
              <w:rPr>
                <w:rFonts w:ascii="Arial"/>
                <w:sz w:val="18"/>
              </w:rPr>
            </w:r>
          </w:p>
        </w:tc>
      </w:tr>
      <w:tr>
        <w:trPr>
          <w:trHeight w:val="343" w:hRule="exact"/>
        </w:trPr>
        <w:tc>
          <w:tcPr>
            <w:tcW w:w="4008" w:type="dxa"/>
            <w:tcBorders>
              <w:top w:val="single" w:sz="12" w:space="0" w:color="000000"/>
              <w:left w:val="single" w:sz="12" w:space="0" w:color="000000"/>
              <w:bottom w:val="single" w:sz="12" w:space="0" w:color="000000"/>
              <w:right w:val="single" w:sz="12" w:space="0" w:color="000000"/>
            </w:tcBorders>
          </w:tcPr>
          <w:p>
            <w:pPr/>
          </w:p>
        </w:tc>
        <w:tc>
          <w:tcPr>
            <w:tcW w:w="684" w:type="dxa"/>
            <w:tcBorders>
              <w:top w:val="single" w:sz="12" w:space="0" w:color="000000"/>
              <w:left w:val="single" w:sz="12" w:space="0" w:color="000000"/>
              <w:bottom w:val="single" w:sz="12" w:space="0" w:color="000000"/>
              <w:right w:val="single" w:sz="12" w:space="0" w:color="000000"/>
            </w:tcBorders>
          </w:tcPr>
          <w:p>
            <w:pPr/>
          </w:p>
        </w:tc>
        <w:tc>
          <w:tcPr>
            <w:tcW w:w="2203" w:type="dxa"/>
            <w:tcBorders>
              <w:top w:val="single" w:sz="12" w:space="0" w:color="000000"/>
              <w:left w:val="single" w:sz="12" w:space="0" w:color="000000"/>
              <w:bottom w:val="single" w:sz="12" w:space="0" w:color="000000"/>
              <w:right w:val="single" w:sz="12" w:space="0" w:color="000000"/>
            </w:tcBorders>
          </w:tcPr>
          <w:p>
            <w:pPr/>
          </w:p>
        </w:tc>
        <w:tc>
          <w:tcPr>
            <w:tcW w:w="2004"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40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684" w:type="dxa"/>
            <w:tcBorders>
              <w:top w:val="single" w:sz="12" w:space="0" w:color="000000"/>
              <w:left w:val="single" w:sz="12" w:space="0" w:color="000000"/>
              <w:bottom w:val="single" w:sz="12" w:space="0" w:color="000000"/>
              <w:right w:val="single" w:sz="12" w:space="0" w:color="000000"/>
            </w:tcBorders>
          </w:tcPr>
          <w:p>
            <w:pPr/>
          </w:p>
        </w:tc>
        <w:tc>
          <w:tcPr>
            <w:tcW w:w="22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0"/>
              <w:jc w:val="center"/>
              <w:rPr>
                <w:rFonts w:ascii="Arial" w:hAnsi="Arial" w:cs="Arial" w:eastAsia="Arial" w:hint="default"/>
                <w:sz w:val="18"/>
                <w:szCs w:val="18"/>
              </w:rPr>
            </w:pPr>
            <w:r>
              <w:rPr>
                <w:rFonts w:ascii="Arial"/>
                <w:b/>
                <w:sz w:val="18"/>
              </w:rPr>
              <w:t>-20,990.54</w:t>
            </w:r>
            <w:r>
              <w:rPr>
                <w:rFonts w:ascii="Arial"/>
                <w:sz w:val="18"/>
              </w:rPr>
            </w:r>
          </w:p>
        </w:tc>
        <w:tc>
          <w:tcPr>
            <w:tcW w:w="20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0"/>
              <w:jc w:val="center"/>
              <w:rPr>
                <w:rFonts w:ascii="Arial" w:hAnsi="Arial" w:cs="Arial" w:eastAsia="Arial" w:hint="default"/>
                <w:sz w:val="18"/>
                <w:szCs w:val="18"/>
              </w:rPr>
            </w:pPr>
            <w:r>
              <w:rPr>
                <w:rFonts w:ascii="Arial"/>
                <w:b/>
                <w:w w:val="99"/>
                <w:sz w:val="18"/>
              </w:rPr>
              <w:t>-</w:t>
            </w:r>
            <w:r>
              <w:rPr>
                <w:rFonts w:ascii="Arial"/>
                <w:sz w:val="18"/>
              </w:rPr>
            </w:r>
          </w:p>
        </w:tc>
      </w:tr>
      <w:tr>
        <w:trPr>
          <w:trHeight w:val="343" w:hRule="exact"/>
        </w:trPr>
        <w:tc>
          <w:tcPr>
            <w:tcW w:w="4008" w:type="dxa"/>
            <w:tcBorders>
              <w:top w:val="single" w:sz="12" w:space="0" w:color="000000"/>
              <w:left w:val="single" w:sz="12" w:space="0" w:color="000000"/>
              <w:bottom w:val="single" w:sz="12" w:space="0" w:color="000000"/>
              <w:right w:val="single" w:sz="12" w:space="0" w:color="000000"/>
            </w:tcBorders>
          </w:tcPr>
          <w:p>
            <w:pPr/>
          </w:p>
        </w:tc>
        <w:tc>
          <w:tcPr>
            <w:tcW w:w="684" w:type="dxa"/>
            <w:tcBorders>
              <w:top w:val="single" w:sz="12" w:space="0" w:color="000000"/>
              <w:left w:val="single" w:sz="12" w:space="0" w:color="000000"/>
              <w:bottom w:val="single" w:sz="12" w:space="0" w:color="000000"/>
              <w:right w:val="single" w:sz="12" w:space="0" w:color="000000"/>
            </w:tcBorders>
          </w:tcPr>
          <w:p>
            <w:pPr/>
          </w:p>
        </w:tc>
        <w:tc>
          <w:tcPr>
            <w:tcW w:w="2203" w:type="dxa"/>
            <w:tcBorders>
              <w:top w:val="single" w:sz="12" w:space="0" w:color="000000"/>
              <w:left w:val="single" w:sz="12" w:space="0" w:color="000000"/>
              <w:bottom w:val="single" w:sz="12" w:space="0" w:color="000000"/>
              <w:right w:val="single" w:sz="12" w:space="0" w:color="000000"/>
            </w:tcBorders>
          </w:tcPr>
          <w:p>
            <w:pPr/>
          </w:p>
        </w:tc>
        <w:tc>
          <w:tcPr>
            <w:tcW w:w="2004"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40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684" w:type="dxa"/>
            <w:tcBorders>
              <w:top w:val="single" w:sz="12" w:space="0" w:color="000000"/>
              <w:left w:val="single" w:sz="12" w:space="0" w:color="000000"/>
              <w:bottom w:val="single" w:sz="12" w:space="0" w:color="000000"/>
              <w:right w:val="single" w:sz="12" w:space="0" w:color="000000"/>
            </w:tcBorders>
          </w:tcPr>
          <w:p>
            <w:pPr/>
          </w:p>
        </w:tc>
        <w:tc>
          <w:tcPr>
            <w:tcW w:w="22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0"/>
              <w:jc w:val="center"/>
              <w:rPr>
                <w:rFonts w:ascii="Arial" w:hAnsi="Arial" w:cs="Arial" w:eastAsia="Arial" w:hint="default"/>
                <w:sz w:val="18"/>
                <w:szCs w:val="18"/>
              </w:rPr>
            </w:pPr>
            <w:r>
              <w:rPr>
                <w:rFonts w:ascii="Arial"/>
                <w:b/>
                <w:sz w:val="18"/>
              </w:rPr>
              <w:t>401,160,044.24</w:t>
            </w:r>
            <w:r>
              <w:rPr>
                <w:rFonts w:ascii="Arial"/>
                <w:sz w:val="18"/>
              </w:rPr>
            </w:r>
          </w:p>
        </w:tc>
        <w:tc>
          <w:tcPr>
            <w:tcW w:w="20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0"/>
              <w:jc w:val="center"/>
              <w:rPr>
                <w:rFonts w:ascii="Arial" w:hAnsi="Arial" w:cs="Arial" w:eastAsia="Arial" w:hint="default"/>
                <w:sz w:val="18"/>
                <w:szCs w:val="18"/>
              </w:rPr>
            </w:pPr>
            <w:r>
              <w:rPr>
                <w:rFonts w:ascii="Arial"/>
                <w:b/>
                <w:sz w:val="18"/>
              </w:rPr>
              <w:t>11,240,719.01</w:t>
            </w:r>
            <w:r>
              <w:rPr>
                <w:rFonts w:ascii="Arial"/>
                <w:sz w:val="18"/>
              </w:rPr>
            </w:r>
          </w:p>
        </w:tc>
      </w:tr>
      <w:tr>
        <w:trPr>
          <w:trHeight w:val="343" w:hRule="exact"/>
        </w:trPr>
        <w:tc>
          <w:tcPr>
            <w:tcW w:w="40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加：年初现金及现金等价物余额</w:t>
            </w:r>
          </w:p>
        </w:tc>
        <w:tc>
          <w:tcPr>
            <w:tcW w:w="684" w:type="dxa"/>
            <w:tcBorders>
              <w:top w:val="single" w:sz="12" w:space="0" w:color="000000"/>
              <w:left w:val="single" w:sz="12" w:space="0" w:color="000000"/>
              <w:bottom w:val="single" w:sz="12" w:space="0" w:color="000000"/>
              <w:right w:val="single" w:sz="12" w:space="0" w:color="000000"/>
            </w:tcBorders>
          </w:tcPr>
          <w:p>
            <w:pPr/>
          </w:p>
        </w:tc>
        <w:tc>
          <w:tcPr>
            <w:tcW w:w="22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29,347,601.34</w:t>
            </w:r>
          </w:p>
        </w:tc>
        <w:tc>
          <w:tcPr>
            <w:tcW w:w="20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18,106,882.33</w:t>
            </w:r>
          </w:p>
        </w:tc>
      </w:tr>
      <w:tr>
        <w:trPr>
          <w:trHeight w:val="341" w:hRule="exact"/>
        </w:trPr>
        <w:tc>
          <w:tcPr>
            <w:tcW w:w="4008" w:type="dxa"/>
            <w:tcBorders>
              <w:top w:val="single" w:sz="12" w:space="0" w:color="000000"/>
              <w:left w:val="single" w:sz="12" w:space="0" w:color="000000"/>
              <w:bottom w:val="single" w:sz="12" w:space="0" w:color="000000"/>
              <w:right w:val="single" w:sz="12" w:space="0" w:color="000000"/>
            </w:tcBorders>
          </w:tcPr>
          <w:p>
            <w:pPr/>
          </w:p>
        </w:tc>
        <w:tc>
          <w:tcPr>
            <w:tcW w:w="684" w:type="dxa"/>
            <w:tcBorders>
              <w:top w:val="single" w:sz="12" w:space="0" w:color="000000"/>
              <w:left w:val="single" w:sz="12" w:space="0" w:color="000000"/>
              <w:bottom w:val="single" w:sz="12" w:space="0" w:color="000000"/>
              <w:right w:val="single" w:sz="12" w:space="0" w:color="000000"/>
            </w:tcBorders>
          </w:tcPr>
          <w:p>
            <w:pPr/>
          </w:p>
        </w:tc>
        <w:tc>
          <w:tcPr>
            <w:tcW w:w="2203" w:type="dxa"/>
            <w:tcBorders>
              <w:top w:val="single" w:sz="12" w:space="0" w:color="000000"/>
              <w:left w:val="single" w:sz="12" w:space="0" w:color="000000"/>
              <w:bottom w:val="single" w:sz="12" w:space="0" w:color="000000"/>
              <w:right w:val="single" w:sz="12" w:space="0" w:color="000000"/>
            </w:tcBorders>
          </w:tcPr>
          <w:p>
            <w:pPr/>
          </w:p>
        </w:tc>
        <w:tc>
          <w:tcPr>
            <w:tcW w:w="2004"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40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六、年末现金及现金等价物余额</w:t>
            </w:r>
          </w:p>
        </w:tc>
        <w:tc>
          <w:tcPr>
            <w:tcW w:w="684" w:type="dxa"/>
            <w:tcBorders>
              <w:top w:val="single" w:sz="12" w:space="0" w:color="000000"/>
              <w:left w:val="single" w:sz="12" w:space="0" w:color="000000"/>
              <w:bottom w:val="single" w:sz="12" w:space="0" w:color="000000"/>
              <w:right w:val="single" w:sz="12" w:space="0" w:color="000000"/>
            </w:tcBorders>
          </w:tcPr>
          <w:p>
            <w:pPr/>
          </w:p>
        </w:tc>
        <w:tc>
          <w:tcPr>
            <w:tcW w:w="22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0"/>
              <w:jc w:val="center"/>
              <w:rPr>
                <w:rFonts w:ascii="Arial" w:hAnsi="Arial" w:cs="Arial" w:eastAsia="Arial" w:hint="default"/>
                <w:sz w:val="18"/>
                <w:szCs w:val="18"/>
              </w:rPr>
            </w:pPr>
            <w:r>
              <w:rPr>
                <w:rFonts w:ascii="Arial"/>
                <w:b/>
                <w:sz w:val="18"/>
              </w:rPr>
              <w:t>430,507,645.58</w:t>
            </w:r>
            <w:r>
              <w:rPr>
                <w:rFonts w:ascii="Arial"/>
                <w:sz w:val="18"/>
              </w:rPr>
            </w:r>
          </w:p>
        </w:tc>
        <w:tc>
          <w:tcPr>
            <w:tcW w:w="20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0"/>
              <w:jc w:val="center"/>
              <w:rPr>
                <w:rFonts w:ascii="Arial" w:hAnsi="Arial" w:cs="Arial" w:eastAsia="Arial" w:hint="default"/>
                <w:sz w:val="18"/>
                <w:szCs w:val="18"/>
              </w:rPr>
            </w:pPr>
            <w:r>
              <w:rPr>
                <w:rFonts w:ascii="Arial"/>
                <w:b/>
                <w:sz w:val="18"/>
              </w:rPr>
              <w:t>29,347,601.34</w:t>
            </w:r>
            <w:r>
              <w:rPr>
                <w:rFonts w:ascii="Arial"/>
                <w:sz w:val="18"/>
              </w:rPr>
            </w:r>
          </w:p>
        </w:tc>
      </w:tr>
    </w:tbl>
    <w:p>
      <w:pPr>
        <w:spacing w:line="240" w:lineRule="auto" w:before="3"/>
        <w:rPr>
          <w:rFonts w:ascii="宋体" w:hAnsi="宋体" w:cs="宋体" w:eastAsia="宋体" w:hint="default"/>
          <w:sz w:val="15"/>
          <w:szCs w:val="15"/>
        </w:rPr>
      </w:pPr>
    </w:p>
    <w:p>
      <w:pPr>
        <w:tabs>
          <w:tab w:pos="2753" w:val="left" w:leader="none"/>
          <w:tab w:pos="6984" w:val="left" w:leader="none"/>
        </w:tabs>
        <w:spacing w:before="44"/>
        <w:ind w:left="139" w:right="0" w:firstLine="0"/>
        <w:jc w:val="left"/>
        <w:rPr>
          <w:rFonts w:ascii="宋体" w:hAnsi="宋体" w:cs="宋体" w:eastAsia="宋体" w:hint="default"/>
          <w:sz w:val="18"/>
          <w:szCs w:val="18"/>
        </w:rPr>
      </w:pPr>
      <w:r>
        <w:rPr>
          <w:rFonts w:ascii="宋体" w:hAnsi="宋体" w:cs="宋体" w:eastAsia="宋体" w:hint="default"/>
          <w:w w:val="95"/>
          <w:sz w:val="18"/>
          <w:szCs w:val="18"/>
        </w:rPr>
        <w:t>法定代表人：纪立军</w:t>
        <w:tab/>
        <w:t>主管会计工作负责人：郑强</w:t>
        <w:tab/>
      </w:r>
      <w:r>
        <w:rPr>
          <w:rFonts w:ascii="宋体" w:hAnsi="宋体" w:cs="宋体" w:eastAsia="宋体" w:hint="default"/>
          <w:sz w:val="18"/>
          <w:szCs w:val="18"/>
        </w:rPr>
        <w:t>会计机构负责人：王迎辉</w:t>
      </w:r>
    </w:p>
    <w:p>
      <w:pPr>
        <w:spacing w:after="0"/>
        <w:jc w:val="left"/>
        <w:rPr>
          <w:rFonts w:ascii="宋体" w:hAnsi="宋体" w:cs="宋体" w:eastAsia="宋体" w:hint="default"/>
          <w:sz w:val="18"/>
          <w:szCs w:val="18"/>
        </w:rPr>
        <w:sectPr>
          <w:pgSz w:w="11900" w:h="16840"/>
          <w:pgMar w:header="877" w:footer="983" w:top="1060" w:bottom="1180" w:left="1660" w:right="860"/>
        </w:sectPr>
      </w:pPr>
    </w:p>
    <w:p>
      <w:pPr>
        <w:spacing w:line="240" w:lineRule="auto" w:before="4"/>
        <w:rPr>
          <w:rFonts w:ascii="宋体" w:hAnsi="宋体" w:cs="宋体" w:eastAsia="宋体" w:hint="default"/>
          <w:sz w:val="24"/>
          <w:szCs w:val="24"/>
        </w:rPr>
      </w:pPr>
    </w:p>
    <w:p>
      <w:pPr>
        <w:pStyle w:val="Heading2"/>
        <w:spacing w:line="240" w:lineRule="auto"/>
        <w:ind w:left="3148" w:right="0"/>
        <w:jc w:val="left"/>
      </w:pPr>
      <w:r>
        <w:rPr/>
        <w:t>现金流量表（母公司）</w:t>
      </w:r>
    </w:p>
    <w:p>
      <w:pPr>
        <w:tabs>
          <w:tab w:pos="5551" w:val="left" w:leader="none"/>
          <w:tab w:pos="8198" w:val="left" w:leader="none"/>
        </w:tabs>
        <w:spacing w:before="145"/>
        <w:ind w:left="239" w:right="0" w:firstLine="0"/>
        <w:jc w:val="left"/>
        <w:rPr>
          <w:rFonts w:ascii="宋体" w:hAnsi="宋体" w:cs="宋体" w:eastAsia="宋体" w:hint="default"/>
          <w:sz w:val="18"/>
          <w:szCs w:val="18"/>
        </w:rPr>
      </w:pPr>
      <w:r>
        <w:rPr>
          <w:rFonts w:ascii="宋体" w:hAnsi="宋体" w:cs="宋体" w:eastAsia="宋体" w:hint="default"/>
          <w:spacing w:val="-1"/>
          <w:sz w:val="18"/>
          <w:szCs w:val="18"/>
        </w:rPr>
        <w:t>编制单位：上海安诺其纺织化工股份有限公司</w:t>
        <w:tab/>
      </w:r>
      <w:r>
        <w:rPr>
          <w:rFonts w:ascii="Arial" w:hAnsi="Arial" w:cs="Arial" w:eastAsia="Arial" w:hint="default"/>
          <w:spacing w:val="-1"/>
          <w:sz w:val="18"/>
          <w:szCs w:val="18"/>
        </w:rPr>
        <w:t>2010</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31</w:t>
      </w:r>
      <w:r>
        <w:rPr>
          <w:rFonts w:ascii="Arial" w:hAnsi="Arial" w:cs="Arial" w:eastAsia="Arial" w:hint="default"/>
          <w:spacing w:val="-4"/>
          <w:sz w:val="18"/>
          <w:szCs w:val="18"/>
        </w:rPr>
        <w:t> </w:t>
      </w:r>
      <w:r>
        <w:rPr>
          <w:rFonts w:ascii="宋体" w:hAnsi="宋体" w:cs="宋体" w:eastAsia="宋体" w:hint="default"/>
          <w:sz w:val="18"/>
          <w:szCs w:val="18"/>
        </w:rPr>
        <w:t>日</w:t>
        <w:tab/>
      </w:r>
      <w:r>
        <w:rPr>
          <w:rFonts w:ascii="宋体" w:hAnsi="宋体" w:cs="宋体" w:eastAsia="宋体" w:hint="default"/>
          <w:spacing w:val="-2"/>
          <w:sz w:val="18"/>
          <w:szCs w:val="18"/>
        </w:rPr>
        <w:t>单位：元</w:t>
      </w:r>
    </w:p>
    <w:p>
      <w:pPr>
        <w:spacing w:line="240" w:lineRule="auto" w:before="6"/>
        <w:rPr>
          <w:rFonts w:ascii="宋体" w:hAnsi="宋体" w:cs="宋体" w:eastAsia="宋体" w:hint="default"/>
          <w:sz w:val="6"/>
          <w:szCs w:val="6"/>
        </w:rPr>
      </w:pPr>
    </w:p>
    <w:tbl>
      <w:tblPr>
        <w:tblW w:w="0" w:type="auto"/>
        <w:jc w:val="left"/>
        <w:tblInd w:w="117" w:type="dxa"/>
        <w:tblLayout w:type="fixed"/>
        <w:tblCellMar>
          <w:top w:w="0" w:type="dxa"/>
          <w:left w:w="0" w:type="dxa"/>
          <w:bottom w:w="0" w:type="dxa"/>
          <w:right w:w="0" w:type="dxa"/>
        </w:tblCellMar>
        <w:tblLook w:val="01E0"/>
      </w:tblPr>
      <w:tblGrid>
        <w:gridCol w:w="4205"/>
        <w:gridCol w:w="706"/>
        <w:gridCol w:w="1999"/>
        <w:gridCol w:w="2198"/>
      </w:tblGrid>
      <w:tr>
        <w:trPr>
          <w:trHeight w:val="343" w:hRule="exact"/>
        </w:trPr>
        <w:tc>
          <w:tcPr>
            <w:tcW w:w="4205" w:type="dxa"/>
            <w:vMerge w:val="restart"/>
            <w:tcBorders>
              <w:top w:val="single" w:sz="12" w:space="0" w:color="000000"/>
              <w:left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706" w:type="dxa"/>
            <w:vMerge w:val="restart"/>
            <w:tcBorders>
              <w:top w:val="single" w:sz="12" w:space="0" w:color="000000"/>
              <w:left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199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580"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年度</w:t>
            </w:r>
          </w:p>
        </w:tc>
        <w:tc>
          <w:tcPr>
            <w:tcW w:w="21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679"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5"/>
                <w:sz w:val="18"/>
                <w:szCs w:val="18"/>
              </w:rPr>
              <w:t> </w:t>
            </w:r>
            <w:r>
              <w:rPr>
                <w:rFonts w:ascii="宋体" w:hAnsi="宋体" w:cs="宋体" w:eastAsia="宋体" w:hint="default"/>
                <w:sz w:val="18"/>
                <w:szCs w:val="18"/>
              </w:rPr>
              <w:t>年度</w:t>
            </w:r>
          </w:p>
        </w:tc>
      </w:tr>
      <w:tr>
        <w:trPr>
          <w:trHeight w:val="341" w:hRule="exact"/>
        </w:trPr>
        <w:tc>
          <w:tcPr>
            <w:tcW w:w="4205" w:type="dxa"/>
            <w:vMerge/>
            <w:tcBorders>
              <w:left w:val="single" w:sz="12" w:space="0" w:color="000000"/>
              <w:bottom w:val="single" w:sz="12" w:space="0" w:color="000000"/>
              <w:right w:val="single" w:sz="12" w:space="0" w:color="000000"/>
            </w:tcBorders>
          </w:tcPr>
          <w:p>
            <w:pPr/>
          </w:p>
        </w:tc>
        <w:tc>
          <w:tcPr>
            <w:tcW w:w="706" w:type="dxa"/>
            <w:vMerge/>
            <w:tcBorders>
              <w:left w:val="single" w:sz="12" w:space="0" w:color="000000"/>
              <w:bottom w:val="single" w:sz="12" w:space="0" w:color="000000"/>
              <w:right w:val="single" w:sz="12" w:space="0" w:color="000000"/>
            </w:tcBorders>
          </w:tcPr>
          <w:p>
            <w:pPr/>
          </w:p>
        </w:tc>
        <w:tc>
          <w:tcPr>
            <w:tcW w:w="199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21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母公司</w:t>
            </w:r>
          </w:p>
        </w:tc>
      </w:tr>
      <w:tr>
        <w:trPr>
          <w:trHeight w:val="343" w:hRule="exact"/>
        </w:trPr>
        <w:tc>
          <w:tcPr>
            <w:tcW w:w="42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706" w:type="dxa"/>
            <w:tcBorders>
              <w:top w:val="single" w:sz="12" w:space="0" w:color="000000"/>
              <w:left w:val="single" w:sz="12" w:space="0" w:color="000000"/>
              <w:bottom w:val="single" w:sz="12" w:space="0" w:color="000000"/>
              <w:right w:val="single" w:sz="12" w:space="0" w:color="000000"/>
            </w:tcBorders>
          </w:tcPr>
          <w:p>
            <w:pPr/>
          </w:p>
        </w:tc>
        <w:tc>
          <w:tcPr>
            <w:tcW w:w="1999" w:type="dxa"/>
            <w:tcBorders>
              <w:top w:val="single" w:sz="12" w:space="0" w:color="000000"/>
              <w:left w:val="single" w:sz="12" w:space="0" w:color="000000"/>
              <w:bottom w:val="single" w:sz="12" w:space="0" w:color="000000"/>
              <w:right w:val="single" w:sz="12" w:space="0" w:color="000000"/>
            </w:tcBorders>
          </w:tcPr>
          <w:p>
            <w:pPr/>
          </w:p>
        </w:tc>
        <w:tc>
          <w:tcPr>
            <w:tcW w:w="2198"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42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706" w:type="dxa"/>
            <w:tcBorders>
              <w:top w:val="single" w:sz="12" w:space="0" w:color="000000"/>
              <w:left w:val="single" w:sz="12" w:space="0" w:color="000000"/>
              <w:bottom w:val="single" w:sz="12" w:space="0" w:color="000000"/>
              <w:right w:val="single" w:sz="12" w:space="0" w:color="000000"/>
            </w:tcBorders>
          </w:tcPr>
          <w:p>
            <w:pPr/>
          </w:p>
        </w:tc>
        <w:tc>
          <w:tcPr>
            <w:tcW w:w="199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93" w:right="0"/>
              <w:jc w:val="left"/>
              <w:rPr>
                <w:rFonts w:ascii="Arial" w:hAnsi="Arial" w:cs="Arial" w:eastAsia="Arial" w:hint="default"/>
                <w:sz w:val="18"/>
                <w:szCs w:val="18"/>
              </w:rPr>
            </w:pPr>
            <w:r>
              <w:rPr>
                <w:rFonts w:ascii="Arial"/>
                <w:sz w:val="18"/>
              </w:rPr>
              <w:t>87,000,900.66</w:t>
            </w:r>
          </w:p>
        </w:tc>
        <w:tc>
          <w:tcPr>
            <w:tcW w:w="21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93" w:right="0"/>
              <w:jc w:val="left"/>
              <w:rPr>
                <w:rFonts w:ascii="Arial" w:hAnsi="Arial" w:cs="Arial" w:eastAsia="Arial" w:hint="default"/>
                <w:sz w:val="18"/>
                <w:szCs w:val="18"/>
              </w:rPr>
            </w:pPr>
            <w:r>
              <w:rPr>
                <w:rFonts w:ascii="Arial"/>
                <w:sz w:val="18"/>
              </w:rPr>
              <w:t>79,047,886.18</w:t>
            </w:r>
          </w:p>
        </w:tc>
      </w:tr>
      <w:tr>
        <w:trPr>
          <w:trHeight w:val="343" w:hRule="exact"/>
        </w:trPr>
        <w:tc>
          <w:tcPr>
            <w:tcW w:w="42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706" w:type="dxa"/>
            <w:tcBorders>
              <w:top w:val="single" w:sz="12" w:space="0" w:color="000000"/>
              <w:left w:val="single" w:sz="12" w:space="0" w:color="000000"/>
              <w:bottom w:val="single" w:sz="12" w:space="0" w:color="000000"/>
              <w:right w:val="single" w:sz="12" w:space="0" w:color="000000"/>
            </w:tcBorders>
          </w:tcPr>
          <w:p>
            <w:pPr/>
          </w:p>
        </w:tc>
        <w:tc>
          <w:tcPr>
            <w:tcW w:w="199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93" w:right="0"/>
              <w:jc w:val="left"/>
              <w:rPr>
                <w:rFonts w:ascii="Arial" w:hAnsi="Arial" w:cs="Arial" w:eastAsia="Arial" w:hint="default"/>
                <w:sz w:val="18"/>
                <w:szCs w:val="18"/>
              </w:rPr>
            </w:pPr>
            <w:r>
              <w:rPr>
                <w:rFonts w:ascii="Arial"/>
                <w:sz w:val="18"/>
              </w:rPr>
              <w:t>695,782.78</w:t>
            </w:r>
          </w:p>
        </w:tc>
        <w:tc>
          <w:tcPr>
            <w:tcW w:w="21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93" w:right="0"/>
              <w:jc w:val="left"/>
              <w:rPr>
                <w:rFonts w:ascii="Arial" w:hAnsi="Arial" w:cs="Arial" w:eastAsia="Arial" w:hint="default"/>
                <w:sz w:val="18"/>
                <w:szCs w:val="18"/>
              </w:rPr>
            </w:pPr>
            <w:r>
              <w:rPr>
                <w:rFonts w:ascii="Arial"/>
                <w:sz w:val="18"/>
              </w:rPr>
              <w:t>3,975,179.58</w:t>
            </w:r>
          </w:p>
        </w:tc>
      </w:tr>
      <w:tr>
        <w:trPr>
          <w:trHeight w:val="341" w:hRule="exact"/>
        </w:trPr>
        <w:tc>
          <w:tcPr>
            <w:tcW w:w="42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706" w:type="dxa"/>
            <w:tcBorders>
              <w:top w:val="single" w:sz="12" w:space="0" w:color="000000"/>
              <w:left w:val="single" w:sz="12" w:space="0" w:color="000000"/>
              <w:bottom w:val="single" w:sz="12" w:space="0" w:color="000000"/>
              <w:right w:val="single" w:sz="12" w:space="0" w:color="000000"/>
            </w:tcBorders>
          </w:tcPr>
          <w:p>
            <w:pPr/>
          </w:p>
        </w:tc>
        <w:tc>
          <w:tcPr>
            <w:tcW w:w="199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93" w:right="0"/>
              <w:jc w:val="left"/>
              <w:rPr>
                <w:rFonts w:ascii="Arial" w:hAnsi="Arial" w:cs="Arial" w:eastAsia="Arial" w:hint="default"/>
                <w:sz w:val="18"/>
                <w:szCs w:val="18"/>
              </w:rPr>
            </w:pPr>
            <w:r>
              <w:rPr>
                <w:rFonts w:ascii="Arial"/>
                <w:sz w:val="18"/>
              </w:rPr>
              <w:t>8,281,893.92</w:t>
            </w:r>
          </w:p>
        </w:tc>
        <w:tc>
          <w:tcPr>
            <w:tcW w:w="21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93" w:right="0"/>
              <w:jc w:val="left"/>
              <w:rPr>
                <w:rFonts w:ascii="Arial" w:hAnsi="Arial" w:cs="Arial" w:eastAsia="Arial" w:hint="default"/>
                <w:sz w:val="18"/>
                <w:szCs w:val="18"/>
              </w:rPr>
            </w:pPr>
            <w:r>
              <w:rPr>
                <w:rFonts w:ascii="Arial"/>
                <w:sz w:val="18"/>
              </w:rPr>
              <w:t>2,459,195.25</w:t>
            </w:r>
          </w:p>
        </w:tc>
      </w:tr>
      <w:tr>
        <w:trPr>
          <w:trHeight w:val="343" w:hRule="exact"/>
        </w:trPr>
        <w:tc>
          <w:tcPr>
            <w:tcW w:w="42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706" w:type="dxa"/>
            <w:tcBorders>
              <w:top w:val="single" w:sz="12" w:space="0" w:color="000000"/>
              <w:left w:val="single" w:sz="12" w:space="0" w:color="000000"/>
              <w:bottom w:val="single" w:sz="12" w:space="0" w:color="000000"/>
              <w:right w:val="single" w:sz="12" w:space="0" w:color="000000"/>
            </w:tcBorders>
          </w:tcPr>
          <w:p>
            <w:pPr/>
          </w:p>
        </w:tc>
        <w:tc>
          <w:tcPr>
            <w:tcW w:w="199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left="93" w:right="0"/>
              <w:jc w:val="left"/>
              <w:rPr>
                <w:rFonts w:ascii="Arial" w:hAnsi="Arial" w:cs="Arial" w:eastAsia="Arial" w:hint="default"/>
                <w:sz w:val="18"/>
                <w:szCs w:val="18"/>
              </w:rPr>
            </w:pPr>
            <w:r>
              <w:rPr>
                <w:rFonts w:ascii="Arial"/>
                <w:b/>
                <w:sz w:val="18"/>
              </w:rPr>
              <w:t>95,978,577.36</w:t>
            </w:r>
            <w:r>
              <w:rPr>
                <w:rFonts w:ascii="Arial"/>
                <w:sz w:val="18"/>
              </w:rPr>
            </w:r>
          </w:p>
        </w:tc>
        <w:tc>
          <w:tcPr>
            <w:tcW w:w="21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left="93" w:right="0"/>
              <w:jc w:val="left"/>
              <w:rPr>
                <w:rFonts w:ascii="Arial" w:hAnsi="Arial" w:cs="Arial" w:eastAsia="Arial" w:hint="default"/>
                <w:sz w:val="18"/>
                <w:szCs w:val="18"/>
              </w:rPr>
            </w:pPr>
            <w:r>
              <w:rPr>
                <w:rFonts w:ascii="Arial"/>
                <w:b/>
                <w:sz w:val="18"/>
              </w:rPr>
              <w:t>85,482,261.01</w:t>
            </w:r>
            <w:r>
              <w:rPr>
                <w:rFonts w:ascii="Arial"/>
                <w:sz w:val="18"/>
              </w:rPr>
            </w:r>
          </w:p>
        </w:tc>
      </w:tr>
      <w:tr>
        <w:trPr>
          <w:trHeight w:val="341" w:hRule="exact"/>
        </w:trPr>
        <w:tc>
          <w:tcPr>
            <w:tcW w:w="42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706" w:type="dxa"/>
            <w:tcBorders>
              <w:top w:val="single" w:sz="12" w:space="0" w:color="000000"/>
              <w:left w:val="single" w:sz="12" w:space="0" w:color="000000"/>
              <w:bottom w:val="single" w:sz="12" w:space="0" w:color="000000"/>
              <w:right w:val="single" w:sz="12" w:space="0" w:color="000000"/>
            </w:tcBorders>
          </w:tcPr>
          <w:p>
            <w:pPr/>
          </w:p>
        </w:tc>
        <w:tc>
          <w:tcPr>
            <w:tcW w:w="199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93" w:right="0"/>
              <w:jc w:val="left"/>
              <w:rPr>
                <w:rFonts w:ascii="Arial" w:hAnsi="Arial" w:cs="Arial" w:eastAsia="Arial" w:hint="default"/>
                <w:sz w:val="18"/>
                <w:szCs w:val="18"/>
              </w:rPr>
            </w:pPr>
            <w:r>
              <w:rPr>
                <w:rFonts w:ascii="Arial"/>
                <w:sz w:val="18"/>
              </w:rPr>
              <w:t>55,112,530.27</w:t>
            </w:r>
          </w:p>
        </w:tc>
        <w:tc>
          <w:tcPr>
            <w:tcW w:w="21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93" w:right="0"/>
              <w:jc w:val="left"/>
              <w:rPr>
                <w:rFonts w:ascii="Arial" w:hAnsi="Arial" w:cs="Arial" w:eastAsia="Arial" w:hint="default"/>
                <w:sz w:val="18"/>
                <w:szCs w:val="18"/>
              </w:rPr>
            </w:pPr>
            <w:r>
              <w:rPr>
                <w:rFonts w:ascii="Arial"/>
                <w:sz w:val="18"/>
              </w:rPr>
              <w:t>11,544,348.09</w:t>
            </w:r>
          </w:p>
        </w:tc>
      </w:tr>
      <w:tr>
        <w:trPr>
          <w:trHeight w:val="343" w:hRule="exact"/>
        </w:trPr>
        <w:tc>
          <w:tcPr>
            <w:tcW w:w="42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706" w:type="dxa"/>
            <w:tcBorders>
              <w:top w:val="single" w:sz="12" w:space="0" w:color="000000"/>
              <w:left w:val="single" w:sz="12" w:space="0" w:color="000000"/>
              <w:bottom w:val="single" w:sz="12" w:space="0" w:color="000000"/>
              <w:right w:val="single" w:sz="12" w:space="0" w:color="000000"/>
            </w:tcBorders>
          </w:tcPr>
          <w:p>
            <w:pPr/>
          </w:p>
        </w:tc>
        <w:tc>
          <w:tcPr>
            <w:tcW w:w="199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93" w:right="0"/>
              <w:jc w:val="left"/>
              <w:rPr>
                <w:rFonts w:ascii="Arial" w:hAnsi="Arial" w:cs="Arial" w:eastAsia="Arial" w:hint="default"/>
                <w:sz w:val="18"/>
                <w:szCs w:val="18"/>
              </w:rPr>
            </w:pPr>
            <w:r>
              <w:rPr>
                <w:rFonts w:ascii="Arial"/>
                <w:sz w:val="18"/>
              </w:rPr>
              <w:t>15,640,903.06</w:t>
            </w:r>
          </w:p>
        </w:tc>
        <w:tc>
          <w:tcPr>
            <w:tcW w:w="21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93" w:right="0"/>
              <w:jc w:val="left"/>
              <w:rPr>
                <w:rFonts w:ascii="Arial" w:hAnsi="Arial" w:cs="Arial" w:eastAsia="Arial" w:hint="default"/>
                <w:sz w:val="18"/>
                <w:szCs w:val="18"/>
              </w:rPr>
            </w:pPr>
            <w:r>
              <w:rPr>
                <w:rFonts w:ascii="Arial"/>
                <w:sz w:val="18"/>
              </w:rPr>
              <w:t>10,563,291.83</w:t>
            </w:r>
          </w:p>
        </w:tc>
      </w:tr>
      <w:tr>
        <w:trPr>
          <w:trHeight w:val="341" w:hRule="exact"/>
        </w:trPr>
        <w:tc>
          <w:tcPr>
            <w:tcW w:w="42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706" w:type="dxa"/>
            <w:tcBorders>
              <w:top w:val="single" w:sz="12" w:space="0" w:color="000000"/>
              <w:left w:val="single" w:sz="12" w:space="0" w:color="000000"/>
              <w:bottom w:val="single" w:sz="12" w:space="0" w:color="000000"/>
              <w:right w:val="single" w:sz="12" w:space="0" w:color="000000"/>
            </w:tcBorders>
          </w:tcPr>
          <w:p>
            <w:pPr/>
          </w:p>
        </w:tc>
        <w:tc>
          <w:tcPr>
            <w:tcW w:w="199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93" w:right="0"/>
              <w:jc w:val="left"/>
              <w:rPr>
                <w:rFonts w:ascii="Arial" w:hAnsi="Arial" w:cs="Arial" w:eastAsia="Arial" w:hint="default"/>
                <w:sz w:val="18"/>
                <w:szCs w:val="18"/>
              </w:rPr>
            </w:pPr>
            <w:r>
              <w:rPr>
                <w:rFonts w:ascii="Arial"/>
                <w:sz w:val="18"/>
              </w:rPr>
              <w:t>13,631,147.21</w:t>
            </w:r>
          </w:p>
        </w:tc>
        <w:tc>
          <w:tcPr>
            <w:tcW w:w="21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93" w:right="0"/>
              <w:jc w:val="left"/>
              <w:rPr>
                <w:rFonts w:ascii="Arial" w:hAnsi="Arial" w:cs="Arial" w:eastAsia="Arial" w:hint="default"/>
                <w:sz w:val="18"/>
                <w:szCs w:val="18"/>
              </w:rPr>
            </w:pPr>
            <w:r>
              <w:rPr>
                <w:rFonts w:ascii="Arial"/>
                <w:sz w:val="18"/>
              </w:rPr>
              <w:t>17,110,127.78</w:t>
            </w:r>
          </w:p>
        </w:tc>
      </w:tr>
      <w:tr>
        <w:trPr>
          <w:trHeight w:val="343" w:hRule="exact"/>
        </w:trPr>
        <w:tc>
          <w:tcPr>
            <w:tcW w:w="42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706" w:type="dxa"/>
            <w:tcBorders>
              <w:top w:val="single" w:sz="12" w:space="0" w:color="000000"/>
              <w:left w:val="single" w:sz="12" w:space="0" w:color="000000"/>
              <w:bottom w:val="single" w:sz="12" w:space="0" w:color="000000"/>
              <w:right w:val="single" w:sz="12" w:space="0" w:color="000000"/>
            </w:tcBorders>
          </w:tcPr>
          <w:p>
            <w:pPr/>
          </w:p>
        </w:tc>
        <w:tc>
          <w:tcPr>
            <w:tcW w:w="199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93" w:right="0"/>
              <w:jc w:val="left"/>
              <w:rPr>
                <w:rFonts w:ascii="Arial" w:hAnsi="Arial" w:cs="Arial" w:eastAsia="Arial" w:hint="default"/>
                <w:sz w:val="18"/>
                <w:szCs w:val="18"/>
              </w:rPr>
            </w:pPr>
            <w:r>
              <w:rPr>
                <w:rFonts w:ascii="Arial"/>
                <w:sz w:val="18"/>
              </w:rPr>
              <w:t>23,034,656.65</w:t>
            </w:r>
          </w:p>
        </w:tc>
        <w:tc>
          <w:tcPr>
            <w:tcW w:w="21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93" w:right="0"/>
              <w:jc w:val="left"/>
              <w:rPr>
                <w:rFonts w:ascii="Arial" w:hAnsi="Arial" w:cs="Arial" w:eastAsia="Arial" w:hint="default"/>
                <w:sz w:val="18"/>
                <w:szCs w:val="18"/>
              </w:rPr>
            </w:pPr>
            <w:r>
              <w:rPr>
                <w:rFonts w:ascii="Arial"/>
                <w:sz w:val="18"/>
              </w:rPr>
              <w:t>13,860,376.51</w:t>
            </w:r>
          </w:p>
        </w:tc>
      </w:tr>
      <w:tr>
        <w:trPr>
          <w:trHeight w:val="341" w:hRule="exact"/>
        </w:trPr>
        <w:tc>
          <w:tcPr>
            <w:tcW w:w="42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706" w:type="dxa"/>
            <w:tcBorders>
              <w:top w:val="single" w:sz="12" w:space="0" w:color="000000"/>
              <w:left w:val="single" w:sz="12" w:space="0" w:color="000000"/>
              <w:bottom w:val="single" w:sz="12" w:space="0" w:color="000000"/>
              <w:right w:val="single" w:sz="12" w:space="0" w:color="000000"/>
            </w:tcBorders>
          </w:tcPr>
          <w:p>
            <w:pPr/>
          </w:p>
        </w:tc>
        <w:tc>
          <w:tcPr>
            <w:tcW w:w="199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left="93" w:right="0"/>
              <w:jc w:val="left"/>
              <w:rPr>
                <w:rFonts w:ascii="Arial" w:hAnsi="Arial" w:cs="Arial" w:eastAsia="Arial" w:hint="default"/>
                <w:sz w:val="18"/>
                <w:szCs w:val="18"/>
              </w:rPr>
            </w:pPr>
            <w:r>
              <w:rPr>
                <w:rFonts w:ascii="Arial"/>
                <w:b/>
                <w:sz w:val="18"/>
              </w:rPr>
              <w:t>107,419,237.19</w:t>
            </w:r>
            <w:r>
              <w:rPr>
                <w:rFonts w:ascii="Arial"/>
                <w:sz w:val="18"/>
              </w:rPr>
            </w:r>
          </w:p>
        </w:tc>
        <w:tc>
          <w:tcPr>
            <w:tcW w:w="21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left="93" w:right="0"/>
              <w:jc w:val="left"/>
              <w:rPr>
                <w:rFonts w:ascii="Arial" w:hAnsi="Arial" w:cs="Arial" w:eastAsia="Arial" w:hint="default"/>
                <w:sz w:val="18"/>
                <w:szCs w:val="18"/>
              </w:rPr>
            </w:pPr>
            <w:r>
              <w:rPr>
                <w:rFonts w:ascii="Arial"/>
                <w:b/>
                <w:sz w:val="18"/>
              </w:rPr>
              <w:t>53,078,144.21</w:t>
            </w:r>
            <w:r>
              <w:rPr>
                <w:rFonts w:ascii="Arial"/>
                <w:sz w:val="18"/>
              </w:rPr>
            </w:r>
          </w:p>
        </w:tc>
      </w:tr>
      <w:tr>
        <w:trPr>
          <w:trHeight w:val="343" w:hRule="exact"/>
        </w:trPr>
        <w:tc>
          <w:tcPr>
            <w:tcW w:w="42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706" w:type="dxa"/>
            <w:tcBorders>
              <w:top w:val="single" w:sz="12" w:space="0" w:color="000000"/>
              <w:left w:val="single" w:sz="12" w:space="0" w:color="000000"/>
              <w:bottom w:val="single" w:sz="12" w:space="0" w:color="000000"/>
              <w:right w:val="single" w:sz="12" w:space="0" w:color="000000"/>
            </w:tcBorders>
          </w:tcPr>
          <w:p>
            <w:pPr/>
          </w:p>
        </w:tc>
        <w:tc>
          <w:tcPr>
            <w:tcW w:w="199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left="93" w:right="0"/>
              <w:jc w:val="left"/>
              <w:rPr>
                <w:rFonts w:ascii="Arial" w:hAnsi="Arial" w:cs="Arial" w:eastAsia="Arial" w:hint="default"/>
                <w:sz w:val="18"/>
                <w:szCs w:val="18"/>
              </w:rPr>
            </w:pPr>
            <w:r>
              <w:rPr>
                <w:rFonts w:ascii="Arial"/>
                <w:b/>
                <w:sz w:val="18"/>
              </w:rPr>
              <w:t>-11,440,659.83</w:t>
            </w:r>
            <w:r>
              <w:rPr>
                <w:rFonts w:ascii="Arial"/>
                <w:sz w:val="18"/>
              </w:rPr>
            </w:r>
          </w:p>
        </w:tc>
        <w:tc>
          <w:tcPr>
            <w:tcW w:w="21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left="93" w:right="0"/>
              <w:jc w:val="left"/>
              <w:rPr>
                <w:rFonts w:ascii="Arial" w:hAnsi="Arial" w:cs="Arial" w:eastAsia="Arial" w:hint="default"/>
                <w:sz w:val="18"/>
                <w:szCs w:val="18"/>
              </w:rPr>
            </w:pPr>
            <w:r>
              <w:rPr>
                <w:rFonts w:ascii="Arial"/>
                <w:b/>
                <w:sz w:val="18"/>
              </w:rPr>
              <w:t>32,404,116.80</w:t>
            </w:r>
            <w:r>
              <w:rPr>
                <w:rFonts w:ascii="Arial"/>
                <w:sz w:val="18"/>
              </w:rPr>
            </w:r>
          </w:p>
        </w:tc>
      </w:tr>
      <w:tr>
        <w:trPr>
          <w:trHeight w:val="341" w:hRule="exact"/>
        </w:trPr>
        <w:tc>
          <w:tcPr>
            <w:tcW w:w="4205" w:type="dxa"/>
            <w:tcBorders>
              <w:top w:val="single" w:sz="12" w:space="0" w:color="000000"/>
              <w:left w:val="single" w:sz="12" w:space="0" w:color="000000"/>
              <w:bottom w:val="single" w:sz="12" w:space="0" w:color="000000"/>
              <w:right w:val="single" w:sz="12" w:space="0" w:color="000000"/>
            </w:tcBorders>
          </w:tcPr>
          <w:p>
            <w:pPr/>
          </w:p>
        </w:tc>
        <w:tc>
          <w:tcPr>
            <w:tcW w:w="706" w:type="dxa"/>
            <w:tcBorders>
              <w:top w:val="single" w:sz="12" w:space="0" w:color="000000"/>
              <w:left w:val="single" w:sz="12" w:space="0" w:color="000000"/>
              <w:bottom w:val="single" w:sz="12" w:space="0" w:color="000000"/>
              <w:right w:val="single" w:sz="12" w:space="0" w:color="000000"/>
            </w:tcBorders>
          </w:tcPr>
          <w:p>
            <w:pPr/>
          </w:p>
        </w:tc>
        <w:tc>
          <w:tcPr>
            <w:tcW w:w="1999" w:type="dxa"/>
            <w:tcBorders>
              <w:top w:val="single" w:sz="12" w:space="0" w:color="000000"/>
              <w:left w:val="single" w:sz="12" w:space="0" w:color="000000"/>
              <w:bottom w:val="single" w:sz="12" w:space="0" w:color="000000"/>
              <w:right w:val="single" w:sz="12" w:space="0" w:color="000000"/>
            </w:tcBorders>
          </w:tcPr>
          <w:p>
            <w:pPr/>
          </w:p>
        </w:tc>
        <w:tc>
          <w:tcPr>
            <w:tcW w:w="2198"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42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706" w:type="dxa"/>
            <w:tcBorders>
              <w:top w:val="single" w:sz="12" w:space="0" w:color="000000"/>
              <w:left w:val="single" w:sz="12" w:space="0" w:color="000000"/>
              <w:bottom w:val="single" w:sz="12" w:space="0" w:color="000000"/>
              <w:right w:val="single" w:sz="12" w:space="0" w:color="000000"/>
            </w:tcBorders>
          </w:tcPr>
          <w:p>
            <w:pPr/>
          </w:p>
        </w:tc>
        <w:tc>
          <w:tcPr>
            <w:tcW w:w="1999" w:type="dxa"/>
            <w:tcBorders>
              <w:top w:val="single" w:sz="12" w:space="0" w:color="000000"/>
              <w:left w:val="single" w:sz="12" w:space="0" w:color="000000"/>
              <w:bottom w:val="single" w:sz="12" w:space="0" w:color="000000"/>
              <w:right w:val="single" w:sz="12" w:space="0" w:color="000000"/>
            </w:tcBorders>
          </w:tcPr>
          <w:p>
            <w:pPr/>
          </w:p>
        </w:tc>
        <w:tc>
          <w:tcPr>
            <w:tcW w:w="2198"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42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706" w:type="dxa"/>
            <w:tcBorders>
              <w:top w:val="single" w:sz="12" w:space="0" w:color="000000"/>
              <w:left w:val="single" w:sz="12" w:space="0" w:color="000000"/>
              <w:bottom w:val="single" w:sz="12" w:space="0" w:color="000000"/>
              <w:right w:val="single" w:sz="12" w:space="0" w:color="000000"/>
            </w:tcBorders>
          </w:tcPr>
          <w:p>
            <w:pPr/>
          </w:p>
        </w:tc>
        <w:tc>
          <w:tcPr>
            <w:tcW w:w="199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93" w:right="0"/>
              <w:jc w:val="left"/>
              <w:rPr>
                <w:rFonts w:ascii="Arial" w:hAnsi="Arial" w:cs="Arial" w:eastAsia="Arial" w:hint="default"/>
                <w:sz w:val="18"/>
                <w:szCs w:val="18"/>
              </w:rPr>
            </w:pPr>
            <w:r>
              <w:rPr>
                <w:rFonts w:ascii="Arial"/>
                <w:w w:val="99"/>
                <w:sz w:val="18"/>
              </w:rPr>
              <w:t>-</w:t>
            </w:r>
            <w:r>
              <w:rPr>
                <w:rFonts w:ascii="Arial"/>
                <w:sz w:val="18"/>
              </w:rPr>
            </w:r>
          </w:p>
        </w:tc>
        <w:tc>
          <w:tcPr>
            <w:tcW w:w="21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93" w:right="0"/>
              <w:jc w:val="left"/>
              <w:rPr>
                <w:rFonts w:ascii="Arial" w:hAnsi="Arial" w:cs="Arial" w:eastAsia="Arial" w:hint="default"/>
                <w:sz w:val="18"/>
                <w:szCs w:val="18"/>
              </w:rPr>
            </w:pPr>
            <w:r>
              <w:rPr>
                <w:rFonts w:ascii="Arial"/>
                <w:w w:val="99"/>
                <w:sz w:val="18"/>
              </w:rPr>
              <w:t>-</w:t>
            </w:r>
            <w:r>
              <w:rPr>
                <w:rFonts w:ascii="Arial"/>
                <w:sz w:val="18"/>
              </w:rPr>
            </w:r>
          </w:p>
        </w:tc>
      </w:tr>
      <w:tr>
        <w:trPr>
          <w:trHeight w:val="343" w:hRule="exact"/>
        </w:trPr>
        <w:tc>
          <w:tcPr>
            <w:tcW w:w="42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706" w:type="dxa"/>
            <w:tcBorders>
              <w:top w:val="single" w:sz="12" w:space="0" w:color="000000"/>
              <w:left w:val="single" w:sz="12" w:space="0" w:color="000000"/>
              <w:bottom w:val="single" w:sz="12" w:space="0" w:color="000000"/>
              <w:right w:val="single" w:sz="12" w:space="0" w:color="000000"/>
            </w:tcBorders>
          </w:tcPr>
          <w:p>
            <w:pPr/>
          </w:p>
        </w:tc>
        <w:tc>
          <w:tcPr>
            <w:tcW w:w="199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93" w:right="0"/>
              <w:jc w:val="left"/>
              <w:rPr>
                <w:rFonts w:ascii="Arial" w:hAnsi="Arial" w:cs="Arial" w:eastAsia="Arial" w:hint="default"/>
                <w:sz w:val="18"/>
                <w:szCs w:val="18"/>
              </w:rPr>
            </w:pPr>
            <w:r>
              <w:rPr>
                <w:rFonts w:ascii="Arial"/>
                <w:sz w:val="18"/>
              </w:rPr>
              <w:t>69,333.36</w:t>
            </w:r>
          </w:p>
        </w:tc>
        <w:tc>
          <w:tcPr>
            <w:tcW w:w="2198" w:type="dxa"/>
            <w:tcBorders>
              <w:top w:val="single" w:sz="12" w:space="0" w:color="000000"/>
              <w:left w:val="single" w:sz="12" w:space="0" w:color="000000"/>
              <w:bottom w:val="single" w:sz="12" w:space="0" w:color="000000"/>
              <w:right w:val="single" w:sz="12" w:space="0" w:color="000000"/>
            </w:tcBorders>
          </w:tcPr>
          <w:p>
            <w:pPr/>
          </w:p>
        </w:tc>
      </w:tr>
      <w:tr>
        <w:trPr>
          <w:trHeight w:val="653" w:hRule="exact"/>
        </w:trPr>
        <w:tc>
          <w:tcPr>
            <w:tcW w:w="4205"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93" w:right="9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金净额</w:t>
            </w:r>
          </w:p>
        </w:tc>
        <w:tc>
          <w:tcPr>
            <w:tcW w:w="706" w:type="dxa"/>
            <w:tcBorders>
              <w:top w:val="single" w:sz="12" w:space="0" w:color="000000"/>
              <w:left w:val="single" w:sz="12" w:space="0" w:color="000000"/>
              <w:bottom w:val="single" w:sz="12" w:space="0" w:color="000000"/>
              <w:right w:val="single" w:sz="12" w:space="0" w:color="000000"/>
            </w:tcBorders>
          </w:tcPr>
          <w:p>
            <w:pPr/>
          </w:p>
        </w:tc>
        <w:tc>
          <w:tcPr>
            <w:tcW w:w="199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Arial" w:hAnsi="Arial" w:cs="Arial" w:eastAsia="Arial" w:hint="default"/>
                <w:sz w:val="18"/>
                <w:szCs w:val="18"/>
              </w:rPr>
            </w:pPr>
            <w:r>
              <w:rPr>
                <w:rFonts w:ascii="Arial"/>
                <w:w w:val="99"/>
                <w:sz w:val="18"/>
              </w:rPr>
              <w:t>-</w:t>
            </w:r>
            <w:r>
              <w:rPr>
                <w:rFonts w:ascii="Arial"/>
                <w:sz w:val="18"/>
              </w:rPr>
            </w:r>
          </w:p>
        </w:tc>
        <w:tc>
          <w:tcPr>
            <w:tcW w:w="21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Arial" w:hAnsi="Arial" w:cs="Arial" w:eastAsia="Arial" w:hint="default"/>
                <w:sz w:val="18"/>
                <w:szCs w:val="18"/>
              </w:rPr>
            </w:pPr>
            <w:r>
              <w:rPr>
                <w:rFonts w:ascii="Arial"/>
                <w:w w:val="99"/>
                <w:sz w:val="18"/>
              </w:rPr>
              <w:t>-</w:t>
            </w:r>
            <w:r>
              <w:rPr>
                <w:rFonts w:ascii="Arial"/>
                <w:sz w:val="18"/>
              </w:rPr>
            </w:r>
          </w:p>
        </w:tc>
      </w:tr>
      <w:tr>
        <w:trPr>
          <w:trHeight w:val="343" w:hRule="exact"/>
        </w:trPr>
        <w:tc>
          <w:tcPr>
            <w:tcW w:w="42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706" w:type="dxa"/>
            <w:tcBorders>
              <w:top w:val="single" w:sz="12" w:space="0" w:color="000000"/>
              <w:left w:val="single" w:sz="12" w:space="0" w:color="000000"/>
              <w:bottom w:val="single" w:sz="12" w:space="0" w:color="000000"/>
              <w:right w:val="single" w:sz="12" w:space="0" w:color="000000"/>
            </w:tcBorders>
          </w:tcPr>
          <w:p>
            <w:pPr/>
          </w:p>
        </w:tc>
        <w:tc>
          <w:tcPr>
            <w:tcW w:w="199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93" w:right="0"/>
              <w:jc w:val="left"/>
              <w:rPr>
                <w:rFonts w:ascii="Arial" w:hAnsi="Arial" w:cs="Arial" w:eastAsia="Arial" w:hint="default"/>
                <w:sz w:val="18"/>
                <w:szCs w:val="18"/>
              </w:rPr>
            </w:pPr>
            <w:r>
              <w:rPr>
                <w:rFonts w:ascii="Arial"/>
                <w:w w:val="99"/>
                <w:sz w:val="18"/>
              </w:rPr>
              <w:t>-</w:t>
            </w:r>
            <w:r>
              <w:rPr>
                <w:rFonts w:ascii="Arial"/>
                <w:sz w:val="18"/>
              </w:rPr>
            </w:r>
          </w:p>
        </w:tc>
        <w:tc>
          <w:tcPr>
            <w:tcW w:w="21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93" w:right="0"/>
              <w:jc w:val="left"/>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42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706" w:type="dxa"/>
            <w:tcBorders>
              <w:top w:val="single" w:sz="12" w:space="0" w:color="000000"/>
              <w:left w:val="single" w:sz="12" w:space="0" w:color="000000"/>
              <w:bottom w:val="single" w:sz="12" w:space="0" w:color="000000"/>
              <w:right w:val="single" w:sz="12" w:space="0" w:color="000000"/>
            </w:tcBorders>
          </w:tcPr>
          <w:p>
            <w:pPr/>
          </w:p>
        </w:tc>
        <w:tc>
          <w:tcPr>
            <w:tcW w:w="199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93" w:right="0"/>
              <w:jc w:val="left"/>
              <w:rPr>
                <w:rFonts w:ascii="Arial" w:hAnsi="Arial" w:cs="Arial" w:eastAsia="Arial" w:hint="default"/>
                <w:sz w:val="18"/>
                <w:szCs w:val="18"/>
              </w:rPr>
            </w:pPr>
            <w:r>
              <w:rPr>
                <w:rFonts w:ascii="Arial"/>
                <w:w w:val="99"/>
                <w:sz w:val="18"/>
              </w:rPr>
              <w:t>-</w:t>
            </w:r>
            <w:r>
              <w:rPr>
                <w:rFonts w:ascii="Arial"/>
                <w:sz w:val="18"/>
              </w:rPr>
            </w:r>
          </w:p>
        </w:tc>
        <w:tc>
          <w:tcPr>
            <w:tcW w:w="21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93" w:right="0"/>
              <w:jc w:val="left"/>
              <w:rPr>
                <w:rFonts w:ascii="Arial" w:hAnsi="Arial" w:cs="Arial" w:eastAsia="Arial" w:hint="default"/>
                <w:sz w:val="18"/>
                <w:szCs w:val="18"/>
              </w:rPr>
            </w:pPr>
            <w:r>
              <w:rPr>
                <w:rFonts w:ascii="Arial"/>
                <w:w w:val="99"/>
                <w:sz w:val="18"/>
              </w:rPr>
              <w:t>-</w:t>
            </w:r>
            <w:r>
              <w:rPr>
                <w:rFonts w:ascii="Arial"/>
                <w:sz w:val="18"/>
              </w:rPr>
            </w:r>
          </w:p>
        </w:tc>
      </w:tr>
      <w:tr>
        <w:trPr>
          <w:trHeight w:val="343" w:hRule="exact"/>
        </w:trPr>
        <w:tc>
          <w:tcPr>
            <w:tcW w:w="42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706" w:type="dxa"/>
            <w:tcBorders>
              <w:top w:val="single" w:sz="12" w:space="0" w:color="000000"/>
              <w:left w:val="single" w:sz="12" w:space="0" w:color="000000"/>
              <w:bottom w:val="single" w:sz="12" w:space="0" w:color="000000"/>
              <w:right w:val="single" w:sz="12" w:space="0" w:color="000000"/>
            </w:tcBorders>
          </w:tcPr>
          <w:p>
            <w:pPr/>
          </w:p>
        </w:tc>
        <w:tc>
          <w:tcPr>
            <w:tcW w:w="199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left="93" w:right="0"/>
              <w:jc w:val="left"/>
              <w:rPr>
                <w:rFonts w:ascii="Arial" w:hAnsi="Arial" w:cs="Arial" w:eastAsia="Arial" w:hint="default"/>
                <w:sz w:val="18"/>
                <w:szCs w:val="18"/>
              </w:rPr>
            </w:pPr>
            <w:r>
              <w:rPr>
                <w:rFonts w:ascii="Arial"/>
                <w:b/>
                <w:sz w:val="18"/>
              </w:rPr>
              <w:t>69,333.36</w:t>
            </w:r>
            <w:r>
              <w:rPr>
                <w:rFonts w:ascii="Arial"/>
                <w:sz w:val="18"/>
              </w:rPr>
            </w:r>
          </w:p>
        </w:tc>
        <w:tc>
          <w:tcPr>
            <w:tcW w:w="21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93" w:right="0"/>
              <w:jc w:val="left"/>
              <w:rPr>
                <w:rFonts w:ascii="Arial" w:hAnsi="Arial" w:cs="Arial" w:eastAsia="Arial" w:hint="default"/>
                <w:sz w:val="18"/>
                <w:szCs w:val="18"/>
              </w:rPr>
            </w:pPr>
            <w:r>
              <w:rPr>
                <w:rFonts w:ascii="Arial"/>
                <w:w w:val="99"/>
                <w:sz w:val="18"/>
              </w:rPr>
              <w:t>-</w:t>
            </w:r>
            <w:r>
              <w:rPr>
                <w:rFonts w:ascii="Arial"/>
                <w:sz w:val="18"/>
              </w:rPr>
            </w:r>
          </w:p>
        </w:tc>
      </w:tr>
      <w:tr>
        <w:trPr>
          <w:trHeight w:val="653" w:hRule="exact"/>
        </w:trPr>
        <w:tc>
          <w:tcPr>
            <w:tcW w:w="4205"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93" w:right="91"/>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金</w:t>
            </w:r>
          </w:p>
        </w:tc>
        <w:tc>
          <w:tcPr>
            <w:tcW w:w="706" w:type="dxa"/>
            <w:tcBorders>
              <w:top w:val="single" w:sz="12" w:space="0" w:color="000000"/>
              <w:left w:val="single" w:sz="12" w:space="0" w:color="000000"/>
              <w:bottom w:val="single" w:sz="12" w:space="0" w:color="000000"/>
              <w:right w:val="single" w:sz="12" w:space="0" w:color="000000"/>
            </w:tcBorders>
          </w:tcPr>
          <w:p>
            <w:pPr/>
          </w:p>
        </w:tc>
        <w:tc>
          <w:tcPr>
            <w:tcW w:w="199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Arial" w:hAnsi="Arial" w:cs="Arial" w:eastAsia="Arial" w:hint="default"/>
                <w:sz w:val="18"/>
                <w:szCs w:val="18"/>
              </w:rPr>
            </w:pPr>
            <w:r>
              <w:rPr>
                <w:rFonts w:ascii="Arial"/>
                <w:sz w:val="18"/>
              </w:rPr>
              <w:t>4,772,646.82</w:t>
            </w:r>
          </w:p>
        </w:tc>
        <w:tc>
          <w:tcPr>
            <w:tcW w:w="21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Arial" w:hAnsi="Arial" w:cs="Arial" w:eastAsia="Arial" w:hint="default"/>
                <w:sz w:val="18"/>
                <w:szCs w:val="18"/>
              </w:rPr>
            </w:pPr>
            <w:r>
              <w:rPr>
                <w:rFonts w:ascii="Arial"/>
                <w:sz w:val="18"/>
              </w:rPr>
              <w:t>2,679,353.22</w:t>
            </w:r>
          </w:p>
        </w:tc>
      </w:tr>
      <w:tr>
        <w:trPr>
          <w:trHeight w:val="343" w:hRule="exact"/>
        </w:trPr>
        <w:tc>
          <w:tcPr>
            <w:tcW w:w="42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706" w:type="dxa"/>
            <w:tcBorders>
              <w:top w:val="single" w:sz="12" w:space="0" w:color="000000"/>
              <w:left w:val="single" w:sz="12" w:space="0" w:color="000000"/>
              <w:bottom w:val="single" w:sz="12" w:space="0" w:color="000000"/>
              <w:right w:val="single" w:sz="12" w:space="0" w:color="000000"/>
            </w:tcBorders>
          </w:tcPr>
          <w:p>
            <w:pPr/>
          </w:p>
        </w:tc>
        <w:tc>
          <w:tcPr>
            <w:tcW w:w="199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93" w:right="0"/>
              <w:jc w:val="left"/>
              <w:rPr>
                <w:rFonts w:ascii="Arial" w:hAnsi="Arial" w:cs="Arial" w:eastAsia="Arial" w:hint="default"/>
                <w:sz w:val="18"/>
                <w:szCs w:val="18"/>
              </w:rPr>
            </w:pPr>
            <w:r>
              <w:rPr>
                <w:rFonts w:ascii="Arial"/>
                <w:sz w:val="18"/>
              </w:rPr>
              <w:t>173,229,800.00</w:t>
            </w:r>
          </w:p>
        </w:tc>
        <w:tc>
          <w:tcPr>
            <w:tcW w:w="21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93" w:right="0"/>
              <w:jc w:val="left"/>
              <w:rPr>
                <w:rFonts w:ascii="Arial" w:hAnsi="Arial" w:cs="Arial" w:eastAsia="Arial" w:hint="default"/>
                <w:sz w:val="18"/>
                <w:szCs w:val="18"/>
              </w:rPr>
            </w:pPr>
            <w:r>
              <w:rPr>
                <w:rFonts w:ascii="Arial"/>
                <w:sz w:val="18"/>
              </w:rPr>
              <w:t>32,000,000.00</w:t>
            </w:r>
          </w:p>
        </w:tc>
      </w:tr>
      <w:tr>
        <w:trPr>
          <w:trHeight w:val="341" w:hRule="exact"/>
        </w:trPr>
        <w:tc>
          <w:tcPr>
            <w:tcW w:w="42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706" w:type="dxa"/>
            <w:tcBorders>
              <w:top w:val="single" w:sz="12" w:space="0" w:color="000000"/>
              <w:left w:val="single" w:sz="12" w:space="0" w:color="000000"/>
              <w:bottom w:val="single" w:sz="12" w:space="0" w:color="000000"/>
              <w:right w:val="single" w:sz="12" w:space="0" w:color="000000"/>
            </w:tcBorders>
          </w:tcPr>
          <w:p>
            <w:pPr/>
          </w:p>
        </w:tc>
        <w:tc>
          <w:tcPr>
            <w:tcW w:w="199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93" w:right="0"/>
              <w:jc w:val="left"/>
              <w:rPr>
                <w:rFonts w:ascii="Arial" w:hAnsi="Arial" w:cs="Arial" w:eastAsia="Arial" w:hint="default"/>
                <w:sz w:val="18"/>
                <w:szCs w:val="18"/>
              </w:rPr>
            </w:pPr>
            <w:r>
              <w:rPr>
                <w:rFonts w:ascii="Arial"/>
                <w:w w:val="99"/>
                <w:sz w:val="18"/>
              </w:rPr>
              <w:t>-</w:t>
            </w:r>
            <w:r>
              <w:rPr>
                <w:rFonts w:ascii="Arial"/>
                <w:sz w:val="18"/>
              </w:rPr>
            </w:r>
          </w:p>
        </w:tc>
        <w:tc>
          <w:tcPr>
            <w:tcW w:w="21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93" w:right="0"/>
              <w:jc w:val="left"/>
              <w:rPr>
                <w:rFonts w:ascii="Arial" w:hAnsi="Arial" w:cs="Arial" w:eastAsia="Arial" w:hint="default"/>
                <w:sz w:val="18"/>
                <w:szCs w:val="18"/>
              </w:rPr>
            </w:pPr>
            <w:r>
              <w:rPr>
                <w:rFonts w:ascii="Arial"/>
                <w:w w:val="99"/>
                <w:sz w:val="18"/>
              </w:rPr>
              <w:t>-</w:t>
            </w:r>
            <w:r>
              <w:rPr>
                <w:rFonts w:ascii="Arial"/>
                <w:sz w:val="18"/>
              </w:rPr>
            </w:r>
          </w:p>
        </w:tc>
      </w:tr>
      <w:tr>
        <w:trPr>
          <w:trHeight w:val="343" w:hRule="exact"/>
        </w:trPr>
        <w:tc>
          <w:tcPr>
            <w:tcW w:w="42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706" w:type="dxa"/>
            <w:tcBorders>
              <w:top w:val="single" w:sz="12" w:space="0" w:color="000000"/>
              <w:left w:val="single" w:sz="12" w:space="0" w:color="000000"/>
              <w:bottom w:val="single" w:sz="12" w:space="0" w:color="000000"/>
              <w:right w:val="single" w:sz="12" w:space="0" w:color="000000"/>
            </w:tcBorders>
          </w:tcPr>
          <w:p>
            <w:pPr/>
          </w:p>
        </w:tc>
        <w:tc>
          <w:tcPr>
            <w:tcW w:w="199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93" w:right="0"/>
              <w:jc w:val="left"/>
              <w:rPr>
                <w:rFonts w:ascii="Arial" w:hAnsi="Arial" w:cs="Arial" w:eastAsia="Arial" w:hint="default"/>
                <w:sz w:val="18"/>
                <w:szCs w:val="18"/>
              </w:rPr>
            </w:pPr>
            <w:r>
              <w:rPr>
                <w:rFonts w:ascii="Arial"/>
                <w:w w:val="99"/>
                <w:sz w:val="18"/>
              </w:rPr>
              <w:t>-</w:t>
            </w:r>
            <w:r>
              <w:rPr>
                <w:rFonts w:ascii="Arial"/>
                <w:sz w:val="18"/>
              </w:rPr>
            </w:r>
          </w:p>
        </w:tc>
        <w:tc>
          <w:tcPr>
            <w:tcW w:w="21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93" w:right="0"/>
              <w:jc w:val="left"/>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42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706" w:type="dxa"/>
            <w:tcBorders>
              <w:top w:val="single" w:sz="12" w:space="0" w:color="000000"/>
              <w:left w:val="single" w:sz="12" w:space="0" w:color="000000"/>
              <w:bottom w:val="single" w:sz="12" w:space="0" w:color="000000"/>
              <w:right w:val="single" w:sz="12" w:space="0" w:color="000000"/>
            </w:tcBorders>
          </w:tcPr>
          <w:p>
            <w:pPr/>
          </w:p>
        </w:tc>
        <w:tc>
          <w:tcPr>
            <w:tcW w:w="199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left="93" w:right="0"/>
              <w:jc w:val="left"/>
              <w:rPr>
                <w:rFonts w:ascii="Arial" w:hAnsi="Arial" w:cs="Arial" w:eastAsia="Arial" w:hint="default"/>
                <w:sz w:val="18"/>
                <w:szCs w:val="18"/>
              </w:rPr>
            </w:pPr>
            <w:r>
              <w:rPr>
                <w:rFonts w:ascii="Arial"/>
                <w:b/>
                <w:sz w:val="18"/>
              </w:rPr>
              <w:t>178,002,446.82</w:t>
            </w:r>
            <w:r>
              <w:rPr>
                <w:rFonts w:ascii="Arial"/>
                <w:sz w:val="18"/>
              </w:rPr>
            </w:r>
          </w:p>
        </w:tc>
        <w:tc>
          <w:tcPr>
            <w:tcW w:w="21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left="93" w:right="0"/>
              <w:jc w:val="left"/>
              <w:rPr>
                <w:rFonts w:ascii="Arial" w:hAnsi="Arial" w:cs="Arial" w:eastAsia="Arial" w:hint="default"/>
                <w:sz w:val="18"/>
                <w:szCs w:val="18"/>
              </w:rPr>
            </w:pPr>
            <w:r>
              <w:rPr>
                <w:rFonts w:ascii="Arial"/>
                <w:b/>
                <w:sz w:val="18"/>
              </w:rPr>
              <w:t>34,679,353.22</w:t>
            </w:r>
            <w:r>
              <w:rPr>
                <w:rFonts w:ascii="Arial"/>
                <w:sz w:val="18"/>
              </w:rPr>
            </w:r>
          </w:p>
        </w:tc>
      </w:tr>
      <w:tr>
        <w:trPr>
          <w:trHeight w:val="343" w:hRule="exact"/>
        </w:trPr>
        <w:tc>
          <w:tcPr>
            <w:tcW w:w="42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706" w:type="dxa"/>
            <w:tcBorders>
              <w:top w:val="single" w:sz="12" w:space="0" w:color="000000"/>
              <w:left w:val="single" w:sz="12" w:space="0" w:color="000000"/>
              <w:bottom w:val="single" w:sz="12" w:space="0" w:color="000000"/>
              <w:right w:val="single" w:sz="12" w:space="0" w:color="000000"/>
            </w:tcBorders>
          </w:tcPr>
          <w:p>
            <w:pPr/>
          </w:p>
        </w:tc>
        <w:tc>
          <w:tcPr>
            <w:tcW w:w="199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left="93" w:right="0"/>
              <w:jc w:val="left"/>
              <w:rPr>
                <w:rFonts w:ascii="Arial" w:hAnsi="Arial" w:cs="Arial" w:eastAsia="Arial" w:hint="default"/>
                <w:sz w:val="18"/>
                <w:szCs w:val="18"/>
              </w:rPr>
            </w:pPr>
            <w:r>
              <w:rPr>
                <w:rFonts w:ascii="Arial"/>
                <w:b/>
                <w:sz w:val="18"/>
              </w:rPr>
              <w:t>-177,933,113.46</w:t>
            </w:r>
            <w:r>
              <w:rPr>
                <w:rFonts w:ascii="Arial"/>
                <w:sz w:val="18"/>
              </w:rPr>
            </w:r>
          </w:p>
        </w:tc>
        <w:tc>
          <w:tcPr>
            <w:tcW w:w="21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left="93" w:right="0"/>
              <w:jc w:val="left"/>
              <w:rPr>
                <w:rFonts w:ascii="Arial" w:hAnsi="Arial" w:cs="Arial" w:eastAsia="Arial" w:hint="default"/>
                <w:sz w:val="18"/>
                <w:szCs w:val="18"/>
              </w:rPr>
            </w:pPr>
            <w:r>
              <w:rPr>
                <w:rFonts w:ascii="Arial"/>
                <w:b/>
                <w:sz w:val="18"/>
              </w:rPr>
              <w:t>-34,679,353.22</w:t>
            </w:r>
            <w:r>
              <w:rPr>
                <w:rFonts w:ascii="Arial"/>
                <w:sz w:val="18"/>
              </w:rPr>
            </w:r>
          </w:p>
        </w:tc>
      </w:tr>
      <w:tr>
        <w:trPr>
          <w:trHeight w:val="341" w:hRule="exact"/>
        </w:trPr>
        <w:tc>
          <w:tcPr>
            <w:tcW w:w="4205" w:type="dxa"/>
            <w:tcBorders>
              <w:top w:val="single" w:sz="12" w:space="0" w:color="000000"/>
              <w:left w:val="single" w:sz="12" w:space="0" w:color="000000"/>
              <w:bottom w:val="single" w:sz="12" w:space="0" w:color="000000"/>
              <w:right w:val="single" w:sz="12" w:space="0" w:color="000000"/>
            </w:tcBorders>
          </w:tcPr>
          <w:p>
            <w:pPr/>
          </w:p>
        </w:tc>
        <w:tc>
          <w:tcPr>
            <w:tcW w:w="706" w:type="dxa"/>
            <w:tcBorders>
              <w:top w:val="single" w:sz="12" w:space="0" w:color="000000"/>
              <w:left w:val="single" w:sz="12" w:space="0" w:color="000000"/>
              <w:bottom w:val="single" w:sz="12" w:space="0" w:color="000000"/>
              <w:right w:val="single" w:sz="12" w:space="0" w:color="000000"/>
            </w:tcBorders>
          </w:tcPr>
          <w:p>
            <w:pPr/>
          </w:p>
        </w:tc>
        <w:tc>
          <w:tcPr>
            <w:tcW w:w="1999" w:type="dxa"/>
            <w:tcBorders>
              <w:top w:val="single" w:sz="12" w:space="0" w:color="000000"/>
              <w:left w:val="single" w:sz="12" w:space="0" w:color="000000"/>
              <w:bottom w:val="single" w:sz="12" w:space="0" w:color="000000"/>
              <w:right w:val="single" w:sz="12" w:space="0" w:color="000000"/>
            </w:tcBorders>
          </w:tcPr>
          <w:p>
            <w:pPr/>
          </w:p>
        </w:tc>
        <w:tc>
          <w:tcPr>
            <w:tcW w:w="2198"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42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706" w:type="dxa"/>
            <w:tcBorders>
              <w:top w:val="single" w:sz="12" w:space="0" w:color="000000"/>
              <w:left w:val="single" w:sz="12" w:space="0" w:color="000000"/>
              <w:bottom w:val="single" w:sz="12" w:space="0" w:color="000000"/>
              <w:right w:val="single" w:sz="12" w:space="0" w:color="000000"/>
            </w:tcBorders>
          </w:tcPr>
          <w:p>
            <w:pPr/>
          </w:p>
        </w:tc>
        <w:tc>
          <w:tcPr>
            <w:tcW w:w="1999" w:type="dxa"/>
            <w:tcBorders>
              <w:top w:val="single" w:sz="12" w:space="0" w:color="000000"/>
              <w:left w:val="single" w:sz="12" w:space="0" w:color="000000"/>
              <w:bottom w:val="single" w:sz="12" w:space="0" w:color="000000"/>
              <w:right w:val="single" w:sz="12" w:space="0" w:color="000000"/>
            </w:tcBorders>
          </w:tcPr>
          <w:p>
            <w:pPr/>
          </w:p>
        </w:tc>
        <w:tc>
          <w:tcPr>
            <w:tcW w:w="2198"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42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706" w:type="dxa"/>
            <w:tcBorders>
              <w:top w:val="single" w:sz="12" w:space="0" w:color="000000"/>
              <w:left w:val="single" w:sz="12" w:space="0" w:color="000000"/>
              <w:bottom w:val="single" w:sz="12" w:space="0" w:color="000000"/>
              <w:right w:val="single" w:sz="12" w:space="0" w:color="000000"/>
            </w:tcBorders>
          </w:tcPr>
          <w:p>
            <w:pPr/>
          </w:p>
        </w:tc>
        <w:tc>
          <w:tcPr>
            <w:tcW w:w="199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93" w:right="0"/>
              <w:jc w:val="left"/>
              <w:rPr>
                <w:rFonts w:ascii="Arial" w:hAnsi="Arial" w:cs="Arial" w:eastAsia="Arial" w:hint="default"/>
                <w:sz w:val="18"/>
                <w:szCs w:val="18"/>
              </w:rPr>
            </w:pPr>
            <w:r>
              <w:rPr>
                <w:rFonts w:ascii="Arial"/>
                <w:sz w:val="18"/>
              </w:rPr>
              <w:t>538,534,000.00</w:t>
            </w:r>
          </w:p>
        </w:tc>
        <w:tc>
          <w:tcPr>
            <w:tcW w:w="21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93" w:right="0"/>
              <w:jc w:val="left"/>
              <w:rPr>
                <w:rFonts w:ascii="Arial" w:hAnsi="Arial" w:cs="Arial" w:eastAsia="Arial" w:hint="default"/>
                <w:sz w:val="18"/>
                <w:szCs w:val="18"/>
              </w:rPr>
            </w:pPr>
            <w:r>
              <w:rPr>
                <w:rFonts w:ascii="Arial"/>
                <w:w w:val="99"/>
                <w:sz w:val="18"/>
              </w:rPr>
              <w:t>-</w:t>
            </w:r>
            <w:r>
              <w:rPr>
                <w:rFonts w:ascii="Arial"/>
                <w:sz w:val="18"/>
              </w:rPr>
            </w:r>
          </w:p>
        </w:tc>
      </w:tr>
      <w:tr>
        <w:trPr>
          <w:trHeight w:val="343" w:hRule="exact"/>
        </w:trPr>
        <w:tc>
          <w:tcPr>
            <w:tcW w:w="42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706" w:type="dxa"/>
            <w:tcBorders>
              <w:top w:val="single" w:sz="12" w:space="0" w:color="000000"/>
              <w:left w:val="single" w:sz="12" w:space="0" w:color="000000"/>
              <w:bottom w:val="single" w:sz="12" w:space="0" w:color="000000"/>
              <w:right w:val="single" w:sz="12" w:space="0" w:color="000000"/>
            </w:tcBorders>
          </w:tcPr>
          <w:p>
            <w:pPr/>
          </w:p>
        </w:tc>
        <w:tc>
          <w:tcPr>
            <w:tcW w:w="199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93" w:right="0"/>
              <w:jc w:val="left"/>
              <w:rPr>
                <w:rFonts w:ascii="Arial" w:hAnsi="Arial" w:cs="Arial" w:eastAsia="Arial" w:hint="default"/>
                <w:sz w:val="18"/>
                <w:szCs w:val="18"/>
              </w:rPr>
            </w:pPr>
            <w:r>
              <w:rPr>
                <w:rFonts w:ascii="Arial"/>
                <w:sz w:val="18"/>
              </w:rPr>
              <w:t>19,000,000.00</w:t>
            </w:r>
          </w:p>
        </w:tc>
        <w:tc>
          <w:tcPr>
            <w:tcW w:w="21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93" w:right="0"/>
              <w:jc w:val="left"/>
              <w:rPr>
                <w:rFonts w:ascii="Arial" w:hAnsi="Arial" w:cs="Arial" w:eastAsia="Arial" w:hint="default"/>
                <w:sz w:val="18"/>
                <w:szCs w:val="18"/>
              </w:rPr>
            </w:pPr>
            <w:r>
              <w:rPr>
                <w:rFonts w:ascii="Arial"/>
                <w:sz w:val="18"/>
              </w:rPr>
              <w:t>41,000,000.00</w:t>
            </w:r>
          </w:p>
        </w:tc>
      </w:tr>
      <w:tr>
        <w:trPr>
          <w:trHeight w:val="341" w:hRule="exact"/>
        </w:trPr>
        <w:tc>
          <w:tcPr>
            <w:tcW w:w="42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706" w:type="dxa"/>
            <w:tcBorders>
              <w:top w:val="single" w:sz="12" w:space="0" w:color="000000"/>
              <w:left w:val="single" w:sz="12" w:space="0" w:color="000000"/>
              <w:bottom w:val="single" w:sz="12" w:space="0" w:color="000000"/>
              <w:right w:val="single" w:sz="12" w:space="0" w:color="000000"/>
            </w:tcBorders>
          </w:tcPr>
          <w:p>
            <w:pPr/>
          </w:p>
        </w:tc>
        <w:tc>
          <w:tcPr>
            <w:tcW w:w="199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93" w:right="0"/>
              <w:jc w:val="left"/>
              <w:rPr>
                <w:rFonts w:ascii="Arial" w:hAnsi="Arial" w:cs="Arial" w:eastAsia="Arial" w:hint="default"/>
                <w:sz w:val="18"/>
                <w:szCs w:val="18"/>
              </w:rPr>
            </w:pPr>
            <w:r>
              <w:rPr>
                <w:rFonts w:ascii="Arial"/>
                <w:w w:val="99"/>
                <w:sz w:val="18"/>
              </w:rPr>
              <w:t>-</w:t>
            </w:r>
            <w:r>
              <w:rPr>
                <w:rFonts w:ascii="Arial"/>
                <w:sz w:val="18"/>
              </w:rPr>
            </w:r>
          </w:p>
        </w:tc>
        <w:tc>
          <w:tcPr>
            <w:tcW w:w="21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93" w:right="0"/>
              <w:jc w:val="left"/>
              <w:rPr>
                <w:rFonts w:ascii="Arial" w:hAnsi="Arial" w:cs="Arial" w:eastAsia="Arial" w:hint="default"/>
                <w:sz w:val="18"/>
                <w:szCs w:val="18"/>
              </w:rPr>
            </w:pPr>
            <w:r>
              <w:rPr>
                <w:rFonts w:ascii="Arial"/>
                <w:w w:val="99"/>
                <w:sz w:val="18"/>
              </w:rPr>
              <w:t>-</w:t>
            </w:r>
            <w:r>
              <w:rPr>
                <w:rFonts w:ascii="Arial"/>
                <w:sz w:val="18"/>
              </w:rPr>
            </w:r>
          </w:p>
        </w:tc>
      </w:tr>
      <w:tr>
        <w:trPr>
          <w:trHeight w:val="343" w:hRule="exact"/>
        </w:trPr>
        <w:tc>
          <w:tcPr>
            <w:tcW w:w="42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706" w:type="dxa"/>
            <w:tcBorders>
              <w:top w:val="single" w:sz="12" w:space="0" w:color="000000"/>
              <w:left w:val="single" w:sz="12" w:space="0" w:color="000000"/>
              <w:bottom w:val="single" w:sz="12" w:space="0" w:color="000000"/>
              <w:right w:val="single" w:sz="12" w:space="0" w:color="000000"/>
            </w:tcBorders>
          </w:tcPr>
          <w:p>
            <w:pPr/>
          </w:p>
        </w:tc>
        <w:tc>
          <w:tcPr>
            <w:tcW w:w="199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93" w:right="0"/>
              <w:jc w:val="left"/>
              <w:rPr>
                <w:rFonts w:ascii="Arial" w:hAnsi="Arial" w:cs="Arial" w:eastAsia="Arial" w:hint="default"/>
                <w:sz w:val="18"/>
                <w:szCs w:val="18"/>
              </w:rPr>
            </w:pPr>
            <w:r>
              <w:rPr>
                <w:rFonts w:ascii="Arial"/>
                <w:w w:val="99"/>
                <w:sz w:val="18"/>
              </w:rPr>
              <w:t>-</w:t>
            </w:r>
            <w:r>
              <w:rPr>
                <w:rFonts w:ascii="Arial"/>
                <w:sz w:val="18"/>
              </w:rPr>
            </w:r>
          </w:p>
        </w:tc>
        <w:tc>
          <w:tcPr>
            <w:tcW w:w="21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93" w:right="0"/>
              <w:jc w:val="left"/>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42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706" w:type="dxa"/>
            <w:tcBorders>
              <w:top w:val="single" w:sz="12" w:space="0" w:color="000000"/>
              <w:left w:val="single" w:sz="12" w:space="0" w:color="000000"/>
              <w:bottom w:val="single" w:sz="12" w:space="0" w:color="000000"/>
              <w:right w:val="single" w:sz="12" w:space="0" w:color="000000"/>
            </w:tcBorders>
          </w:tcPr>
          <w:p>
            <w:pPr/>
          </w:p>
        </w:tc>
        <w:tc>
          <w:tcPr>
            <w:tcW w:w="199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93" w:right="0"/>
              <w:jc w:val="left"/>
              <w:rPr>
                <w:rFonts w:ascii="Arial" w:hAnsi="Arial" w:cs="Arial" w:eastAsia="Arial" w:hint="default"/>
                <w:sz w:val="18"/>
                <w:szCs w:val="18"/>
              </w:rPr>
            </w:pPr>
            <w:r>
              <w:rPr>
                <w:rFonts w:ascii="Arial"/>
                <w:sz w:val="18"/>
              </w:rPr>
              <w:t>557,534,000.00</w:t>
            </w:r>
          </w:p>
        </w:tc>
        <w:tc>
          <w:tcPr>
            <w:tcW w:w="21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93" w:right="0"/>
              <w:jc w:val="left"/>
              <w:rPr>
                <w:rFonts w:ascii="Arial" w:hAnsi="Arial" w:cs="Arial" w:eastAsia="Arial" w:hint="default"/>
                <w:sz w:val="18"/>
                <w:szCs w:val="18"/>
              </w:rPr>
            </w:pPr>
            <w:r>
              <w:rPr>
                <w:rFonts w:ascii="Arial"/>
                <w:sz w:val="18"/>
              </w:rPr>
              <w:t>41,000,000.00</w:t>
            </w:r>
          </w:p>
        </w:tc>
      </w:tr>
      <w:tr>
        <w:trPr>
          <w:trHeight w:val="343" w:hRule="exact"/>
        </w:trPr>
        <w:tc>
          <w:tcPr>
            <w:tcW w:w="42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706" w:type="dxa"/>
            <w:tcBorders>
              <w:top w:val="single" w:sz="12" w:space="0" w:color="000000"/>
              <w:left w:val="single" w:sz="12" w:space="0" w:color="000000"/>
              <w:bottom w:val="single" w:sz="12" w:space="0" w:color="000000"/>
              <w:right w:val="single" w:sz="12" w:space="0" w:color="000000"/>
            </w:tcBorders>
          </w:tcPr>
          <w:p>
            <w:pPr/>
          </w:p>
        </w:tc>
        <w:tc>
          <w:tcPr>
            <w:tcW w:w="199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93" w:right="0"/>
              <w:jc w:val="left"/>
              <w:rPr>
                <w:rFonts w:ascii="Arial" w:hAnsi="Arial" w:cs="Arial" w:eastAsia="Arial" w:hint="default"/>
                <w:sz w:val="18"/>
                <w:szCs w:val="18"/>
              </w:rPr>
            </w:pPr>
            <w:r>
              <w:rPr>
                <w:rFonts w:ascii="Arial"/>
                <w:sz w:val="18"/>
              </w:rPr>
              <w:t>49,000,000.00</w:t>
            </w:r>
          </w:p>
        </w:tc>
        <w:tc>
          <w:tcPr>
            <w:tcW w:w="21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93" w:right="0"/>
              <w:jc w:val="left"/>
              <w:rPr>
                <w:rFonts w:ascii="Arial" w:hAnsi="Arial" w:cs="Arial" w:eastAsia="Arial" w:hint="default"/>
                <w:sz w:val="18"/>
                <w:szCs w:val="18"/>
              </w:rPr>
            </w:pPr>
            <w:r>
              <w:rPr>
                <w:rFonts w:ascii="Arial"/>
                <w:sz w:val="18"/>
              </w:rPr>
              <w:t>25,000,000.00</w:t>
            </w:r>
          </w:p>
        </w:tc>
      </w:tr>
      <w:tr>
        <w:trPr>
          <w:trHeight w:val="341" w:hRule="exact"/>
        </w:trPr>
        <w:tc>
          <w:tcPr>
            <w:tcW w:w="42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706" w:type="dxa"/>
            <w:tcBorders>
              <w:top w:val="single" w:sz="12" w:space="0" w:color="000000"/>
              <w:left w:val="single" w:sz="12" w:space="0" w:color="000000"/>
              <w:bottom w:val="single" w:sz="12" w:space="0" w:color="000000"/>
              <w:right w:val="single" w:sz="12" w:space="0" w:color="000000"/>
            </w:tcBorders>
          </w:tcPr>
          <w:p>
            <w:pPr/>
          </w:p>
        </w:tc>
        <w:tc>
          <w:tcPr>
            <w:tcW w:w="199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93" w:right="0"/>
              <w:jc w:val="left"/>
              <w:rPr>
                <w:rFonts w:ascii="Arial" w:hAnsi="Arial" w:cs="Arial" w:eastAsia="Arial" w:hint="default"/>
                <w:sz w:val="18"/>
                <w:szCs w:val="18"/>
              </w:rPr>
            </w:pPr>
            <w:r>
              <w:rPr>
                <w:rFonts w:ascii="Arial"/>
                <w:sz w:val="18"/>
              </w:rPr>
              <w:t>679,069.00</w:t>
            </w:r>
          </w:p>
        </w:tc>
        <w:tc>
          <w:tcPr>
            <w:tcW w:w="21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93" w:right="0"/>
              <w:jc w:val="left"/>
              <w:rPr>
                <w:rFonts w:ascii="Arial" w:hAnsi="Arial" w:cs="Arial" w:eastAsia="Arial" w:hint="default"/>
                <w:sz w:val="18"/>
                <w:szCs w:val="18"/>
              </w:rPr>
            </w:pPr>
            <w:r>
              <w:rPr>
                <w:rFonts w:ascii="Arial"/>
                <w:sz w:val="18"/>
              </w:rPr>
              <w:t>1,165,255.50</w:t>
            </w:r>
          </w:p>
        </w:tc>
      </w:tr>
    </w:tbl>
    <w:p>
      <w:pPr>
        <w:spacing w:after="0" w:line="240" w:lineRule="auto"/>
        <w:jc w:val="left"/>
        <w:rPr>
          <w:rFonts w:ascii="Arial" w:hAnsi="Arial" w:cs="Arial" w:eastAsia="Arial" w:hint="default"/>
          <w:sz w:val="18"/>
          <w:szCs w:val="18"/>
        </w:rPr>
        <w:sectPr>
          <w:pgSz w:w="11900" w:h="16840"/>
          <w:pgMar w:header="877" w:footer="983" w:top="1060" w:bottom="1180" w:left="1560" w:right="860"/>
        </w:sectPr>
      </w:pPr>
    </w:p>
    <w:p>
      <w:pPr>
        <w:spacing w:line="240" w:lineRule="auto" w:before="6"/>
        <w:rPr>
          <w:rFonts w:ascii="宋体" w:hAnsi="宋体" w:cs="宋体" w:eastAsia="宋体" w:hint="default"/>
          <w:sz w:val="28"/>
          <w:szCs w:val="28"/>
        </w:rPr>
      </w:pPr>
    </w:p>
    <w:tbl>
      <w:tblPr>
        <w:tblW w:w="0" w:type="auto"/>
        <w:jc w:val="left"/>
        <w:tblInd w:w="117" w:type="dxa"/>
        <w:tblLayout w:type="fixed"/>
        <w:tblCellMar>
          <w:top w:w="0" w:type="dxa"/>
          <w:left w:w="0" w:type="dxa"/>
          <w:bottom w:w="0" w:type="dxa"/>
          <w:right w:w="0" w:type="dxa"/>
        </w:tblCellMar>
        <w:tblLook w:val="01E0"/>
      </w:tblPr>
      <w:tblGrid>
        <w:gridCol w:w="4205"/>
        <w:gridCol w:w="706"/>
        <w:gridCol w:w="1999"/>
        <w:gridCol w:w="2198"/>
      </w:tblGrid>
      <w:tr>
        <w:trPr>
          <w:trHeight w:val="341" w:hRule="exact"/>
        </w:trPr>
        <w:tc>
          <w:tcPr>
            <w:tcW w:w="42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706" w:type="dxa"/>
            <w:tcBorders>
              <w:top w:val="single" w:sz="12" w:space="0" w:color="000000"/>
              <w:left w:val="single" w:sz="12" w:space="0" w:color="000000"/>
              <w:bottom w:val="single" w:sz="12" w:space="0" w:color="000000"/>
              <w:right w:val="single" w:sz="12" w:space="0" w:color="000000"/>
            </w:tcBorders>
          </w:tcPr>
          <w:p>
            <w:pPr/>
          </w:p>
        </w:tc>
        <w:tc>
          <w:tcPr>
            <w:tcW w:w="199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93" w:right="0"/>
              <w:jc w:val="left"/>
              <w:rPr>
                <w:rFonts w:ascii="Arial" w:hAnsi="Arial" w:cs="Arial" w:eastAsia="Arial" w:hint="default"/>
                <w:sz w:val="18"/>
                <w:szCs w:val="18"/>
              </w:rPr>
            </w:pPr>
            <w:r>
              <w:rPr>
                <w:rFonts w:ascii="Arial"/>
                <w:sz w:val="18"/>
              </w:rPr>
              <w:t>5,729,800.00</w:t>
            </w:r>
          </w:p>
        </w:tc>
        <w:tc>
          <w:tcPr>
            <w:tcW w:w="2198"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42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706" w:type="dxa"/>
            <w:tcBorders>
              <w:top w:val="single" w:sz="12" w:space="0" w:color="000000"/>
              <w:left w:val="single" w:sz="12" w:space="0" w:color="000000"/>
              <w:bottom w:val="single" w:sz="12" w:space="0" w:color="000000"/>
              <w:right w:val="single" w:sz="12" w:space="0" w:color="000000"/>
            </w:tcBorders>
          </w:tcPr>
          <w:p>
            <w:pPr/>
          </w:p>
        </w:tc>
        <w:tc>
          <w:tcPr>
            <w:tcW w:w="199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left="93" w:right="0"/>
              <w:jc w:val="left"/>
              <w:rPr>
                <w:rFonts w:ascii="Arial" w:hAnsi="Arial" w:cs="Arial" w:eastAsia="Arial" w:hint="default"/>
                <w:sz w:val="18"/>
                <w:szCs w:val="18"/>
              </w:rPr>
            </w:pPr>
            <w:r>
              <w:rPr>
                <w:rFonts w:ascii="Arial"/>
                <w:b/>
                <w:sz w:val="18"/>
              </w:rPr>
              <w:t>55,408,869.00</w:t>
            </w:r>
            <w:r>
              <w:rPr>
                <w:rFonts w:ascii="Arial"/>
                <w:sz w:val="18"/>
              </w:rPr>
            </w:r>
          </w:p>
        </w:tc>
        <w:tc>
          <w:tcPr>
            <w:tcW w:w="21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left="93" w:right="0"/>
              <w:jc w:val="left"/>
              <w:rPr>
                <w:rFonts w:ascii="Arial" w:hAnsi="Arial" w:cs="Arial" w:eastAsia="Arial" w:hint="default"/>
                <w:sz w:val="18"/>
                <w:szCs w:val="18"/>
              </w:rPr>
            </w:pPr>
            <w:r>
              <w:rPr>
                <w:rFonts w:ascii="Arial"/>
                <w:b/>
                <w:sz w:val="18"/>
              </w:rPr>
              <w:t>26,165,255.50</w:t>
            </w:r>
            <w:r>
              <w:rPr>
                <w:rFonts w:ascii="Arial"/>
                <w:sz w:val="18"/>
              </w:rPr>
            </w:r>
          </w:p>
        </w:tc>
      </w:tr>
      <w:tr>
        <w:trPr>
          <w:trHeight w:val="341" w:hRule="exact"/>
        </w:trPr>
        <w:tc>
          <w:tcPr>
            <w:tcW w:w="42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706" w:type="dxa"/>
            <w:tcBorders>
              <w:top w:val="single" w:sz="12" w:space="0" w:color="000000"/>
              <w:left w:val="single" w:sz="12" w:space="0" w:color="000000"/>
              <w:bottom w:val="single" w:sz="12" w:space="0" w:color="000000"/>
              <w:right w:val="single" w:sz="12" w:space="0" w:color="000000"/>
            </w:tcBorders>
          </w:tcPr>
          <w:p>
            <w:pPr/>
          </w:p>
        </w:tc>
        <w:tc>
          <w:tcPr>
            <w:tcW w:w="199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left="93" w:right="0"/>
              <w:jc w:val="left"/>
              <w:rPr>
                <w:rFonts w:ascii="Arial" w:hAnsi="Arial" w:cs="Arial" w:eastAsia="Arial" w:hint="default"/>
                <w:sz w:val="18"/>
                <w:szCs w:val="18"/>
              </w:rPr>
            </w:pPr>
            <w:r>
              <w:rPr>
                <w:rFonts w:ascii="Arial"/>
                <w:b/>
                <w:sz w:val="18"/>
              </w:rPr>
              <w:t>502,125,131.00</w:t>
            </w:r>
            <w:r>
              <w:rPr>
                <w:rFonts w:ascii="Arial"/>
                <w:sz w:val="18"/>
              </w:rPr>
            </w:r>
          </w:p>
        </w:tc>
        <w:tc>
          <w:tcPr>
            <w:tcW w:w="21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left="93" w:right="0"/>
              <w:jc w:val="left"/>
              <w:rPr>
                <w:rFonts w:ascii="Arial" w:hAnsi="Arial" w:cs="Arial" w:eastAsia="Arial" w:hint="default"/>
                <w:sz w:val="18"/>
                <w:szCs w:val="18"/>
              </w:rPr>
            </w:pPr>
            <w:r>
              <w:rPr>
                <w:rFonts w:ascii="Arial"/>
                <w:b/>
                <w:sz w:val="18"/>
              </w:rPr>
              <w:t>14,834,744.50</w:t>
            </w:r>
            <w:r>
              <w:rPr>
                <w:rFonts w:ascii="Arial"/>
                <w:sz w:val="18"/>
              </w:rPr>
            </w:r>
          </w:p>
        </w:tc>
      </w:tr>
      <w:tr>
        <w:trPr>
          <w:trHeight w:val="343" w:hRule="exact"/>
        </w:trPr>
        <w:tc>
          <w:tcPr>
            <w:tcW w:w="4205" w:type="dxa"/>
            <w:tcBorders>
              <w:top w:val="single" w:sz="12" w:space="0" w:color="000000"/>
              <w:left w:val="single" w:sz="12" w:space="0" w:color="000000"/>
              <w:bottom w:val="single" w:sz="12" w:space="0" w:color="000000"/>
              <w:right w:val="single" w:sz="12" w:space="0" w:color="000000"/>
            </w:tcBorders>
          </w:tcPr>
          <w:p>
            <w:pPr/>
          </w:p>
        </w:tc>
        <w:tc>
          <w:tcPr>
            <w:tcW w:w="706" w:type="dxa"/>
            <w:tcBorders>
              <w:top w:val="single" w:sz="12" w:space="0" w:color="000000"/>
              <w:left w:val="single" w:sz="12" w:space="0" w:color="000000"/>
              <w:bottom w:val="single" w:sz="12" w:space="0" w:color="000000"/>
              <w:right w:val="single" w:sz="12" w:space="0" w:color="000000"/>
            </w:tcBorders>
          </w:tcPr>
          <w:p>
            <w:pPr/>
          </w:p>
        </w:tc>
        <w:tc>
          <w:tcPr>
            <w:tcW w:w="1999" w:type="dxa"/>
            <w:tcBorders>
              <w:top w:val="single" w:sz="12" w:space="0" w:color="000000"/>
              <w:left w:val="single" w:sz="12" w:space="0" w:color="000000"/>
              <w:bottom w:val="single" w:sz="12" w:space="0" w:color="000000"/>
              <w:right w:val="single" w:sz="12" w:space="0" w:color="000000"/>
            </w:tcBorders>
          </w:tcPr>
          <w:p>
            <w:pPr/>
          </w:p>
        </w:tc>
        <w:tc>
          <w:tcPr>
            <w:tcW w:w="2198"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42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706" w:type="dxa"/>
            <w:tcBorders>
              <w:top w:val="single" w:sz="12" w:space="0" w:color="000000"/>
              <w:left w:val="single" w:sz="12" w:space="0" w:color="000000"/>
              <w:bottom w:val="single" w:sz="12" w:space="0" w:color="000000"/>
              <w:right w:val="single" w:sz="12" w:space="0" w:color="000000"/>
            </w:tcBorders>
          </w:tcPr>
          <w:p>
            <w:pPr/>
          </w:p>
        </w:tc>
        <w:tc>
          <w:tcPr>
            <w:tcW w:w="199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left="93" w:right="0"/>
              <w:jc w:val="left"/>
              <w:rPr>
                <w:rFonts w:ascii="Arial" w:hAnsi="Arial" w:cs="Arial" w:eastAsia="Arial" w:hint="default"/>
                <w:sz w:val="18"/>
                <w:szCs w:val="18"/>
              </w:rPr>
            </w:pPr>
            <w:r>
              <w:rPr>
                <w:rFonts w:ascii="Arial"/>
                <w:b/>
                <w:w w:val="99"/>
                <w:sz w:val="18"/>
              </w:rPr>
              <w:t>-</w:t>
            </w:r>
            <w:r>
              <w:rPr>
                <w:rFonts w:ascii="Arial"/>
                <w:sz w:val="18"/>
              </w:rPr>
            </w:r>
          </w:p>
        </w:tc>
        <w:tc>
          <w:tcPr>
            <w:tcW w:w="21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left="93" w:right="0"/>
              <w:jc w:val="left"/>
              <w:rPr>
                <w:rFonts w:ascii="Arial" w:hAnsi="Arial" w:cs="Arial" w:eastAsia="Arial" w:hint="default"/>
                <w:sz w:val="18"/>
                <w:szCs w:val="18"/>
              </w:rPr>
            </w:pPr>
            <w:r>
              <w:rPr>
                <w:rFonts w:ascii="Arial"/>
                <w:b/>
                <w:w w:val="99"/>
                <w:sz w:val="18"/>
              </w:rPr>
              <w:t>-</w:t>
            </w:r>
            <w:r>
              <w:rPr>
                <w:rFonts w:ascii="Arial"/>
                <w:sz w:val="18"/>
              </w:rPr>
            </w:r>
          </w:p>
        </w:tc>
      </w:tr>
      <w:tr>
        <w:trPr>
          <w:trHeight w:val="343" w:hRule="exact"/>
        </w:trPr>
        <w:tc>
          <w:tcPr>
            <w:tcW w:w="4205" w:type="dxa"/>
            <w:tcBorders>
              <w:top w:val="single" w:sz="12" w:space="0" w:color="000000"/>
              <w:left w:val="single" w:sz="12" w:space="0" w:color="000000"/>
              <w:bottom w:val="single" w:sz="12" w:space="0" w:color="000000"/>
              <w:right w:val="single" w:sz="12" w:space="0" w:color="000000"/>
            </w:tcBorders>
          </w:tcPr>
          <w:p>
            <w:pPr/>
          </w:p>
        </w:tc>
        <w:tc>
          <w:tcPr>
            <w:tcW w:w="706" w:type="dxa"/>
            <w:tcBorders>
              <w:top w:val="single" w:sz="12" w:space="0" w:color="000000"/>
              <w:left w:val="single" w:sz="12" w:space="0" w:color="000000"/>
              <w:bottom w:val="single" w:sz="12" w:space="0" w:color="000000"/>
              <w:right w:val="single" w:sz="12" w:space="0" w:color="000000"/>
            </w:tcBorders>
          </w:tcPr>
          <w:p>
            <w:pPr/>
          </w:p>
        </w:tc>
        <w:tc>
          <w:tcPr>
            <w:tcW w:w="1999" w:type="dxa"/>
            <w:tcBorders>
              <w:top w:val="single" w:sz="12" w:space="0" w:color="000000"/>
              <w:left w:val="single" w:sz="12" w:space="0" w:color="000000"/>
              <w:bottom w:val="single" w:sz="12" w:space="0" w:color="000000"/>
              <w:right w:val="single" w:sz="12" w:space="0" w:color="000000"/>
            </w:tcBorders>
          </w:tcPr>
          <w:p>
            <w:pPr/>
          </w:p>
        </w:tc>
        <w:tc>
          <w:tcPr>
            <w:tcW w:w="2198"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42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706" w:type="dxa"/>
            <w:tcBorders>
              <w:top w:val="single" w:sz="12" w:space="0" w:color="000000"/>
              <w:left w:val="single" w:sz="12" w:space="0" w:color="000000"/>
              <w:bottom w:val="single" w:sz="12" w:space="0" w:color="000000"/>
              <w:right w:val="single" w:sz="12" w:space="0" w:color="000000"/>
            </w:tcBorders>
          </w:tcPr>
          <w:p>
            <w:pPr/>
          </w:p>
        </w:tc>
        <w:tc>
          <w:tcPr>
            <w:tcW w:w="199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left="93" w:right="0"/>
              <w:jc w:val="left"/>
              <w:rPr>
                <w:rFonts w:ascii="Arial" w:hAnsi="Arial" w:cs="Arial" w:eastAsia="Arial" w:hint="default"/>
                <w:sz w:val="18"/>
                <w:szCs w:val="18"/>
              </w:rPr>
            </w:pPr>
            <w:r>
              <w:rPr>
                <w:rFonts w:ascii="Arial"/>
                <w:b/>
                <w:sz w:val="18"/>
              </w:rPr>
              <w:t>312,751,357.71</w:t>
            </w:r>
            <w:r>
              <w:rPr>
                <w:rFonts w:ascii="Arial"/>
                <w:sz w:val="18"/>
              </w:rPr>
            </w:r>
          </w:p>
        </w:tc>
        <w:tc>
          <w:tcPr>
            <w:tcW w:w="21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left="93" w:right="0"/>
              <w:jc w:val="left"/>
              <w:rPr>
                <w:rFonts w:ascii="Arial" w:hAnsi="Arial" w:cs="Arial" w:eastAsia="Arial" w:hint="default"/>
                <w:sz w:val="18"/>
                <w:szCs w:val="18"/>
              </w:rPr>
            </w:pPr>
            <w:r>
              <w:rPr>
                <w:rFonts w:ascii="Arial"/>
                <w:b/>
                <w:sz w:val="18"/>
              </w:rPr>
              <w:t>12,559,508.08</w:t>
            </w:r>
            <w:r>
              <w:rPr>
                <w:rFonts w:ascii="Arial"/>
                <w:sz w:val="18"/>
              </w:rPr>
            </w:r>
          </w:p>
        </w:tc>
      </w:tr>
      <w:tr>
        <w:trPr>
          <w:trHeight w:val="343" w:hRule="exact"/>
        </w:trPr>
        <w:tc>
          <w:tcPr>
            <w:tcW w:w="42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加：年初现金及现金等价物余额</w:t>
            </w:r>
          </w:p>
        </w:tc>
        <w:tc>
          <w:tcPr>
            <w:tcW w:w="706" w:type="dxa"/>
            <w:tcBorders>
              <w:top w:val="single" w:sz="12" w:space="0" w:color="000000"/>
              <w:left w:val="single" w:sz="12" w:space="0" w:color="000000"/>
              <w:bottom w:val="single" w:sz="12" w:space="0" w:color="000000"/>
              <w:right w:val="single" w:sz="12" w:space="0" w:color="000000"/>
            </w:tcBorders>
          </w:tcPr>
          <w:p>
            <w:pPr/>
          </w:p>
        </w:tc>
        <w:tc>
          <w:tcPr>
            <w:tcW w:w="199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93" w:right="0"/>
              <w:jc w:val="left"/>
              <w:rPr>
                <w:rFonts w:ascii="Arial" w:hAnsi="Arial" w:cs="Arial" w:eastAsia="Arial" w:hint="default"/>
                <w:sz w:val="18"/>
                <w:szCs w:val="18"/>
              </w:rPr>
            </w:pPr>
            <w:r>
              <w:rPr>
                <w:rFonts w:ascii="Arial"/>
                <w:sz w:val="18"/>
              </w:rPr>
              <w:t>25,921,085.34</w:t>
            </w:r>
          </w:p>
        </w:tc>
        <w:tc>
          <w:tcPr>
            <w:tcW w:w="21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93" w:right="0"/>
              <w:jc w:val="left"/>
              <w:rPr>
                <w:rFonts w:ascii="Arial" w:hAnsi="Arial" w:cs="Arial" w:eastAsia="Arial" w:hint="default"/>
                <w:sz w:val="18"/>
                <w:szCs w:val="18"/>
              </w:rPr>
            </w:pPr>
            <w:r>
              <w:rPr>
                <w:rFonts w:ascii="Arial"/>
                <w:sz w:val="18"/>
              </w:rPr>
              <w:t>13,361,577.26</w:t>
            </w:r>
          </w:p>
        </w:tc>
      </w:tr>
      <w:tr>
        <w:trPr>
          <w:trHeight w:val="341" w:hRule="exact"/>
        </w:trPr>
        <w:tc>
          <w:tcPr>
            <w:tcW w:w="4205" w:type="dxa"/>
            <w:tcBorders>
              <w:top w:val="single" w:sz="12" w:space="0" w:color="000000"/>
              <w:left w:val="single" w:sz="12" w:space="0" w:color="000000"/>
              <w:bottom w:val="single" w:sz="12" w:space="0" w:color="000000"/>
              <w:right w:val="single" w:sz="12" w:space="0" w:color="000000"/>
            </w:tcBorders>
          </w:tcPr>
          <w:p>
            <w:pPr/>
          </w:p>
        </w:tc>
        <w:tc>
          <w:tcPr>
            <w:tcW w:w="706" w:type="dxa"/>
            <w:tcBorders>
              <w:top w:val="single" w:sz="12" w:space="0" w:color="000000"/>
              <w:left w:val="single" w:sz="12" w:space="0" w:color="000000"/>
              <w:bottom w:val="single" w:sz="12" w:space="0" w:color="000000"/>
              <w:right w:val="single" w:sz="12" w:space="0" w:color="000000"/>
            </w:tcBorders>
          </w:tcPr>
          <w:p>
            <w:pPr/>
          </w:p>
        </w:tc>
        <w:tc>
          <w:tcPr>
            <w:tcW w:w="1999" w:type="dxa"/>
            <w:tcBorders>
              <w:top w:val="single" w:sz="12" w:space="0" w:color="000000"/>
              <w:left w:val="single" w:sz="12" w:space="0" w:color="000000"/>
              <w:bottom w:val="single" w:sz="12" w:space="0" w:color="000000"/>
              <w:right w:val="single" w:sz="12" w:space="0" w:color="000000"/>
            </w:tcBorders>
          </w:tcPr>
          <w:p>
            <w:pPr/>
          </w:p>
        </w:tc>
        <w:tc>
          <w:tcPr>
            <w:tcW w:w="2198"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42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六、年末现金及现金等价物余额</w:t>
            </w:r>
          </w:p>
        </w:tc>
        <w:tc>
          <w:tcPr>
            <w:tcW w:w="706" w:type="dxa"/>
            <w:tcBorders>
              <w:top w:val="single" w:sz="12" w:space="0" w:color="000000"/>
              <w:left w:val="single" w:sz="12" w:space="0" w:color="000000"/>
              <w:bottom w:val="single" w:sz="12" w:space="0" w:color="000000"/>
              <w:right w:val="single" w:sz="12" w:space="0" w:color="000000"/>
            </w:tcBorders>
          </w:tcPr>
          <w:p>
            <w:pPr/>
          </w:p>
        </w:tc>
        <w:tc>
          <w:tcPr>
            <w:tcW w:w="199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left="93" w:right="0"/>
              <w:jc w:val="left"/>
              <w:rPr>
                <w:rFonts w:ascii="Arial" w:hAnsi="Arial" w:cs="Arial" w:eastAsia="Arial" w:hint="default"/>
                <w:sz w:val="18"/>
                <w:szCs w:val="18"/>
              </w:rPr>
            </w:pPr>
            <w:r>
              <w:rPr>
                <w:rFonts w:ascii="Arial"/>
                <w:b/>
                <w:sz w:val="18"/>
              </w:rPr>
              <w:t>338,672,443.05</w:t>
            </w:r>
            <w:r>
              <w:rPr>
                <w:rFonts w:ascii="Arial"/>
                <w:sz w:val="18"/>
              </w:rPr>
            </w:r>
          </w:p>
        </w:tc>
        <w:tc>
          <w:tcPr>
            <w:tcW w:w="21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left="93" w:right="0"/>
              <w:jc w:val="left"/>
              <w:rPr>
                <w:rFonts w:ascii="Arial" w:hAnsi="Arial" w:cs="Arial" w:eastAsia="Arial" w:hint="default"/>
                <w:sz w:val="18"/>
                <w:szCs w:val="18"/>
              </w:rPr>
            </w:pPr>
            <w:r>
              <w:rPr>
                <w:rFonts w:ascii="Arial"/>
                <w:b/>
                <w:sz w:val="18"/>
              </w:rPr>
              <w:t>25,921,085.34</w:t>
            </w:r>
            <w:r>
              <w:rPr>
                <w:rFonts w:ascii="Arial"/>
                <w:sz w:val="18"/>
              </w:rPr>
            </w:r>
          </w:p>
        </w:tc>
      </w:tr>
    </w:tbl>
    <w:p>
      <w:pPr>
        <w:spacing w:line="240" w:lineRule="auto" w:before="7"/>
        <w:rPr>
          <w:rFonts w:ascii="宋体" w:hAnsi="宋体" w:cs="宋体" w:eastAsia="宋体" w:hint="default"/>
          <w:sz w:val="18"/>
          <w:szCs w:val="18"/>
        </w:rPr>
      </w:pPr>
    </w:p>
    <w:p>
      <w:pPr>
        <w:tabs>
          <w:tab w:pos="2853" w:val="left" w:leader="none"/>
          <w:tab w:pos="7084" w:val="left" w:leader="none"/>
        </w:tabs>
        <w:spacing w:before="44"/>
        <w:ind w:left="239" w:right="0" w:firstLine="0"/>
        <w:jc w:val="left"/>
        <w:rPr>
          <w:rFonts w:ascii="宋体" w:hAnsi="宋体" w:cs="宋体" w:eastAsia="宋体" w:hint="default"/>
          <w:sz w:val="18"/>
          <w:szCs w:val="18"/>
        </w:rPr>
      </w:pPr>
      <w:r>
        <w:rPr>
          <w:rFonts w:ascii="宋体" w:hAnsi="宋体" w:cs="宋体" w:eastAsia="宋体" w:hint="default"/>
          <w:w w:val="95"/>
          <w:sz w:val="18"/>
          <w:szCs w:val="18"/>
        </w:rPr>
        <w:t>法定代表人：纪立军</w:t>
        <w:tab/>
        <w:t>主管会计工作负责人：郑强</w:t>
        <w:tab/>
      </w:r>
      <w:r>
        <w:rPr>
          <w:rFonts w:ascii="宋体" w:hAnsi="宋体" w:cs="宋体" w:eastAsia="宋体" w:hint="default"/>
          <w:sz w:val="18"/>
          <w:szCs w:val="18"/>
        </w:rPr>
        <w:t>会计机构负责人：王迎辉</w:t>
      </w:r>
    </w:p>
    <w:p>
      <w:pPr>
        <w:spacing w:after="0"/>
        <w:jc w:val="left"/>
        <w:rPr>
          <w:rFonts w:ascii="宋体" w:hAnsi="宋体" w:cs="宋体" w:eastAsia="宋体" w:hint="default"/>
          <w:sz w:val="18"/>
          <w:szCs w:val="18"/>
        </w:rPr>
        <w:sectPr>
          <w:pgSz w:w="11900" w:h="16840"/>
          <w:pgMar w:header="877" w:footer="983" w:top="1060" w:bottom="1180" w:left="1560" w:right="860"/>
        </w:sectPr>
      </w:pPr>
    </w:p>
    <w:p>
      <w:pPr>
        <w:pStyle w:val="Heading2"/>
        <w:spacing w:line="415" w:lineRule="exact"/>
        <w:ind w:left="5021" w:right="5103"/>
        <w:jc w:val="center"/>
      </w:pPr>
      <w:r>
        <w:rPr/>
        <w:pict>
          <v:group style="position:absolute;margin-left:70.550636pt;margin-top:2.202084pt;width:700.8pt;height:.1pt;mso-position-horizontal-relative:page;mso-position-vertical-relative:paragraph;z-index:-601888" coordorigin="1411,44" coordsize="14016,2">
            <v:shape style="position:absolute;left:1411;top:44;width:14016;height:2" coordorigin="1411,44" coordsize="14016,0" path="m1411,44l15427,44e" filled="false" stroked="true" strokeweight=".72pt" strokecolor="#000000">
              <v:path arrowok="t"/>
            </v:shape>
            <w10:wrap type="none"/>
          </v:group>
        </w:pict>
      </w:r>
      <w:r>
        <w:rPr/>
        <w:t>2010</w:t>
      </w:r>
      <w:r>
        <w:rPr>
          <w:spacing w:val="-65"/>
        </w:rPr>
        <w:t> </w:t>
      </w:r>
      <w:r>
        <w:rPr/>
        <w:t>年度合并股东权益变动表</w:t>
      </w:r>
    </w:p>
    <w:p>
      <w:pPr>
        <w:tabs>
          <w:tab w:pos="7624" w:val="left" w:leader="none"/>
          <w:tab w:pos="12340" w:val="left" w:leader="none"/>
        </w:tabs>
        <w:spacing w:before="145"/>
        <w:ind w:left="239" w:right="0" w:firstLine="0"/>
        <w:jc w:val="left"/>
        <w:rPr>
          <w:rFonts w:ascii="宋体" w:hAnsi="宋体" w:cs="宋体" w:eastAsia="宋体" w:hint="default"/>
          <w:sz w:val="18"/>
          <w:szCs w:val="18"/>
        </w:rPr>
      </w:pPr>
      <w:r>
        <w:rPr>
          <w:rFonts w:ascii="宋体" w:hAnsi="宋体" w:cs="宋体" w:eastAsia="宋体" w:hint="default"/>
          <w:spacing w:val="-1"/>
          <w:sz w:val="18"/>
          <w:szCs w:val="18"/>
        </w:rPr>
        <w:t>编制单位：上海安诺其纺织化工股份有限公司</w:t>
        <w:tab/>
      </w:r>
      <w:r>
        <w:rPr>
          <w:rFonts w:ascii="Arial" w:hAnsi="Arial" w:cs="Arial" w:eastAsia="Arial" w:hint="default"/>
          <w:spacing w:val="-1"/>
          <w:sz w:val="18"/>
          <w:szCs w:val="18"/>
        </w:rPr>
        <w:t>2010</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pacing w:val="-1"/>
          <w:sz w:val="18"/>
          <w:szCs w:val="18"/>
        </w:rPr>
        <w:t>31</w:t>
      </w:r>
      <w:r>
        <w:rPr>
          <w:rFonts w:ascii="Arial" w:hAnsi="Arial" w:cs="Arial" w:eastAsia="Arial" w:hint="default"/>
          <w:spacing w:val="-4"/>
          <w:sz w:val="18"/>
          <w:szCs w:val="18"/>
        </w:rPr>
        <w:t> </w:t>
      </w:r>
      <w:r>
        <w:rPr>
          <w:rFonts w:ascii="宋体" w:hAnsi="宋体" w:cs="宋体" w:eastAsia="宋体" w:hint="default"/>
          <w:sz w:val="18"/>
          <w:szCs w:val="18"/>
        </w:rPr>
        <w:t>日</w:t>
        <w:tab/>
      </w:r>
      <w:r>
        <w:rPr>
          <w:rFonts w:ascii="宋体" w:hAnsi="宋体" w:cs="宋体" w:eastAsia="宋体" w:hint="default"/>
          <w:spacing w:val="-1"/>
          <w:sz w:val="18"/>
          <w:szCs w:val="18"/>
        </w:rPr>
        <w:t>单位：元</w:t>
      </w:r>
    </w:p>
    <w:p>
      <w:pPr>
        <w:spacing w:line="240" w:lineRule="auto" w:before="8"/>
        <w:rPr>
          <w:rFonts w:ascii="宋体" w:hAnsi="宋体" w:cs="宋体" w:eastAsia="宋体" w:hint="default"/>
          <w:sz w:val="6"/>
          <w:szCs w:val="6"/>
        </w:rPr>
      </w:pPr>
    </w:p>
    <w:tbl>
      <w:tblPr>
        <w:tblW w:w="0" w:type="auto"/>
        <w:jc w:val="left"/>
        <w:tblInd w:w="117" w:type="dxa"/>
        <w:tblLayout w:type="fixed"/>
        <w:tblCellMar>
          <w:top w:w="0" w:type="dxa"/>
          <w:left w:w="0" w:type="dxa"/>
          <w:bottom w:w="0" w:type="dxa"/>
          <w:right w:w="0" w:type="dxa"/>
        </w:tblCellMar>
        <w:tblLook w:val="01E0"/>
      </w:tblPr>
      <w:tblGrid>
        <w:gridCol w:w="2606"/>
        <w:gridCol w:w="1704"/>
        <w:gridCol w:w="1709"/>
        <w:gridCol w:w="869"/>
        <w:gridCol w:w="710"/>
        <w:gridCol w:w="1469"/>
        <w:gridCol w:w="1594"/>
        <w:gridCol w:w="1790"/>
        <w:gridCol w:w="1704"/>
      </w:tblGrid>
      <w:tr>
        <w:trPr>
          <w:trHeight w:val="341" w:hRule="exact"/>
        </w:trPr>
        <w:tc>
          <w:tcPr>
            <w:tcW w:w="2606" w:type="dxa"/>
            <w:vMerge w:val="restart"/>
            <w:tcBorders>
              <w:top w:val="single" w:sz="12" w:space="0" w:color="000000"/>
              <w:left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054" w:type="dxa"/>
            <w:gridSpan w:val="6"/>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790" w:type="dxa"/>
            <w:vMerge w:val="restart"/>
            <w:tcBorders>
              <w:top w:val="single" w:sz="12" w:space="0" w:color="000000"/>
              <w:left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04" w:type="dxa"/>
            <w:vMerge w:val="restart"/>
            <w:tcBorders>
              <w:top w:val="single" w:sz="12" w:space="0" w:color="000000"/>
              <w:left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655" w:hRule="exact"/>
        </w:trPr>
        <w:tc>
          <w:tcPr>
            <w:tcW w:w="2606" w:type="dxa"/>
            <w:vMerge/>
            <w:tcBorders>
              <w:left w:val="single" w:sz="12" w:space="0" w:color="000000"/>
              <w:bottom w:val="single" w:sz="12" w:space="0" w:color="000000"/>
              <w:right w:val="single" w:sz="12" w:space="0" w:color="000000"/>
            </w:tcBorders>
          </w:tcPr>
          <w:p>
            <w:pP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7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69"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328" w:right="91" w:hanging="236"/>
              <w:jc w:val="left"/>
              <w:rPr>
                <w:rFonts w:ascii="宋体" w:hAnsi="宋体" w:cs="宋体" w:eastAsia="宋体" w:hint="default"/>
                <w:sz w:val="18"/>
                <w:szCs w:val="18"/>
              </w:rPr>
            </w:pPr>
            <w:r>
              <w:rPr>
                <w:rFonts w:ascii="宋体" w:hAnsi="宋体" w:cs="宋体" w:eastAsia="宋体" w:hint="default"/>
                <w:spacing w:val="-18"/>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710"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160" w:right="158"/>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w w:val="100"/>
                <w:sz w:val="18"/>
                <w:szCs w:val="18"/>
              </w:rPr>
              <w:t> </w:t>
            </w:r>
            <w:r>
              <w:rPr>
                <w:rFonts w:ascii="宋体" w:hAnsi="宋体" w:cs="宋体" w:eastAsia="宋体" w:hint="default"/>
                <w:sz w:val="18"/>
                <w:szCs w:val="18"/>
              </w:rPr>
              <w:t>储备</w:t>
            </w: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15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1790" w:type="dxa"/>
            <w:vMerge/>
            <w:tcBorders>
              <w:left w:val="single" w:sz="12" w:space="0" w:color="000000"/>
              <w:bottom w:val="single" w:sz="12" w:space="0" w:color="000000"/>
              <w:right w:val="single" w:sz="12" w:space="0" w:color="000000"/>
            </w:tcBorders>
          </w:tcPr>
          <w:p>
            <w:pPr/>
          </w:p>
        </w:tc>
        <w:tc>
          <w:tcPr>
            <w:tcW w:w="1704" w:type="dxa"/>
            <w:vMerge/>
            <w:tcBorders>
              <w:left w:val="single" w:sz="12" w:space="0" w:color="000000"/>
              <w:bottom w:val="single" w:sz="12" w:space="0" w:color="000000"/>
              <w:right w:val="single" w:sz="12" w:space="0" w:color="000000"/>
            </w:tcBorders>
          </w:tcPr>
          <w:p>
            <w:pPr/>
          </w:p>
        </w:tc>
      </w:tr>
      <w:tr>
        <w:trPr>
          <w:trHeight w:val="341" w:hRule="exact"/>
        </w:trPr>
        <w:tc>
          <w:tcPr>
            <w:tcW w:w="2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b/>
                <w:bCs/>
                <w:sz w:val="18"/>
                <w:szCs w:val="18"/>
              </w:rPr>
              <w:t>2009</w:t>
            </w:r>
            <w:r>
              <w:rPr>
                <w:rFonts w:ascii="Arial" w:hAnsi="Arial" w:cs="Arial" w:eastAsia="Arial" w:hint="default"/>
                <w:b/>
                <w:bCs/>
                <w:spacing w:val="-8"/>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Arial" w:hAnsi="Arial" w:cs="Arial" w:eastAsia="Arial" w:hint="default"/>
                <w:b/>
                <w:bCs/>
                <w:sz w:val="18"/>
                <w:szCs w:val="18"/>
              </w:rPr>
              <w:t>12</w:t>
            </w:r>
            <w:r>
              <w:rPr>
                <w:rFonts w:ascii="Arial" w:hAnsi="Arial" w:cs="Arial" w:eastAsia="Arial" w:hint="default"/>
                <w:b/>
                <w:bCs/>
                <w:spacing w:val="-8"/>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Arial" w:hAnsi="Arial" w:cs="Arial" w:eastAsia="Arial" w:hint="default"/>
                <w:b/>
                <w:bCs/>
                <w:sz w:val="18"/>
                <w:szCs w:val="18"/>
              </w:rPr>
              <w:t>31</w:t>
            </w:r>
            <w:r>
              <w:rPr>
                <w:rFonts w:ascii="Arial" w:hAnsi="Arial" w:cs="Arial" w:eastAsia="Arial" w:hint="default"/>
                <w:b/>
                <w:bCs/>
                <w:spacing w:val="-5"/>
                <w:sz w:val="18"/>
                <w:szCs w:val="18"/>
              </w:rPr>
              <w:t> </w:t>
            </w:r>
            <w:r>
              <w:rPr>
                <w:rFonts w:ascii="宋体" w:hAnsi="宋体" w:cs="宋体" w:eastAsia="宋体" w:hint="default"/>
                <w:sz w:val="18"/>
                <w:szCs w:val="18"/>
              </w:rPr>
              <w:t>日年末余额</w:t>
            </w: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80,000,000.00</w:t>
            </w:r>
          </w:p>
        </w:tc>
        <w:tc>
          <w:tcPr>
            <w:tcW w:w="17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262"/>
              <w:jc w:val="right"/>
              <w:rPr>
                <w:rFonts w:ascii="Arial" w:hAnsi="Arial" w:cs="Arial" w:eastAsia="Arial" w:hint="default"/>
                <w:sz w:val="18"/>
                <w:szCs w:val="18"/>
              </w:rPr>
            </w:pPr>
            <w:r>
              <w:rPr>
                <w:rFonts w:ascii="Arial"/>
                <w:spacing w:val="-1"/>
                <w:sz w:val="18"/>
              </w:rPr>
              <w:t>28,526,833.47</w:t>
            </w:r>
          </w:p>
        </w:tc>
        <w:tc>
          <w:tcPr>
            <w:tcW w:w="869" w:type="dxa"/>
            <w:tcBorders>
              <w:top w:val="single" w:sz="12" w:space="0" w:color="000000"/>
              <w:left w:val="single" w:sz="12" w:space="0" w:color="000000"/>
              <w:bottom w:val="single" w:sz="12" w:space="0" w:color="000000"/>
              <w:right w:val="single" w:sz="12" w:space="0" w:color="000000"/>
            </w:tcBorders>
          </w:tcPr>
          <w:p>
            <w:pPr/>
          </w:p>
        </w:tc>
        <w:tc>
          <w:tcPr>
            <w:tcW w:w="710"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6,030,508.74</w:t>
            </w:r>
          </w:p>
        </w:tc>
        <w:tc>
          <w:tcPr>
            <w:tcW w:w="15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56,121,922.03</w:t>
            </w:r>
          </w:p>
        </w:tc>
        <w:tc>
          <w:tcPr>
            <w:tcW w:w="17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6,827,960.62</w:t>
            </w: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177,507,224.86</w:t>
            </w:r>
          </w:p>
        </w:tc>
      </w:tr>
      <w:tr>
        <w:trPr>
          <w:trHeight w:val="343" w:hRule="exact"/>
        </w:trPr>
        <w:tc>
          <w:tcPr>
            <w:tcW w:w="2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会计政策变更</w:t>
            </w:r>
          </w:p>
        </w:tc>
        <w:tc>
          <w:tcPr>
            <w:tcW w:w="1704" w:type="dxa"/>
            <w:tcBorders>
              <w:top w:val="single" w:sz="12" w:space="0" w:color="000000"/>
              <w:left w:val="single" w:sz="12" w:space="0" w:color="000000"/>
              <w:bottom w:val="single" w:sz="12" w:space="0" w:color="000000"/>
              <w:right w:val="single" w:sz="12" w:space="0" w:color="000000"/>
            </w:tcBorders>
          </w:tcPr>
          <w:p>
            <w:pPr/>
          </w:p>
        </w:tc>
        <w:tc>
          <w:tcPr>
            <w:tcW w:w="1709" w:type="dxa"/>
            <w:tcBorders>
              <w:top w:val="single" w:sz="12" w:space="0" w:color="000000"/>
              <w:left w:val="single" w:sz="12" w:space="0" w:color="000000"/>
              <w:bottom w:val="single" w:sz="12" w:space="0" w:color="000000"/>
              <w:right w:val="single" w:sz="12" w:space="0" w:color="000000"/>
            </w:tcBorders>
          </w:tcPr>
          <w:p>
            <w:pPr/>
          </w:p>
        </w:tc>
        <w:tc>
          <w:tcPr>
            <w:tcW w:w="869" w:type="dxa"/>
            <w:tcBorders>
              <w:top w:val="single" w:sz="12" w:space="0" w:color="000000"/>
              <w:left w:val="single" w:sz="12" w:space="0" w:color="000000"/>
              <w:bottom w:val="single" w:sz="12" w:space="0" w:color="000000"/>
              <w:right w:val="single" w:sz="12" w:space="0" w:color="000000"/>
            </w:tcBorders>
          </w:tcPr>
          <w:p>
            <w:pPr/>
          </w:p>
        </w:tc>
        <w:tc>
          <w:tcPr>
            <w:tcW w:w="710"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
        </w:tc>
        <w:tc>
          <w:tcPr>
            <w:tcW w:w="1594" w:type="dxa"/>
            <w:tcBorders>
              <w:top w:val="single" w:sz="12" w:space="0" w:color="000000"/>
              <w:left w:val="single" w:sz="12" w:space="0" w:color="000000"/>
              <w:bottom w:val="single" w:sz="12" w:space="0" w:color="000000"/>
              <w:right w:val="single" w:sz="12" w:space="0" w:color="000000"/>
            </w:tcBorders>
          </w:tcPr>
          <w:p>
            <w:pPr/>
          </w:p>
        </w:tc>
        <w:tc>
          <w:tcPr>
            <w:tcW w:w="1790" w:type="dxa"/>
            <w:tcBorders>
              <w:top w:val="single" w:sz="12" w:space="0" w:color="000000"/>
              <w:left w:val="single" w:sz="12" w:space="0" w:color="000000"/>
              <w:bottom w:val="single" w:sz="12" w:space="0" w:color="000000"/>
              <w:right w:val="single" w:sz="12" w:space="0" w:color="000000"/>
            </w:tcBorders>
          </w:tcPr>
          <w:p>
            <w:pP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1" w:hRule="exact"/>
        </w:trPr>
        <w:tc>
          <w:tcPr>
            <w:tcW w:w="2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704" w:type="dxa"/>
            <w:tcBorders>
              <w:top w:val="single" w:sz="12" w:space="0" w:color="000000"/>
              <w:left w:val="single" w:sz="12" w:space="0" w:color="000000"/>
              <w:bottom w:val="single" w:sz="12" w:space="0" w:color="000000"/>
              <w:right w:val="single" w:sz="12" w:space="0" w:color="000000"/>
            </w:tcBorders>
          </w:tcPr>
          <w:p>
            <w:pPr/>
          </w:p>
        </w:tc>
        <w:tc>
          <w:tcPr>
            <w:tcW w:w="1709" w:type="dxa"/>
            <w:tcBorders>
              <w:top w:val="single" w:sz="12" w:space="0" w:color="000000"/>
              <w:left w:val="single" w:sz="12" w:space="0" w:color="000000"/>
              <w:bottom w:val="single" w:sz="12" w:space="0" w:color="000000"/>
              <w:right w:val="single" w:sz="12" w:space="0" w:color="000000"/>
            </w:tcBorders>
          </w:tcPr>
          <w:p>
            <w:pPr/>
          </w:p>
        </w:tc>
        <w:tc>
          <w:tcPr>
            <w:tcW w:w="869" w:type="dxa"/>
            <w:tcBorders>
              <w:top w:val="single" w:sz="12" w:space="0" w:color="000000"/>
              <w:left w:val="single" w:sz="12" w:space="0" w:color="000000"/>
              <w:bottom w:val="single" w:sz="12" w:space="0" w:color="000000"/>
              <w:right w:val="single" w:sz="12" w:space="0" w:color="000000"/>
            </w:tcBorders>
          </w:tcPr>
          <w:p>
            <w:pPr/>
          </w:p>
        </w:tc>
        <w:tc>
          <w:tcPr>
            <w:tcW w:w="710"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
        </w:tc>
        <w:tc>
          <w:tcPr>
            <w:tcW w:w="1594" w:type="dxa"/>
            <w:tcBorders>
              <w:top w:val="single" w:sz="12" w:space="0" w:color="000000"/>
              <w:left w:val="single" w:sz="12" w:space="0" w:color="000000"/>
              <w:bottom w:val="single" w:sz="12" w:space="0" w:color="000000"/>
              <w:right w:val="single" w:sz="12" w:space="0" w:color="000000"/>
            </w:tcBorders>
          </w:tcPr>
          <w:p>
            <w:pPr/>
          </w:p>
        </w:tc>
        <w:tc>
          <w:tcPr>
            <w:tcW w:w="1790" w:type="dxa"/>
            <w:tcBorders>
              <w:top w:val="single" w:sz="12" w:space="0" w:color="000000"/>
              <w:left w:val="single" w:sz="12" w:space="0" w:color="000000"/>
              <w:bottom w:val="single" w:sz="12" w:space="0" w:color="000000"/>
              <w:right w:val="single" w:sz="12" w:space="0" w:color="000000"/>
            </w:tcBorders>
          </w:tcPr>
          <w:p>
            <w:pP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3" w:hRule="exact"/>
        </w:trPr>
        <w:tc>
          <w:tcPr>
            <w:tcW w:w="2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b/>
                <w:bCs/>
                <w:sz w:val="18"/>
                <w:szCs w:val="18"/>
              </w:rPr>
              <w:t>2010</w:t>
            </w:r>
            <w:r>
              <w:rPr>
                <w:rFonts w:ascii="Arial" w:hAnsi="Arial" w:cs="Arial" w:eastAsia="Arial" w:hint="default"/>
                <w:b/>
                <w:bCs/>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b/>
                <w:bCs/>
                <w:sz w:val="18"/>
                <w:szCs w:val="18"/>
              </w:rPr>
              <w:t>1</w:t>
            </w:r>
            <w:r>
              <w:rPr>
                <w:rFonts w:ascii="Arial" w:hAnsi="Arial" w:cs="Arial" w:eastAsia="Arial" w:hint="default"/>
                <w:b/>
                <w:bCs/>
                <w:spacing w:val="-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Arial" w:hAnsi="Arial" w:cs="Arial" w:eastAsia="Arial" w:hint="default"/>
                <w:b/>
                <w:bCs/>
                <w:sz w:val="18"/>
                <w:szCs w:val="18"/>
              </w:rPr>
              <w:t>1</w:t>
            </w:r>
            <w:r>
              <w:rPr>
                <w:rFonts w:ascii="Arial" w:hAnsi="Arial" w:cs="Arial" w:eastAsia="Arial" w:hint="default"/>
                <w:b/>
                <w:bCs/>
                <w:spacing w:val="-7"/>
                <w:sz w:val="18"/>
                <w:szCs w:val="18"/>
              </w:rPr>
              <w:t> </w:t>
            </w:r>
            <w:r>
              <w:rPr>
                <w:rFonts w:ascii="宋体" w:hAnsi="宋体" w:cs="宋体" w:eastAsia="宋体" w:hint="default"/>
                <w:sz w:val="18"/>
                <w:szCs w:val="18"/>
              </w:rPr>
              <w:t>日年初余额</w:t>
            </w: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80,000,000.00</w:t>
            </w:r>
          </w:p>
        </w:tc>
        <w:tc>
          <w:tcPr>
            <w:tcW w:w="17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262"/>
              <w:jc w:val="right"/>
              <w:rPr>
                <w:rFonts w:ascii="Arial" w:hAnsi="Arial" w:cs="Arial" w:eastAsia="Arial" w:hint="default"/>
                <w:sz w:val="18"/>
                <w:szCs w:val="18"/>
              </w:rPr>
            </w:pPr>
            <w:r>
              <w:rPr>
                <w:rFonts w:ascii="Arial"/>
                <w:spacing w:val="-1"/>
                <w:sz w:val="18"/>
              </w:rPr>
              <w:t>28,526,833.47</w:t>
            </w:r>
          </w:p>
        </w:tc>
        <w:tc>
          <w:tcPr>
            <w:tcW w:w="8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7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6,030,508.74</w:t>
            </w:r>
          </w:p>
        </w:tc>
        <w:tc>
          <w:tcPr>
            <w:tcW w:w="15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56,121,922.03</w:t>
            </w:r>
          </w:p>
        </w:tc>
        <w:tc>
          <w:tcPr>
            <w:tcW w:w="17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6,827,960.62</w:t>
            </w: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177,507,224.86</w:t>
            </w:r>
          </w:p>
        </w:tc>
      </w:tr>
      <w:tr>
        <w:trPr>
          <w:trHeight w:val="341" w:hRule="exact"/>
        </w:trPr>
        <w:tc>
          <w:tcPr>
            <w:tcW w:w="2606" w:type="dxa"/>
            <w:tcBorders>
              <w:top w:val="single" w:sz="12" w:space="0" w:color="000000"/>
              <w:left w:val="single" w:sz="12" w:space="0" w:color="000000"/>
              <w:bottom w:val="single" w:sz="12" w:space="0" w:color="000000"/>
              <w:right w:val="single" w:sz="12" w:space="0" w:color="000000"/>
            </w:tcBorders>
          </w:tcPr>
          <w:p>
            <w:pPr/>
          </w:p>
        </w:tc>
        <w:tc>
          <w:tcPr>
            <w:tcW w:w="1704" w:type="dxa"/>
            <w:tcBorders>
              <w:top w:val="single" w:sz="12" w:space="0" w:color="000000"/>
              <w:left w:val="single" w:sz="12" w:space="0" w:color="000000"/>
              <w:bottom w:val="single" w:sz="12" w:space="0" w:color="000000"/>
              <w:right w:val="single" w:sz="12" w:space="0" w:color="000000"/>
            </w:tcBorders>
          </w:tcPr>
          <w:p>
            <w:pPr/>
          </w:p>
        </w:tc>
        <w:tc>
          <w:tcPr>
            <w:tcW w:w="1709" w:type="dxa"/>
            <w:tcBorders>
              <w:top w:val="single" w:sz="12" w:space="0" w:color="000000"/>
              <w:left w:val="single" w:sz="12" w:space="0" w:color="000000"/>
              <w:bottom w:val="single" w:sz="12" w:space="0" w:color="000000"/>
              <w:right w:val="single" w:sz="12" w:space="0" w:color="000000"/>
            </w:tcBorders>
          </w:tcPr>
          <w:p>
            <w:pPr/>
          </w:p>
        </w:tc>
        <w:tc>
          <w:tcPr>
            <w:tcW w:w="869" w:type="dxa"/>
            <w:tcBorders>
              <w:top w:val="single" w:sz="12" w:space="0" w:color="000000"/>
              <w:left w:val="single" w:sz="12" w:space="0" w:color="000000"/>
              <w:bottom w:val="single" w:sz="12" w:space="0" w:color="000000"/>
              <w:right w:val="single" w:sz="12" w:space="0" w:color="000000"/>
            </w:tcBorders>
          </w:tcPr>
          <w:p>
            <w:pPr/>
          </w:p>
        </w:tc>
        <w:tc>
          <w:tcPr>
            <w:tcW w:w="710"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
        </w:tc>
        <w:tc>
          <w:tcPr>
            <w:tcW w:w="1594" w:type="dxa"/>
            <w:tcBorders>
              <w:top w:val="single" w:sz="12" w:space="0" w:color="000000"/>
              <w:left w:val="single" w:sz="12" w:space="0" w:color="000000"/>
              <w:bottom w:val="single" w:sz="12" w:space="0" w:color="000000"/>
              <w:right w:val="single" w:sz="12" w:space="0" w:color="000000"/>
            </w:tcBorders>
          </w:tcPr>
          <w:p>
            <w:pPr/>
          </w:p>
        </w:tc>
        <w:tc>
          <w:tcPr>
            <w:tcW w:w="1790" w:type="dxa"/>
            <w:tcBorders>
              <w:top w:val="single" w:sz="12" w:space="0" w:color="000000"/>
              <w:left w:val="single" w:sz="12" w:space="0" w:color="000000"/>
              <w:bottom w:val="single" w:sz="12" w:space="0" w:color="000000"/>
              <w:right w:val="single" w:sz="12" w:space="0" w:color="000000"/>
            </w:tcBorders>
          </w:tcPr>
          <w:p>
            <w:pP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3" w:hRule="exact"/>
        </w:trPr>
        <w:tc>
          <w:tcPr>
            <w:tcW w:w="2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b/>
                <w:bCs/>
                <w:sz w:val="18"/>
                <w:szCs w:val="18"/>
              </w:rPr>
              <w:t>2010</w:t>
            </w:r>
            <w:r>
              <w:rPr>
                <w:rFonts w:ascii="Arial" w:hAnsi="Arial" w:cs="Arial" w:eastAsia="Arial" w:hint="default"/>
                <w:b/>
                <w:bCs/>
                <w:spacing w:val="-7"/>
                <w:sz w:val="18"/>
                <w:szCs w:val="18"/>
              </w:rPr>
              <w:t> </w:t>
            </w:r>
            <w:r>
              <w:rPr>
                <w:rFonts w:ascii="宋体" w:hAnsi="宋体" w:cs="宋体" w:eastAsia="宋体" w:hint="default"/>
                <w:sz w:val="18"/>
                <w:szCs w:val="18"/>
              </w:rPr>
              <w:t>年度增减变动额</w:t>
            </w: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27,000,000.00</w:t>
            </w:r>
          </w:p>
        </w:tc>
        <w:tc>
          <w:tcPr>
            <w:tcW w:w="17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214"/>
              <w:jc w:val="right"/>
              <w:rPr>
                <w:rFonts w:ascii="Arial" w:hAnsi="Arial" w:cs="Arial" w:eastAsia="Arial" w:hint="default"/>
                <w:sz w:val="18"/>
                <w:szCs w:val="18"/>
              </w:rPr>
            </w:pPr>
            <w:r>
              <w:rPr>
                <w:rFonts w:ascii="Arial"/>
                <w:spacing w:val="-1"/>
                <w:sz w:val="18"/>
              </w:rPr>
              <w:t>501,774,769.56</w:t>
            </w:r>
          </w:p>
        </w:tc>
        <w:tc>
          <w:tcPr>
            <w:tcW w:w="8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7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2,391,844.17</w:t>
            </w:r>
          </w:p>
        </w:tc>
        <w:tc>
          <w:tcPr>
            <w:tcW w:w="15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24,708,370.14</w:t>
            </w:r>
          </w:p>
        </w:tc>
        <w:tc>
          <w:tcPr>
            <w:tcW w:w="17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3"/>
              <w:jc w:val="center"/>
              <w:rPr>
                <w:rFonts w:ascii="Arial" w:hAnsi="Arial" w:cs="Arial" w:eastAsia="Arial" w:hint="default"/>
                <w:sz w:val="18"/>
                <w:szCs w:val="18"/>
              </w:rPr>
            </w:pPr>
            <w:r>
              <w:rPr>
                <w:rFonts w:ascii="Arial"/>
                <w:sz w:val="18"/>
              </w:rPr>
              <w:t>-6,827,960.62</w:t>
            </w: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549,047,023.25</w:t>
            </w:r>
          </w:p>
        </w:tc>
      </w:tr>
      <w:tr>
        <w:trPr>
          <w:trHeight w:val="341" w:hRule="exact"/>
        </w:trPr>
        <w:tc>
          <w:tcPr>
            <w:tcW w:w="2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一</w:t>
            </w:r>
            <w:r>
              <w:rPr>
                <w:rFonts w:ascii="Arial" w:hAnsi="Arial" w:cs="Arial" w:eastAsia="Arial" w:hint="default"/>
                <w:sz w:val="18"/>
                <w:szCs w:val="18"/>
              </w:rPr>
              <w:t>)</w:t>
            </w:r>
            <w:r>
              <w:rPr>
                <w:rFonts w:ascii="宋体" w:hAnsi="宋体" w:cs="宋体" w:eastAsia="宋体" w:hint="default"/>
                <w:sz w:val="18"/>
                <w:szCs w:val="18"/>
              </w:rPr>
              <w:t>净利润</w:t>
            </w:r>
          </w:p>
        </w:tc>
        <w:tc>
          <w:tcPr>
            <w:tcW w:w="1704" w:type="dxa"/>
            <w:tcBorders>
              <w:top w:val="single" w:sz="12" w:space="0" w:color="000000"/>
              <w:left w:val="single" w:sz="12" w:space="0" w:color="000000"/>
              <w:bottom w:val="single" w:sz="12" w:space="0" w:color="000000"/>
              <w:right w:val="single" w:sz="12" w:space="0" w:color="000000"/>
            </w:tcBorders>
          </w:tcPr>
          <w:p>
            <w:pPr/>
          </w:p>
        </w:tc>
        <w:tc>
          <w:tcPr>
            <w:tcW w:w="1709" w:type="dxa"/>
            <w:tcBorders>
              <w:top w:val="single" w:sz="12" w:space="0" w:color="000000"/>
              <w:left w:val="single" w:sz="12" w:space="0" w:color="000000"/>
              <w:bottom w:val="single" w:sz="12" w:space="0" w:color="000000"/>
              <w:right w:val="single" w:sz="12" w:space="0" w:color="000000"/>
            </w:tcBorders>
          </w:tcPr>
          <w:p>
            <w:pPr/>
          </w:p>
        </w:tc>
        <w:tc>
          <w:tcPr>
            <w:tcW w:w="869" w:type="dxa"/>
            <w:tcBorders>
              <w:top w:val="single" w:sz="12" w:space="0" w:color="000000"/>
              <w:left w:val="single" w:sz="12" w:space="0" w:color="000000"/>
              <w:bottom w:val="single" w:sz="12" w:space="0" w:color="000000"/>
              <w:right w:val="single" w:sz="12" w:space="0" w:color="000000"/>
            </w:tcBorders>
          </w:tcPr>
          <w:p>
            <w:pPr/>
          </w:p>
        </w:tc>
        <w:tc>
          <w:tcPr>
            <w:tcW w:w="710"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
        </w:tc>
        <w:tc>
          <w:tcPr>
            <w:tcW w:w="15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27,100,214.31</w:t>
            </w:r>
          </w:p>
        </w:tc>
        <w:tc>
          <w:tcPr>
            <w:tcW w:w="17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3"/>
              <w:jc w:val="center"/>
              <w:rPr>
                <w:rFonts w:ascii="Arial" w:hAnsi="Arial" w:cs="Arial" w:eastAsia="Arial" w:hint="default"/>
                <w:sz w:val="18"/>
                <w:szCs w:val="18"/>
              </w:rPr>
            </w:pPr>
            <w:r>
              <w:rPr>
                <w:rFonts w:ascii="Arial"/>
                <w:sz w:val="18"/>
              </w:rPr>
              <w:t>512,608.94</w:t>
            </w: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27,612,823.25</w:t>
            </w:r>
          </w:p>
        </w:tc>
      </w:tr>
      <w:tr>
        <w:trPr>
          <w:trHeight w:val="343" w:hRule="exact"/>
        </w:trPr>
        <w:tc>
          <w:tcPr>
            <w:tcW w:w="2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二</w:t>
            </w:r>
            <w:r>
              <w:rPr>
                <w:rFonts w:ascii="Arial" w:hAnsi="Arial" w:cs="Arial" w:eastAsia="Arial" w:hint="default"/>
                <w:sz w:val="18"/>
                <w:szCs w:val="18"/>
              </w:rPr>
              <w:t>)</w:t>
            </w:r>
            <w:r>
              <w:rPr>
                <w:rFonts w:ascii="宋体" w:hAnsi="宋体" w:cs="宋体" w:eastAsia="宋体" w:hint="default"/>
                <w:sz w:val="18"/>
                <w:szCs w:val="18"/>
              </w:rPr>
              <w:t>其他综合收益</w:t>
            </w:r>
          </w:p>
        </w:tc>
        <w:tc>
          <w:tcPr>
            <w:tcW w:w="1704" w:type="dxa"/>
            <w:tcBorders>
              <w:top w:val="single" w:sz="12" w:space="0" w:color="000000"/>
              <w:left w:val="single" w:sz="12" w:space="0" w:color="000000"/>
              <w:bottom w:val="single" w:sz="12" w:space="0" w:color="000000"/>
              <w:right w:val="single" w:sz="12" w:space="0" w:color="000000"/>
            </w:tcBorders>
          </w:tcPr>
          <w:p>
            <w:pPr/>
          </w:p>
        </w:tc>
        <w:tc>
          <w:tcPr>
            <w:tcW w:w="1709" w:type="dxa"/>
            <w:tcBorders>
              <w:top w:val="single" w:sz="12" w:space="0" w:color="000000"/>
              <w:left w:val="single" w:sz="12" w:space="0" w:color="000000"/>
              <w:bottom w:val="single" w:sz="12" w:space="0" w:color="000000"/>
              <w:right w:val="single" w:sz="12" w:space="0" w:color="000000"/>
            </w:tcBorders>
          </w:tcPr>
          <w:p>
            <w:pPr/>
          </w:p>
        </w:tc>
        <w:tc>
          <w:tcPr>
            <w:tcW w:w="869" w:type="dxa"/>
            <w:tcBorders>
              <w:top w:val="single" w:sz="12" w:space="0" w:color="000000"/>
              <w:left w:val="single" w:sz="12" w:space="0" w:color="000000"/>
              <w:bottom w:val="single" w:sz="12" w:space="0" w:color="000000"/>
              <w:right w:val="single" w:sz="12" w:space="0" w:color="000000"/>
            </w:tcBorders>
          </w:tcPr>
          <w:p>
            <w:pPr/>
          </w:p>
        </w:tc>
        <w:tc>
          <w:tcPr>
            <w:tcW w:w="710"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
        </w:tc>
        <w:tc>
          <w:tcPr>
            <w:tcW w:w="15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17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1" w:hRule="exact"/>
        </w:trPr>
        <w:tc>
          <w:tcPr>
            <w:tcW w:w="2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上述</w:t>
            </w:r>
            <w:r>
              <w:rPr>
                <w:rFonts w:ascii="Arial" w:hAnsi="Arial" w:cs="Arial" w:eastAsia="Arial" w:hint="default"/>
                <w:b/>
                <w:bCs/>
                <w:sz w:val="18"/>
                <w:szCs w:val="18"/>
              </w:rPr>
              <w:t>(</w:t>
            </w:r>
            <w:r>
              <w:rPr>
                <w:rFonts w:ascii="宋体" w:hAnsi="宋体" w:cs="宋体" w:eastAsia="宋体" w:hint="default"/>
                <w:sz w:val="18"/>
                <w:szCs w:val="18"/>
              </w:rPr>
              <w:t>一</w:t>
            </w:r>
            <w:r>
              <w:rPr>
                <w:rFonts w:ascii="Arial" w:hAnsi="Arial" w:cs="Arial" w:eastAsia="Arial" w:hint="default"/>
                <w:b/>
                <w:bCs/>
                <w:sz w:val="18"/>
                <w:szCs w:val="18"/>
              </w:rPr>
              <w:t>)</w:t>
            </w:r>
            <w:r>
              <w:rPr>
                <w:rFonts w:ascii="宋体" w:hAnsi="宋体" w:cs="宋体" w:eastAsia="宋体" w:hint="default"/>
                <w:sz w:val="18"/>
                <w:szCs w:val="18"/>
              </w:rPr>
              <w:t>和</w:t>
            </w:r>
            <w:r>
              <w:rPr>
                <w:rFonts w:ascii="Arial" w:hAnsi="Arial" w:cs="Arial" w:eastAsia="Arial" w:hint="default"/>
                <w:b/>
                <w:bCs/>
                <w:sz w:val="18"/>
                <w:szCs w:val="18"/>
              </w:rPr>
              <w:t>(</w:t>
            </w:r>
            <w:r>
              <w:rPr>
                <w:rFonts w:ascii="宋体" w:hAnsi="宋体" w:cs="宋体" w:eastAsia="宋体" w:hint="default"/>
                <w:sz w:val="18"/>
                <w:szCs w:val="18"/>
              </w:rPr>
              <w:t>二</w:t>
            </w:r>
            <w:r>
              <w:rPr>
                <w:rFonts w:ascii="Arial" w:hAnsi="Arial" w:cs="Arial" w:eastAsia="Arial" w:hint="default"/>
                <w:b/>
                <w:bCs/>
                <w:sz w:val="18"/>
                <w:szCs w:val="18"/>
              </w:rPr>
              <w:t>)</w:t>
            </w:r>
            <w:r>
              <w:rPr>
                <w:rFonts w:ascii="宋体" w:hAnsi="宋体" w:cs="宋体" w:eastAsia="宋体" w:hint="default"/>
                <w:sz w:val="18"/>
                <w:szCs w:val="18"/>
              </w:rPr>
              <w:t>小计</w:t>
            </w: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17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8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7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15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27,100,214.31</w:t>
            </w:r>
          </w:p>
        </w:tc>
        <w:tc>
          <w:tcPr>
            <w:tcW w:w="17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3"/>
              <w:jc w:val="center"/>
              <w:rPr>
                <w:rFonts w:ascii="Arial" w:hAnsi="Arial" w:cs="Arial" w:eastAsia="Arial" w:hint="default"/>
                <w:sz w:val="18"/>
                <w:szCs w:val="18"/>
              </w:rPr>
            </w:pPr>
            <w:r>
              <w:rPr>
                <w:rFonts w:ascii="Arial"/>
                <w:sz w:val="18"/>
              </w:rPr>
              <w:t>512,608.94</w:t>
            </w: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27,612,823.25</w:t>
            </w:r>
          </w:p>
        </w:tc>
      </w:tr>
      <w:tr>
        <w:trPr>
          <w:trHeight w:val="343" w:hRule="exact"/>
        </w:trPr>
        <w:tc>
          <w:tcPr>
            <w:tcW w:w="2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三</w:t>
            </w:r>
            <w:r>
              <w:rPr>
                <w:rFonts w:ascii="Arial" w:hAnsi="Arial" w:cs="Arial" w:eastAsia="Arial" w:hint="default"/>
                <w:sz w:val="18"/>
                <w:szCs w:val="18"/>
              </w:rPr>
              <w:t>)</w:t>
            </w:r>
            <w:r>
              <w:rPr>
                <w:rFonts w:ascii="宋体" w:hAnsi="宋体" w:cs="宋体" w:eastAsia="宋体" w:hint="default"/>
                <w:sz w:val="18"/>
                <w:szCs w:val="18"/>
              </w:rPr>
              <w:t>所有者投入和减少资本</w:t>
            </w: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27,000,000.00</w:t>
            </w:r>
          </w:p>
        </w:tc>
        <w:tc>
          <w:tcPr>
            <w:tcW w:w="17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214"/>
              <w:jc w:val="right"/>
              <w:rPr>
                <w:rFonts w:ascii="Arial" w:hAnsi="Arial" w:cs="Arial" w:eastAsia="Arial" w:hint="default"/>
                <w:sz w:val="18"/>
                <w:szCs w:val="18"/>
              </w:rPr>
            </w:pPr>
            <w:r>
              <w:rPr>
                <w:rFonts w:ascii="Arial"/>
                <w:spacing w:val="-1"/>
                <w:sz w:val="18"/>
              </w:rPr>
              <w:t>501,774,769.56</w:t>
            </w:r>
          </w:p>
        </w:tc>
        <w:tc>
          <w:tcPr>
            <w:tcW w:w="8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7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15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17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3"/>
              <w:jc w:val="center"/>
              <w:rPr>
                <w:rFonts w:ascii="Arial" w:hAnsi="Arial" w:cs="Arial" w:eastAsia="Arial" w:hint="default"/>
                <w:sz w:val="18"/>
                <w:szCs w:val="18"/>
              </w:rPr>
            </w:pPr>
            <w:r>
              <w:rPr>
                <w:rFonts w:ascii="Arial"/>
                <w:sz w:val="18"/>
              </w:rPr>
              <w:t>-7,340,569.56</w:t>
            </w: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521,434,200.00</w:t>
            </w:r>
          </w:p>
        </w:tc>
      </w:tr>
      <w:tr>
        <w:trPr>
          <w:trHeight w:val="341" w:hRule="exact"/>
        </w:trPr>
        <w:tc>
          <w:tcPr>
            <w:tcW w:w="2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所有者投入资本</w:t>
            </w: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27,000,000.00</w:t>
            </w:r>
          </w:p>
        </w:tc>
        <w:tc>
          <w:tcPr>
            <w:tcW w:w="17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214"/>
              <w:jc w:val="right"/>
              <w:rPr>
                <w:rFonts w:ascii="Arial" w:hAnsi="Arial" w:cs="Arial" w:eastAsia="Arial" w:hint="default"/>
                <w:sz w:val="18"/>
                <w:szCs w:val="18"/>
              </w:rPr>
            </w:pPr>
            <w:r>
              <w:rPr>
                <w:rFonts w:ascii="Arial"/>
                <w:spacing w:val="-1"/>
                <w:sz w:val="18"/>
              </w:rPr>
              <w:t>504,284,200.00</w:t>
            </w:r>
          </w:p>
        </w:tc>
        <w:tc>
          <w:tcPr>
            <w:tcW w:w="869" w:type="dxa"/>
            <w:tcBorders>
              <w:top w:val="single" w:sz="12" w:space="0" w:color="000000"/>
              <w:left w:val="single" w:sz="12" w:space="0" w:color="000000"/>
              <w:bottom w:val="single" w:sz="12" w:space="0" w:color="000000"/>
              <w:right w:val="single" w:sz="12" w:space="0" w:color="000000"/>
            </w:tcBorders>
          </w:tcPr>
          <w:p>
            <w:pPr/>
          </w:p>
        </w:tc>
        <w:tc>
          <w:tcPr>
            <w:tcW w:w="710"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
        </w:tc>
        <w:tc>
          <w:tcPr>
            <w:tcW w:w="1594" w:type="dxa"/>
            <w:tcBorders>
              <w:top w:val="single" w:sz="12" w:space="0" w:color="000000"/>
              <w:left w:val="single" w:sz="12" w:space="0" w:color="000000"/>
              <w:bottom w:val="single" w:sz="12" w:space="0" w:color="000000"/>
              <w:right w:val="single" w:sz="12" w:space="0" w:color="000000"/>
            </w:tcBorders>
          </w:tcPr>
          <w:p>
            <w:pPr/>
          </w:p>
        </w:tc>
        <w:tc>
          <w:tcPr>
            <w:tcW w:w="1790" w:type="dxa"/>
            <w:tcBorders>
              <w:top w:val="single" w:sz="12" w:space="0" w:color="000000"/>
              <w:left w:val="single" w:sz="12" w:space="0" w:color="000000"/>
              <w:bottom w:val="single" w:sz="12" w:space="0" w:color="000000"/>
              <w:right w:val="single" w:sz="12" w:space="0" w:color="000000"/>
            </w:tcBorders>
          </w:tcPr>
          <w:p>
            <w:pP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531,284,200.00</w:t>
            </w:r>
          </w:p>
        </w:tc>
      </w:tr>
      <w:tr>
        <w:trPr>
          <w:trHeight w:val="655" w:hRule="exact"/>
        </w:trPr>
        <w:tc>
          <w:tcPr>
            <w:tcW w:w="2606" w:type="dxa"/>
            <w:tcBorders>
              <w:top w:val="single" w:sz="12" w:space="0" w:color="000000"/>
              <w:left w:val="single" w:sz="12" w:space="0" w:color="000000"/>
              <w:bottom w:val="single" w:sz="12" w:space="0" w:color="000000"/>
              <w:right w:val="single" w:sz="12" w:space="0" w:color="000000"/>
            </w:tcBorders>
          </w:tcPr>
          <w:p>
            <w:pPr>
              <w:pStyle w:val="TableParagraph"/>
              <w:spacing w:line="302" w:lineRule="auto" w:before="10"/>
              <w:ind w:left="93" w:right="89"/>
              <w:jc w:val="left"/>
              <w:rPr>
                <w:rFonts w:ascii="宋体" w:hAnsi="宋体" w:cs="宋体" w:eastAsia="宋体" w:hint="default"/>
                <w:sz w:val="18"/>
                <w:szCs w:val="18"/>
              </w:rPr>
            </w:pPr>
            <w:r>
              <w:rPr>
                <w:rFonts w:ascii="Arial" w:hAnsi="Arial" w:cs="Arial" w:eastAsia="Arial" w:hint="default"/>
                <w:spacing w:val="5"/>
                <w:sz w:val="18"/>
                <w:szCs w:val="18"/>
              </w:rPr>
              <w:t>2.</w:t>
            </w:r>
            <w:r>
              <w:rPr>
                <w:rFonts w:ascii="宋体" w:hAnsi="宋体" w:cs="宋体" w:eastAsia="宋体" w:hint="default"/>
                <w:spacing w:val="5"/>
                <w:sz w:val="18"/>
                <w:szCs w:val="18"/>
              </w:rPr>
              <w:t>股份支付计入股东权益的金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额</w:t>
            </w:r>
          </w:p>
        </w:tc>
        <w:tc>
          <w:tcPr>
            <w:tcW w:w="1704" w:type="dxa"/>
            <w:tcBorders>
              <w:top w:val="single" w:sz="12" w:space="0" w:color="000000"/>
              <w:left w:val="single" w:sz="12" w:space="0" w:color="000000"/>
              <w:bottom w:val="single" w:sz="12" w:space="0" w:color="000000"/>
              <w:right w:val="single" w:sz="12" w:space="0" w:color="000000"/>
            </w:tcBorders>
          </w:tcPr>
          <w:p>
            <w:pPr/>
          </w:p>
        </w:tc>
        <w:tc>
          <w:tcPr>
            <w:tcW w:w="1709" w:type="dxa"/>
            <w:tcBorders>
              <w:top w:val="single" w:sz="12" w:space="0" w:color="000000"/>
              <w:left w:val="single" w:sz="12" w:space="0" w:color="000000"/>
              <w:bottom w:val="single" w:sz="12" w:space="0" w:color="000000"/>
              <w:right w:val="single" w:sz="12" w:space="0" w:color="000000"/>
            </w:tcBorders>
          </w:tcPr>
          <w:p>
            <w:pPr/>
          </w:p>
        </w:tc>
        <w:tc>
          <w:tcPr>
            <w:tcW w:w="869" w:type="dxa"/>
            <w:tcBorders>
              <w:top w:val="single" w:sz="12" w:space="0" w:color="000000"/>
              <w:left w:val="single" w:sz="12" w:space="0" w:color="000000"/>
              <w:bottom w:val="single" w:sz="12" w:space="0" w:color="000000"/>
              <w:right w:val="single" w:sz="12" w:space="0" w:color="000000"/>
            </w:tcBorders>
          </w:tcPr>
          <w:p>
            <w:pPr/>
          </w:p>
        </w:tc>
        <w:tc>
          <w:tcPr>
            <w:tcW w:w="710"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
        </w:tc>
        <w:tc>
          <w:tcPr>
            <w:tcW w:w="1594" w:type="dxa"/>
            <w:tcBorders>
              <w:top w:val="single" w:sz="12" w:space="0" w:color="000000"/>
              <w:left w:val="single" w:sz="12" w:space="0" w:color="000000"/>
              <w:bottom w:val="single" w:sz="12" w:space="0" w:color="000000"/>
              <w:right w:val="single" w:sz="12" w:space="0" w:color="000000"/>
            </w:tcBorders>
          </w:tcPr>
          <w:p>
            <w:pPr/>
          </w:p>
        </w:tc>
        <w:tc>
          <w:tcPr>
            <w:tcW w:w="1790" w:type="dxa"/>
            <w:tcBorders>
              <w:top w:val="single" w:sz="12" w:space="0" w:color="000000"/>
              <w:left w:val="single" w:sz="12" w:space="0" w:color="000000"/>
              <w:bottom w:val="single" w:sz="12" w:space="0" w:color="000000"/>
              <w:right w:val="single" w:sz="12" w:space="0" w:color="000000"/>
            </w:tcBorders>
          </w:tcPr>
          <w:p>
            <w:pP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w w:val="100"/>
                <w:sz w:val="18"/>
              </w:rPr>
              <w:t>-</w:t>
            </w:r>
          </w:p>
        </w:tc>
      </w:tr>
      <w:tr>
        <w:trPr>
          <w:trHeight w:val="341" w:hRule="exact"/>
        </w:trPr>
        <w:tc>
          <w:tcPr>
            <w:tcW w:w="2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w:t>
            </w:r>
          </w:p>
        </w:tc>
        <w:tc>
          <w:tcPr>
            <w:tcW w:w="1704" w:type="dxa"/>
            <w:tcBorders>
              <w:top w:val="single" w:sz="12" w:space="0" w:color="000000"/>
              <w:left w:val="single" w:sz="12" w:space="0" w:color="000000"/>
              <w:bottom w:val="single" w:sz="12" w:space="0" w:color="000000"/>
              <w:right w:val="single" w:sz="12" w:space="0" w:color="000000"/>
            </w:tcBorders>
          </w:tcPr>
          <w:p>
            <w:pPr/>
          </w:p>
        </w:tc>
        <w:tc>
          <w:tcPr>
            <w:tcW w:w="17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284"/>
              <w:jc w:val="right"/>
              <w:rPr>
                <w:rFonts w:ascii="Arial" w:hAnsi="Arial" w:cs="Arial" w:eastAsia="Arial" w:hint="default"/>
                <w:sz w:val="18"/>
                <w:szCs w:val="18"/>
              </w:rPr>
            </w:pPr>
            <w:r>
              <w:rPr>
                <w:rFonts w:ascii="Arial"/>
                <w:spacing w:val="-1"/>
                <w:sz w:val="18"/>
              </w:rPr>
              <w:t>-2,509,430.44</w:t>
            </w:r>
          </w:p>
        </w:tc>
        <w:tc>
          <w:tcPr>
            <w:tcW w:w="869" w:type="dxa"/>
            <w:tcBorders>
              <w:top w:val="single" w:sz="12" w:space="0" w:color="000000"/>
              <w:left w:val="single" w:sz="12" w:space="0" w:color="000000"/>
              <w:bottom w:val="single" w:sz="12" w:space="0" w:color="000000"/>
              <w:right w:val="single" w:sz="12" w:space="0" w:color="000000"/>
            </w:tcBorders>
          </w:tcPr>
          <w:p>
            <w:pPr/>
          </w:p>
        </w:tc>
        <w:tc>
          <w:tcPr>
            <w:tcW w:w="710"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
        </w:tc>
        <w:tc>
          <w:tcPr>
            <w:tcW w:w="1594" w:type="dxa"/>
            <w:tcBorders>
              <w:top w:val="single" w:sz="12" w:space="0" w:color="000000"/>
              <w:left w:val="single" w:sz="12" w:space="0" w:color="000000"/>
              <w:bottom w:val="single" w:sz="12" w:space="0" w:color="000000"/>
              <w:right w:val="single" w:sz="12" w:space="0" w:color="000000"/>
            </w:tcBorders>
          </w:tcPr>
          <w:p>
            <w:pPr/>
          </w:p>
        </w:tc>
        <w:tc>
          <w:tcPr>
            <w:tcW w:w="17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3"/>
              <w:jc w:val="center"/>
              <w:rPr>
                <w:rFonts w:ascii="Arial" w:hAnsi="Arial" w:cs="Arial" w:eastAsia="Arial" w:hint="default"/>
                <w:sz w:val="18"/>
                <w:szCs w:val="18"/>
              </w:rPr>
            </w:pPr>
            <w:r>
              <w:rPr>
                <w:rFonts w:ascii="Arial"/>
                <w:sz w:val="18"/>
              </w:rPr>
              <w:t>-7,340,569.56</w:t>
            </w: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-9,850,000.00</w:t>
            </w:r>
          </w:p>
        </w:tc>
      </w:tr>
      <w:tr>
        <w:trPr>
          <w:trHeight w:val="343" w:hRule="exact"/>
        </w:trPr>
        <w:tc>
          <w:tcPr>
            <w:tcW w:w="2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四</w:t>
            </w:r>
            <w:r>
              <w:rPr>
                <w:rFonts w:ascii="Arial" w:hAnsi="Arial" w:cs="Arial" w:eastAsia="Arial" w:hint="default"/>
                <w:sz w:val="18"/>
                <w:szCs w:val="18"/>
              </w:rPr>
              <w:t>)</w:t>
            </w:r>
            <w:r>
              <w:rPr>
                <w:rFonts w:ascii="宋体" w:hAnsi="宋体" w:cs="宋体" w:eastAsia="宋体" w:hint="default"/>
                <w:sz w:val="18"/>
                <w:szCs w:val="18"/>
              </w:rPr>
              <w:t>利润分配</w:t>
            </w: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17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8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7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2,391,844.17</w:t>
            </w:r>
          </w:p>
        </w:tc>
        <w:tc>
          <w:tcPr>
            <w:tcW w:w="15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-2,391,844.17</w:t>
            </w:r>
          </w:p>
        </w:tc>
        <w:tc>
          <w:tcPr>
            <w:tcW w:w="17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1" w:hRule="exact"/>
        </w:trPr>
        <w:tc>
          <w:tcPr>
            <w:tcW w:w="2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提取盈余公积</w:t>
            </w:r>
          </w:p>
        </w:tc>
        <w:tc>
          <w:tcPr>
            <w:tcW w:w="1704" w:type="dxa"/>
            <w:tcBorders>
              <w:top w:val="single" w:sz="12" w:space="0" w:color="000000"/>
              <w:left w:val="single" w:sz="12" w:space="0" w:color="000000"/>
              <w:bottom w:val="single" w:sz="12" w:space="0" w:color="000000"/>
              <w:right w:val="single" w:sz="12" w:space="0" w:color="000000"/>
            </w:tcBorders>
          </w:tcPr>
          <w:p>
            <w:pPr/>
          </w:p>
        </w:tc>
        <w:tc>
          <w:tcPr>
            <w:tcW w:w="1709" w:type="dxa"/>
            <w:tcBorders>
              <w:top w:val="single" w:sz="12" w:space="0" w:color="000000"/>
              <w:left w:val="single" w:sz="12" w:space="0" w:color="000000"/>
              <w:bottom w:val="single" w:sz="12" w:space="0" w:color="000000"/>
              <w:right w:val="single" w:sz="12" w:space="0" w:color="000000"/>
            </w:tcBorders>
          </w:tcPr>
          <w:p>
            <w:pPr/>
          </w:p>
        </w:tc>
        <w:tc>
          <w:tcPr>
            <w:tcW w:w="869" w:type="dxa"/>
            <w:tcBorders>
              <w:top w:val="single" w:sz="12" w:space="0" w:color="000000"/>
              <w:left w:val="single" w:sz="12" w:space="0" w:color="000000"/>
              <w:bottom w:val="single" w:sz="12" w:space="0" w:color="000000"/>
              <w:right w:val="single" w:sz="12" w:space="0" w:color="000000"/>
            </w:tcBorders>
          </w:tcPr>
          <w:p>
            <w:pPr/>
          </w:p>
        </w:tc>
        <w:tc>
          <w:tcPr>
            <w:tcW w:w="710"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2,391,844.17</w:t>
            </w:r>
          </w:p>
        </w:tc>
        <w:tc>
          <w:tcPr>
            <w:tcW w:w="15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-2,391,844.17</w:t>
            </w:r>
          </w:p>
        </w:tc>
        <w:tc>
          <w:tcPr>
            <w:tcW w:w="1790" w:type="dxa"/>
            <w:tcBorders>
              <w:top w:val="single" w:sz="12" w:space="0" w:color="000000"/>
              <w:left w:val="single" w:sz="12" w:space="0" w:color="000000"/>
              <w:bottom w:val="single" w:sz="12" w:space="0" w:color="000000"/>
              <w:right w:val="single" w:sz="12" w:space="0" w:color="000000"/>
            </w:tcBorders>
          </w:tcPr>
          <w:p>
            <w:pP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3" w:hRule="exact"/>
        </w:trPr>
        <w:tc>
          <w:tcPr>
            <w:tcW w:w="2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对股东的分配</w:t>
            </w:r>
          </w:p>
        </w:tc>
        <w:tc>
          <w:tcPr>
            <w:tcW w:w="1704" w:type="dxa"/>
            <w:tcBorders>
              <w:top w:val="single" w:sz="12" w:space="0" w:color="000000"/>
              <w:left w:val="single" w:sz="12" w:space="0" w:color="000000"/>
              <w:bottom w:val="single" w:sz="12" w:space="0" w:color="000000"/>
              <w:right w:val="single" w:sz="12" w:space="0" w:color="000000"/>
            </w:tcBorders>
          </w:tcPr>
          <w:p>
            <w:pPr/>
          </w:p>
        </w:tc>
        <w:tc>
          <w:tcPr>
            <w:tcW w:w="1709" w:type="dxa"/>
            <w:tcBorders>
              <w:top w:val="single" w:sz="12" w:space="0" w:color="000000"/>
              <w:left w:val="single" w:sz="12" w:space="0" w:color="000000"/>
              <w:bottom w:val="single" w:sz="12" w:space="0" w:color="000000"/>
              <w:right w:val="single" w:sz="12" w:space="0" w:color="000000"/>
            </w:tcBorders>
          </w:tcPr>
          <w:p>
            <w:pPr/>
          </w:p>
        </w:tc>
        <w:tc>
          <w:tcPr>
            <w:tcW w:w="869" w:type="dxa"/>
            <w:tcBorders>
              <w:top w:val="single" w:sz="12" w:space="0" w:color="000000"/>
              <w:left w:val="single" w:sz="12" w:space="0" w:color="000000"/>
              <w:bottom w:val="single" w:sz="12" w:space="0" w:color="000000"/>
              <w:right w:val="single" w:sz="12" w:space="0" w:color="000000"/>
            </w:tcBorders>
          </w:tcPr>
          <w:p>
            <w:pPr/>
          </w:p>
        </w:tc>
        <w:tc>
          <w:tcPr>
            <w:tcW w:w="710"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
        </w:tc>
        <w:tc>
          <w:tcPr>
            <w:tcW w:w="1594" w:type="dxa"/>
            <w:tcBorders>
              <w:top w:val="single" w:sz="12" w:space="0" w:color="000000"/>
              <w:left w:val="single" w:sz="12" w:space="0" w:color="000000"/>
              <w:bottom w:val="single" w:sz="12" w:space="0" w:color="000000"/>
              <w:right w:val="single" w:sz="12" w:space="0" w:color="000000"/>
            </w:tcBorders>
          </w:tcPr>
          <w:p>
            <w:pPr/>
          </w:p>
        </w:tc>
        <w:tc>
          <w:tcPr>
            <w:tcW w:w="1790" w:type="dxa"/>
            <w:tcBorders>
              <w:top w:val="single" w:sz="12" w:space="0" w:color="000000"/>
              <w:left w:val="single" w:sz="12" w:space="0" w:color="000000"/>
              <w:bottom w:val="single" w:sz="12" w:space="0" w:color="000000"/>
              <w:right w:val="single" w:sz="12" w:space="0" w:color="000000"/>
            </w:tcBorders>
          </w:tcPr>
          <w:p>
            <w:pP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1" w:hRule="exact"/>
        </w:trPr>
        <w:tc>
          <w:tcPr>
            <w:tcW w:w="2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w:t>
            </w:r>
          </w:p>
        </w:tc>
        <w:tc>
          <w:tcPr>
            <w:tcW w:w="1704" w:type="dxa"/>
            <w:tcBorders>
              <w:top w:val="single" w:sz="12" w:space="0" w:color="000000"/>
              <w:left w:val="single" w:sz="12" w:space="0" w:color="000000"/>
              <w:bottom w:val="single" w:sz="12" w:space="0" w:color="000000"/>
              <w:right w:val="single" w:sz="12" w:space="0" w:color="000000"/>
            </w:tcBorders>
          </w:tcPr>
          <w:p>
            <w:pPr/>
          </w:p>
        </w:tc>
        <w:tc>
          <w:tcPr>
            <w:tcW w:w="1709" w:type="dxa"/>
            <w:tcBorders>
              <w:top w:val="single" w:sz="12" w:space="0" w:color="000000"/>
              <w:left w:val="single" w:sz="12" w:space="0" w:color="000000"/>
              <w:bottom w:val="single" w:sz="12" w:space="0" w:color="000000"/>
              <w:right w:val="single" w:sz="12" w:space="0" w:color="000000"/>
            </w:tcBorders>
          </w:tcPr>
          <w:p>
            <w:pPr/>
          </w:p>
        </w:tc>
        <w:tc>
          <w:tcPr>
            <w:tcW w:w="869" w:type="dxa"/>
            <w:tcBorders>
              <w:top w:val="single" w:sz="12" w:space="0" w:color="000000"/>
              <w:left w:val="single" w:sz="12" w:space="0" w:color="000000"/>
              <w:bottom w:val="single" w:sz="12" w:space="0" w:color="000000"/>
              <w:right w:val="single" w:sz="12" w:space="0" w:color="000000"/>
            </w:tcBorders>
          </w:tcPr>
          <w:p>
            <w:pPr/>
          </w:p>
        </w:tc>
        <w:tc>
          <w:tcPr>
            <w:tcW w:w="710"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
        </w:tc>
        <w:tc>
          <w:tcPr>
            <w:tcW w:w="1594" w:type="dxa"/>
            <w:tcBorders>
              <w:top w:val="single" w:sz="12" w:space="0" w:color="000000"/>
              <w:left w:val="single" w:sz="12" w:space="0" w:color="000000"/>
              <w:bottom w:val="single" w:sz="12" w:space="0" w:color="000000"/>
              <w:right w:val="single" w:sz="12" w:space="0" w:color="000000"/>
            </w:tcBorders>
          </w:tcPr>
          <w:p>
            <w:pPr/>
          </w:p>
        </w:tc>
        <w:tc>
          <w:tcPr>
            <w:tcW w:w="1790" w:type="dxa"/>
            <w:tcBorders>
              <w:top w:val="single" w:sz="12" w:space="0" w:color="000000"/>
              <w:left w:val="single" w:sz="12" w:space="0" w:color="000000"/>
              <w:bottom w:val="single" w:sz="12" w:space="0" w:color="000000"/>
              <w:right w:val="single" w:sz="12" w:space="0" w:color="000000"/>
            </w:tcBorders>
          </w:tcPr>
          <w:p>
            <w:pP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3" w:hRule="exact"/>
        </w:trPr>
        <w:tc>
          <w:tcPr>
            <w:tcW w:w="2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五</w:t>
            </w:r>
            <w:r>
              <w:rPr>
                <w:rFonts w:ascii="Arial" w:hAnsi="Arial" w:cs="Arial" w:eastAsia="Arial" w:hint="default"/>
                <w:sz w:val="18"/>
                <w:szCs w:val="18"/>
              </w:rPr>
              <w:t>)</w:t>
            </w:r>
            <w:r>
              <w:rPr>
                <w:rFonts w:ascii="宋体" w:hAnsi="宋体" w:cs="宋体" w:eastAsia="宋体" w:hint="default"/>
                <w:sz w:val="18"/>
                <w:szCs w:val="18"/>
              </w:rPr>
              <w:t>所有者权益内部结转</w:t>
            </w: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17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8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7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15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17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1" w:hRule="exact"/>
        </w:trPr>
        <w:tc>
          <w:tcPr>
            <w:tcW w:w="2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Arial" w:hAnsi="Arial" w:cs="Arial" w:eastAsia="Arial" w:hint="default"/>
                <w:sz w:val="18"/>
                <w:szCs w:val="18"/>
              </w:rPr>
            </w:pPr>
            <w:r>
              <w:rPr>
                <w:rFonts w:ascii="Arial" w:hAnsi="Arial" w:cs="Arial" w:eastAsia="Arial" w:hint="default"/>
                <w:sz w:val="18"/>
                <w:szCs w:val="18"/>
              </w:rPr>
              <w:t>1.</w:t>
            </w:r>
            <w:r>
              <w:rPr>
                <w:rFonts w:ascii="宋体" w:hAnsi="宋体" w:cs="宋体" w:eastAsia="宋体" w:hint="default"/>
                <w:sz w:val="18"/>
                <w:szCs w:val="18"/>
              </w:rPr>
              <w:t>资本公积转增资本</w:t>
            </w:r>
            <w:r>
              <w:rPr>
                <w:rFonts w:ascii="Arial" w:hAnsi="Arial" w:cs="Arial" w:eastAsia="Arial" w:hint="default"/>
                <w:sz w:val="18"/>
                <w:szCs w:val="18"/>
              </w:rPr>
              <w:t>(</w:t>
            </w:r>
            <w:r>
              <w:rPr>
                <w:rFonts w:ascii="宋体" w:hAnsi="宋体" w:cs="宋体" w:eastAsia="宋体" w:hint="default"/>
                <w:sz w:val="18"/>
                <w:szCs w:val="18"/>
              </w:rPr>
              <w:t>或股本</w:t>
            </w:r>
            <w:r>
              <w:rPr>
                <w:rFonts w:ascii="Arial" w:hAnsi="Arial" w:cs="Arial" w:eastAsia="Arial" w:hint="default"/>
                <w:sz w:val="18"/>
                <w:szCs w:val="18"/>
              </w:rPr>
              <w:t>)</w:t>
            </w:r>
          </w:p>
        </w:tc>
        <w:tc>
          <w:tcPr>
            <w:tcW w:w="1704" w:type="dxa"/>
            <w:tcBorders>
              <w:top w:val="single" w:sz="12" w:space="0" w:color="000000"/>
              <w:left w:val="single" w:sz="12" w:space="0" w:color="000000"/>
              <w:bottom w:val="single" w:sz="12" w:space="0" w:color="000000"/>
              <w:right w:val="single" w:sz="12" w:space="0" w:color="000000"/>
            </w:tcBorders>
          </w:tcPr>
          <w:p>
            <w:pPr/>
          </w:p>
        </w:tc>
        <w:tc>
          <w:tcPr>
            <w:tcW w:w="1709" w:type="dxa"/>
            <w:tcBorders>
              <w:top w:val="single" w:sz="12" w:space="0" w:color="000000"/>
              <w:left w:val="single" w:sz="12" w:space="0" w:color="000000"/>
              <w:bottom w:val="single" w:sz="12" w:space="0" w:color="000000"/>
              <w:right w:val="single" w:sz="12" w:space="0" w:color="000000"/>
            </w:tcBorders>
          </w:tcPr>
          <w:p>
            <w:pPr/>
          </w:p>
        </w:tc>
        <w:tc>
          <w:tcPr>
            <w:tcW w:w="869" w:type="dxa"/>
            <w:tcBorders>
              <w:top w:val="single" w:sz="12" w:space="0" w:color="000000"/>
              <w:left w:val="single" w:sz="12" w:space="0" w:color="000000"/>
              <w:bottom w:val="single" w:sz="12" w:space="0" w:color="000000"/>
              <w:right w:val="single" w:sz="12" w:space="0" w:color="000000"/>
            </w:tcBorders>
          </w:tcPr>
          <w:p>
            <w:pPr/>
          </w:p>
        </w:tc>
        <w:tc>
          <w:tcPr>
            <w:tcW w:w="710"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
        </w:tc>
        <w:tc>
          <w:tcPr>
            <w:tcW w:w="1594" w:type="dxa"/>
            <w:tcBorders>
              <w:top w:val="single" w:sz="12" w:space="0" w:color="000000"/>
              <w:left w:val="single" w:sz="12" w:space="0" w:color="000000"/>
              <w:bottom w:val="single" w:sz="12" w:space="0" w:color="000000"/>
              <w:right w:val="single" w:sz="12" w:space="0" w:color="000000"/>
            </w:tcBorders>
          </w:tcPr>
          <w:p>
            <w:pPr/>
          </w:p>
        </w:tc>
        <w:tc>
          <w:tcPr>
            <w:tcW w:w="1790" w:type="dxa"/>
            <w:tcBorders>
              <w:top w:val="single" w:sz="12" w:space="0" w:color="000000"/>
              <w:left w:val="single" w:sz="12" w:space="0" w:color="000000"/>
              <w:bottom w:val="single" w:sz="12" w:space="0" w:color="000000"/>
              <w:right w:val="single" w:sz="12" w:space="0" w:color="000000"/>
            </w:tcBorders>
          </w:tcPr>
          <w:p>
            <w:pP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bl>
    <w:p>
      <w:pPr>
        <w:spacing w:after="0" w:line="240" w:lineRule="auto"/>
        <w:jc w:val="center"/>
        <w:rPr>
          <w:rFonts w:ascii="Arial" w:hAnsi="Arial" w:cs="Arial" w:eastAsia="Arial" w:hint="default"/>
          <w:sz w:val="18"/>
          <w:szCs w:val="18"/>
        </w:rPr>
        <w:sectPr>
          <w:headerReference w:type="default" r:id="rId51"/>
          <w:footerReference w:type="default" r:id="rId52"/>
          <w:pgSz w:w="16840" w:h="11900" w:orient="landscape"/>
          <w:pgMar w:header="867" w:footer="975" w:top="1060" w:bottom="1160" w:left="1200" w:right="1220"/>
          <w:pgNumType w:start="75"/>
        </w:sectPr>
      </w:pPr>
    </w:p>
    <w:p>
      <w:pPr>
        <w:spacing w:line="240" w:lineRule="auto" w:before="11"/>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2606"/>
        <w:gridCol w:w="1704"/>
        <w:gridCol w:w="1709"/>
        <w:gridCol w:w="869"/>
        <w:gridCol w:w="710"/>
        <w:gridCol w:w="1469"/>
        <w:gridCol w:w="1594"/>
        <w:gridCol w:w="1790"/>
        <w:gridCol w:w="1704"/>
      </w:tblGrid>
      <w:tr>
        <w:trPr>
          <w:trHeight w:val="350" w:hRule="exact"/>
        </w:trPr>
        <w:tc>
          <w:tcPr>
            <w:tcW w:w="2606" w:type="dxa"/>
            <w:tcBorders>
              <w:top w:val="single" w:sz="17"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Arial" w:hAnsi="Arial" w:cs="Arial" w:eastAsia="Arial" w:hint="default"/>
                <w:sz w:val="18"/>
                <w:szCs w:val="18"/>
              </w:rPr>
            </w:pPr>
            <w:r>
              <w:rPr>
                <w:rFonts w:ascii="Arial" w:hAnsi="Arial" w:cs="Arial" w:eastAsia="Arial" w:hint="default"/>
                <w:sz w:val="18"/>
                <w:szCs w:val="18"/>
              </w:rPr>
              <w:t>2.</w:t>
            </w:r>
            <w:r>
              <w:rPr>
                <w:rFonts w:ascii="宋体" w:hAnsi="宋体" w:cs="宋体" w:eastAsia="宋体" w:hint="default"/>
                <w:sz w:val="18"/>
                <w:szCs w:val="18"/>
              </w:rPr>
              <w:t>盈余公积转增资本</w:t>
            </w:r>
            <w:r>
              <w:rPr>
                <w:rFonts w:ascii="Arial" w:hAnsi="Arial" w:cs="Arial" w:eastAsia="Arial" w:hint="default"/>
                <w:sz w:val="18"/>
                <w:szCs w:val="18"/>
              </w:rPr>
              <w:t>(</w:t>
            </w:r>
            <w:r>
              <w:rPr>
                <w:rFonts w:ascii="宋体" w:hAnsi="宋体" w:cs="宋体" w:eastAsia="宋体" w:hint="default"/>
                <w:sz w:val="18"/>
                <w:szCs w:val="18"/>
              </w:rPr>
              <w:t>或股本</w:t>
            </w:r>
            <w:r>
              <w:rPr>
                <w:rFonts w:ascii="Arial" w:hAnsi="Arial" w:cs="Arial" w:eastAsia="Arial" w:hint="default"/>
                <w:sz w:val="18"/>
                <w:szCs w:val="18"/>
              </w:rPr>
              <w:t>)</w:t>
            </w:r>
          </w:p>
        </w:tc>
        <w:tc>
          <w:tcPr>
            <w:tcW w:w="1704" w:type="dxa"/>
            <w:tcBorders>
              <w:top w:val="single" w:sz="17" w:space="0" w:color="000000"/>
              <w:left w:val="single" w:sz="12" w:space="0" w:color="000000"/>
              <w:bottom w:val="single" w:sz="12" w:space="0" w:color="000000"/>
              <w:right w:val="single" w:sz="12" w:space="0" w:color="000000"/>
            </w:tcBorders>
          </w:tcPr>
          <w:p>
            <w:pPr/>
          </w:p>
        </w:tc>
        <w:tc>
          <w:tcPr>
            <w:tcW w:w="1709" w:type="dxa"/>
            <w:tcBorders>
              <w:top w:val="single" w:sz="17" w:space="0" w:color="000000"/>
              <w:left w:val="single" w:sz="12" w:space="0" w:color="000000"/>
              <w:bottom w:val="single" w:sz="12" w:space="0" w:color="000000"/>
              <w:right w:val="single" w:sz="12" w:space="0" w:color="000000"/>
            </w:tcBorders>
          </w:tcPr>
          <w:p>
            <w:pPr/>
          </w:p>
        </w:tc>
        <w:tc>
          <w:tcPr>
            <w:tcW w:w="869" w:type="dxa"/>
            <w:tcBorders>
              <w:top w:val="single" w:sz="17" w:space="0" w:color="000000"/>
              <w:left w:val="single" w:sz="12" w:space="0" w:color="000000"/>
              <w:bottom w:val="single" w:sz="12" w:space="0" w:color="000000"/>
              <w:right w:val="single" w:sz="12" w:space="0" w:color="000000"/>
            </w:tcBorders>
          </w:tcPr>
          <w:p>
            <w:pPr/>
          </w:p>
        </w:tc>
        <w:tc>
          <w:tcPr>
            <w:tcW w:w="710" w:type="dxa"/>
            <w:tcBorders>
              <w:top w:val="single" w:sz="17" w:space="0" w:color="000000"/>
              <w:left w:val="single" w:sz="12" w:space="0" w:color="000000"/>
              <w:bottom w:val="single" w:sz="12" w:space="0" w:color="000000"/>
              <w:right w:val="single" w:sz="12" w:space="0" w:color="000000"/>
            </w:tcBorders>
          </w:tcPr>
          <w:p>
            <w:pPr/>
          </w:p>
        </w:tc>
        <w:tc>
          <w:tcPr>
            <w:tcW w:w="1469" w:type="dxa"/>
            <w:tcBorders>
              <w:top w:val="single" w:sz="17" w:space="0" w:color="000000"/>
              <w:left w:val="single" w:sz="12" w:space="0" w:color="000000"/>
              <w:bottom w:val="single" w:sz="12" w:space="0" w:color="000000"/>
              <w:right w:val="single" w:sz="12" w:space="0" w:color="000000"/>
            </w:tcBorders>
          </w:tcPr>
          <w:p>
            <w:pPr/>
          </w:p>
        </w:tc>
        <w:tc>
          <w:tcPr>
            <w:tcW w:w="1594" w:type="dxa"/>
            <w:tcBorders>
              <w:top w:val="single" w:sz="17" w:space="0" w:color="000000"/>
              <w:left w:val="single" w:sz="12" w:space="0" w:color="000000"/>
              <w:bottom w:val="single" w:sz="12" w:space="0" w:color="000000"/>
              <w:right w:val="single" w:sz="12" w:space="0" w:color="000000"/>
            </w:tcBorders>
          </w:tcPr>
          <w:p>
            <w:pPr/>
          </w:p>
        </w:tc>
        <w:tc>
          <w:tcPr>
            <w:tcW w:w="1790" w:type="dxa"/>
            <w:tcBorders>
              <w:top w:val="single" w:sz="17" w:space="0" w:color="000000"/>
              <w:left w:val="single" w:sz="12" w:space="0" w:color="000000"/>
              <w:bottom w:val="single" w:sz="12" w:space="0" w:color="000000"/>
              <w:right w:val="single" w:sz="12" w:space="0" w:color="000000"/>
            </w:tcBorders>
          </w:tcPr>
          <w:p>
            <w:pPr/>
          </w:p>
        </w:tc>
        <w:tc>
          <w:tcPr>
            <w:tcW w:w="1704" w:type="dxa"/>
            <w:tcBorders>
              <w:top w:val="single" w:sz="17"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1" w:hRule="exact"/>
        </w:trPr>
        <w:tc>
          <w:tcPr>
            <w:tcW w:w="2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盈余公积弥补亏损</w:t>
            </w:r>
          </w:p>
        </w:tc>
        <w:tc>
          <w:tcPr>
            <w:tcW w:w="1704" w:type="dxa"/>
            <w:tcBorders>
              <w:top w:val="single" w:sz="12" w:space="0" w:color="000000"/>
              <w:left w:val="single" w:sz="12" w:space="0" w:color="000000"/>
              <w:bottom w:val="single" w:sz="12" w:space="0" w:color="000000"/>
              <w:right w:val="single" w:sz="12" w:space="0" w:color="000000"/>
            </w:tcBorders>
          </w:tcPr>
          <w:p>
            <w:pPr/>
          </w:p>
        </w:tc>
        <w:tc>
          <w:tcPr>
            <w:tcW w:w="1709" w:type="dxa"/>
            <w:tcBorders>
              <w:top w:val="single" w:sz="12" w:space="0" w:color="000000"/>
              <w:left w:val="single" w:sz="12" w:space="0" w:color="000000"/>
              <w:bottom w:val="single" w:sz="12" w:space="0" w:color="000000"/>
              <w:right w:val="single" w:sz="12" w:space="0" w:color="000000"/>
            </w:tcBorders>
          </w:tcPr>
          <w:p>
            <w:pPr/>
          </w:p>
        </w:tc>
        <w:tc>
          <w:tcPr>
            <w:tcW w:w="869" w:type="dxa"/>
            <w:tcBorders>
              <w:top w:val="single" w:sz="12" w:space="0" w:color="000000"/>
              <w:left w:val="single" w:sz="12" w:space="0" w:color="000000"/>
              <w:bottom w:val="single" w:sz="12" w:space="0" w:color="000000"/>
              <w:right w:val="single" w:sz="12" w:space="0" w:color="000000"/>
            </w:tcBorders>
          </w:tcPr>
          <w:p>
            <w:pPr/>
          </w:p>
        </w:tc>
        <w:tc>
          <w:tcPr>
            <w:tcW w:w="710"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
        </w:tc>
        <w:tc>
          <w:tcPr>
            <w:tcW w:w="1594" w:type="dxa"/>
            <w:tcBorders>
              <w:top w:val="single" w:sz="12" w:space="0" w:color="000000"/>
              <w:left w:val="single" w:sz="12" w:space="0" w:color="000000"/>
              <w:bottom w:val="single" w:sz="12" w:space="0" w:color="000000"/>
              <w:right w:val="single" w:sz="12" w:space="0" w:color="000000"/>
            </w:tcBorders>
          </w:tcPr>
          <w:p>
            <w:pPr/>
          </w:p>
        </w:tc>
        <w:tc>
          <w:tcPr>
            <w:tcW w:w="1790" w:type="dxa"/>
            <w:tcBorders>
              <w:top w:val="single" w:sz="12" w:space="0" w:color="000000"/>
              <w:left w:val="single" w:sz="12" w:space="0" w:color="000000"/>
              <w:bottom w:val="single" w:sz="12" w:space="0" w:color="000000"/>
              <w:right w:val="single" w:sz="12" w:space="0" w:color="000000"/>
            </w:tcBorders>
          </w:tcPr>
          <w:p>
            <w:pP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3" w:hRule="exact"/>
        </w:trPr>
        <w:tc>
          <w:tcPr>
            <w:tcW w:w="2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704" w:type="dxa"/>
            <w:tcBorders>
              <w:top w:val="single" w:sz="12" w:space="0" w:color="000000"/>
              <w:left w:val="single" w:sz="12" w:space="0" w:color="000000"/>
              <w:bottom w:val="single" w:sz="12" w:space="0" w:color="000000"/>
              <w:right w:val="single" w:sz="12" w:space="0" w:color="000000"/>
            </w:tcBorders>
          </w:tcPr>
          <w:p>
            <w:pPr/>
          </w:p>
        </w:tc>
        <w:tc>
          <w:tcPr>
            <w:tcW w:w="1709" w:type="dxa"/>
            <w:tcBorders>
              <w:top w:val="single" w:sz="12" w:space="0" w:color="000000"/>
              <w:left w:val="single" w:sz="12" w:space="0" w:color="000000"/>
              <w:bottom w:val="single" w:sz="12" w:space="0" w:color="000000"/>
              <w:right w:val="single" w:sz="12" w:space="0" w:color="000000"/>
            </w:tcBorders>
          </w:tcPr>
          <w:p>
            <w:pPr/>
          </w:p>
        </w:tc>
        <w:tc>
          <w:tcPr>
            <w:tcW w:w="869" w:type="dxa"/>
            <w:tcBorders>
              <w:top w:val="single" w:sz="12" w:space="0" w:color="000000"/>
              <w:left w:val="single" w:sz="12" w:space="0" w:color="000000"/>
              <w:bottom w:val="single" w:sz="12" w:space="0" w:color="000000"/>
              <w:right w:val="single" w:sz="12" w:space="0" w:color="000000"/>
            </w:tcBorders>
          </w:tcPr>
          <w:p>
            <w:pPr/>
          </w:p>
        </w:tc>
        <w:tc>
          <w:tcPr>
            <w:tcW w:w="710"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
        </w:tc>
        <w:tc>
          <w:tcPr>
            <w:tcW w:w="1594" w:type="dxa"/>
            <w:tcBorders>
              <w:top w:val="single" w:sz="12" w:space="0" w:color="000000"/>
              <w:left w:val="single" w:sz="12" w:space="0" w:color="000000"/>
              <w:bottom w:val="single" w:sz="12" w:space="0" w:color="000000"/>
              <w:right w:val="single" w:sz="12" w:space="0" w:color="000000"/>
            </w:tcBorders>
          </w:tcPr>
          <w:p>
            <w:pPr/>
          </w:p>
        </w:tc>
        <w:tc>
          <w:tcPr>
            <w:tcW w:w="1790" w:type="dxa"/>
            <w:tcBorders>
              <w:top w:val="single" w:sz="12" w:space="0" w:color="000000"/>
              <w:left w:val="single" w:sz="12" w:space="0" w:color="000000"/>
              <w:bottom w:val="single" w:sz="12" w:space="0" w:color="000000"/>
              <w:right w:val="single" w:sz="12" w:space="0" w:color="000000"/>
            </w:tcBorders>
          </w:tcPr>
          <w:p>
            <w:pP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1" w:hRule="exact"/>
        </w:trPr>
        <w:tc>
          <w:tcPr>
            <w:tcW w:w="2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六</w:t>
            </w:r>
            <w:r>
              <w:rPr>
                <w:rFonts w:ascii="Arial" w:hAnsi="Arial" w:cs="Arial" w:eastAsia="Arial" w:hint="default"/>
                <w:sz w:val="18"/>
                <w:szCs w:val="18"/>
              </w:rPr>
              <w:t>)</w:t>
            </w:r>
            <w:r>
              <w:rPr>
                <w:rFonts w:ascii="宋体" w:hAnsi="宋体" w:cs="宋体" w:eastAsia="宋体" w:hint="default"/>
                <w:sz w:val="18"/>
                <w:szCs w:val="18"/>
              </w:rPr>
              <w:t>专项储备</w:t>
            </w:r>
          </w:p>
        </w:tc>
        <w:tc>
          <w:tcPr>
            <w:tcW w:w="1704" w:type="dxa"/>
            <w:tcBorders>
              <w:top w:val="single" w:sz="12" w:space="0" w:color="000000"/>
              <w:left w:val="single" w:sz="12" w:space="0" w:color="000000"/>
              <w:bottom w:val="single" w:sz="12" w:space="0" w:color="000000"/>
              <w:right w:val="single" w:sz="12" w:space="0" w:color="000000"/>
            </w:tcBorders>
          </w:tcPr>
          <w:p>
            <w:pPr/>
          </w:p>
        </w:tc>
        <w:tc>
          <w:tcPr>
            <w:tcW w:w="1709" w:type="dxa"/>
            <w:tcBorders>
              <w:top w:val="single" w:sz="12" w:space="0" w:color="000000"/>
              <w:left w:val="single" w:sz="12" w:space="0" w:color="000000"/>
              <w:bottom w:val="single" w:sz="12" w:space="0" w:color="000000"/>
              <w:right w:val="single" w:sz="12" w:space="0" w:color="000000"/>
            </w:tcBorders>
          </w:tcPr>
          <w:p>
            <w:pPr/>
          </w:p>
        </w:tc>
        <w:tc>
          <w:tcPr>
            <w:tcW w:w="869" w:type="dxa"/>
            <w:tcBorders>
              <w:top w:val="single" w:sz="12" w:space="0" w:color="000000"/>
              <w:left w:val="single" w:sz="12" w:space="0" w:color="000000"/>
              <w:bottom w:val="single" w:sz="12" w:space="0" w:color="000000"/>
              <w:right w:val="single" w:sz="12" w:space="0" w:color="000000"/>
            </w:tcBorders>
          </w:tcPr>
          <w:p>
            <w:pPr/>
          </w:p>
        </w:tc>
        <w:tc>
          <w:tcPr>
            <w:tcW w:w="710"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
        </w:tc>
        <w:tc>
          <w:tcPr>
            <w:tcW w:w="1594" w:type="dxa"/>
            <w:tcBorders>
              <w:top w:val="single" w:sz="12" w:space="0" w:color="000000"/>
              <w:left w:val="single" w:sz="12" w:space="0" w:color="000000"/>
              <w:bottom w:val="single" w:sz="12" w:space="0" w:color="000000"/>
              <w:right w:val="single" w:sz="12" w:space="0" w:color="000000"/>
            </w:tcBorders>
          </w:tcPr>
          <w:p>
            <w:pPr/>
          </w:p>
        </w:tc>
        <w:tc>
          <w:tcPr>
            <w:tcW w:w="1790" w:type="dxa"/>
            <w:tcBorders>
              <w:top w:val="single" w:sz="12" w:space="0" w:color="000000"/>
              <w:left w:val="single" w:sz="12" w:space="0" w:color="000000"/>
              <w:bottom w:val="single" w:sz="12" w:space="0" w:color="000000"/>
              <w:right w:val="single" w:sz="12" w:space="0" w:color="000000"/>
            </w:tcBorders>
          </w:tcPr>
          <w:p>
            <w:pPr/>
          </w:p>
        </w:tc>
        <w:tc>
          <w:tcPr>
            <w:tcW w:w="1704"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七</w:t>
            </w:r>
            <w:r>
              <w:rPr>
                <w:rFonts w:ascii="Arial" w:hAnsi="Arial" w:cs="Arial" w:eastAsia="Arial" w:hint="default"/>
                <w:sz w:val="18"/>
                <w:szCs w:val="18"/>
              </w:rPr>
              <w:t>)</w:t>
            </w:r>
            <w:r>
              <w:rPr>
                <w:rFonts w:ascii="宋体" w:hAnsi="宋体" w:cs="宋体" w:eastAsia="宋体" w:hint="default"/>
                <w:sz w:val="18"/>
                <w:szCs w:val="18"/>
              </w:rPr>
              <w:t>其他</w:t>
            </w:r>
          </w:p>
        </w:tc>
        <w:tc>
          <w:tcPr>
            <w:tcW w:w="1704" w:type="dxa"/>
            <w:tcBorders>
              <w:top w:val="single" w:sz="12" w:space="0" w:color="000000"/>
              <w:left w:val="single" w:sz="12" w:space="0" w:color="000000"/>
              <w:bottom w:val="single" w:sz="12" w:space="0" w:color="000000"/>
              <w:right w:val="single" w:sz="12" w:space="0" w:color="000000"/>
            </w:tcBorders>
          </w:tcPr>
          <w:p>
            <w:pPr/>
          </w:p>
        </w:tc>
        <w:tc>
          <w:tcPr>
            <w:tcW w:w="1709" w:type="dxa"/>
            <w:tcBorders>
              <w:top w:val="single" w:sz="12" w:space="0" w:color="000000"/>
              <w:left w:val="single" w:sz="12" w:space="0" w:color="000000"/>
              <w:bottom w:val="single" w:sz="12" w:space="0" w:color="000000"/>
              <w:right w:val="single" w:sz="12" w:space="0" w:color="000000"/>
            </w:tcBorders>
          </w:tcPr>
          <w:p>
            <w:pPr/>
          </w:p>
        </w:tc>
        <w:tc>
          <w:tcPr>
            <w:tcW w:w="869" w:type="dxa"/>
            <w:tcBorders>
              <w:top w:val="single" w:sz="12" w:space="0" w:color="000000"/>
              <w:left w:val="single" w:sz="12" w:space="0" w:color="000000"/>
              <w:bottom w:val="single" w:sz="12" w:space="0" w:color="000000"/>
              <w:right w:val="single" w:sz="12" w:space="0" w:color="000000"/>
            </w:tcBorders>
          </w:tcPr>
          <w:p>
            <w:pPr/>
          </w:p>
        </w:tc>
        <w:tc>
          <w:tcPr>
            <w:tcW w:w="710"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
        </w:tc>
        <w:tc>
          <w:tcPr>
            <w:tcW w:w="1594" w:type="dxa"/>
            <w:tcBorders>
              <w:top w:val="single" w:sz="12" w:space="0" w:color="000000"/>
              <w:left w:val="single" w:sz="12" w:space="0" w:color="000000"/>
              <w:bottom w:val="single" w:sz="12" w:space="0" w:color="000000"/>
              <w:right w:val="single" w:sz="12" w:space="0" w:color="000000"/>
            </w:tcBorders>
          </w:tcPr>
          <w:p>
            <w:pPr/>
          </w:p>
        </w:tc>
        <w:tc>
          <w:tcPr>
            <w:tcW w:w="1790" w:type="dxa"/>
            <w:tcBorders>
              <w:top w:val="single" w:sz="12" w:space="0" w:color="000000"/>
              <w:left w:val="single" w:sz="12" w:space="0" w:color="000000"/>
              <w:bottom w:val="single" w:sz="12" w:space="0" w:color="000000"/>
              <w:right w:val="single" w:sz="12" w:space="0" w:color="000000"/>
            </w:tcBorders>
          </w:tcPr>
          <w:p>
            <w:pPr/>
          </w:p>
        </w:tc>
        <w:tc>
          <w:tcPr>
            <w:tcW w:w="1704"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606" w:type="dxa"/>
            <w:tcBorders>
              <w:top w:val="single" w:sz="12" w:space="0" w:color="000000"/>
              <w:left w:val="single" w:sz="12" w:space="0" w:color="000000"/>
              <w:bottom w:val="single" w:sz="12" w:space="0" w:color="000000"/>
              <w:right w:val="single" w:sz="12" w:space="0" w:color="000000"/>
            </w:tcBorders>
          </w:tcPr>
          <w:p>
            <w:pPr/>
          </w:p>
        </w:tc>
        <w:tc>
          <w:tcPr>
            <w:tcW w:w="1704" w:type="dxa"/>
            <w:tcBorders>
              <w:top w:val="single" w:sz="12" w:space="0" w:color="000000"/>
              <w:left w:val="single" w:sz="12" w:space="0" w:color="000000"/>
              <w:bottom w:val="single" w:sz="12" w:space="0" w:color="000000"/>
              <w:right w:val="single" w:sz="12" w:space="0" w:color="000000"/>
            </w:tcBorders>
          </w:tcPr>
          <w:p>
            <w:pPr/>
          </w:p>
        </w:tc>
        <w:tc>
          <w:tcPr>
            <w:tcW w:w="1709" w:type="dxa"/>
            <w:tcBorders>
              <w:top w:val="single" w:sz="12" w:space="0" w:color="000000"/>
              <w:left w:val="single" w:sz="12" w:space="0" w:color="000000"/>
              <w:bottom w:val="single" w:sz="12" w:space="0" w:color="000000"/>
              <w:right w:val="single" w:sz="12" w:space="0" w:color="000000"/>
            </w:tcBorders>
          </w:tcPr>
          <w:p>
            <w:pPr/>
          </w:p>
        </w:tc>
        <w:tc>
          <w:tcPr>
            <w:tcW w:w="869" w:type="dxa"/>
            <w:tcBorders>
              <w:top w:val="single" w:sz="12" w:space="0" w:color="000000"/>
              <w:left w:val="single" w:sz="12" w:space="0" w:color="000000"/>
              <w:bottom w:val="single" w:sz="12" w:space="0" w:color="000000"/>
              <w:right w:val="single" w:sz="12" w:space="0" w:color="000000"/>
            </w:tcBorders>
          </w:tcPr>
          <w:p>
            <w:pPr/>
          </w:p>
        </w:tc>
        <w:tc>
          <w:tcPr>
            <w:tcW w:w="710"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
        </w:tc>
        <w:tc>
          <w:tcPr>
            <w:tcW w:w="1594" w:type="dxa"/>
            <w:tcBorders>
              <w:top w:val="single" w:sz="12" w:space="0" w:color="000000"/>
              <w:left w:val="single" w:sz="12" w:space="0" w:color="000000"/>
              <w:bottom w:val="single" w:sz="12" w:space="0" w:color="000000"/>
              <w:right w:val="single" w:sz="12" w:space="0" w:color="000000"/>
            </w:tcBorders>
          </w:tcPr>
          <w:p>
            <w:pPr/>
          </w:p>
        </w:tc>
        <w:tc>
          <w:tcPr>
            <w:tcW w:w="1790" w:type="dxa"/>
            <w:tcBorders>
              <w:top w:val="single" w:sz="12" w:space="0" w:color="000000"/>
              <w:left w:val="single" w:sz="12" w:space="0" w:color="000000"/>
              <w:bottom w:val="single" w:sz="12" w:space="0" w:color="000000"/>
              <w:right w:val="single" w:sz="12" w:space="0" w:color="000000"/>
            </w:tcBorders>
          </w:tcPr>
          <w:p>
            <w:pP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1" w:hRule="exact"/>
        </w:trPr>
        <w:tc>
          <w:tcPr>
            <w:tcW w:w="2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b/>
                <w:bCs/>
                <w:sz w:val="18"/>
                <w:szCs w:val="18"/>
              </w:rPr>
              <w:t>2010</w:t>
            </w:r>
            <w:r>
              <w:rPr>
                <w:rFonts w:ascii="Arial" w:hAnsi="Arial" w:cs="Arial" w:eastAsia="Arial" w:hint="default"/>
                <w:b/>
                <w:bCs/>
                <w:spacing w:val="-8"/>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Arial" w:hAnsi="Arial" w:cs="Arial" w:eastAsia="Arial" w:hint="default"/>
                <w:b/>
                <w:bCs/>
                <w:sz w:val="18"/>
                <w:szCs w:val="18"/>
              </w:rPr>
              <w:t>12</w:t>
            </w:r>
            <w:r>
              <w:rPr>
                <w:rFonts w:ascii="Arial" w:hAnsi="Arial" w:cs="Arial" w:eastAsia="Arial" w:hint="default"/>
                <w:b/>
                <w:bCs/>
                <w:spacing w:val="-8"/>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Arial" w:hAnsi="Arial" w:cs="Arial" w:eastAsia="Arial" w:hint="default"/>
                <w:b/>
                <w:bCs/>
                <w:sz w:val="18"/>
                <w:szCs w:val="18"/>
              </w:rPr>
              <w:t>31</w:t>
            </w:r>
            <w:r>
              <w:rPr>
                <w:rFonts w:ascii="Arial" w:hAnsi="Arial" w:cs="Arial" w:eastAsia="Arial" w:hint="default"/>
                <w:b/>
                <w:bCs/>
                <w:spacing w:val="-5"/>
                <w:sz w:val="18"/>
                <w:szCs w:val="18"/>
              </w:rPr>
              <w:t> </w:t>
            </w:r>
            <w:r>
              <w:rPr>
                <w:rFonts w:ascii="宋体" w:hAnsi="宋体" w:cs="宋体" w:eastAsia="宋体" w:hint="default"/>
                <w:sz w:val="18"/>
                <w:szCs w:val="18"/>
              </w:rPr>
              <w:t>日年末余额</w:t>
            </w: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211" w:right="0"/>
              <w:jc w:val="left"/>
              <w:rPr>
                <w:rFonts w:ascii="Arial" w:hAnsi="Arial" w:cs="Arial" w:eastAsia="Arial" w:hint="default"/>
                <w:sz w:val="18"/>
                <w:szCs w:val="18"/>
              </w:rPr>
            </w:pPr>
            <w:r>
              <w:rPr>
                <w:rFonts w:ascii="Arial"/>
                <w:sz w:val="18"/>
              </w:rPr>
              <w:t>107,000,000.00</w:t>
            </w:r>
          </w:p>
        </w:tc>
        <w:tc>
          <w:tcPr>
            <w:tcW w:w="17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211" w:right="0"/>
              <w:jc w:val="left"/>
              <w:rPr>
                <w:rFonts w:ascii="Arial" w:hAnsi="Arial" w:cs="Arial" w:eastAsia="Arial" w:hint="default"/>
                <w:sz w:val="18"/>
                <w:szCs w:val="18"/>
              </w:rPr>
            </w:pPr>
            <w:r>
              <w:rPr>
                <w:rFonts w:ascii="Arial"/>
                <w:sz w:val="18"/>
              </w:rPr>
              <w:t>530,301,603.03</w:t>
            </w:r>
          </w:p>
        </w:tc>
        <w:tc>
          <w:tcPr>
            <w:tcW w:w="8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7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92" w:right="0"/>
              <w:jc w:val="left"/>
              <w:rPr>
                <w:rFonts w:ascii="Arial" w:hAnsi="Arial" w:cs="Arial" w:eastAsia="Arial" w:hint="default"/>
                <w:sz w:val="18"/>
                <w:szCs w:val="18"/>
              </w:rPr>
            </w:pPr>
            <w:r>
              <w:rPr>
                <w:rFonts w:ascii="Arial"/>
                <w:sz w:val="18"/>
              </w:rPr>
              <w:t>8,422,352.91</w:t>
            </w:r>
          </w:p>
        </w:tc>
        <w:tc>
          <w:tcPr>
            <w:tcW w:w="15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204" w:right="0"/>
              <w:jc w:val="left"/>
              <w:rPr>
                <w:rFonts w:ascii="Arial" w:hAnsi="Arial" w:cs="Arial" w:eastAsia="Arial" w:hint="default"/>
                <w:sz w:val="18"/>
                <w:szCs w:val="18"/>
              </w:rPr>
            </w:pPr>
            <w:r>
              <w:rPr>
                <w:rFonts w:ascii="Arial"/>
                <w:sz w:val="18"/>
              </w:rPr>
              <w:t>80,830,292.17</w:t>
            </w:r>
          </w:p>
        </w:tc>
        <w:tc>
          <w:tcPr>
            <w:tcW w:w="17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726,554,248.11</w:t>
            </w:r>
          </w:p>
        </w:tc>
      </w:tr>
    </w:tbl>
    <w:p>
      <w:pPr>
        <w:spacing w:line="240" w:lineRule="auto" w:before="7"/>
        <w:rPr>
          <w:rFonts w:ascii="宋体" w:hAnsi="宋体" w:cs="宋体" w:eastAsia="宋体" w:hint="default"/>
          <w:sz w:val="18"/>
          <w:szCs w:val="18"/>
        </w:rPr>
      </w:pPr>
    </w:p>
    <w:p>
      <w:pPr>
        <w:tabs>
          <w:tab w:pos="6724" w:val="left" w:leader="none"/>
          <w:tab w:pos="12126" w:val="left" w:leader="none"/>
        </w:tabs>
        <w:spacing w:before="44"/>
        <w:ind w:left="239" w:right="0" w:firstLine="0"/>
        <w:jc w:val="left"/>
        <w:rPr>
          <w:rFonts w:ascii="宋体" w:hAnsi="宋体" w:cs="宋体" w:eastAsia="宋体" w:hint="default"/>
          <w:sz w:val="18"/>
          <w:szCs w:val="18"/>
        </w:rPr>
      </w:pPr>
      <w:r>
        <w:rPr>
          <w:rFonts w:ascii="宋体" w:hAnsi="宋体" w:cs="宋体" w:eastAsia="宋体" w:hint="default"/>
          <w:spacing w:val="-1"/>
          <w:sz w:val="18"/>
          <w:szCs w:val="18"/>
        </w:rPr>
        <w:t>法定代表人：纪立军</w:t>
        <w:tab/>
      </w:r>
      <w:r>
        <w:rPr>
          <w:rFonts w:ascii="宋体" w:hAnsi="宋体" w:cs="宋体" w:eastAsia="宋体" w:hint="default"/>
          <w:spacing w:val="-2"/>
          <w:sz w:val="18"/>
          <w:szCs w:val="18"/>
        </w:rPr>
        <w:t>主管会计工作负责人：郑强</w:t>
        <w:tab/>
        <w:t>会计机构负责人：王迎辉</w:t>
      </w:r>
    </w:p>
    <w:p>
      <w:pPr>
        <w:spacing w:after="0"/>
        <w:jc w:val="left"/>
        <w:rPr>
          <w:rFonts w:ascii="宋体" w:hAnsi="宋体" w:cs="宋体" w:eastAsia="宋体" w:hint="default"/>
          <w:sz w:val="18"/>
          <w:szCs w:val="18"/>
        </w:rPr>
        <w:sectPr>
          <w:pgSz w:w="16840" w:h="11900" w:orient="landscape"/>
          <w:pgMar w:header="867" w:footer="975" w:top="1060" w:bottom="1160" w:left="1200" w:right="1220"/>
        </w:sectPr>
      </w:pPr>
    </w:p>
    <w:p>
      <w:pPr>
        <w:pStyle w:val="Heading2"/>
        <w:spacing w:line="415" w:lineRule="exact"/>
        <w:ind w:left="5021" w:right="5023"/>
        <w:jc w:val="center"/>
      </w:pPr>
      <w:r>
        <w:rPr/>
        <w:pict>
          <v:group style="position:absolute;margin-left:70.550636pt;margin-top:2.202084pt;width:700.8pt;height:.1pt;mso-position-horizontal-relative:page;mso-position-vertical-relative:paragraph;z-index:-601864" coordorigin="1411,44" coordsize="14016,2">
            <v:shape style="position:absolute;left:1411;top:44;width:14016;height:2" coordorigin="1411,44" coordsize="14016,0" path="m1411,44l15427,44e" filled="false" stroked="true" strokeweight=".72pt" strokecolor="#000000">
              <v:path arrowok="t"/>
            </v:shape>
            <w10:wrap type="none"/>
          </v:group>
        </w:pict>
      </w:r>
      <w:r>
        <w:rPr/>
        <w:t>2009</w:t>
      </w:r>
      <w:r>
        <w:rPr>
          <w:spacing w:val="-65"/>
        </w:rPr>
        <w:t> </w:t>
      </w:r>
      <w:r>
        <w:rPr/>
        <w:t>年度合并股东权益变动表</w:t>
      </w:r>
    </w:p>
    <w:p>
      <w:pPr>
        <w:tabs>
          <w:tab w:pos="7624" w:val="left" w:leader="none"/>
          <w:tab w:pos="12340" w:val="left" w:leader="none"/>
        </w:tabs>
        <w:spacing w:before="145"/>
        <w:ind w:left="239" w:right="0" w:firstLine="0"/>
        <w:jc w:val="left"/>
        <w:rPr>
          <w:rFonts w:ascii="宋体" w:hAnsi="宋体" w:cs="宋体" w:eastAsia="宋体" w:hint="default"/>
          <w:sz w:val="18"/>
          <w:szCs w:val="18"/>
        </w:rPr>
      </w:pPr>
      <w:r>
        <w:rPr>
          <w:rFonts w:ascii="宋体" w:hAnsi="宋体" w:cs="宋体" w:eastAsia="宋体" w:hint="default"/>
          <w:spacing w:val="-1"/>
          <w:sz w:val="18"/>
          <w:szCs w:val="18"/>
        </w:rPr>
        <w:t>编制单位：上海安诺其纺织化工股份有限公司</w:t>
        <w:tab/>
      </w:r>
      <w:r>
        <w:rPr>
          <w:rFonts w:ascii="Arial" w:hAnsi="Arial" w:cs="Arial" w:eastAsia="Arial" w:hint="default"/>
          <w:spacing w:val="-1"/>
          <w:sz w:val="18"/>
          <w:szCs w:val="18"/>
        </w:rPr>
        <w:t>2010</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pacing w:val="-1"/>
          <w:sz w:val="18"/>
          <w:szCs w:val="18"/>
        </w:rPr>
        <w:t>31</w:t>
      </w:r>
      <w:r>
        <w:rPr>
          <w:rFonts w:ascii="Arial" w:hAnsi="Arial" w:cs="Arial" w:eastAsia="Arial" w:hint="default"/>
          <w:spacing w:val="-4"/>
          <w:sz w:val="18"/>
          <w:szCs w:val="18"/>
        </w:rPr>
        <w:t> </w:t>
      </w:r>
      <w:r>
        <w:rPr>
          <w:rFonts w:ascii="宋体" w:hAnsi="宋体" w:cs="宋体" w:eastAsia="宋体" w:hint="default"/>
          <w:sz w:val="18"/>
          <w:szCs w:val="18"/>
        </w:rPr>
        <w:t>日</w:t>
        <w:tab/>
      </w:r>
      <w:r>
        <w:rPr>
          <w:rFonts w:ascii="宋体" w:hAnsi="宋体" w:cs="宋体" w:eastAsia="宋体" w:hint="default"/>
          <w:spacing w:val="-1"/>
          <w:sz w:val="18"/>
          <w:szCs w:val="18"/>
        </w:rPr>
        <w:t>单位：元</w:t>
      </w:r>
    </w:p>
    <w:p>
      <w:pPr>
        <w:spacing w:line="240" w:lineRule="auto" w:before="8"/>
        <w:rPr>
          <w:rFonts w:ascii="宋体" w:hAnsi="宋体" w:cs="宋体" w:eastAsia="宋体" w:hint="default"/>
          <w:sz w:val="6"/>
          <w:szCs w:val="6"/>
        </w:rPr>
      </w:pPr>
    </w:p>
    <w:tbl>
      <w:tblPr>
        <w:tblW w:w="0" w:type="auto"/>
        <w:jc w:val="left"/>
        <w:tblInd w:w="117" w:type="dxa"/>
        <w:tblLayout w:type="fixed"/>
        <w:tblCellMar>
          <w:top w:w="0" w:type="dxa"/>
          <w:left w:w="0" w:type="dxa"/>
          <w:bottom w:w="0" w:type="dxa"/>
          <w:right w:w="0" w:type="dxa"/>
        </w:tblCellMar>
        <w:tblLook w:val="01E0"/>
      </w:tblPr>
      <w:tblGrid>
        <w:gridCol w:w="3007"/>
        <w:gridCol w:w="1442"/>
        <w:gridCol w:w="1442"/>
        <w:gridCol w:w="670"/>
        <w:gridCol w:w="905"/>
        <w:gridCol w:w="1339"/>
        <w:gridCol w:w="1603"/>
        <w:gridCol w:w="1855"/>
        <w:gridCol w:w="1726"/>
      </w:tblGrid>
      <w:tr>
        <w:trPr>
          <w:trHeight w:val="341" w:hRule="exact"/>
        </w:trPr>
        <w:tc>
          <w:tcPr>
            <w:tcW w:w="3007" w:type="dxa"/>
            <w:vMerge w:val="restart"/>
            <w:tcBorders>
              <w:top w:val="single" w:sz="12" w:space="0" w:color="000000"/>
              <w:left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402" w:type="dxa"/>
            <w:gridSpan w:val="6"/>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855" w:type="dxa"/>
            <w:vMerge w:val="restart"/>
            <w:tcBorders>
              <w:top w:val="single" w:sz="12" w:space="0" w:color="000000"/>
              <w:left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26" w:type="dxa"/>
            <w:vMerge w:val="restart"/>
            <w:tcBorders>
              <w:top w:val="single" w:sz="12" w:space="0" w:color="000000"/>
              <w:left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655" w:hRule="exact"/>
        </w:trPr>
        <w:tc>
          <w:tcPr>
            <w:tcW w:w="3007" w:type="dxa"/>
            <w:vMerge/>
            <w:tcBorders>
              <w:left w:val="single" w:sz="12" w:space="0" w:color="000000"/>
              <w:bottom w:val="single" w:sz="12" w:space="0" w:color="000000"/>
              <w:right w:val="single" w:sz="12" w:space="0" w:color="000000"/>
            </w:tcBorders>
          </w:tcPr>
          <w:p>
            <w:pPr/>
          </w:p>
        </w:tc>
        <w:tc>
          <w:tcPr>
            <w:tcW w:w="14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670"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139" w:right="91" w:hanging="46"/>
              <w:jc w:val="left"/>
              <w:rPr>
                <w:rFonts w:ascii="宋体" w:hAnsi="宋体" w:cs="宋体" w:eastAsia="宋体" w:hint="default"/>
                <w:sz w:val="18"/>
                <w:szCs w:val="18"/>
              </w:rPr>
            </w:pPr>
            <w:r>
              <w:rPr>
                <w:rFonts w:ascii="宋体" w:hAnsi="宋体" w:cs="宋体" w:eastAsia="宋体" w:hint="default"/>
                <w:spacing w:val="-30"/>
                <w:w w:val="100"/>
                <w:sz w:val="18"/>
                <w:szCs w:val="18"/>
              </w:rPr>
              <w:t>减：库</w:t>
            </w:r>
            <w:r>
              <w:rPr>
                <w:rFonts w:ascii="宋体" w:hAnsi="宋体" w:cs="宋体" w:eastAsia="宋体" w:hint="default"/>
                <w:spacing w:val="-89"/>
                <w:w w:val="100"/>
                <w:sz w:val="18"/>
                <w:szCs w:val="18"/>
              </w:rPr>
              <w:t> </w:t>
            </w:r>
            <w:r>
              <w:rPr>
                <w:rFonts w:ascii="宋体" w:hAnsi="宋体" w:cs="宋体" w:eastAsia="宋体" w:hint="default"/>
                <w:spacing w:val="-89"/>
                <w:w w:val="100"/>
                <w:sz w:val="18"/>
                <w:szCs w:val="18"/>
              </w:rPr>
            </w:r>
            <w:r>
              <w:rPr>
                <w:rFonts w:ascii="宋体" w:hAnsi="宋体" w:cs="宋体" w:eastAsia="宋体" w:hint="default"/>
                <w:sz w:val="18"/>
                <w:szCs w:val="18"/>
              </w:rPr>
              <w:t>存股</w:t>
            </w:r>
          </w:p>
        </w:tc>
        <w:tc>
          <w:tcPr>
            <w:tcW w:w="905"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348" w:right="165" w:hanging="180"/>
              <w:jc w:val="left"/>
              <w:rPr>
                <w:rFonts w:ascii="宋体" w:hAnsi="宋体" w:cs="宋体" w:eastAsia="宋体" w:hint="default"/>
                <w:sz w:val="18"/>
                <w:szCs w:val="18"/>
              </w:rPr>
            </w:pPr>
            <w:r>
              <w:rPr>
                <w:rFonts w:ascii="宋体" w:hAnsi="宋体" w:cs="宋体" w:eastAsia="宋体" w:hint="default"/>
                <w:sz w:val="18"/>
                <w:szCs w:val="18"/>
              </w:rPr>
              <w:t>专项储</w:t>
            </w:r>
            <w:r>
              <w:rPr>
                <w:rFonts w:ascii="宋体" w:hAnsi="宋体" w:cs="宋体" w:eastAsia="宋体" w:hint="default"/>
                <w:w w:val="100"/>
                <w:sz w:val="18"/>
                <w:szCs w:val="18"/>
              </w:rPr>
              <w:t> </w:t>
            </w:r>
            <w:r>
              <w:rPr>
                <w:rFonts w:ascii="宋体" w:hAnsi="宋体" w:cs="宋体" w:eastAsia="宋体" w:hint="default"/>
                <w:sz w:val="18"/>
                <w:szCs w:val="18"/>
              </w:rPr>
              <w:t>备</w:t>
            </w:r>
          </w:p>
        </w:tc>
        <w:tc>
          <w:tcPr>
            <w:tcW w:w="133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16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1855" w:type="dxa"/>
            <w:vMerge/>
            <w:tcBorders>
              <w:left w:val="single" w:sz="12" w:space="0" w:color="000000"/>
              <w:bottom w:val="single" w:sz="12" w:space="0" w:color="000000"/>
              <w:right w:val="single" w:sz="12" w:space="0" w:color="000000"/>
            </w:tcBorders>
          </w:tcPr>
          <w:p>
            <w:pPr/>
          </w:p>
        </w:tc>
        <w:tc>
          <w:tcPr>
            <w:tcW w:w="1726" w:type="dxa"/>
            <w:vMerge/>
            <w:tcBorders>
              <w:left w:val="single" w:sz="12" w:space="0" w:color="000000"/>
              <w:bottom w:val="single" w:sz="12" w:space="0" w:color="000000"/>
              <w:right w:val="single" w:sz="12" w:space="0" w:color="000000"/>
            </w:tcBorders>
          </w:tcPr>
          <w:p>
            <w:pPr/>
          </w:p>
        </w:tc>
      </w:tr>
      <w:tr>
        <w:trPr>
          <w:trHeight w:val="341" w:hRule="exact"/>
        </w:trPr>
        <w:tc>
          <w:tcPr>
            <w:tcW w:w="30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b/>
                <w:bCs/>
                <w:sz w:val="18"/>
                <w:szCs w:val="18"/>
              </w:rPr>
              <w:t>2008</w:t>
            </w:r>
            <w:r>
              <w:rPr>
                <w:rFonts w:ascii="Arial" w:hAnsi="Arial" w:cs="Arial" w:eastAsia="Arial" w:hint="default"/>
                <w:b/>
                <w:bCs/>
                <w:spacing w:val="-8"/>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Arial" w:hAnsi="Arial" w:cs="Arial" w:eastAsia="Arial" w:hint="default"/>
                <w:b/>
                <w:bCs/>
                <w:sz w:val="18"/>
                <w:szCs w:val="18"/>
              </w:rPr>
              <w:t>12</w:t>
            </w:r>
            <w:r>
              <w:rPr>
                <w:rFonts w:ascii="Arial" w:hAnsi="Arial" w:cs="Arial" w:eastAsia="Arial" w:hint="default"/>
                <w:b/>
                <w:bCs/>
                <w:spacing w:val="-8"/>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Arial" w:hAnsi="Arial" w:cs="Arial" w:eastAsia="Arial" w:hint="default"/>
                <w:b/>
                <w:bCs/>
                <w:sz w:val="18"/>
                <w:szCs w:val="18"/>
              </w:rPr>
              <w:t>31</w:t>
            </w:r>
            <w:r>
              <w:rPr>
                <w:rFonts w:ascii="Arial" w:hAnsi="Arial" w:cs="Arial" w:eastAsia="Arial" w:hint="default"/>
                <w:b/>
                <w:bCs/>
                <w:spacing w:val="-5"/>
                <w:sz w:val="18"/>
                <w:szCs w:val="18"/>
              </w:rPr>
              <w:t> </w:t>
            </w:r>
            <w:r>
              <w:rPr>
                <w:rFonts w:ascii="宋体" w:hAnsi="宋体" w:cs="宋体" w:eastAsia="宋体" w:hint="default"/>
                <w:sz w:val="18"/>
                <w:szCs w:val="18"/>
              </w:rPr>
              <w:t>日年末余额</w:t>
            </w:r>
          </w:p>
        </w:tc>
        <w:tc>
          <w:tcPr>
            <w:tcW w:w="14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3"/>
              <w:jc w:val="center"/>
              <w:rPr>
                <w:rFonts w:ascii="Arial" w:hAnsi="Arial" w:cs="Arial" w:eastAsia="Arial" w:hint="default"/>
                <w:sz w:val="18"/>
                <w:szCs w:val="18"/>
              </w:rPr>
            </w:pPr>
            <w:r>
              <w:rPr>
                <w:rFonts w:ascii="Arial"/>
                <w:sz w:val="18"/>
              </w:rPr>
              <w:t>80,000,000.00</w:t>
            </w:r>
          </w:p>
        </w:tc>
        <w:tc>
          <w:tcPr>
            <w:tcW w:w="14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28,526,833.47</w:t>
            </w:r>
          </w:p>
        </w:tc>
        <w:tc>
          <w:tcPr>
            <w:tcW w:w="670" w:type="dxa"/>
            <w:tcBorders>
              <w:top w:val="single" w:sz="12" w:space="0" w:color="000000"/>
              <w:left w:val="single" w:sz="12" w:space="0" w:color="000000"/>
              <w:bottom w:val="single" w:sz="12" w:space="0" w:color="000000"/>
              <w:right w:val="single" w:sz="12" w:space="0" w:color="000000"/>
            </w:tcBorders>
          </w:tcPr>
          <w:p>
            <w:pPr/>
          </w:p>
        </w:tc>
        <w:tc>
          <w:tcPr>
            <w:tcW w:w="905" w:type="dxa"/>
            <w:tcBorders>
              <w:top w:val="single" w:sz="12" w:space="0" w:color="000000"/>
              <w:left w:val="single" w:sz="12" w:space="0" w:color="000000"/>
              <w:bottom w:val="single" w:sz="12" w:space="0" w:color="000000"/>
              <w:right w:val="single" w:sz="12" w:space="0" w:color="000000"/>
            </w:tcBorders>
          </w:tcPr>
          <w:p>
            <w:pPr/>
          </w:p>
        </w:tc>
        <w:tc>
          <w:tcPr>
            <w:tcW w:w="133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1,835,935.64</w:t>
            </w:r>
          </w:p>
        </w:tc>
        <w:tc>
          <w:tcPr>
            <w:tcW w:w="16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14,009,123.01</w:t>
            </w:r>
          </w:p>
        </w:tc>
        <w:tc>
          <w:tcPr>
            <w:tcW w:w="18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5,856,230.34</w:t>
            </w:r>
          </w:p>
        </w:tc>
        <w:tc>
          <w:tcPr>
            <w:tcW w:w="17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130,228,122.46</w:t>
            </w:r>
          </w:p>
        </w:tc>
      </w:tr>
      <w:tr>
        <w:trPr>
          <w:trHeight w:val="343" w:hRule="exact"/>
        </w:trPr>
        <w:tc>
          <w:tcPr>
            <w:tcW w:w="30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会计政策变更</w:t>
            </w:r>
          </w:p>
        </w:tc>
        <w:tc>
          <w:tcPr>
            <w:tcW w:w="1442" w:type="dxa"/>
            <w:tcBorders>
              <w:top w:val="single" w:sz="12" w:space="0" w:color="000000"/>
              <w:left w:val="single" w:sz="12" w:space="0" w:color="000000"/>
              <w:bottom w:val="single" w:sz="12" w:space="0" w:color="000000"/>
              <w:right w:val="single" w:sz="12" w:space="0" w:color="000000"/>
            </w:tcBorders>
          </w:tcPr>
          <w:p>
            <w:pPr/>
          </w:p>
        </w:tc>
        <w:tc>
          <w:tcPr>
            <w:tcW w:w="1442" w:type="dxa"/>
            <w:tcBorders>
              <w:top w:val="single" w:sz="12" w:space="0" w:color="000000"/>
              <w:left w:val="single" w:sz="12" w:space="0" w:color="000000"/>
              <w:bottom w:val="single" w:sz="12" w:space="0" w:color="000000"/>
              <w:right w:val="single" w:sz="12" w:space="0" w:color="000000"/>
            </w:tcBorders>
          </w:tcPr>
          <w:p>
            <w:pPr/>
          </w:p>
        </w:tc>
        <w:tc>
          <w:tcPr>
            <w:tcW w:w="670" w:type="dxa"/>
            <w:tcBorders>
              <w:top w:val="single" w:sz="12" w:space="0" w:color="000000"/>
              <w:left w:val="single" w:sz="12" w:space="0" w:color="000000"/>
              <w:bottom w:val="single" w:sz="12" w:space="0" w:color="000000"/>
              <w:right w:val="single" w:sz="12" w:space="0" w:color="000000"/>
            </w:tcBorders>
          </w:tcPr>
          <w:p>
            <w:pPr/>
          </w:p>
        </w:tc>
        <w:tc>
          <w:tcPr>
            <w:tcW w:w="905" w:type="dxa"/>
            <w:tcBorders>
              <w:top w:val="single" w:sz="12" w:space="0" w:color="000000"/>
              <w:left w:val="single" w:sz="12" w:space="0" w:color="000000"/>
              <w:bottom w:val="single" w:sz="12" w:space="0" w:color="000000"/>
              <w:right w:val="single" w:sz="12" w:space="0" w:color="000000"/>
            </w:tcBorders>
          </w:tcPr>
          <w:p>
            <w:pPr/>
          </w:p>
        </w:tc>
        <w:tc>
          <w:tcPr>
            <w:tcW w:w="1339" w:type="dxa"/>
            <w:tcBorders>
              <w:top w:val="single" w:sz="12" w:space="0" w:color="000000"/>
              <w:left w:val="single" w:sz="12" w:space="0" w:color="000000"/>
              <w:bottom w:val="single" w:sz="12" w:space="0" w:color="000000"/>
              <w:right w:val="single" w:sz="12" w:space="0" w:color="000000"/>
            </w:tcBorders>
          </w:tcPr>
          <w:p>
            <w:pPr/>
          </w:p>
        </w:tc>
        <w:tc>
          <w:tcPr>
            <w:tcW w:w="1603" w:type="dxa"/>
            <w:tcBorders>
              <w:top w:val="single" w:sz="12" w:space="0" w:color="000000"/>
              <w:left w:val="single" w:sz="12" w:space="0" w:color="000000"/>
              <w:bottom w:val="single" w:sz="12" w:space="0" w:color="000000"/>
              <w:right w:val="single" w:sz="12" w:space="0" w:color="000000"/>
            </w:tcBorders>
          </w:tcPr>
          <w:p>
            <w:pPr/>
          </w:p>
        </w:tc>
        <w:tc>
          <w:tcPr>
            <w:tcW w:w="1855" w:type="dxa"/>
            <w:tcBorders>
              <w:top w:val="single" w:sz="12" w:space="0" w:color="000000"/>
              <w:left w:val="single" w:sz="12" w:space="0" w:color="000000"/>
              <w:bottom w:val="single" w:sz="12" w:space="0" w:color="000000"/>
              <w:right w:val="single" w:sz="12" w:space="0" w:color="000000"/>
            </w:tcBorders>
          </w:tcPr>
          <w:p>
            <w:pPr/>
          </w:p>
        </w:tc>
        <w:tc>
          <w:tcPr>
            <w:tcW w:w="17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1" w:hRule="exact"/>
        </w:trPr>
        <w:tc>
          <w:tcPr>
            <w:tcW w:w="30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42" w:type="dxa"/>
            <w:tcBorders>
              <w:top w:val="single" w:sz="12" w:space="0" w:color="000000"/>
              <w:left w:val="single" w:sz="12" w:space="0" w:color="000000"/>
              <w:bottom w:val="single" w:sz="12" w:space="0" w:color="000000"/>
              <w:right w:val="single" w:sz="12" w:space="0" w:color="000000"/>
            </w:tcBorders>
          </w:tcPr>
          <w:p>
            <w:pPr/>
          </w:p>
        </w:tc>
        <w:tc>
          <w:tcPr>
            <w:tcW w:w="1442" w:type="dxa"/>
            <w:tcBorders>
              <w:top w:val="single" w:sz="12" w:space="0" w:color="000000"/>
              <w:left w:val="single" w:sz="12" w:space="0" w:color="000000"/>
              <w:bottom w:val="single" w:sz="12" w:space="0" w:color="000000"/>
              <w:right w:val="single" w:sz="12" w:space="0" w:color="000000"/>
            </w:tcBorders>
          </w:tcPr>
          <w:p>
            <w:pPr/>
          </w:p>
        </w:tc>
        <w:tc>
          <w:tcPr>
            <w:tcW w:w="670" w:type="dxa"/>
            <w:tcBorders>
              <w:top w:val="single" w:sz="12" w:space="0" w:color="000000"/>
              <w:left w:val="single" w:sz="12" w:space="0" w:color="000000"/>
              <w:bottom w:val="single" w:sz="12" w:space="0" w:color="000000"/>
              <w:right w:val="single" w:sz="12" w:space="0" w:color="000000"/>
            </w:tcBorders>
          </w:tcPr>
          <w:p>
            <w:pPr/>
          </w:p>
        </w:tc>
        <w:tc>
          <w:tcPr>
            <w:tcW w:w="905" w:type="dxa"/>
            <w:tcBorders>
              <w:top w:val="single" w:sz="12" w:space="0" w:color="000000"/>
              <w:left w:val="single" w:sz="12" w:space="0" w:color="000000"/>
              <w:bottom w:val="single" w:sz="12" w:space="0" w:color="000000"/>
              <w:right w:val="single" w:sz="12" w:space="0" w:color="000000"/>
            </w:tcBorders>
          </w:tcPr>
          <w:p>
            <w:pPr/>
          </w:p>
        </w:tc>
        <w:tc>
          <w:tcPr>
            <w:tcW w:w="1339" w:type="dxa"/>
            <w:tcBorders>
              <w:top w:val="single" w:sz="12" w:space="0" w:color="000000"/>
              <w:left w:val="single" w:sz="12" w:space="0" w:color="000000"/>
              <w:bottom w:val="single" w:sz="12" w:space="0" w:color="000000"/>
              <w:right w:val="single" w:sz="12" w:space="0" w:color="000000"/>
            </w:tcBorders>
          </w:tcPr>
          <w:p>
            <w:pPr/>
          </w:p>
        </w:tc>
        <w:tc>
          <w:tcPr>
            <w:tcW w:w="1603" w:type="dxa"/>
            <w:tcBorders>
              <w:top w:val="single" w:sz="12" w:space="0" w:color="000000"/>
              <w:left w:val="single" w:sz="12" w:space="0" w:color="000000"/>
              <w:bottom w:val="single" w:sz="12" w:space="0" w:color="000000"/>
              <w:right w:val="single" w:sz="12" w:space="0" w:color="000000"/>
            </w:tcBorders>
          </w:tcPr>
          <w:p>
            <w:pPr/>
          </w:p>
        </w:tc>
        <w:tc>
          <w:tcPr>
            <w:tcW w:w="1855" w:type="dxa"/>
            <w:tcBorders>
              <w:top w:val="single" w:sz="12" w:space="0" w:color="000000"/>
              <w:left w:val="single" w:sz="12" w:space="0" w:color="000000"/>
              <w:bottom w:val="single" w:sz="12" w:space="0" w:color="000000"/>
              <w:right w:val="single" w:sz="12" w:space="0" w:color="000000"/>
            </w:tcBorders>
          </w:tcPr>
          <w:p>
            <w:pPr/>
          </w:p>
        </w:tc>
        <w:tc>
          <w:tcPr>
            <w:tcW w:w="17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3" w:hRule="exact"/>
        </w:trPr>
        <w:tc>
          <w:tcPr>
            <w:tcW w:w="30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b/>
                <w:bCs/>
                <w:sz w:val="18"/>
                <w:szCs w:val="18"/>
              </w:rPr>
              <w:t>2009</w:t>
            </w:r>
            <w:r>
              <w:rPr>
                <w:rFonts w:ascii="Arial" w:hAnsi="Arial" w:cs="Arial" w:eastAsia="Arial" w:hint="default"/>
                <w:b/>
                <w:bCs/>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b/>
                <w:bCs/>
                <w:sz w:val="18"/>
                <w:szCs w:val="18"/>
              </w:rPr>
              <w:t>1</w:t>
            </w:r>
            <w:r>
              <w:rPr>
                <w:rFonts w:ascii="Arial" w:hAnsi="Arial" w:cs="Arial" w:eastAsia="Arial" w:hint="default"/>
                <w:b/>
                <w:bCs/>
                <w:spacing w:val="-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Arial" w:hAnsi="Arial" w:cs="Arial" w:eastAsia="Arial" w:hint="default"/>
                <w:b/>
                <w:bCs/>
                <w:sz w:val="18"/>
                <w:szCs w:val="18"/>
              </w:rPr>
              <w:t>1</w:t>
            </w:r>
            <w:r>
              <w:rPr>
                <w:rFonts w:ascii="Arial" w:hAnsi="Arial" w:cs="Arial" w:eastAsia="Arial" w:hint="default"/>
                <w:b/>
                <w:bCs/>
                <w:spacing w:val="-7"/>
                <w:sz w:val="18"/>
                <w:szCs w:val="18"/>
              </w:rPr>
              <w:t> </w:t>
            </w:r>
            <w:r>
              <w:rPr>
                <w:rFonts w:ascii="宋体" w:hAnsi="宋体" w:cs="宋体" w:eastAsia="宋体" w:hint="default"/>
                <w:sz w:val="18"/>
                <w:szCs w:val="18"/>
              </w:rPr>
              <w:t>日年初余额</w:t>
            </w:r>
          </w:p>
        </w:tc>
        <w:tc>
          <w:tcPr>
            <w:tcW w:w="14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3"/>
              <w:jc w:val="center"/>
              <w:rPr>
                <w:rFonts w:ascii="Arial" w:hAnsi="Arial" w:cs="Arial" w:eastAsia="Arial" w:hint="default"/>
                <w:sz w:val="18"/>
                <w:szCs w:val="18"/>
              </w:rPr>
            </w:pPr>
            <w:r>
              <w:rPr>
                <w:rFonts w:ascii="Arial"/>
                <w:sz w:val="18"/>
              </w:rPr>
              <w:t>80,000,000.00</w:t>
            </w:r>
          </w:p>
        </w:tc>
        <w:tc>
          <w:tcPr>
            <w:tcW w:w="14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28,526,833.47</w:t>
            </w:r>
          </w:p>
        </w:tc>
        <w:tc>
          <w:tcPr>
            <w:tcW w:w="6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9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133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1,835,935.64</w:t>
            </w:r>
          </w:p>
        </w:tc>
        <w:tc>
          <w:tcPr>
            <w:tcW w:w="16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14,009,123.01</w:t>
            </w:r>
          </w:p>
        </w:tc>
        <w:tc>
          <w:tcPr>
            <w:tcW w:w="18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5,856,230.34</w:t>
            </w:r>
          </w:p>
        </w:tc>
        <w:tc>
          <w:tcPr>
            <w:tcW w:w="17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130,228,122.46</w:t>
            </w:r>
          </w:p>
        </w:tc>
      </w:tr>
      <w:tr>
        <w:trPr>
          <w:trHeight w:val="341" w:hRule="exact"/>
        </w:trPr>
        <w:tc>
          <w:tcPr>
            <w:tcW w:w="3007" w:type="dxa"/>
            <w:tcBorders>
              <w:top w:val="single" w:sz="12" w:space="0" w:color="000000"/>
              <w:left w:val="single" w:sz="12" w:space="0" w:color="000000"/>
              <w:bottom w:val="single" w:sz="12" w:space="0" w:color="000000"/>
              <w:right w:val="single" w:sz="12" w:space="0" w:color="000000"/>
            </w:tcBorders>
          </w:tcPr>
          <w:p>
            <w:pPr/>
          </w:p>
        </w:tc>
        <w:tc>
          <w:tcPr>
            <w:tcW w:w="1442" w:type="dxa"/>
            <w:tcBorders>
              <w:top w:val="single" w:sz="12" w:space="0" w:color="000000"/>
              <w:left w:val="single" w:sz="12" w:space="0" w:color="000000"/>
              <w:bottom w:val="single" w:sz="12" w:space="0" w:color="000000"/>
              <w:right w:val="single" w:sz="12" w:space="0" w:color="000000"/>
            </w:tcBorders>
          </w:tcPr>
          <w:p>
            <w:pPr/>
          </w:p>
        </w:tc>
        <w:tc>
          <w:tcPr>
            <w:tcW w:w="1442" w:type="dxa"/>
            <w:tcBorders>
              <w:top w:val="single" w:sz="12" w:space="0" w:color="000000"/>
              <w:left w:val="single" w:sz="12" w:space="0" w:color="000000"/>
              <w:bottom w:val="single" w:sz="12" w:space="0" w:color="000000"/>
              <w:right w:val="single" w:sz="12" w:space="0" w:color="000000"/>
            </w:tcBorders>
          </w:tcPr>
          <w:p>
            <w:pPr/>
          </w:p>
        </w:tc>
        <w:tc>
          <w:tcPr>
            <w:tcW w:w="670" w:type="dxa"/>
            <w:tcBorders>
              <w:top w:val="single" w:sz="12" w:space="0" w:color="000000"/>
              <w:left w:val="single" w:sz="12" w:space="0" w:color="000000"/>
              <w:bottom w:val="single" w:sz="12" w:space="0" w:color="000000"/>
              <w:right w:val="single" w:sz="12" w:space="0" w:color="000000"/>
            </w:tcBorders>
          </w:tcPr>
          <w:p>
            <w:pPr/>
          </w:p>
        </w:tc>
        <w:tc>
          <w:tcPr>
            <w:tcW w:w="905" w:type="dxa"/>
            <w:tcBorders>
              <w:top w:val="single" w:sz="12" w:space="0" w:color="000000"/>
              <w:left w:val="single" w:sz="12" w:space="0" w:color="000000"/>
              <w:bottom w:val="single" w:sz="12" w:space="0" w:color="000000"/>
              <w:right w:val="single" w:sz="12" w:space="0" w:color="000000"/>
            </w:tcBorders>
          </w:tcPr>
          <w:p>
            <w:pPr/>
          </w:p>
        </w:tc>
        <w:tc>
          <w:tcPr>
            <w:tcW w:w="1339" w:type="dxa"/>
            <w:tcBorders>
              <w:top w:val="single" w:sz="12" w:space="0" w:color="000000"/>
              <w:left w:val="single" w:sz="12" w:space="0" w:color="000000"/>
              <w:bottom w:val="single" w:sz="12" w:space="0" w:color="000000"/>
              <w:right w:val="single" w:sz="12" w:space="0" w:color="000000"/>
            </w:tcBorders>
          </w:tcPr>
          <w:p>
            <w:pPr/>
          </w:p>
        </w:tc>
        <w:tc>
          <w:tcPr>
            <w:tcW w:w="1603" w:type="dxa"/>
            <w:tcBorders>
              <w:top w:val="single" w:sz="12" w:space="0" w:color="000000"/>
              <w:left w:val="single" w:sz="12" w:space="0" w:color="000000"/>
              <w:bottom w:val="single" w:sz="12" w:space="0" w:color="000000"/>
              <w:right w:val="single" w:sz="12" w:space="0" w:color="000000"/>
            </w:tcBorders>
          </w:tcPr>
          <w:p>
            <w:pPr/>
          </w:p>
        </w:tc>
        <w:tc>
          <w:tcPr>
            <w:tcW w:w="1855" w:type="dxa"/>
            <w:tcBorders>
              <w:top w:val="single" w:sz="12" w:space="0" w:color="000000"/>
              <w:left w:val="single" w:sz="12" w:space="0" w:color="000000"/>
              <w:bottom w:val="single" w:sz="12" w:space="0" w:color="000000"/>
              <w:right w:val="single" w:sz="12" w:space="0" w:color="000000"/>
            </w:tcBorders>
          </w:tcPr>
          <w:p>
            <w:pPr/>
          </w:p>
        </w:tc>
        <w:tc>
          <w:tcPr>
            <w:tcW w:w="17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3" w:hRule="exact"/>
        </w:trPr>
        <w:tc>
          <w:tcPr>
            <w:tcW w:w="30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b/>
                <w:bCs/>
                <w:sz w:val="18"/>
                <w:szCs w:val="18"/>
              </w:rPr>
              <w:t>2009</w:t>
            </w:r>
            <w:r>
              <w:rPr>
                <w:rFonts w:ascii="Arial" w:hAnsi="Arial" w:cs="Arial" w:eastAsia="Arial" w:hint="default"/>
                <w:b/>
                <w:bCs/>
                <w:spacing w:val="-7"/>
                <w:sz w:val="18"/>
                <w:szCs w:val="18"/>
              </w:rPr>
              <w:t> </w:t>
            </w:r>
            <w:r>
              <w:rPr>
                <w:rFonts w:ascii="宋体" w:hAnsi="宋体" w:cs="宋体" w:eastAsia="宋体" w:hint="default"/>
                <w:sz w:val="18"/>
                <w:szCs w:val="18"/>
              </w:rPr>
              <w:t>年度增减变动额</w:t>
            </w:r>
          </w:p>
        </w:tc>
        <w:tc>
          <w:tcPr>
            <w:tcW w:w="14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2"/>
              <w:jc w:val="center"/>
              <w:rPr>
                <w:rFonts w:ascii="Arial" w:hAnsi="Arial" w:cs="Arial" w:eastAsia="Arial" w:hint="default"/>
                <w:sz w:val="18"/>
                <w:szCs w:val="18"/>
              </w:rPr>
            </w:pPr>
            <w:r>
              <w:rPr>
                <w:rFonts w:ascii="Arial"/>
                <w:w w:val="100"/>
                <w:sz w:val="18"/>
              </w:rPr>
              <w:t>-</w:t>
            </w:r>
          </w:p>
        </w:tc>
        <w:tc>
          <w:tcPr>
            <w:tcW w:w="14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6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9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133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4,194,573.10</w:t>
            </w:r>
          </w:p>
        </w:tc>
        <w:tc>
          <w:tcPr>
            <w:tcW w:w="16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42,112,799.02</w:t>
            </w:r>
          </w:p>
        </w:tc>
        <w:tc>
          <w:tcPr>
            <w:tcW w:w="18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971,730.28</w:t>
            </w:r>
          </w:p>
        </w:tc>
        <w:tc>
          <w:tcPr>
            <w:tcW w:w="17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47,279,102.40</w:t>
            </w:r>
          </w:p>
        </w:tc>
      </w:tr>
      <w:tr>
        <w:trPr>
          <w:trHeight w:val="341" w:hRule="exact"/>
        </w:trPr>
        <w:tc>
          <w:tcPr>
            <w:tcW w:w="30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一</w:t>
            </w:r>
            <w:r>
              <w:rPr>
                <w:rFonts w:ascii="Arial" w:hAnsi="Arial" w:cs="Arial" w:eastAsia="Arial" w:hint="default"/>
                <w:sz w:val="18"/>
                <w:szCs w:val="18"/>
              </w:rPr>
              <w:t>)</w:t>
            </w:r>
            <w:r>
              <w:rPr>
                <w:rFonts w:ascii="宋体" w:hAnsi="宋体" w:cs="宋体" w:eastAsia="宋体" w:hint="default"/>
                <w:sz w:val="18"/>
                <w:szCs w:val="18"/>
              </w:rPr>
              <w:t>净利润</w:t>
            </w:r>
          </w:p>
        </w:tc>
        <w:tc>
          <w:tcPr>
            <w:tcW w:w="1442" w:type="dxa"/>
            <w:tcBorders>
              <w:top w:val="single" w:sz="12" w:space="0" w:color="000000"/>
              <w:left w:val="single" w:sz="12" w:space="0" w:color="000000"/>
              <w:bottom w:val="single" w:sz="12" w:space="0" w:color="000000"/>
              <w:right w:val="single" w:sz="12" w:space="0" w:color="000000"/>
            </w:tcBorders>
          </w:tcPr>
          <w:p>
            <w:pPr/>
          </w:p>
        </w:tc>
        <w:tc>
          <w:tcPr>
            <w:tcW w:w="1442" w:type="dxa"/>
            <w:tcBorders>
              <w:top w:val="single" w:sz="12" w:space="0" w:color="000000"/>
              <w:left w:val="single" w:sz="12" w:space="0" w:color="000000"/>
              <w:bottom w:val="single" w:sz="12" w:space="0" w:color="000000"/>
              <w:right w:val="single" w:sz="12" w:space="0" w:color="000000"/>
            </w:tcBorders>
          </w:tcPr>
          <w:p>
            <w:pPr/>
          </w:p>
        </w:tc>
        <w:tc>
          <w:tcPr>
            <w:tcW w:w="670" w:type="dxa"/>
            <w:tcBorders>
              <w:top w:val="single" w:sz="12" w:space="0" w:color="000000"/>
              <w:left w:val="single" w:sz="12" w:space="0" w:color="000000"/>
              <w:bottom w:val="single" w:sz="12" w:space="0" w:color="000000"/>
              <w:right w:val="single" w:sz="12" w:space="0" w:color="000000"/>
            </w:tcBorders>
          </w:tcPr>
          <w:p>
            <w:pPr/>
          </w:p>
        </w:tc>
        <w:tc>
          <w:tcPr>
            <w:tcW w:w="905" w:type="dxa"/>
            <w:tcBorders>
              <w:top w:val="single" w:sz="12" w:space="0" w:color="000000"/>
              <w:left w:val="single" w:sz="12" w:space="0" w:color="000000"/>
              <w:bottom w:val="single" w:sz="12" w:space="0" w:color="000000"/>
              <w:right w:val="single" w:sz="12" w:space="0" w:color="000000"/>
            </w:tcBorders>
          </w:tcPr>
          <w:p>
            <w:pPr/>
          </w:p>
        </w:tc>
        <w:tc>
          <w:tcPr>
            <w:tcW w:w="1339" w:type="dxa"/>
            <w:tcBorders>
              <w:top w:val="single" w:sz="12" w:space="0" w:color="000000"/>
              <w:left w:val="single" w:sz="12" w:space="0" w:color="000000"/>
              <w:bottom w:val="single" w:sz="12" w:space="0" w:color="000000"/>
              <w:right w:val="single" w:sz="12" w:space="0" w:color="000000"/>
            </w:tcBorders>
          </w:tcPr>
          <w:p>
            <w:pPr/>
          </w:p>
        </w:tc>
        <w:tc>
          <w:tcPr>
            <w:tcW w:w="16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46,307,372.12</w:t>
            </w:r>
          </w:p>
        </w:tc>
        <w:tc>
          <w:tcPr>
            <w:tcW w:w="18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971,730.28</w:t>
            </w:r>
          </w:p>
        </w:tc>
        <w:tc>
          <w:tcPr>
            <w:tcW w:w="17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47,279,102.40</w:t>
            </w:r>
          </w:p>
        </w:tc>
      </w:tr>
      <w:tr>
        <w:trPr>
          <w:trHeight w:val="343" w:hRule="exact"/>
        </w:trPr>
        <w:tc>
          <w:tcPr>
            <w:tcW w:w="30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二</w:t>
            </w:r>
            <w:r>
              <w:rPr>
                <w:rFonts w:ascii="Arial" w:hAnsi="Arial" w:cs="Arial" w:eastAsia="Arial" w:hint="default"/>
                <w:sz w:val="18"/>
                <w:szCs w:val="18"/>
              </w:rPr>
              <w:t>)</w:t>
            </w:r>
            <w:r>
              <w:rPr>
                <w:rFonts w:ascii="宋体" w:hAnsi="宋体" w:cs="宋体" w:eastAsia="宋体" w:hint="default"/>
                <w:sz w:val="18"/>
                <w:szCs w:val="18"/>
              </w:rPr>
              <w:t>其他综合收益</w:t>
            </w:r>
          </w:p>
        </w:tc>
        <w:tc>
          <w:tcPr>
            <w:tcW w:w="1442" w:type="dxa"/>
            <w:tcBorders>
              <w:top w:val="single" w:sz="12" w:space="0" w:color="000000"/>
              <w:left w:val="single" w:sz="12" w:space="0" w:color="000000"/>
              <w:bottom w:val="single" w:sz="12" w:space="0" w:color="000000"/>
              <w:right w:val="single" w:sz="12" w:space="0" w:color="000000"/>
            </w:tcBorders>
          </w:tcPr>
          <w:p>
            <w:pPr/>
          </w:p>
        </w:tc>
        <w:tc>
          <w:tcPr>
            <w:tcW w:w="1442" w:type="dxa"/>
            <w:tcBorders>
              <w:top w:val="single" w:sz="12" w:space="0" w:color="000000"/>
              <w:left w:val="single" w:sz="12" w:space="0" w:color="000000"/>
              <w:bottom w:val="single" w:sz="12" w:space="0" w:color="000000"/>
              <w:right w:val="single" w:sz="12" w:space="0" w:color="000000"/>
            </w:tcBorders>
          </w:tcPr>
          <w:p>
            <w:pPr/>
          </w:p>
        </w:tc>
        <w:tc>
          <w:tcPr>
            <w:tcW w:w="670" w:type="dxa"/>
            <w:tcBorders>
              <w:top w:val="single" w:sz="12" w:space="0" w:color="000000"/>
              <w:left w:val="single" w:sz="12" w:space="0" w:color="000000"/>
              <w:bottom w:val="single" w:sz="12" w:space="0" w:color="000000"/>
              <w:right w:val="single" w:sz="12" w:space="0" w:color="000000"/>
            </w:tcBorders>
          </w:tcPr>
          <w:p>
            <w:pPr/>
          </w:p>
        </w:tc>
        <w:tc>
          <w:tcPr>
            <w:tcW w:w="905" w:type="dxa"/>
            <w:tcBorders>
              <w:top w:val="single" w:sz="12" w:space="0" w:color="000000"/>
              <w:left w:val="single" w:sz="12" w:space="0" w:color="000000"/>
              <w:bottom w:val="single" w:sz="12" w:space="0" w:color="000000"/>
              <w:right w:val="single" w:sz="12" w:space="0" w:color="000000"/>
            </w:tcBorders>
          </w:tcPr>
          <w:p>
            <w:pPr/>
          </w:p>
        </w:tc>
        <w:tc>
          <w:tcPr>
            <w:tcW w:w="1339" w:type="dxa"/>
            <w:tcBorders>
              <w:top w:val="single" w:sz="12" w:space="0" w:color="000000"/>
              <w:left w:val="single" w:sz="12" w:space="0" w:color="000000"/>
              <w:bottom w:val="single" w:sz="12" w:space="0" w:color="000000"/>
              <w:right w:val="single" w:sz="12" w:space="0" w:color="000000"/>
            </w:tcBorders>
          </w:tcPr>
          <w:p>
            <w:pPr/>
          </w:p>
        </w:tc>
        <w:tc>
          <w:tcPr>
            <w:tcW w:w="1603" w:type="dxa"/>
            <w:tcBorders>
              <w:top w:val="single" w:sz="12" w:space="0" w:color="000000"/>
              <w:left w:val="single" w:sz="12" w:space="0" w:color="000000"/>
              <w:bottom w:val="single" w:sz="12" w:space="0" w:color="000000"/>
              <w:right w:val="single" w:sz="12" w:space="0" w:color="000000"/>
            </w:tcBorders>
          </w:tcPr>
          <w:p>
            <w:pPr/>
          </w:p>
        </w:tc>
        <w:tc>
          <w:tcPr>
            <w:tcW w:w="1855" w:type="dxa"/>
            <w:tcBorders>
              <w:top w:val="single" w:sz="12" w:space="0" w:color="000000"/>
              <w:left w:val="single" w:sz="12" w:space="0" w:color="000000"/>
              <w:bottom w:val="single" w:sz="12" w:space="0" w:color="000000"/>
              <w:right w:val="single" w:sz="12" w:space="0" w:color="000000"/>
            </w:tcBorders>
          </w:tcPr>
          <w:p>
            <w:pPr/>
          </w:p>
        </w:tc>
        <w:tc>
          <w:tcPr>
            <w:tcW w:w="17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1" w:hRule="exact"/>
        </w:trPr>
        <w:tc>
          <w:tcPr>
            <w:tcW w:w="30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上述</w:t>
            </w:r>
            <w:r>
              <w:rPr>
                <w:rFonts w:ascii="Arial" w:hAnsi="Arial" w:cs="Arial" w:eastAsia="Arial" w:hint="default"/>
                <w:b/>
                <w:bCs/>
                <w:sz w:val="18"/>
                <w:szCs w:val="18"/>
              </w:rPr>
              <w:t>(</w:t>
            </w:r>
            <w:r>
              <w:rPr>
                <w:rFonts w:ascii="宋体" w:hAnsi="宋体" w:cs="宋体" w:eastAsia="宋体" w:hint="default"/>
                <w:sz w:val="18"/>
                <w:szCs w:val="18"/>
              </w:rPr>
              <w:t>一</w:t>
            </w:r>
            <w:r>
              <w:rPr>
                <w:rFonts w:ascii="Arial" w:hAnsi="Arial" w:cs="Arial" w:eastAsia="Arial" w:hint="default"/>
                <w:b/>
                <w:bCs/>
                <w:sz w:val="18"/>
                <w:szCs w:val="18"/>
              </w:rPr>
              <w:t>)</w:t>
            </w:r>
            <w:r>
              <w:rPr>
                <w:rFonts w:ascii="宋体" w:hAnsi="宋体" w:cs="宋体" w:eastAsia="宋体" w:hint="default"/>
                <w:sz w:val="18"/>
                <w:szCs w:val="18"/>
              </w:rPr>
              <w:t>和</w:t>
            </w:r>
            <w:r>
              <w:rPr>
                <w:rFonts w:ascii="Arial" w:hAnsi="Arial" w:cs="Arial" w:eastAsia="Arial" w:hint="default"/>
                <w:b/>
                <w:bCs/>
                <w:sz w:val="18"/>
                <w:szCs w:val="18"/>
              </w:rPr>
              <w:t>(</w:t>
            </w:r>
            <w:r>
              <w:rPr>
                <w:rFonts w:ascii="宋体" w:hAnsi="宋体" w:cs="宋体" w:eastAsia="宋体" w:hint="default"/>
                <w:sz w:val="18"/>
                <w:szCs w:val="18"/>
              </w:rPr>
              <w:t>二</w:t>
            </w:r>
            <w:r>
              <w:rPr>
                <w:rFonts w:ascii="Arial" w:hAnsi="Arial" w:cs="Arial" w:eastAsia="Arial" w:hint="default"/>
                <w:b/>
                <w:bCs/>
                <w:sz w:val="18"/>
                <w:szCs w:val="18"/>
              </w:rPr>
              <w:t>)</w:t>
            </w:r>
            <w:r>
              <w:rPr>
                <w:rFonts w:ascii="宋体" w:hAnsi="宋体" w:cs="宋体" w:eastAsia="宋体" w:hint="default"/>
                <w:sz w:val="18"/>
                <w:szCs w:val="18"/>
              </w:rPr>
              <w:t>小计</w:t>
            </w:r>
          </w:p>
        </w:tc>
        <w:tc>
          <w:tcPr>
            <w:tcW w:w="14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2"/>
              <w:jc w:val="center"/>
              <w:rPr>
                <w:rFonts w:ascii="Arial" w:hAnsi="Arial" w:cs="Arial" w:eastAsia="Arial" w:hint="default"/>
                <w:sz w:val="18"/>
                <w:szCs w:val="18"/>
              </w:rPr>
            </w:pPr>
            <w:r>
              <w:rPr>
                <w:rFonts w:ascii="Arial"/>
                <w:w w:val="100"/>
                <w:sz w:val="18"/>
              </w:rPr>
              <w:t>-</w:t>
            </w:r>
          </w:p>
        </w:tc>
        <w:tc>
          <w:tcPr>
            <w:tcW w:w="14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6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9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133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16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46,307,372.12</w:t>
            </w:r>
          </w:p>
        </w:tc>
        <w:tc>
          <w:tcPr>
            <w:tcW w:w="18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971,730.28</w:t>
            </w:r>
          </w:p>
        </w:tc>
        <w:tc>
          <w:tcPr>
            <w:tcW w:w="17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47,279,102.40</w:t>
            </w:r>
          </w:p>
        </w:tc>
      </w:tr>
      <w:tr>
        <w:trPr>
          <w:trHeight w:val="343" w:hRule="exact"/>
        </w:trPr>
        <w:tc>
          <w:tcPr>
            <w:tcW w:w="30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三</w:t>
            </w:r>
            <w:r>
              <w:rPr>
                <w:rFonts w:ascii="Arial" w:hAnsi="Arial" w:cs="Arial" w:eastAsia="Arial" w:hint="default"/>
                <w:sz w:val="18"/>
                <w:szCs w:val="18"/>
              </w:rPr>
              <w:t>)</w:t>
            </w:r>
            <w:r>
              <w:rPr>
                <w:rFonts w:ascii="宋体" w:hAnsi="宋体" w:cs="宋体" w:eastAsia="宋体" w:hint="default"/>
                <w:sz w:val="18"/>
                <w:szCs w:val="18"/>
              </w:rPr>
              <w:t>所有者投入和减少资本</w:t>
            </w:r>
          </w:p>
        </w:tc>
        <w:tc>
          <w:tcPr>
            <w:tcW w:w="14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2"/>
              <w:jc w:val="center"/>
              <w:rPr>
                <w:rFonts w:ascii="Arial" w:hAnsi="Arial" w:cs="Arial" w:eastAsia="Arial" w:hint="default"/>
                <w:sz w:val="18"/>
                <w:szCs w:val="18"/>
              </w:rPr>
            </w:pPr>
            <w:r>
              <w:rPr>
                <w:rFonts w:ascii="Arial"/>
                <w:w w:val="100"/>
                <w:sz w:val="18"/>
              </w:rPr>
              <w:t>-</w:t>
            </w:r>
          </w:p>
        </w:tc>
        <w:tc>
          <w:tcPr>
            <w:tcW w:w="14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6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9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133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16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18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17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1" w:hRule="exact"/>
        </w:trPr>
        <w:tc>
          <w:tcPr>
            <w:tcW w:w="30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所有者投入资本</w:t>
            </w:r>
          </w:p>
        </w:tc>
        <w:tc>
          <w:tcPr>
            <w:tcW w:w="1442" w:type="dxa"/>
            <w:tcBorders>
              <w:top w:val="single" w:sz="12" w:space="0" w:color="000000"/>
              <w:left w:val="single" w:sz="12" w:space="0" w:color="000000"/>
              <w:bottom w:val="single" w:sz="12" w:space="0" w:color="000000"/>
              <w:right w:val="single" w:sz="12" w:space="0" w:color="000000"/>
            </w:tcBorders>
          </w:tcPr>
          <w:p>
            <w:pPr/>
          </w:p>
        </w:tc>
        <w:tc>
          <w:tcPr>
            <w:tcW w:w="1442" w:type="dxa"/>
            <w:tcBorders>
              <w:top w:val="single" w:sz="12" w:space="0" w:color="000000"/>
              <w:left w:val="single" w:sz="12" w:space="0" w:color="000000"/>
              <w:bottom w:val="single" w:sz="12" w:space="0" w:color="000000"/>
              <w:right w:val="single" w:sz="12" w:space="0" w:color="000000"/>
            </w:tcBorders>
          </w:tcPr>
          <w:p>
            <w:pPr/>
          </w:p>
        </w:tc>
        <w:tc>
          <w:tcPr>
            <w:tcW w:w="670" w:type="dxa"/>
            <w:tcBorders>
              <w:top w:val="single" w:sz="12" w:space="0" w:color="000000"/>
              <w:left w:val="single" w:sz="12" w:space="0" w:color="000000"/>
              <w:bottom w:val="single" w:sz="12" w:space="0" w:color="000000"/>
              <w:right w:val="single" w:sz="12" w:space="0" w:color="000000"/>
            </w:tcBorders>
          </w:tcPr>
          <w:p>
            <w:pPr/>
          </w:p>
        </w:tc>
        <w:tc>
          <w:tcPr>
            <w:tcW w:w="905" w:type="dxa"/>
            <w:tcBorders>
              <w:top w:val="single" w:sz="12" w:space="0" w:color="000000"/>
              <w:left w:val="single" w:sz="12" w:space="0" w:color="000000"/>
              <w:bottom w:val="single" w:sz="12" w:space="0" w:color="000000"/>
              <w:right w:val="single" w:sz="12" w:space="0" w:color="000000"/>
            </w:tcBorders>
          </w:tcPr>
          <w:p>
            <w:pPr/>
          </w:p>
        </w:tc>
        <w:tc>
          <w:tcPr>
            <w:tcW w:w="1339" w:type="dxa"/>
            <w:tcBorders>
              <w:top w:val="single" w:sz="12" w:space="0" w:color="000000"/>
              <w:left w:val="single" w:sz="12" w:space="0" w:color="000000"/>
              <w:bottom w:val="single" w:sz="12" w:space="0" w:color="000000"/>
              <w:right w:val="single" w:sz="12" w:space="0" w:color="000000"/>
            </w:tcBorders>
          </w:tcPr>
          <w:p>
            <w:pPr/>
          </w:p>
        </w:tc>
        <w:tc>
          <w:tcPr>
            <w:tcW w:w="1603" w:type="dxa"/>
            <w:tcBorders>
              <w:top w:val="single" w:sz="12" w:space="0" w:color="000000"/>
              <w:left w:val="single" w:sz="12" w:space="0" w:color="000000"/>
              <w:bottom w:val="single" w:sz="12" w:space="0" w:color="000000"/>
              <w:right w:val="single" w:sz="12" w:space="0" w:color="000000"/>
            </w:tcBorders>
          </w:tcPr>
          <w:p>
            <w:pPr/>
          </w:p>
        </w:tc>
        <w:tc>
          <w:tcPr>
            <w:tcW w:w="1855" w:type="dxa"/>
            <w:tcBorders>
              <w:top w:val="single" w:sz="12" w:space="0" w:color="000000"/>
              <w:left w:val="single" w:sz="12" w:space="0" w:color="000000"/>
              <w:bottom w:val="single" w:sz="12" w:space="0" w:color="000000"/>
              <w:right w:val="single" w:sz="12" w:space="0" w:color="000000"/>
            </w:tcBorders>
          </w:tcPr>
          <w:p>
            <w:pPr/>
          </w:p>
        </w:tc>
        <w:tc>
          <w:tcPr>
            <w:tcW w:w="17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3" w:hRule="exact"/>
        </w:trPr>
        <w:tc>
          <w:tcPr>
            <w:tcW w:w="30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股份支付计入股东权益的金额</w:t>
            </w:r>
          </w:p>
        </w:tc>
        <w:tc>
          <w:tcPr>
            <w:tcW w:w="1442" w:type="dxa"/>
            <w:tcBorders>
              <w:top w:val="single" w:sz="12" w:space="0" w:color="000000"/>
              <w:left w:val="single" w:sz="12" w:space="0" w:color="000000"/>
              <w:bottom w:val="single" w:sz="12" w:space="0" w:color="000000"/>
              <w:right w:val="single" w:sz="12" w:space="0" w:color="000000"/>
            </w:tcBorders>
          </w:tcPr>
          <w:p>
            <w:pPr/>
          </w:p>
        </w:tc>
        <w:tc>
          <w:tcPr>
            <w:tcW w:w="1442" w:type="dxa"/>
            <w:tcBorders>
              <w:top w:val="single" w:sz="12" w:space="0" w:color="000000"/>
              <w:left w:val="single" w:sz="12" w:space="0" w:color="000000"/>
              <w:bottom w:val="single" w:sz="12" w:space="0" w:color="000000"/>
              <w:right w:val="single" w:sz="12" w:space="0" w:color="000000"/>
            </w:tcBorders>
          </w:tcPr>
          <w:p>
            <w:pPr/>
          </w:p>
        </w:tc>
        <w:tc>
          <w:tcPr>
            <w:tcW w:w="670" w:type="dxa"/>
            <w:tcBorders>
              <w:top w:val="single" w:sz="12" w:space="0" w:color="000000"/>
              <w:left w:val="single" w:sz="12" w:space="0" w:color="000000"/>
              <w:bottom w:val="single" w:sz="12" w:space="0" w:color="000000"/>
              <w:right w:val="single" w:sz="12" w:space="0" w:color="000000"/>
            </w:tcBorders>
          </w:tcPr>
          <w:p>
            <w:pPr/>
          </w:p>
        </w:tc>
        <w:tc>
          <w:tcPr>
            <w:tcW w:w="905" w:type="dxa"/>
            <w:tcBorders>
              <w:top w:val="single" w:sz="12" w:space="0" w:color="000000"/>
              <w:left w:val="single" w:sz="12" w:space="0" w:color="000000"/>
              <w:bottom w:val="single" w:sz="12" w:space="0" w:color="000000"/>
              <w:right w:val="single" w:sz="12" w:space="0" w:color="000000"/>
            </w:tcBorders>
          </w:tcPr>
          <w:p>
            <w:pPr/>
          </w:p>
        </w:tc>
        <w:tc>
          <w:tcPr>
            <w:tcW w:w="1339" w:type="dxa"/>
            <w:tcBorders>
              <w:top w:val="single" w:sz="12" w:space="0" w:color="000000"/>
              <w:left w:val="single" w:sz="12" w:space="0" w:color="000000"/>
              <w:bottom w:val="single" w:sz="12" w:space="0" w:color="000000"/>
              <w:right w:val="single" w:sz="12" w:space="0" w:color="000000"/>
            </w:tcBorders>
          </w:tcPr>
          <w:p>
            <w:pPr/>
          </w:p>
        </w:tc>
        <w:tc>
          <w:tcPr>
            <w:tcW w:w="1603" w:type="dxa"/>
            <w:tcBorders>
              <w:top w:val="single" w:sz="12" w:space="0" w:color="000000"/>
              <w:left w:val="single" w:sz="12" w:space="0" w:color="000000"/>
              <w:bottom w:val="single" w:sz="12" w:space="0" w:color="000000"/>
              <w:right w:val="single" w:sz="12" w:space="0" w:color="000000"/>
            </w:tcBorders>
          </w:tcPr>
          <w:p>
            <w:pPr/>
          </w:p>
        </w:tc>
        <w:tc>
          <w:tcPr>
            <w:tcW w:w="1855" w:type="dxa"/>
            <w:tcBorders>
              <w:top w:val="single" w:sz="12" w:space="0" w:color="000000"/>
              <w:left w:val="single" w:sz="12" w:space="0" w:color="000000"/>
              <w:bottom w:val="single" w:sz="12" w:space="0" w:color="000000"/>
              <w:right w:val="single" w:sz="12" w:space="0" w:color="000000"/>
            </w:tcBorders>
          </w:tcPr>
          <w:p>
            <w:pPr/>
          </w:p>
        </w:tc>
        <w:tc>
          <w:tcPr>
            <w:tcW w:w="17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1" w:hRule="exact"/>
        </w:trPr>
        <w:tc>
          <w:tcPr>
            <w:tcW w:w="30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w:t>
            </w:r>
          </w:p>
        </w:tc>
        <w:tc>
          <w:tcPr>
            <w:tcW w:w="1442" w:type="dxa"/>
            <w:tcBorders>
              <w:top w:val="single" w:sz="12" w:space="0" w:color="000000"/>
              <w:left w:val="single" w:sz="12" w:space="0" w:color="000000"/>
              <w:bottom w:val="single" w:sz="12" w:space="0" w:color="000000"/>
              <w:right w:val="single" w:sz="12" w:space="0" w:color="000000"/>
            </w:tcBorders>
          </w:tcPr>
          <w:p>
            <w:pPr/>
          </w:p>
        </w:tc>
        <w:tc>
          <w:tcPr>
            <w:tcW w:w="1442" w:type="dxa"/>
            <w:tcBorders>
              <w:top w:val="single" w:sz="12" w:space="0" w:color="000000"/>
              <w:left w:val="single" w:sz="12" w:space="0" w:color="000000"/>
              <w:bottom w:val="single" w:sz="12" w:space="0" w:color="000000"/>
              <w:right w:val="single" w:sz="12" w:space="0" w:color="000000"/>
            </w:tcBorders>
          </w:tcPr>
          <w:p>
            <w:pPr/>
          </w:p>
        </w:tc>
        <w:tc>
          <w:tcPr>
            <w:tcW w:w="670" w:type="dxa"/>
            <w:tcBorders>
              <w:top w:val="single" w:sz="12" w:space="0" w:color="000000"/>
              <w:left w:val="single" w:sz="12" w:space="0" w:color="000000"/>
              <w:bottom w:val="single" w:sz="12" w:space="0" w:color="000000"/>
              <w:right w:val="single" w:sz="12" w:space="0" w:color="000000"/>
            </w:tcBorders>
          </w:tcPr>
          <w:p>
            <w:pPr/>
          </w:p>
        </w:tc>
        <w:tc>
          <w:tcPr>
            <w:tcW w:w="905" w:type="dxa"/>
            <w:tcBorders>
              <w:top w:val="single" w:sz="12" w:space="0" w:color="000000"/>
              <w:left w:val="single" w:sz="12" w:space="0" w:color="000000"/>
              <w:bottom w:val="single" w:sz="12" w:space="0" w:color="000000"/>
              <w:right w:val="single" w:sz="12" w:space="0" w:color="000000"/>
            </w:tcBorders>
          </w:tcPr>
          <w:p>
            <w:pPr/>
          </w:p>
        </w:tc>
        <w:tc>
          <w:tcPr>
            <w:tcW w:w="1339" w:type="dxa"/>
            <w:tcBorders>
              <w:top w:val="single" w:sz="12" w:space="0" w:color="000000"/>
              <w:left w:val="single" w:sz="12" w:space="0" w:color="000000"/>
              <w:bottom w:val="single" w:sz="12" w:space="0" w:color="000000"/>
              <w:right w:val="single" w:sz="12" w:space="0" w:color="000000"/>
            </w:tcBorders>
          </w:tcPr>
          <w:p>
            <w:pPr/>
          </w:p>
        </w:tc>
        <w:tc>
          <w:tcPr>
            <w:tcW w:w="1603" w:type="dxa"/>
            <w:tcBorders>
              <w:top w:val="single" w:sz="12" w:space="0" w:color="000000"/>
              <w:left w:val="single" w:sz="12" w:space="0" w:color="000000"/>
              <w:bottom w:val="single" w:sz="12" w:space="0" w:color="000000"/>
              <w:right w:val="single" w:sz="12" w:space="0" w:color="000000"/>
            </w:tcBorders>
          </w:tcPr>
          <w:p>
            <w:pPr/>
          </w:p>
        </w:tc>
        <w:tc>
          <w:tcPr>
            <w:tcW w:w="1855" w:type="dxa"/>
            <w:tcBorders>
              <w:top w:val="single" w:sz="12" w:space="0" w:color="000000"/>
              <w:left w:val="single" w:sz="12" w:space="0" w:color="000000"/>
              <w:bottom w:val="single" w:sz="12" w:space="0" w:color="000000"/>
              <w:right w:val="single" w:sz="12" w:space="0" w:color="000000"/>
            </w:tcBorders>
          </w:tcPr>
          <w:p>
            <w:pPr/>
          </w:p>
        </w:tc>
        <w:tc>
          <w:tcPr>
            <w:tcW w:w="17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3" w:hRule="exact"/>
        </w:trPr>
        <w:tc>
          <w:tcPr>
            <w:tcW w:w="30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四</w:t>
            </w:r>
            <w:r>
              <w:rPr>
                <w:rFonts w:ascii="Arial" w:hAnsi="Arial" w:cs="Arial" w:eastAsia="Arial" w:hint="default"/>
                <w:sz w:val="18"/>
                <w:szCs w:val="18"/>
              </w:rPr>
              <w:t>)</w:t>
            </w:r>
            <w:r>
              <w:rPr>
                <w:rFonts w:ascii="宋体" w:hAnsi="宋体" w:cs="宋体" w:eastAsia="宋体" w:hint="default"/>
                <w:sz w:val="18"/>
                <w:szCs w:val="18"/>
              </w:rPr>
              <w:t>利润分配</w:t>
            </w:r>
          </w:p>
        </w:tc>
        <w:tc>
          <w:tcPr>
            <w:tcW w:w="14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2"/>
              <w:jc w:val="center"/>
              <w:rPr>
                <w:rFonts w:ascii="Arial" w:hAnsi="Arial" w:cs="Arial" w:eastAsia="Arial" w:hint="default"/>
                <w:sz w:val="18"/>
                <w:szCs w:val="18"/>
              </w:rPr>
            </w:pPr>
            <w:r>
              <w:rPr>
                <w:rFonts w:ascii="Arial"/>
                <w:w w:val="100"/>
                <w:sz w:val="18"/>
              </w:rPr>
              <w:t>-</w:t>
            </w:r>
          </w:p>
        </w:tc>
        <w:tc>
          <w:tcPr>
            <w:tcW w:w="14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6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9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133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4,194,573.10</w:t>
            </w:r>
          </w:p>
        </w:tc>
        <w:tc>
          <w:tcPr>
            <w:tcW w:w="16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-4,194,573.10</w:t>
            </w:r>
          </w:p>
        </w:tc>
        <w:tc>
          <w:tcPr>
            <w:tcW w:w="18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17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1" w:hRule="exact"/>
        </w:trPr>
        <w:tc>
          <w:tcPr>
            <w:tcW w:w="30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提取盈余公积</w:t>
            </w:r>
          </w:p>
        </w:tc>
        <w:tc>
          <w:tcPr>
            <w:tcW w:w="1442" w:type="dxa"/>
            <w:tcBorders>
              <w:top w:val="single" w:sz="12" w:space="0" w:color="000000"/>
              <w:left w:val="single" w:sz="12" w:space="0" w:color="000000"/>
              <w:bottom w:val="single" w:sz="12" w:space="0" w:color="000000"/>
              <w:right w:val="single" w:sz="12" w:space="0" w:color="000000"/>
            </w:tcBorders>
          </w:tcPr>
          <w:p>
            <w:pPr/>
          </w:p>
        </w:tc>
        <w:tc>
          <w:tcPr>
            <w:tcW w:w="1442" w:type="dxa"/>
            <w:tcBorders>
              <w:top w:val="single" w:sz="12" w:space="0" w:color="000000"/>
              <w:left w:val="single" w:sz="12" w:space="0" w:color="000000"/>
              <w:bottom w:val="single" w:sz="12" w:space="0" w:color="000000"/>
              <w:right w:val="single" w:sz="12" w:space="0" w:color="000000"/>
            </w:tcBorders>
          </w:tcPr>
          <w:p>
            <w:pPr/>
          </w:p>
        </w:tc>
        <w:tc>
          <w:tcPr>
            <w:tcW w:w="670" w:type="dxa"/>
            <w:tcBorders>
              <w:top w:val="single" w:sz="12" w:space="0" w:color="000000"/>
              <w:left w:val="single" w:sz="12" w:space="0" w:color="000000"/>
              <w:bottom w:val="single" w:sz="12" w:space="0" w:color="000000"/>
              <w:right w:val="single" w:sz="12" w:space="0" w:color="000000"/>
            </w:tcBorders>
          </w:tcPr>
          <w:p>
            <w:pPr/>
          </w:p>
        </w:tc>
        <w:tc>
          <w:tcPr>
            <w:tcW w:w="905" w:type="dxa"/>
            <w:tcBorders>
              <w:top w:val="single" w:sz="12" w:space="0" w:color="000000"/>
              <w:left w:val="single" w:sz="12" w:space="0" w:color="000000"/>
              <w:bottom w:val="single" w:sz="12" w:space="0" w:color="000000"/>
              <w:right w:val="single" w:sz="12" w:space="0" w:color="000000"/>
            </w:tcBorders>
          </w:tcPr>
          <w:p>
            <w:pPr/>
          </w:p>
        </w:tc>
        <w:tc>
          <w:tcPr>
            <w:tcW w:w="133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4,194,573.10</w:t>
            </w:r>
          </w:p>
        </w:tc>
        <w:tc>
          <w:tcPr>
            <w:tcW w:w="16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-4,194,573.10</w:t>
            </w:r>
          </w:p>
        </w:tc>
        <w:tc>
          <w:tcPr>
            <w:tcW w:w="1855" w:type="dxa"/>
            <w:tcBorders>
              <w:top w:val="single" w:sz="12" w:space="0" w:color="000000"/>
              <w:left w:val="single" w:sz="12" w:space="0" w:color="000000"/>
              <w:bottom w:val="single" w:sz="12" w:space="0" w:color="000000"/>
              <w:right w:val="single" w:sz="12" w:space="0" w:color="000000"/>
            </w:tcBorders>
          </w:tcPr>
          <w:p>
            <w:pPr/>
          </w:p>
        </w:tc>
        <w:tc>
          <w:tcPr>
            <w:tcW w:w="17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3" w:hRule="exact"/>
        </w:trPr>
        <w:tc>
          <w:tcPr>
            <w:tcW w:w="30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对股东的分配</w:t>
            </w:r>
          </w:p>
        </w:tc>
        <w:tc>
          <w:tcPr>
            <w:tcW w:w="1442" w:type="dxa"/>
            <w:tcBorders>
              <w:top w:val="single" w:sz="12" w:space="0" w:color="000000"/>
              <w:left w:val="single" w:sz="12" w:space="0" w:color="000000"/>
              <w:bottom w:val="single" w:sz="12" w:space="0" w:color="000000"/>
              <w:right w:val="single" w:sz="12" w:space="0" w:color="000000"/>
            </w:tcBorders>
          </w:tcPr>
          <w:p>
            <w:pPr/>
          </w:p>
        </w:tc>
        <w:tc>
          <w:tcPr>
            <w:tcW w:w="1442" w:type="dxa"/>
            <w:tcBorders>
              <w:top w:val="single" w:sz="12" w:space="0" w:color="000000"/>
              <w:left w:val="single" w:sz="12" w:space="0" w:color="000000"/>
              <w:bottom w:val="single" w:sz="12" w:space="0" w:color="000000"/>
              <w:right w:val="single" w:sz="12" w:space="0" w:color="000000"/>
            </w:tcBorders>
          </w:tcPr>
          <w:p>
            <w:pPr/>
          </w:p>
        </w:tc>
        <w:tc>
          <w:tcPr>
            <w:tcW w:w="670" w:type="dxa"/>
            <w:tcBorders>
              <w:top w:val="single" w:sz="12" w:space="0" w:color="000000"/>
              <w:left w:val="single" w:sz="12" w:space="0" w:color="000000"/>
              <w:bottom w:val="single" w:sz="12" w:space="0" w:color="000000"/>
              <w:right w:val="single" w:sz="12" w:space="0" w:color="000000"/>
            </w:tcBorders>
          </w:tcPr>
          <w:p>
            <w:pPr/>
          </w:p>
        </w:tc>
        <w:tc>
          <w:tcPr>
            <w:tcW w:w="905" w:type="dxa"/>
            <w:tcBorders>
              <w:top w:val="single" w:sz="12" w:space="0" w:color="000000"/>
              <w:left w:val="single" w:sz="12" w:space="0" w:color="000000"/>
              <w:bottom w:val="single" w:sz="12" w:space="0" w:color="000000"/>
              <w:right w:val="single" w:sz="12" w:space="0" w:color="000000"/>
            </w:tcBorders>
          </w:tcPr>
          <w:p>
            <w:pPr/>
          </w:p>
        </w:tc>
        <w:tc>
          <w:tcPr>
            <w:tcW w:w="1339" w:type="dxa"/>
            <w:tcBorders>
              <w:top w:val="single" w:sz="12" w:space="0" w:color="000000"/>
              <w:left w:val="single" w:sz="12" w:space="0" w:color="000000"/>
              <w:bottom w:val="single" w:sz="12" w:space="0" w:color="000000"/>
              <w:right w:val="single" w:sz="12" w:space="0" w:color="000000"/>
            </w:tcBorders>
          </w:tcPr>
          <w:p>
            <w:pPr/>
          </w:p>
        </w:tc>
        <w:tc>
          <w:tcPr>
            <w:tcW w:w="1603" w:type="dxa"/>
            <w:tcBorders>
              <w:top w:val="single" w:sz="12" w:space="0" w:color="000000"/>
              <w:left w:val="single" w:sz="12" w:space="0" w:color="000000"/>
              <w:bottom w:val="single" w:sz="12" w:space="0" w:color="000000"/>
              <w:right w:val="single" w:sz="12" w:space="0" w:color="000000"/>
            </w:tcBorders>
          </w:tcPr>
          <w:p>
            <w:pPr/>
          </w:p>
        </w:tc>
        <w:tc>
          <w:tcPr>
            <w:tcW w:w="1855" w:type="dxa"/>
            <w:tcBorders>
              <w:top w:val="single" w:sz="12" w:space="0" w:color="000000"/>
              <w:left w:val="single" w:sz="12" w:space="0" w:color="000000"/>
              <w:bottom w:val="single" w:sz="12" w:space="0" w:color="000000"/>
              <w:right w:val="single" w:sz="12" w:space="0" w:color="000000"/>
            </w:tcBorders>
          </w:tcPr>
          <w:p>
            <w:pPr/>
          </w:p>
        </w:tc>
        <w:tc>
          <w:tcPr>
            <w:tcW w:w="17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1" w:hRule="exact"/>
        </w:trPr>
        <w:tc>
          <w:tcPr>
            <w:tcW w:w="30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w:t>
            </w:r>
          </w:p>
        </w:tc>
        <w:tc>
          <w:tcPr>
            <w:tcW w:w="1442" w:type="dxa"/>
            <w:tcBorders>
              <w:top w:val="single" w:sz="12" w:space="0" w:color="000000"/>
              <w:left w:val="single" w:sz="12" w:space="0" w:color="000000"/>
              <w:bottom w:val="single" w:sz="12" w:space="0" w:color="000000"/>
              <w:right w:val="single" w:sz="12" w:space="0" w:color="000000"/>
            </w:tcBorders>
          </w:tcPr>
          <w:p>
            <w:pPr/>
          </w:p>
        </w:tc>
        <w:tc>
          <w:tcPr>
            <w:tcW w:w="1442" w:type="dxa"/>
            <w:tcBorders>
              <w:top w:val="single" w:sz="12" w:space="0" w:color="000000"/>
              <w:left w:val="single" w:sz="12" w:space="0" w:color="000000"/>
              <w:bottom w:val="single" w:sz="12" w:space="0" w:color="000000"/>
              <w:right w:val="single" w:sz="12" w:space="0" w:color="000000"/>
            </w:tcBorders>
          </w:tcPr>
          <w:p>
            <w:pPr/>
          </w:p>
        </w:tc>
        <w:tc>
          <w:tcPr>
            <w:tcW w:w="670" w:type="dxa"/>
            <w:tcBorders>
              <w:top w:val="single" w:sz="12" w:space="0" w:color="000000"/>
              <w:left w:val="single" w:sz="12" w:space="0" w:color="000000"/>
              <w:bottom w:val="single" w:sz="12" w:space="0" w:color="000000"/>
              <w:right w:val="single" w:sz="12" w:space="0" w:color="000000"/>
            </w:tcBorders>
          </w:tcPr>
          <w:p>
            <w:pPr/>
          </w:p>
        </w:tc>
        <w:tc>
          <w:tcPr>
            <w:tcW w:w="905" w:type="dxa"/>
            <w:tcBorders>
              <w:top w:val="single" w:sz="12" w:space="0" w:color="000000"/>
              <w:left w:val="single" w:sz="12" w:space="0" w:color="000000"/>
              <w:bottom w:val="single" w:sz="12" w:space="0" w:color="000000"/>
              <w:right w:val="single" w:sz="12" w:space="0" w:color="000000"/>
            </w:tcBorders>
          </w:tcPr>
          <w:p>
            <w:pPr/>
          </w:p>
        </w:tc>
        <w:tc>
          <w:tcPr>
            <w:tcW w:w="1339" w:type="dxa"/>
            <w:tcBorders>
              <w:top w:val="single" w:sz="12" w:space="0" w:color="000000"/>
              <w:left w:val="single" w:sz="12" w:space="0" w:color="000000"/>
              <w:bottom w:val="single" w:sz="12" w:space="0" w:color="000000"/>
              <w:right w:val="single" w:sz="12" w:space="0" w:color="000000"/>
            </w:tcBorders>
          </w:tcPr>
          <w:p>
            <w:pPr/>
          </w:p>
        </w:tc>
        <w:tc>
          <w:tcPr>
            <w:tcW w:w="1603" w:type="dxa"/>
            <w:tcBorders>
              <w:top w:val="single" w:sz="12" w:space="0" w:color="000000"/>
              <w:left w:val="single" w:sz="12" w:space="0" w:color="000000"/>
              <w:bottom w:val="single" w:sz="12" w:space="0" w:color="000000"/>
              <w:right w:val="single" w:sz="12" w:space="0" w:color="000000"/>
            </w:tcBorders>
          </w:tcPr>
          <w:p>
            <w:pPr/>
          </w:p>
        </w:tc>
        <w:tc>
          <w:tcPr>
            <w:tcW w:w="1855" w:type="dxa"/>
            <w:tcBorders>
              <w:top w:val="single" w:sz="12" w:space="0" w:color="000000"/>
              <w:left w:val="single" w:sz="12" w:space="0" w:color="000000"/>
              <w:bottom w:val="single" w:sz="12" w:space="0" w:color="000000"/>
              <w:right w:val="single" w:sz="12" w:space="0" w:color="000000"/>
            </w:tcBorders>
          </w:tcPr>
          <w:p>
            <w:pPr/>
          </w:p>
        </w:tc>
        <w:tc>
          <w:tcPr>
            <w:tcW w:w="17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3" w:hRule="exact"/>
        </w:trPr>
        <w:tc>
          <w:tcPr>
            <w:tcW w:w="30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五</w:t>
            </w:r>
            <w:r>
              <w:rPr>
                <w:rFonts w:ascii="Arial" w:hAnsi="Arial" w:cs="Arial" w:eastAsia="Arial" w:hint="default"/>
                <w:sz w:val="18"/>
                <w:szCs w:val="18"/>
              </w:rPr>
              <w:t>)</w:t>
            </w:r>
            <w:r>
              <w:rPr>
                <w:rFonts w:ascii="宋体" w:hAnsi="宋体" w:cs="宋体" w:eastAsia="宋体" w:hint="default"/>
                <w:sz w:val="18"/>
                <w:szCs w:val="18"/>
              </w:rPr>
              <w:t>所有者权益内部结转</w:t>
            </w:r>
          </w:p>
        </w:tc>
        <w:tc>
          <w:tcPr>
            <w:tcW w:w="14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2"/>
              <w:jc w:val="center"/>
              <w:rPr>
                <w:rFonts w:ascii="Arial" w:hAnsi="Arial" w:cs="Arial" w:eastAsia="Arial" w:hint="default"/>
                <w:sz w:val="18"/>
                <w:szCs w:val="18"/>
              </w:rPr>
            </w:pPr>
            <w:r>
              <w:rPr>
                <w:rFonts w:ascii="Arial"/>
                <w:w w:val="100"/>
                <w:sz w:val="18"/>
              </w:rPr>
              <w:t>-</w:t>
            </w:r>
          </w:p>
        </w:tc>
        <w:tc>
          <w:tcPr>
            <w:tcW w:w="14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6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9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133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16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18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17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1" w:hRule="exact"/>
        </w:trPr>
        <w:tc>
          <w:tcPr>
            <w:tcW w:w="30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Arial" w:hAnsi="Arial" w:cs="Arial" w:eastAsia="Arial" w:hint="default"/>
                <w:sz w:val="18"/>
                <w:szCs w:val="18"/>
              </w:rPr>
            </w:pPr>
            <w:r>
              <w:rPr>
                <w:rFonts w:ascii="Arial" w:hAnsi="Arial" w:cs="Arial" w:eastAsia="Arial" w:hint="default"/>
                <w:sz w:val="18"/>
                <w:szCs w:val="18"/>
              </w:rPr>
              <w:t>1.</w:t>
            </w:r>
            <w:r>
              <w:rPr>
                <w:rFonts w:ascii="宋体" w:hAnsi="宋体" w:cs="宋体" w:eastAsia="宋体" w:hint="default"/>
                <w:sz w:val="18"/>
                <w:szCs w:val="18"/>
              </w:rPr>
              <w:t>资本公积转增资本</w:t>
            </w:r>
            <w:r>
              <w:rPr>
                <w:rFonts w:ascii="Arial" w:hAnsi="Arial" w:cs="Arial" w:eastAsia="Arial" w:hint="default"/>
                <w:sz w:val="18"/>
                <w:szCs w:val="18"/>
              </w:rPr>
              <w:t>(</w:t>
            </w:r>
            <w:r>
              <w:rPr>
                <w:rFonts w:ascii="宋体" w:hAnsi="宋体" w:cs="宋体" w:eastAsia="宋体" w:hint="default"/>
                <w:sz w:val="18"/>
                <w:szCs w:val="18"/>
              </w:rPr>
              <w:t>或股本</w:t>
            </w:r>
            <w:r>
              <w:rPr>
                <w:rFonts w:ascii="Arial" w:hAnsi="Arial" w:cs="Arial" w:eastAsia="Arial" w:hint="default"/>
                <w:sz w:val="18"/>
                <w:szCs w:val="18"/>
              </w:rPr>
              <w:t>)</w:t>
            </w:r>
          </w:p>
        </w:tc>
        <w:tc>
          <w:tcPr>
            <w:tcW w:w="1442" w:type="dxa"/>
            <w:tcBorders>
              <w:top w:val="single" w:sz="12" w:space="0" w:color="000000"/>
              <w:left w:val="single" w:sz="12" w:space="0" w:color="000000"/>
              <w:bottom w:val="single" w:sz="12" w:space="0" w:color="000000"/>
              <w:right w:val="single" w:sz="12" w:space="0" w:color="000000"/>
            </w:tcBorders>
          </w:tcPr>
          <w:p>
            <w:pPr/>
          </w:p>
        </w:tc>
        <w:tc>
          <w:tcPr>
            <w:tcW w:w="1442" w:type="dxa"/>
            <w:tcBorders>
              <w:top w:val="single" w:sz="12" w:space="0" w:color="000000"/>
              <w:left w:val="single" w:sz="12" w:space="0" w:color="000000"/>
              <w:bottom w:val="single" w:sz="12" w:space="0" w:color="000000"/>
              <w:right w:val="single" w:sz="12" w:space="0" w:color="000000"/>
            </w:tcBorders>
          </w:tcPr>
          <w:p>
            <w:pPr/>
          </w:p>
        </w:tc>
        <w:tc>
          <w:tcPr>
            <w:tcW w:w="670" w:type="dxa"/>
            <w:tcBorders>
              <w:top w:val="single" w:sz="12" w:space="0" w:color="000000"/>
              <w:left w:val="single" w:sz="12" w:space="0" w:color="000000"/>
              <w:bottom w:val="single" w:sz="12" w:space="0" w:color="000000"/>
              <w:right w:val="single" w:sz="12" w:space="0" w:color="000000"/>
            </w:tcBorders>
          </w:tcPr>
          <w:p>
            <w:pPr/>
          </w:p>
        </w:tc>
        <w:tc>
          <w:tcPr>
            <w:tcW w:w="905" w:type="dxa"/>
            <w:tcBorders>
              <w:top w:val="single" w:sz="12" w:space="0" w:color="000000"/>
              <w:left w:val="single" w:sz="12" w:space="0" w:color="000000"/>
              <w:bottom w:val="single" w:sz="12" w:space="0" w:color="000000"/>
              <w:right w:val="single" w:sz="12" w:space="0" w:color="000000"/>
            </w:tcBorders>
          </w:tcPr>
          <w:p>
            <w:pPr/>
          </w:p>
        </w:tc>
        <w:tc>
          <w:tcPr>
            <w:tcW w:w="1339" w:type="dxa"/>
            <w:tcBorders>
              <w:top w:val="single" w:sz="12" w:space="0" w:color="000000"/>
              <w:left w:val="single" w:sz="12" w:space="0" w:color="000000"/>
              <w:bottom w:val="single" w:sz="12" w:space="0" w:color="000000"/>
              <w:right w:val="single" w:sz="12" w:space="0" w:color="000000"/>
            </w:tcBorders>
          </w:tcPr>
          <w:p>
            <w:pPr/>
          </w:p>
        </w:tc>
        <w:tc>
          <w:tcPr>
            <w:tcW w:w="1603" w:type="dxa"/>
            <w:tcBorders>
              <w:top w:val="single" w:sz="12" w:space="0" w:color="000000"/>
              <w:left w:val="single" w:sz="12" w:space="0" w:color="000000"/>
              <w:bottom w:val="single" w:sz="12" w:space="0" w:color="000000"/>
              <w:right w:val="single" w:sz="12" w:space="0" w:color="000000"/>
            </w:tcBorders>
          </w:tcPr>
          <w:p>
            <w:pPr/>
          </w:p>
        </w:tc>
        <w:tc>
          <w:tcPr>
            <w:tcW w:w="1855" w:type="dxa"/>
            <w:tcBorders>
              <w:top w:val="single" w:sz="12" w:space="0" w:color="000000"/>
              <w:left w:val="single" w:sz="12" w:space="0" w:color="000000"/>
              <w:bottom w:val="single" w:sz="12" w:space="0" w:color="000000"/>
              <w:right w:val="single" w:sz="12" w:space="0" w:color="000000"/>
            </w:tcBorders>
          </w:tcPr>
          <w:p>
            <w:pPr/>
          </w:p>
        </w:tc>
        <w:tc>
          <w:tcPr>
            <w:tcW w:w="17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1" w:hRule="exact"/>
        </w:trPr>
        <w:tc>
          <w:tcPr>
            <w:tcW w:w="30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Arial" w:hAnsi="Arial" w:cs="Arial" w:eastAsia="Arial" w:hint="default"/>
                <w:sz w:val="18"/>
                <w:szCs w:val="18"/>
              </w:rPr>
            </w:pPr>
            <w:r>
              <w:rPr>
                <w:rFonts w:ascii="Arial" w:hAnsi="Arial" w:cs="Arial" w:eastAsia="Arial" w:hint="default"/>
                <w:sz w:val="18"/>
                <w:szCs w:val="18"/>
              </w:rPr>
              <w:t>2.</w:t>
            </w:r>
            <w:r>
              <w:rPr>
                <w:rFonts w:ascii="宋体" w:hAnsi="宋体" w:cs="宋体" w:eastAsia="宋体" w:hint="default"/>
                <w:sz w:val="18"/>
                <w:szCs w:val="18"/>
              </w:rPr>
              <w:t>盈余公积转增资本</w:t>
            </w:r>
            <w:r>
              <w:rPr>
                <w:rFonts w:ascii="Arial" w:hAnsi="Arial" w:cs="Arial" w:eastAsia="Arial" w:hint="default"/>
                <w:sz w:val="18"/>
                <w:szCs w:val="18"/>
              </w:rPr>
              <w:t>(</w:t>
            </w:r>
            <w:r>
              <w:rPr>
                <w:rFonts w:ascii="宋体" w:hAnsi="宋体" w:cs="宋体" w:eastAsia="宋体" w:hint="default"/>
                <w:sz w:val="18"/>
                <w:szCs w:val="18"/>
              </w:rPr>
              <w:t>或股本</w:t>
            </w:r>
            <w:r>
              <w:rPr>
                <w:rFonts w:ascii="Arial" w:hAnsi="Arial" w:cs="Arial" w:eastAsia="Arial" w:hint="default"/>
                <w:sz w:val="18"/>
                <w:szCs w:val="18"/>
              </w:rPr>
              <w:t>)</w:t>
            </w:r>
          </w:p>
        </w:tc>
        <w:tc>
          <w:tcPr>
            <w:tcW w:w="1442" w:type="dxa"/>
            <w:tcBorders>
              <w:top w:val="single" w:sz="12" w:space="0" w:color="000000"/>
              <w:left w:val="single" w:sz="12" w:space="0" w:color="000000"/>
              <w:bottom w:val="single" w:sz="12" w:space="0" w:color="000000"/>
              <w:right w:val="single" w:sz="12" w:space="0" w:color="000000"/>
            </w:tcBorders>
          </w:tcPr>
          <w:p>
            <w:pPr/>
          </w:p>
        </w:tc>
        <w:tc>
          <w:tcPr>
            <w:tcW w:w="1442" w:type="dxa"/>
            <w:tcBorders>
              <w:top w:val="single" w:sz="12" w:space="0" w:color="000000"/>
              <w:left w:val="single" w:sz="12" w:space="0" w:color="000000"/>
              <w:bottom w:val="single" w:sz="12" w:space="0" w:color="000000"/>
              <w:right w:val="single" w:sz="12" w:space="0" w:color="000000"/>
            </w:tcBorders>
          </w:tcPr>
          <w:p>
            <w:pPr/>
          </w:p>
        </w:tc>
        <w:tc>
          <w:tcPr>
            <w:tcW w:w="670" w:type="dxa"/>
            <w:tcBorders>
              <w:top w:val="single" w:sz="12" w:space="0" w:color="000000"/>
              <w:left w:val="single" w:sz="12" w:space="0" w:color="000000"/>
              <w:bottom w:val="single" w:sz="12" w:space="0" w:color="000000"/>
              <w:right w:val="single" w:sz="12" w:space="0" w:color="000000"/>
            </w:tcBorders>
          </w:tcPr>
          <w:p>
            <w:pPr/>
          </w:p>
        </w:tc>
        <w:tc>
          <w:tcPr>
            <w:tcW w:w="905" w:type="dxa"/>
            <w:tcBorders>
              <w:top w:val="single" w:sz="12" w:space="0" w:color="000000"/>
              <w:left w:val="single" w:sz="12" w:space="0" w:color="000000"/>
              <w:bottom w:val="single" w:sz="12" w:space="0" w:color="000000"/>
              <w:right w:val="single" w:sz="12" w:space="0" w:color="000000"/>
            </w:tcBorders>
          </w:tcPr>
          <w:p>
            <w:pPr/>
          </w:p>
        </w:tc>
        <w:tc>
          <w:tcPr>
            <w:tcW w:w="1339" w:type="dxa"/>
            <w:tcBorders>
              <w:top w:val="single" w:sz="12" w:space="0" w:color="000000"/>
              <w:left w:val="single" w:sz="12" w:space="0" w:color="000000"/>
              <w:bottom w:val="single" w:sz="12" w:space="0" w:color="000000"/>
              <w:right w:val="single" w:sz="12" w:space="0" w:color="000000"/>
            </w:tcBorders>
          </w:tcPr>
          <w:p>
            <w:pPr/>
          </w:p>
        </w:tc>
        <w:tc>
          <w:tcPr>
            <w:tcW w:w="1603" w:type="dxa"/>
            <w:tcBorders>
              <w:top w:val="single" w:sz="12" w:space="0" w:color="000000"/>
              <w:left w:val="single" w:sz="12" w:space="0" w:color="000000"/>
              <w:bottom w:val="single" w:sz="12" w:space="0" w:color="000000"/>
              <w:right w:val="single" w:sz="12" w:space="0" w:color="000000"/>
            </w:tcBorders>
          </w:tcPr>
          <w:p>
            <w:pPr/>
          </w:p>
        </w:tc>
        <w:tc>
          <w:tcPr>
            <w:tcW w:w="1855" w:type="dxa"/>
            <w:tcBorders>
              <w:top w:val="single" w:sz="12" w:space="0" w:color="000000"/>
              <w:left w:val="single" w:sz="12" w:space="0" w:color="000000"/>
              <w:bottom w:val="single" w:sz="12" w:space="0" w:color="000000"/>
              <w:right w:val="single" w:sz="12" w:space="0" w:color="000000"/>
            </w:tcBorders>
          </w:tcPr>
          <w:p>
            <w:pPr/>
          </w:p>
        </w:tc>
        <w:tc>
          <w:tcPr>
            <w:tcW w:w="17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bl>
    <w:p>
      <w:pPr>
        <w:spacing w:after="0" w:line="240" w:lineRule="auto"/>
        <w:jc w:val="center"/>
        <w:rPr>
          <w:rFonts w:ascii="Arial" w:hAnsi="Arial" w:cs="Arial" w:eastAsia="Arial" w:hint="default"/>
          <w:sz w:val="18"/>
          <w:szCs w:val="18"/>
        </w:rPr>
        <w:sectPr>
          <w:pgSz w:w="16840" w:h="11900" w:orient="landscape"/>
          <w:pgMar w:header="867" w:footer="975" w:top="1060" w:bottom="1160" w:left="1200" w:right="1300"/>
        </w:sectPr>
      </w:pPr>
    </w:p>
    <w:p>
      <w:pPr>
        <w:spacing w:line="240" w:lineRule="auto" w:before="11"/>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3007"/>
        <w:gridCol w:w="1442"/>
        <w:gridCol w:w="1442"/>
        <w:gridCol w:w="670"/>
        <w:gridCol w:w="905"/>
        <w:gridCol w:w="1339"/>
        <w:gridCol w:w="1603"/>
        <w:gridCol w:w="1855"/>
        <w:gridCol w:w="1726"/>
      </w:tblGrid>
      <w:tr>
        <w:trPr>
          <w:trHeight w:val="350" w:hRule="exact"/>
        </w:trPr>
        <w:tc>
          <w:tcPr>
            <w:tcW w:w="3007" w:type="dxa"/>
            <w:tcBorders>
              <w:top w:val="single" w:sz="17"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盈余公积弥补亏损</w:t>
            </w:r>
          </w:p>
        </w:tc>
        <w:tc>
          <w:tcPr>
            <w:tcW w:w="1442" w:type="dxa"/>
            <w:tcBorders>
              <w:top w:val="single" w:sz="17" w:space="0" w:color="000000"/>
              <w:left w:val="single" w:sz="12" w:space="0" w:color="000000"/>
              <w:bottom w:val="single" w:sz="12" w:space="0" w:color="000000"/>
              <w:right w:val="single" w:sz="12" w:space="0" w:color="000000"/>
            </w:tcBorders>
          </w:tcPr>
          <w:p>
            <w:pPr/>
          </w:p>
        </w:tc>
        <w:tc>
          <w:tcPr>
            <w:tcW w:w="1442" w:type="dxa"/>
            <w:tcBorders>
              <w:top w:val="single" w:sz="17" w:space="0" w:color="000000"/>
              <w:left w:val="single" w:sz="12" w:space="0" w:color="000000"/>
              <w:bottom w:val="single" w:sz="12" w:space="0" w:color="000000"/>
              <w:right w:val="single" w:sz="12" w:space="0" w:color="000000"/>
            </w:tcBorders>
          </w:tcPr>
          <w:p>
            <w:pPr/>
          </w:p>
        </w:tc>
        <w:tc>
          <w:tcPr>
            <w:tcW w:w="670" w:type="dxa"/>
            <w:tcBorders>
              <w:top w:val="single" w:sz="17" w:space="0" w:color="000000"/>
              <w:left w:val="single" w:sz="12" w:space="0" w:color="000000"/>
              <w:bottom w:val="single" w:sz="12" w:space="0" w:color="000000"/>
              <w:right w:val="single" w:sz="12" w:space="0" w:color="000000"/>
            </w:tcBorders>
          </w:tcPr>
          <w:p>
            <w:pPr/>
          </w:p>
        </w:tc>
        <w:tc>
          <w:tcPr>
            <w:tcW w:w="905" w:type="dxa"/>
            <w:tcBorders>
              <w:top w:val="single" w:sz="17" w:space="0" w:color="000000"/>
              <w:left w:val="single" w:sz="12" w:space="0" w:color="000000"/>
              <w:bottom w:val="single" w:sz="12" w:space="0" w:color="000000"/>
              <w:right w:val="single" w:sz="12" w:space="0" w:color="000000"/>
            </w:tcBorders>
          </w:tcPr>
          <w:p>
            <w:pPr/>
          </w:p>
        </w:tc>
        <w:tc>
          <w:tcPr>
            <w:tcW w:w="1339" w:type="dxa"/>
            <w:tcBorders>
              <w:top w:val="single" w:sz="17" w:space="0" w:color="000000"/>
              <w:left w:val="single" w:sz="12" w:space="0" w:color="000000"/>
              <w:bottom w:val="single" w:sz="12" w:space="0" w:color="000000"/>
              <w:right w:val="single" w:sz="12" w:space="0" w:color="000000"/>
            </w:tcBorders>
          </w:tcPr>
          <w:p>
            <w:pPr/>
          </w:p>
        </w:tc>
        <w:tc>
          <w:tcPr>
            <w:tcW w:w="1603" w:type="dxa"/>
            <w:tcBorders>
              <w:top w:val="single" w:sz="17" w:space="0" w:color="000000"/>
              <w:left w:val="single" w:sz="12" w:space="0" w:color="000000"/>
              <w:bottom w:val="single" w:sz="12" w:space="0" w:color="000000"/>
              <w:right w:val="single" w:sz="12" w:space="0" w:color="000000"/>
            </w:tcBorders>
          </w:tcPr>
          <w:p>
            <w:pPr/>
          </w:p>
        </w:tc>
        <w:tc>
          <w:tcPr>
            <w:tcW w:w="1855" w:type="dxa"/>
            <w:tcBorders>
              <w:top w:val="single" w:sz="17" w:space="0" w:color="000000"/>
              <w:left w:val="single" w:sz="12" w:space="0" w:color="000000"/>
              <w:bottom w:val="single" w:sz="12" w:space="0" w:color="000000"/>
              <w:right w:val="single" w:sz="12" w:space="0" w:color="000000"/>
            </w:tcBorders>
          </w:tcPr>
          <w:p>
            <w:pPr/>
          </w:p>
        </w:tc>
        <w:tc>
          <w:tcPr>
            <w:tcW w:w="1726" w:type="dxa"/>
            <w:tcBorders>
              <w:top w:val="single" w:sz="17"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1" w:hRule="exact"/>
        </w:trPr>
        <w:tc>
          <w:tcPr>
            <w:tcW w:w="30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442" w:type="dxa"/>
            <w:tcBorders>
              <w:top w:val="single" w:sz="12" w:space="0" w:color="000000"/>
              <w:left w:val="single" w:sz="12" w:space="0" w:color="000000"/>
              <w:bottom w:val="single" w:sz="12" w:space="0" w:color="000000"/>
              <w:right w:val="single" w:sz="12" w:space="0" w:color="000000"/>
            </w:tcBorders>
          </w:tcPr>
          <w:p>
            <w:pPr/>
          </w:p>
        </w:tc>
        <w:tc>
          <w:tcPr>
            <w:tcW w:w="1442" w:type="dxa"/>
            <w:tcBorders>
              <w:top w:val="single" w:sz="12" w:space="0" w:color="000000"/>
              <w:left w:val="single" w:sz="12" w:space="0" w:color="000000"/>
              <w:bottom w:val="single" w:sz="12" w:space="0" w:color="000000"/>
              <w:right w:val="single" w:sz="12" w:space="0" w:color="000000"/>
            </w:tcBorders>
          </w:tcPr>
          <w:p>
            <w:pPr/>
          </w:p>
        </w:tc>
        <w:tc>
          <w:tcPr>
            <w:tcW w:w="670" w:type="dxa"/>
            <w:tcBorders>
              <w:top w:val="single" w:sz="12" w:space="0" w:color="000000"/>
              <w:left w:val="single" w:sz="12" w:space="0" w:color="000000"/>
              <w:bottom w:val="single" w:sz="12" w:space="0" w:color="000000"/>
              <w:right w:val="single" w:sz="12" w:space="0" w:color="000000"/>
            </w:tcBorders>
          </w:tcPr>
          <w:p>
            <w:pPr/>
          </w:p>
        </w:tc>
        <w:tc>
          <w:tcPr>
            <w:tcW w:w="905" w:type="dxa"/>
            <w:tcBorders>
              <w:top w:val="single" w:sz="12" w:space="0" w:color="000000"/>
              <w:left w:val="single" w:sz="12" w:space="0" w:color="000000"/>
              <w:bottom w:val="single" w:sz="12" w:space="0" w:color="000000"/>
              <w:right w:val="single" w:sz="12" w:space="0" w:color="000000"/>
            </w:tcBorders>
          </w:tcPr>
          <w:p>
            <w:pPr/>
          </w:p>
        </w:tc>
        <w:tc>
          <w:tcPr>
            <w:tcW w:w="1339" w:type="dxa"/>
            <w:tcBorders>
              <w:top w:val="single" w:sz="12" w:space="0" w:color="000000"/>
              <w:left w:val="single" w:sz="12" w:space="0" w:color="000000"/>
              <w:bottom w:val="single" w:sz="12" w:space="0" w:color="000000"/>
              <w:right w:val="single" w:sz="12" w:space="0" w:color="000000"/>
            </w:tcBorders>
          </w:tcPr>
          <w:p>
            <w:pPr/>
          </w:p>
        </w:tc>
        <w:tc>
          <w:tcPr>
            <w:tcW w:w="1603" w:type="dxa"/>
            <w:tcBorders>
              <w:top w:val="single" w:sz="12" w:space="0" w:color="000000"/>
              <w:left w:val="single" w:sz="12" w:space="0" w:color="000000"/>
              <w:bottom w:val="single" w:sz="12" w:space="0" w:color="000000"/>
              <w:right w:val="single" w:sz="12" w:space="0" w:color="000000"/>
            </w:tcBorders>
          </w:tcPr>
          <w:p>
            <w:pPr/>
          </w:p>
        </w:tc>
        <w:tc>
          <w:tcPr>
            <w:tcW w:w="1855" w:type="dxa"/>
            <w:tcBorders>
              <w:top w:val="single" w:sz="12" w:space="0" w:color="000000"/>
              <w:left w:val="single" w:sz="12" w:space="0" w:color="000000"/>
              <w:bottom w:val="single" w:sz="12" w:space="0" w:color="000000"/>
              <w:right w:val="single" w:sz="12" w:space="0" w:color="000000"/>
            </w:tcBorders>
          </w:tcPr>
          <w:p>
            <w:pPr/>
          </w:p>
        </w:tc>
        <w:tc>
          <w:tcPr>
            <w:tcW w:w="17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3" w:hRule="exact"/>
        </w:trPr>
        <w:tc>
          <w:tcPr>
            <w:tcW w:w="30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六</w:t>
            </w:r>
            <w:r>
              <w:rPr>
                <w:rFonts w:ascii="Arial" w:hAnsi="Arial" w:cs="Arial" w:eastAsia="Arial" w:hint="default"/>
                <w:sz w:val="18"/>
                <w:szCs w:val="18"/>
              </w:rPr>
              <w:t>)</w:t>
            </w:r>
            <w:r>
              <w:rPr>
                <w:rFonts w:ascii="宋体" w:hAnsi="宋体" w:cs="宋体" w:eastAsia="宋体" w:hint="default"/>
                <w:sz w:val="18"/>
                <w:szCs w:val="18"/>
              </w:rPr>
              <w:t>专项储备</w:t>
            </w:r>
          </w:p>
        </w:tc>
        <w:tc>
          <w:tcPr>
            <w:tcW w:w="1442" w:type="dxa"/>
            <w:tcBorders>
              <w:top w:val="single" w:sz="12" w:space="0" w:color="000000"/>
              <w:left w:val="single" w:sz="12" w:space="0" w:color="000000"/>
              <w:bottom w:val="single" w:sz="12" w:space="0" w:color="000000"/>
              <w:right w:val="single" w:sz="12" w:space="0" w:color="000000"/>
            </w:tcBorders>
          </w:tcPr>
          <w:p>
            <w:pPr/>
          </w:p>
        </w:tc>
        <w:tc>
          <w:tcPr>
            <w:tcW w:w="1442" w:type="dxa"/>
            <w:tcBorders>
              <w:top w:val="single" w:sz="12" w:space="0" w:color="000000"/>
              <w:left w:val="single" w:sz="12" w:space="0" w:color="000000"/>
              <w:bottom w:val="single" w:sz="12" w:space="0" w:color="000000"/>
              <w:right w:val="single" w:sz="12" w:space="0" w:color="000000"/>
            </w:tcBorders>
          </w:tcPr>
          <w:p>
            <w:pPr/>
          </w:p>
        </w:tc>
        <w:tc>
          <w:tcPr>
            <w:tcW w:w="670" w:type="dxa"/>
            <w:tcBorders>
              <w:top w:val="single" w:sz="12" w:space="0" w:color="000000"/>
              <w:left w:val="single" w:sz="12" w:space="0" w:color="000000"/>
              <w:bottom w:val="single" w:sz="12" w:space="0" w:color="000000"/>
              <w:right w:val="single" w:sz="12" w:space="0" w:color="000000"/>
            </w:tcBorders>
          </w:tcPr>
          <w:p>
            <w:pPr/>
          </w:p>
        </w:tc>
        <w:tc>
          <w:tcPr>
            <w:tcW w:w="905" w:type="dxa"/>
            <w:tcBorders>
              <w:top w:val="single" w:sz="12" w:space="0" w:color="000000"/>
              <w:left w:val="single" w:sz="12" w:space="0" w:color="000000"/>
              <w:bottom w:val="single" w:sz="12" w:space="0" w:color="000000"/>
              <w:right w:val="single" w:sz="12" w:space="0" w:color="000000"/>
            </w:tcBorders>
          </w:tcPr>
          <w:p>
            <w:pPr/>
          </w:p>
        </w:tc>
        <w:tc>
          <w:tcPr>
            <w:tcW w:w="1339" w:type="dxa"/>
            <w:tcBorders>
              <w:top w:val="single" w:sz="12" w:space="0" w:color="000000"/>
              <w:left w:val="single" w:sz="12" w:space="0" w:color="000000"/>
              <w:bottom w:val="single" w:sz="12" w:space="0" w:color="000000"/>
              <w:right w:val="single" w:sz="12" w:space="0" w:color="000000"/>
            </w:tcBorders>
          </w:tcPr>
          <w:p>
            <w:pPr/>
          </w:p>
        </w:tc>
        <w:tc>
          <w:tcPr>
            <w:tcW w:w="1603" w:type="dxa"/>
            <w:tcBorders>
              <w:top w:val="single" w:sz="12" w:space="0" w:color="000000"/>
              <w:left w:val="single" w:sz="12" w:space="0" w:color="000000"/>
              <w:bottom w:val="single" w:sz="12" w:space="0" w:color="000000"/>
              <w:right w:val="single" w:sz="12" w:space="0" w:color="000000"/>
            </w:tcBorders>
          </w:tcPr>
          <w:p>
            <w:pPr/>
          </w:p>
        </w:tc>
        <w:tc>
          <w:tcPr>
            <w:tcW w:w="1855" w:type="dxa"/>
            <w:tcBorders>
              <w:top w:val="single" w:sz="12" w:space="0" w:color="000000"/>
              <w:left w:val="single" w:sz="12" w:space="0" w:color="000000"/>
              <w:bottom w:val="single" w:sz="12" w:space="0" w:color="000000"/>
              <w:right w:val="single" w:sz="12" w:space="0" w:color="000000"/>
            </w:tcBorders>
          </w:tcPr>
          <w:p>
            <w:pPr/>
          </w:p>
        </w:tc>
        <w:tc>
          <w:tcPr>
            <w:tcW w:w="1726"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30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七</w:t>
            </w:r>
            <w:r>
              <w:rPr>
                <w:rFonts w:ascii="Arial" w:hAnsi="Arial" w:cs="Arial" w:eastAsia="Arial" w:hint="default"/>
                <w:sz w:val="18"/>
                <w:szCs w:val="18"/>
              </w:rPr>
              <w:t>)</w:t>
            </w:r>
            <w:r>
              <w:rPr>
                <w:rFonts w:ascii="宋体" w:hAnsi="宋体" w:cs="宋体" w:eastAsia="宋体" w:hint="default"/>
                <w:sz w:val="18"/>
                <w:szCs w:val="18"/>
              </w:rPr>
              <w:t>其他</w:t>
            </w:r>
          </w:p>
        </w:tc>
        <w:tc>
          <w:tcPr>
            <w:tcW w:w="1442" w:type="dxa"/>
            <w:tcBorders>
              <w:top w:val="single" w:sz="12" w:space="0" w:color="000000"/>
              <w:left w:val="single" w:sz="12" w:space="0" w:color="000000"/>
              <w:bottom w:val="single" w:sz="12" w:space="0" w:color="000000"/>
              <w:right w:val="single" w:sz="12" w:space="0" w:color="000000"/>
            </w:tcBorders>
          </w:tcPr>
          <w:p>
            <w:pPr/>
          </w:p>
        </w:tc>
        <w:tc>
          <w:tcPr>
            <w:tcW w:w="1442" w:type="dxa"/>
            <w:tcBorders>
              <w:top w:val="single" w:sz="12" w:space="0" w:color="000000"/>
              <w:left w:val="single" w:sz="12" w:space="0" w:color="000000"/>
              <w:bottom w:val="single" w:sz="12" w:space="0" w:color="000000"/>
              <w:right w:val="single" w:sz="12" w:space="0" w:color="000000"/>
            </w:tcBorders>
          </w:tcPr>
          <w:p>
            <w:pPr/>
          </w:p>
        </w:tc>
        <w:tc>
          <w:tcPr>
            <w:tcW w:w="670" w:type="dxa"/>
            <w:tcBorders>
              <w:top w:val="single" w:sz="12" w:space="0" w:color="000000"/>
              <w:left w:val="single" w:sz="12" w:space="0" w:color="000000"/>
              <w:bottom w:val="single" w:sz="12" w:space="0" w:color="000000"/>
              <w:right w:val="single" w:sz="12" w:space="0" w:color="000000"/>
            </w:tcBorders>
          </w:tcPr>
          <w:p>
            <w:pPr/>
          </w:p>
        </w:tc>
        <w:tc>
          <w:tcPr>
            <w:tcW w:w="905" w:type="dxa"/>
            <w:tcBorders>
              <w:top w:val="single" w:sz="12" w:space="0" w:color="000000"/>
              <w:left w:val="single" w:sz="12" w:space="0" w:color="000000"/>
              <w:bottom w:val="single" w:sz="12" w:space="0" w:color="000000"/>
              <w:right w:val="single" w:sz="12" w:space="0" w:color="000000"/>
            </w:tcBorders>
          </w:tcPr>
          <w:p>
            <w:pPr/>
          </w:p>
        </w:tc>
        <w:tc>
          <w:tcPr>
            <w:tcW w:w="1339" w:type="dxa"/>
            <w:tcBorders>
              <w:top w:val="single" w:sz="12" w:space="0" w:color="000000"/>
              <w:left w:val="single" w:sz="12" w:space="0" w:color="000000"/>
              <w:bottom w:val="single" w:sz="12" w:space="0" w:color="000000"/>
              <w:right w:val="single" w:sz="12" w:space="0" w:color="000000"/>
            </w:tcBorders>
          </w:tcPr>
          <w:p>
            <w:pPr/>
          </w:p>
        </w:tc>
        <w:tc>
          <w:tcPr>
            <w:tcW w:w="1603" w:type="dxa"/>
            <w:tcBorders>
              <w:top w:val="single" w:sz="12" w:space="0" w:color="000000"/>
              <w:left w:val="single" w:sz="12" w:space="0" w:color="000000"/>
              <w:bottom w:val="single" w:sz="12" w:space="0" w:color="000000"/>
              <w:right w:val="single" w:sz="12" w:space="0" w:color="000000"/>
            </w:tcBorders>
          </w:tcPr>
          <w:p>
            <w:pPr/>
          </w:p>
        </w:tc>
        <w:tc>
          <w:tcPr>
            <w:tcW w:w="1855" w:type="dxa"/>
            <w:tcBorders>
              <w:top w:val="single" w:sz="12" w:space="0" w:color="000000"/>
              <w:left w:val="single" w:sz="12" w:space="0" w:color="000000"/>
              <w:bottom w:val="single" w:sz="12" w:space="0" w:color="000000"/>
              <w:right w:val="single" w:sz="12" w:space="0" w:color="000000"/>
            </w:tcBorders>
          </w:tcPr>
          <w:p>
            <w:pPr/>
          </w:p>
        </w:tc>
        <w:tc>
          <w:tcPr>
            <w:tcW w:w="1726"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3007" w:type="dxa"/>
            <w:tcBorders>
              <w:top w:val="single" w:sz="12" w:space="0" w:color="000000"/>
              <w:left w:val="single" w:sz="12" w:space="0" w:color="000000"/>
              <w:bottom w:val="single" w:sz="12" w:space="0" w:color="000000"/>
              <w:right w:val="single" w:sz="12" w:space="0" w:color="000000"/>
            </w:tcBorders>
          </w:tcPr>
          <w:p>
            <w:pPr/>
          </w:p>
        </w:tc>
        <w:tc>
          <w:tcPr>
            <w:tcW w:w="1442" w:type="dxa"/>
            <w:tcBorders>
              <w:top w:val="single" w:sz="12" w:space="0" w:color="000000"/>
              <w:left w:val="single" w:sz="12" w:space="0" w:color="000000"/>
              <w:bottom w:val="single" w:sz="12" w:space="0" w:color="000000"/>
              <w:right w:val="single" w:sz="12" w:space="0" w:color="000000"/>
            </w:tcBorders>
          </w:tcPr>
          <w:p>
            <w:pPr/>
          </w:p>
        </w:tc>
        <w:tc>
          <w:tcPr>
            <w:tcW w:w="1442" w:type="dxa"/>
            <w:tcBorders>
              <w:top w:val="single" w:sz="12" w:space="0" w:color="000000"/>
              <w:left w:val="single" w:sz="12" w:space="0" w:color="000000"/>
              <w:bottom w:val="single" w:sz="12" w:space="0" w:color="000000"/>
              <w:right w:val="single" w:sz="12" w:space="0" w:color="000000"/>
            </w:tcBorders>
          </w:tcPr>
          <w:p>
            <w:pPr/>
          </w:p>
        </w:tc>
        <w:tc>
          <w:tcPr>
            <w:tcW w:w="670" w:type="dxa"/>
            <w:tcBorders>
              <w:top w:val="single" w:sz="12" w:space="0" w:color="000000"/>
              <w:left w:val="single" w:sz="12" w:space="0" w:color="000000"/>
              <w:bottom w:val="single" w:sz="12" w:space="0" w:color="000000"/>
              <w:right w:val="single" w:sz="12" w:space="0" w:color="000000"/>
            </w:tcBorders>
          </w:tcPr>
          <w:p>
            <w:pPr/>
          </w:p>
        </w:tc>
        <w:tc>
          <w:tcPr>
            <w:tcW w:w="905" w:type="dxa"/>
            <w:tcBorders>
              <w:top w:val="single" w:sz="12" w:space="0" w:color="000000"/>
              <w:left w:val="single" w:sz="12" w:space="0" w:color="000000"/>
              <w:bottom w:val="single" w:sz="12" w:space="0" w:color="000000"/>
              <w:right w:val="single" w:sz="12" w:space="0" w:color="000000"/>
            </w:tcBorders>
          </w:tcPr>
          <w:p>
            <w:pPr/>
          </w:p>
        </w:tc>
        <w:tc>
          <w:tcPr>
            <w:tcW w:w="1339" w:type="dxa"/>
            <w:tcBorders>
              <w:top w:val="single" w:sz="12" w:space="0" w:color="000000"/>
              <w:left w:val="single" w:sz="12" w:space="0" w:color="000000"/>
              <w:bottom w:val="single" w:sz="12" w:space="0" w:color="000000"/>
              <w:right w:val="single" w:sz="12" w:space="0" w:color="000000"/>
            </w:tcBorders>
          </w:tcPr>
          <w:p>
            <w:pPr/>
          </w:p>
        </w:tc>
        <w:tc>
          <w:tcPr>
            <w:tcW w:w="1603" w:type="dxa"/>
            <w:tcBorders>
              <w:top w:val="single" w:sz="12" w:space="0" w:color="000000"/>
              <w:left w:val="single" w:sz="12" w:space="0" w:color="000000"/>
              <w:bottom w:val="single" w:sz="12" w:space="0" w:color="000000"/>
              <w:right w:val="single" w:sz="12" w:space="0" w:color="000000"/>
            </w:tcBorders>
          </w:tcPr>
          <w:p>
            <w:pPr/>
          </w:p>
        </w:tc>
        <w:tc>
          <w:tcPr>
            <w:tcW w:w="1855" w:type="dxa"/>
            <w:tcBorders>
              <w:top w:val="single" w:sz="12" w:space="0" w:color="000000"/>
              <w:left w:val="single" w:sz="12" w:space="0" w:color="000000"/>
              <w:bottom w:val="single" w:sz="12" w:space="0" w:color="000000"/>
              <w:right w:val="single" w:sz="12" w:space="0" w:color="000000"/>
            </w:tcBorders>
          </w:tcPr>
          <w:p>
            <w:pPr/>
          </w:p>
        </w:tc>
        <w:tc>
          <w:tcPr>
            <w:tcW w:w="17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1" w:hRule="exact"/>
        </w:trPr>
        <w:tc>
          <w:tcPr>
            <w:tcW w:w="30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b/>
                <w:bCs/>
                <w:sz w:val="18"/>
                <w:szCs w:val="18"/>
              </w:rPr>
              <w:t>2009</w:t>
            </w:r>
            <w:r>
              <w:rPr>
                <w:rFonts w:ascii="Arial" w:hAnsi="Arial" w:cs="Arial" w:eastAsia="Arial" w:hint="default"/>
                <w:b/>
                <w:bCs/>
                <w:spacing w:val="-8"/>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Arial" w:hAnsi="Arial" w:cs="Arial" w:eastAsia="Arial" w:hint="default"/>
                <w:b/>
                <w:bCs/>
                <w:sz w:val="18"/>
                <w:szCs w:val="18"/>
              </w:rPr>
              <w:t>12</w:t>
            </w:r>
            <w:r>
              <w:rPr>
                <w:rFonts w:ascii="Arial" w:hAnsi="Arial" w:cs="Arial" w:eastAsia="Arial" w:hint="default"/>
                <w:b/>
                <w:bCs/>
                <w:spacing w:val="-8"/>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Arial" w:hAnsi="Arial" w:cs="Arial" w:eastAsia="Arial" w:hint="default"/>
                <w:b/>
                <w:bCs/>
                <w:sz w:val="18"/>
                <w:szCs w:val="18"/>
              </w:rPr>
              <w:t>31</w:t>
            </w:r>
            <w:r>
              <w:rPr>
                <w:rFonts w:ascii="Arial" w:hAnsi="Arial" w:cs="Arial" w:eastAsia="Arial" w:hint="default"/>
                <w:b/>
                <w:bCs/>
                <w:spacing w:val="-5"/>
                <w:sz w:val="18"/>
                <w:szCs w:val="18"/>
              </w:rPr>
              <w:t> </w:t>
            </w:r>
            <w:r>
              <w:rPr>
                <w:rFonts w:ascii="宋体" w:hAnsi="宋体" w:cs="宋体" w:eastAsia="宋体" w:hint="default"/>
                <w:sz w:val="18"/>
                <w:szCs w:val="18"/>
              </w:rPr>
              <w:t>日年末余额</w:t>
            </w:r>
          </w:p>
        </w:tc>
        <w:tc>
          <w:tcPr>
            <w:tcW w:w="14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27" w:right="0"/>
              <w:jc w:val="left"/>
              <w:rPr>
                <w:rFonts w:ascii="Arial" w:hAnsi="Arial" w:cs="Arial" w:eastAsia="Arial" w:hint="default"/>
                <w:sz w:val="18"/>
                <w:szCs w:val="18"/>
              </w:rPr>
            </w:pPr>
            <w:r>
              <w:rPr>
                <w:rFonts w:ascii="Arial"/>
                <w:sz w:val="18"/>
              </w:rPr>
              <w:t>80,000,000.00</w:t>
            </w:r>
          </w:p>
        </w:tc>
        <w:tc>
          <w:tcPr>
            <w:tcW w:w="14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29" w:right="0"/>
              <w:jc w:val="left"/>
              <w:rPr>
                <w:rFonts w:ascii="Arial" w:hAnsi="Arial" w:cs="Arial" w:eastAsia="Arial" w:hint="default"/>
                <w:sz w:val="18"/>
                <w:szCs w:val="18"/>
              </w:rPr>
            </w:pPr>
            <w:r>
              <w:rPr>
                <w:rFonts w:ascii="Arial"/>
                <w:sz w:val="18"/>
              </w:rPr>
              <w:t>28,526,833.47</w:t>
            </w:r>
          </w:p>
        </w:tc>
        <w:tc>
          <w:tcPr>
            <w:tcW w:w="6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9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133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27" w:right="0"/>
              <w:jc w:val="left"/>
              <w:rPr>
                <w:rFonts w:ascii="Arial" w:hAnsi="Arial" w:cs="Arial" w:eastAsia="Arial" w:hint="default"/>
                <w:sz w:val="18"/>
                <w:szCs w:val="18"/>
              </w:rPr>
            </w:pPr>
            <w:r>
              <w:rPr>
                <w:rFonts w:ascii="Arial"/>
                <w:sz w:val="18"/>
              </w:rPr>
              <w:t>6,030,508.74</w:t>
            </w:r>
          </w:p>
        </w:tc>
        <w:tc>
          <w:tcPr>
            <w:tcW w:w="16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208" w:right="0"/>
              <w:jc w:val="left"/>
              <w:rPr>
                <w:rFonts w:ascii="Arial" w:hAnsi="Arial" w:cs="Arial" w:eastAsia="Arial" w:hint="default"/>
                <w:sz w:val="18"/>
                <w:szCs w:val="18"/>
              </w:rPr>
            </w:pPr>
            <w:r>
              <w:rPr>
                <w:rFonts w:ascii="Arial"/>
                <w:sz w:val="18"/>
              </w:rPr>
              <w:t>56,121,922.03</w:t>
            </w:r>
          </w:p>
        </w:tc>
        <w:tc>
          <w:tcPr>
            <w:tcW w:w="18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386" w:right="0"/>
              <w:jc w:val="left"/>
              <w:rPr>
                <w:rFonts w:ascii="Arial" w:hAnsi="Arial" w:cs="Arial" w:eastAsia="Arial" w:hint="default"/>
                <w:sz w:val="18"/>
                <w:szCs w:val="18"/>
              </w:rPr>
            </w:pPr>
            <w:r>
              <w:rPr>
                <w:rFonts w:ascii="Arial"/>
                <w:sz w:val="18"/>
              </w:rPr>
              <w:t>6,827,960.62</w:t>
            </w:r>
          </w:p>
        </w:tc>
        <w:tc>
          <w:tcPr>
            <w:tcW w:w="17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177,507,224.86</w:t>
            </w:r>
          </w:p>
        </w:tc>
      </w:tr>
    </w:tbl>
    <w:p>
      <w:pPr>
        <w:spacing w:line="240" w:lineRule="auto" w:before="7"/>
        <w:rPr>
          <w:rFonts w:ascii="宋体" w:hAnsi="宋体" w:cs="宋体" w:eastAsia="宋体" w:hint="default"/>
          <w:sz w:val="18"/>
          <w:szCs w:val="18"/>
        </w:rPr>
      </w:pPr>
    </w:p>
    <w:p>
      <w:pPr>
        <w:tabs>
          <w:tab w:pos="6724" w:val="left" w:leader="none"/>
          <w:tab w:pos="12126" w:val="left" w:leader="none"/>
        </w:tabs>
        <w:spacing w:before="44"/>
        <w:ind w:left="239" w:right="0" w:firstLine="0"/>
        <w:jc w:val="left"/>
        <w:rPr>
          <w:rFonts w:ascii="宋体" w:hAnsi="宋体" w:cs="宋体" w:eastAsia="宋体" w:hint="default"/>
          <w:sz w:val="18"/>
          <w:szCs w:val="18"/>
        </w:rPr>
      </w:pPr>
      <w:r>
        <w:rPr>
          <w:rFonts w:ascii="宋体" w:hAnsi="宋体" w:cs="宋体" w:eastAsia="宋体" w:hint="default"/>
          <w:spacing w:val="-1"/>
          <w:sz w:val="18"/>
          <w:szCs w:val="18"/>
        </w:rPr>
        <w:t>法定代表人：纪立军</w:t>
        <w:tab/>
      </w:r>
      <w:r>
        <w:rPr>
          <w:rFonts w:ascii="宋体" w:hAnsi="宋体" w:cs="宋体" w:eastAsia="宋体" w:hint="default"/>
          <w:spacing w:val="-2"/>
          <w:sz w:val="18"/>
          <w:szCs w:val="18"/>
        </w:rPr>
        <w:t>主管会计工作负责人：郑强</w:t>
        <w:tab/>
        <w:t>会计机构负责人：王迎辉</w:t>
      </w:r>
    </w:p>
    <w:p>
      <w:pPr>
        <w:spacing w:after="0"/>
        <w:jc w:val="left"/>
        <w:rPr>
          <w:rFonts w:ascii="宋体" w:hAnsi="宋体" w:cs="宋体" w:eastAsia="宋体" w:hint="default"/>
          <w:sz w:val="18"/>
          <w:szCs w:val="18"/>
        </w:rPr>
        <w:sectPr>
          <w:pgSz w:w="16840" w:h="11900" w:orient="landscape"/>
          <w:pgMar w:header="867" w:footer="975" w:top="1060" w:bottom="1160" w:left="1200" w:right="1340"/>
        </w:sectPr>
      </w:pPr>
    </w:p>
    <w:p>
      <w:pPr>
        <w:pStyle w:val="Heading2"/>
        <w:spacing w:line="415" w:lineRule="exact"/>
        <w:ind w:left="4860" w:right="4962"/>
        <w:jc w:val="center"/>
      </w:pPr>
      <w:r>
        <w:rPr/>
        <w:pict>
          <v:group style="position:absolute;margin-left:70.550636pt;margin-top:2.202084pt;width:700.8pt;height:.1pt;mso-position-horizontal-relative:page;mso-position-vertical-relative:paragraph;z-index:-601840" coordorigin="1411,44" coordsize="14016,2">
            <v:shape style="position:absolute;left:1411;top:44;width:14016;height:2" coordorigin="1411,44" coordsize="14016,0" path="m1411,44l15427,44e" filled="false" stroked="true" strokeweight=".72pt" strokecolor="#000000">
              <v:path arrowok="t"/>
            </v:shape>
            <w10:wrap type="none"/>
          </v:group>
        </w:pict>
      </w:r>
      <w:r>
        <w:rPr/>
        <w:t>2010</w:t>
      </w:r>
      <w:r>
        <w:rPr>
          <w:spacing w:val="-63"/>
        </w:rPr>
        <w:t> </w:t>
      </w:r>
      <w:r>
        <w:rPr/>
        <w:t>年度母公司股东权益变动表</w:t>
      </w:r>
    </w:p>
    <w:p>
      <w:pPr>
        <w:tabs>
          <w:tab w:pos="7624" w:val="left" w:leader="none"/>
          <w:tab w:pos="12340" w:val="left" w:leader="none"/>
        </w:tabs>
        <w:spacing w:before="145"/>
        <w:ind w:left="239" w:right="0" w:firstLine="0"/>
        <w:jc w:val="left"/>
        <w:rPr>
          <w:rFonts w:ascii="宋体" w:hAnsi="宋体" w:cs="宋体" w:eastAsia="宋体" w:hint="default"/>
          <w:sz w:val="18"/>
          <w:szCs w:val="18"/>
        </w:rPr>
      </w:pPr>
      <w:r>
        <w:rPr>
          <w:rFonts w:ascii="宋体" w:hAnsi="宋体" w:cs="宋体" w:eastAsia="宋体" w:hint="default"/>
          <w:spacing w:val="-1"/>
          <w:sz w:val="18"/>
          <w:szCs w:val="18"/>
        </w:rPr>
        <w:t>编制单位：上海安诺其纺织化工股份有限公司</w:t>
        <w:tab/>
      </w:r>
      <w:r>
        <w:rPr>
          <w:rFonts w:ascii="Arial" w:hAnsi="Arial" w:cs="Arial" w:eastAsia="Arial" w:hint="default"/>
          <w:spacing w:val="-1"/>
          <w:sz w:val="18"/>
          <w:szCs w:val="18"/>
        </w:rPr>
        <w:t>2010</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pacing w:val="-1"/>
          <w:sz w:val="18"/>
          <w:szCs w:val="18"/>
        </w:rPr>
        <w:t>31</w:t>
      </w:r>
      <w:r>
        <w:rPr>
          <w:rFonts w:ascii="Arial" w:hAnsi="Arial" w:cs="Arial" w:eastAsia="Arial" w:hint="default"/>
          <w:spacing w:val="-4"/>
          <w:sz w:val="18"/>
          <w:szCs w:val="18"/>
        </w:rPr>
        <w:t> </w:t>
      </w:r>
      <w:r>
        <w:rPr>
          <w:rFonts w:ascii="宋体" w:hAnsi="宋体" w:cs="宋体" w:eastAsia="宋体" w:hint="default"/>
          <w:sz w:val="18"/>
          <w:szCs w:val="18"/>
        </w:rPr>
        <w:t>日</w:t>
        <w:tab/>
      </w:r>
      <w:r>
        <w:rPr>
          <w:rFonts w:ascii="宋体" w:hAnsi="宋体" w:cs="宋体" w:eastAsia="宋体" w:hint="default"/>
          <w:spacing w:val="-1"/>
          <w:sz w:val="18"/>
          <w:szCs w:val="18"/>
        </w:rPr>
        <w:t>单位：元</w:t>
      </w:r>
    </w:p>
    <w:p>
      <w:pPr>
        <w:spacing w:line="240" w:lineRule="auto" w:before="8"/>
        <w:rPr>
          <w:rFonts w:ascii="宋体" w:hAnsi="宋体" w:cs="宋体" w:eastAsia="宋体" w:hint="default"/>
          <w:sz w:val="6"/>
          <w:szCs w:val="6"/>
        </w:rPr>
      </w:pPr>
    </w:p>
    <w:tbl>
      <w:tblPr>
        <w:tblW w:w="0" w:type="auto"/>
        <w:jc w:val="left"/>
        <w:tblInd w:w="117" w:type="dxa"/>
        <w:tblLayout w:type="fixed"/>
        <w:tblCellMar>
          <w:top w:w="0" w:type="dxa"/>
          <w:left w:w="0" w:type="dxa"/>
          <w:bottom w:w="0" w:type="dxa"/>
          <w:right w:w="0" w:type="dxa"/>
        </w:tblCellMar>
        <w:tblLook w:val="01E0"/>
      </w:tblPr>
      <w:tblGrid>
        <w:gridCol w:w="2803"/>
        <w:gridCol w:w="2059"/>
        <w:gridCol w:w="2057"/>
        <w:gridCol w:w="838"/>
        <w:gridCol w:w="667"/>
        <w:gridCol w:w="1774"/>
        <w:gridCol w:w="1918"/>
        <w:gridCol w:w="2059"/>
      </w:tblGrid>
      <w:tr>
        <w:trPr>
          <w:trHeight w:val="341" w:hRule="exact"/>
        </w:trPr>
        <w:tc>
          <w:tcPr>
            <w:tcW w:w="2803" w:type="dxa"/>
            <w:vMerge w:val="restart"/>
            <w:tcBorders>
              <w:top w:val="single" w:sz="12" w:space="0" w:color="000000"/>
              <w:left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312" w:type="dxa"/>
            <w:gridSpan w:val="6"/>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059" w:type="dxa"/>
            <w:vMerge w:val="restart"/>
            <w:tcBorders>
              <w:top w:val="single" w:sz="12" w:space="0" w:color="000000"/>
              <w:left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655" w:hRule="exact"/>
        </w:trPr>
        <w:tc>
          <w:tcPr>
            <w:tcW w:w="2803" w:type="dxa"/>
            <w:vMerge/>
            <w:tcBorders>
              <w:left w:val="single" w:sz="12" w:space="0" w:color="000000"/>
              <w:bottom w:val="single" w:sz="12" w:space="0" w:color="000000"/>
              <w:right w:val="single" w:sz="12" w:space="0" w:color="000000"/>
            </w:tcBorders>
          </w:tcPr>
          <w:p>
            <w:pP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0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838"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223" w:right="134" w:hanging="92"/>
              <w:jc w:val="left"/>
              <w:rPr>
                <w:rFonts w:ascii="宋体" w:hAnsi="宋体" w:cs="宋体" w:eastAsia="宋体" w:hint="default"/>
                <w:sz w:val="18"/>
                <w:szCs w:val="18"/>
              </w:rPr>
            </w:pPr>
            <w:r>
              <w:rPr>
                <w:rFonts w:ascii="宋体" w:hAnsi="宋体" w:cs="宋体" w:eastAsia="宋体" w:hint="default"/>
                <w:sz w:val="18"/>
                <w:szCs w:val="18"/>
              </w:rPr>
              <w:t>减：库</w:t>
            </w:r>
            <w:r>
              <w:rPr>
                <w:rFonts w:ascii="宋体" w:hAnsi="宋体" w:cs="宋体" w:eastAsia="宋体" w:hint="default"/>
                <w:w w:val="100"/>
                <w:sz w:val="18"/>
                <w:szCs w:val="18"/>
              </w:rPr>
              <w:t> </w:t>
            </w:r>
            <w:r>
              <w:rPr>
                <w:rFonts w:ascii="宋体" w:hAnsi="宋体" w:cs="宋体" w:eastAsia="宋体" w:hint="default"/>
                <w:sz w:val="18"/>
                <w:szCs w:val="18"/>
              </w:rPr>
              <w:t>存股</w:t>
            </w:r>
          </w:p>
        </w:tc>
        <w:tc>
          <w:tcPr>
            <w:tcW w:w="667"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139" w:right="137"/>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w w:val="100"/>
                <w:sz w:val="18"/>
                <w:szCs w:val="18"/>
              </w:rPr>
              <w:t> </w:t>
            </w:r>
            <w:r>
              <w:rPr>
                <w:rFonts w:ascii="宋体" w:hAnsi="宋体" w:cs="宋体" w:eastAsia="宋体" w:hint="default"/>
                <w:sz w:val="18"/>
                <w:szCs w:val="18"/>
              </w:rPr>
              <w:t>储备</w:t>
            </w:r>
          </w:p>
        </w:tc>
        <w:tc>
          <w:tcPr>
            <w:tcW w:w="17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19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2059" w:type="dxa"/>
            <w:vMerge/>
            <w:tcBorders>
              <w:left w:val="single" w:sz="12" w:space="0" w:color="000000"/>
              <w:bottom w:val="single" w:sz="12" w:space="0" w:color="000000"/>
              <w:right w:val="single" w:sz="12" w:space="0" w:color="000000"/>
            </w:tcBorders>
          </w:tcPr>
          <w:p>
            <w:pPr/>
          </w:p>
        </w:tc>
      </w:tr>
      <w:tr>
        <w:trPr>
          <w:trHeight w:val="341" w:hRule="exact"/>
        </w:trPr>
        <w:tc>
          <w:tcPr>
            <w:tcW w:w="28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b/>
                <w:bCs/>
                <w:sz w:val="18"/>
                <w:szCs w:val="18"/>
              </w:rPr>
              <w:t>2009</w:t>
            </w:r>
            <w:r>
              <w:rPr>
                <w:rFonts w:ascii="Arial" w:hAnsi="Arial" w:cs="Arial" w:eastAsia="Arial" w:hint="default"/>
                <w:b/>
                <w:bCs/>
                <w:spacing w:val="-8"/>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Arial" w:hAnsi="Arial" w:cs="Arial" w:eastAsia="Arial" w:hint="default"/>
                <w:b/>
                <w:bCs/>
                <w:sz w:val="18"/>
                <w:szCs w:val="18"/>
              </w:rPr>
              <w:t>12</w:t>
            </w:r>
            <w:r>
              <w:rPr>
                <w:rFonts w:ascii="Arial" w:hAnsi="Arial" w:cs="Arial" w:eastAsia="Arial" w:hint="default"/>
                <w:b/>
                <w:bCs/>
                <w:spacing w:val="-8"/>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Arial" w:hAnsi="Arial" w:cs="Arial" w:eastAsia="Arial" w:hint="default"/>
                <w:b/>
                <w:bCs/>
                <w:sz w:val="18"/>
                <w:szCs w:val="18"/>
              </w:rPr>
              <w:t>31</w:t>
            </w:r>
            <w:r>
              <w:rPr>
                <w:rFonts w:ascii="Arial" w:hAnsi="Arial" w:cs="Arial" w:eastAsia="Arial" w:hint="default"/>
                <w:b/>
                <w:bCs/>
                <w:spacing w:val="-5"/>
                <w:sz w:val="18"/>
                <w:szCs w:val="18"/>
              </w:rPr>
              <w:t> </w:t>
            </w:r>
            <w:r>
              <w:rPr>
                <w:rFonts w:ascii="宋体" w:hAnsi="宋体" w:cs="宋体" w:eastAsia="宋体" w:hint="default"/>
                <w:sz w:val="18"/>
                <w:szCs w:val="18"/>
              </w:rPr>
              <w:t>日年末余额</w:t>
            </w: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80,000,000.00</w:t>
            </w:r>
          </w:p>
        </w:tc>
        <w:tc>
          <w:tcPr>
            <w:tcW w:w="20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28,526,833.47</w:t>
            </w: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3"/>
              <w:jc w:val="center"/>
              <w:rPr>
                <w:rFonts w:ascii="Arial" w:hAnsi="Arial" w:cs="Arial" w:eastAsia="Arial" w:hint="default"/>
                <w:sz w:val="18"/>
                <w:szCs w:val="18"/>
              </w:rPr>
            </w:pPr>
            <w:r>
              <w:rPr>
                <w:rFonts w:ascii="Arial"/>
                <w:sz w:val="18"/>
              </w:rPr>
              <w:t>6,030,508.74</w:t>
            </w:r>
          </w:p>
        </w:tc>
        <w:tc>
          <w:tcPr>
            <w:tcW w:w="19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54,274,578.74</w:t>
            </w: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168,831,920.95</w:t>
            </w:r>
          </w:p>
        </w:tc>
      </w:tr>
      <w:tr>
        <w:trPr>
          <w:trHeight w:val="343" w:hRule="exact"/>
        </w:trPr>
        <w:tc>
          <w:tcPr>
            <w:tcW w:w="28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会计政策变更</w:t>
            </w:r>
          </w:p>
        </w:tc>
        <w:tc>
          <w:tcPr>
            <w:tcW w:w="2059" w:type="dxa"/>
            <w:tcBorders>
              <w:top w:val="single" w:sz="12" w:space="0" w:color="000000"/>
              <w:left w:val="single" w:sz="12" w:space="0" w:color="000000"/>
              <w:bottom w:val="single" w:sz="12" w:space="0" w:color="000000"/>
              <w:right w:val="single" w:sz="12" w:space="0" w:color="000000"/>
            </w:tcBorders>
          </w:tcPr>
          <w:p>
            <w:pPr/>
          </w:p>
        </w:tc>
        <w:tc>
          <w:tcPr>
            <w:tcW w:w="2057" w:type="dxa"/>
            <w:tcBorders>
              <w:top w:val="single" w:sz="12" w:space="0" w:color="000000"/>
              <w:left w:val="single" w:sz="12" w:space="0" w:color="000000"/>
              <w:bottom w:val="single" w:sz="12" w:space="0" w:color="000000"/>
              <w:right w:val="single" w:sz="12" w:space="0" w:color="000000"/>
            </w:tcBorders>
          </w:tcPr>
          <w:p>
            <w:pP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1" w:hRule="exact"/>
        </w:trPr>
        <w:tc>
          <w:tcPr>
            <w:tcW w:w="28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2059" w:type="dxa"/>
            <w:tcBorders>
              <w:top w:val="single" w:sz="12" w:space="0" w:color="000000"/>
              <w:left w:val="single" w:sz="12" w:space="0" w:color="000000"/>
              <w:bottom w:val="single" w:sz="12" w:space="0" w:color="000000"/>
              <w:right w:val="single" w:sz="12" w:space="0" w:color="000000"/>
            </w:tcBorders>
          </w:tcPr>
          <w:p>
            <w:pPr/>
          </w:p>
        </w:tc>
        <w:tc>
          <w:tcPr>
            <w:tcW w:w="2057" w:type="dxa"/>
            <w:tcBorders>
              <w:top w:val="single" w:sz="12" w:space="0" w:color="000000"/>
              <w:left w:val="single" w:sz="12" w:space="0" w:color="000000"/>
              <w:bottom w:val="single" w:sz="12" w:space="0" w:color="000000"/>
              <w:right w:val="single" w:sz="12" w:space="0" w:color="000000"/>
            </w:tcBorders>
          </w:tcPr>
          <w:p>
            <w:pP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3" w:hRule="exact"/>
        </w:trPr>
        <w:tc>
          <w:tcPr>
            <w:tcW w:w="28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b/>
                <w:bCs/>
                <w:sz w:val="18"/>
                <w:szCs w:val="18"/>
              </w:rPr>
              <w:t>2010</w:t>
            </w:r>
            <w:r>
              <w:rPr>
                <w:rFonts w:ascii="Arial" w:hAnsi="Arial" w:cs="Arial" w:eastAsia="Arial" w:hint="default"/>
                <w:b/>
                <w:bCs/>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b/>
                <w:bCs/>
                <w:sz w:val="18"/>
                <w:szCs w:val="18"/>
              </w:rPr>
              <w:t>1</w:t>
            </w:r>
            <w:r>
              <w:rPr>
                <w:rFonts w:ascii="Arial" w:hAnsi="Arial" w:cs="Arial" w:eastAsia="Arial" w:hint="default"/>
                <w:b/>
                <w:bCs/>
                <w:spacing w:val="-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Arial" w:hAnsi="Arial" w:cs="Arial" w:eastAsia="Arial" w:hint="default"/>
                <w:b/>
                <w:bCs/>
                <w:sz w:val="18"/>
                <w:szCs w:val="18"/>
              </w:rPr>
              <w:t>1</w:t>
            </w:r>
            <w:r>
              <w:rPr>
                <w:rFonts w:ascii="Arial" w:hAnsi="Arial" w:cs="Arial" w:eastAsia="Arial" w:hint="default"/>
                <w:b/>
                <w:bCs/>
                <w:spacing w:val="-7"/>
                <w:sz w:val="18"/>
                <w:szCs w:val="18"/>
              </w:rPr>
              <w:t> </w:t>
            </w:r>
            <w:r>
              <w:rPr>
                <w:rFonts w:ascii="宋体" w:hAnsi="宋体" w:cs="宋体" w:eastAsia="宋体" w:hint="default"/>
                <w:sz w:val="18"/>
                <w:szCs w:val="18"/>
              </w:rPr>
              <w:t>日年初余额</w:t>
            </w: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80,000,000.00</w:t>
            </w:r>
          </w:p>
        </w:tc>
        <w:tc>
          <w:tcPr>
            <w:tcW w:w="20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28,526,833.47</w:t>
            </w:r>
          </w:p>
        </w:tc>
        <w:tc>
          <w:tcPr>
            <w:tcW w:w="8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2"/>
              <w:jc w:val="center"/>
              <w:rPr>
                <w:rFonts w:ascii="Arial" w:hAnsi="Arial" w:cs="Arial" w:eastAsia="Arial" w:hint="default"/>
                <w:sz w:val="18"/>
                <w:szCs w:val="18"/>
              </w:rPr>
            </w:pPr>
            <w:r>
              <w:rPr>
                <w:rFonts w:ascii="Arial"/>
                <w:w w:val="100"/>
                <w:sz w:val="18"/>
              </w:rPr>
              <w:t>-</w:t>
            </w:r>
          </w:p>
        </w:tc>
        <w:tc>
          <w:tcPr>
            <w:tcW w:w="6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290" w:right="0"/>
              <w:jc w:val="left"/>
              <w:rPr>
                <w:rFonts w:ascii="Arial" w:hAnsi="Arial" w:cs="Arial" w:eastAsia="Arial" w:hint="default"/>
                <w:sz w:val="18"/>
                <w:szCs w:val="18"/>
              </w:rPr>
            </w:pPr>
            <w:r>
              <w:rPr>
                <w:rFonts w:ascii="Arial"/>
                <w:w w:val="100"/>
                <w:sz w:val="18"/>
              </w:rPr>
              <w:t>-</w:t>
            </w:r>
          </w:p>
        </w:tc>
        <w:tc>
          <w:tcPr>
            <w:tcW w:w="17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3"/>
              <w:jc w:val="center"/>
              <w:rPr>
                <w:rFonts w:ascii="Arial" w:hAnsi="Arial" w:cs="Arial" w:eastAsia="Arial" w:hint="default"/>
                <w:sz w:val="18"/>
                <w:szCs w:val="18"/>
              </w:rPr>
            </w:pPr>
            <w:r>
              <w:rPr>
                <w:rFonts w:ascii="Arial"/>
                <w:sz w:val="18"/>
              </w:rPr>
              <w:t>6,030,508.74</w:t>
            </w:r>
          </w:p>
        </w:tc>
        <w:tc>
          <w:tcPr>
            <w:tcW w:w="19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54,274,578.74</w:t>
            </w: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168,831,920.95</w:t>
            </w:r>
          </w:p>
        </w:tc>
      </w:tr>
      <w:tr>
        <w:trPr>
          <w:trHeight w:val="341" w:hRule="exact"/>
        </w:trPr>
        <w:tc>
          <w:tcPr>
            <w:tcW w:w="2803" w:type="dxa"/>
            <w:tcBorders>
              <w:top w:val="single" w:sz="12" w:space="0" w:color="000000"/>
              <w:left w:val="single" w:sz="12" w:space="0" w:color="000000"/>
              <w:bottom w:val="single" w:sz="12" w:space="0" w:color="000000"/>
              <w:right w:val="single" w:sz="12" w:space="0" w:color="000000"/>
            </w:tcBorders>
          </w:tcPr>
          <w:p>
            <w:pPr/>
          </w:p>
        </w:tc>
        <w:tc>
          <w:tcPr>
            <w:tcW w:w="2059" w:type="dxa"/>
            <w:tcBorders>
              <w:top w:val="single" w:sz="12" w:space="0" w:color="000000"/>
              <w:left w:val="single" w:sz="12" w:space="0" w:color="000000"/>
              <w:bottom w:val="single" w:sz="12" w:space="0" w:color="000000"/>
              <w:right w:val="single" w:sz="12" w:space="0" w:color="000000"/>
            </w:tcBorders>
          </w:tcPr>
          <w:p>
            <w:pPr/>
          </w:p>
        </w:tc>
        <w:tc>
          <w:tcPr>
            <w:tcW w:w="2057" w:type="dxa"/>
            <w:tcBorders>
              <w:top w:val="single" w:sz="12" w:space="0" w:color="000000"/>
              <w:left w:val="single" w:sz="12" w:space="0" w:color="000000"/>
              <w:bottom w:val="single" w:sz="12" w:space="0" w:color="000000"/>
              <w:right w:val="single" w:sz="12" w:space="0" w:color="000000"/>
            </w:tcBorders>
          </w:tcPr>
          <w:p>
            <w:pP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3" w:hRule="exact"/>
        </w:trPr>
        <w:tc>
          <w:tcPr>
            <w:tcW w:w="28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b/>
                <w:bCs/>
                <w:sz w:val="18"/>
                <w:szCs w:val="18"/>
              </w:rPr>
              <w:t>2010</w:t>
            </w:r>
            <w:r>
              <w:rPr>
                <w:rFonts w:ascii="Arial" w:hAnsi="Arial" w:cs="Arial" w:eastAsia="Arial" w:hint="default"/>
                <w:b/>
                <w:bCs/>
                <w:spacing w:val="-7"/>
                <w:sz w:val="18"/>
                <w:szCs w:val="18"/>
              </w:rPr>
              <w:t> </w:t>
            </w:r>
            <w:r>
              <w:rPr>
                <w:rFonts w:ascii="宋体" w:hAnsi="宋体" w:cs="宋体" w:eastAsia="宋体" w:hint="default"/>
                <w:sz w:val="18"/>
                <w:szCs w:val="18"/>
              </w:rPr>
              <w:t>年度增减变动额</w:t>
            </w: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27,000,000.00</w:t>
            </w:r>
          </w:p>
        </w:tc>
        <w:tc>
          <w:tcPr>
            <w:tcW w:w="20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 w:right="0"/>
              <w:jc w:val="center"/>
              <w:rPr>
                <w:rFonts w:ascii="Arial" w:hAnsi="Arial" w:cs="Arial" w:eastAsia="Arial" w:hint="default"/>
                <w:sz w:val="18"/>
                <w:szCs w:val="18"/>
              </w:rPr>
            </w:pPr>
            <w:r>
              <w:rPr>
                <w:rFonts w:ascii="Arial"/>
                <w:sz w:val="18"/>
              </w:rPr>
              <w:t>504,284,200.00</w:t>
            </w:r>
          </w:p>
        </w:tc>
        <w:tc>
          <w:tcPr>
            <w:tcW w:w="8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2"/>
              <w:jc w:val="center"/>
              <w:rPr>
                <w:rFonts w:ascii="Arial" w:hAnsi="Arial" w:cs="Arial" w:eastAsia="Arial" w:hint="default"/>
                <w:sz w:val="18"/>
                <w:szCs w:val="18"/>
              </w:rPr>
            </w:pPr>
            <w:r>
              <w:rPr>
                <w:rFonts w:ascii="Arial"/>
                <w:w w:val="100"/>
                <w:sz w:val="18"/>
              </w:rPr>
              <w:t>-</w:t>
            </w:r>
          </w:p>
        </w:tc>
        <w:tc>
          <w:tcPr>
            <w:tcW w:w="6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290" w:right="0"/>
              <w:jc w:val="left"/>
              <w:rPr>
                <w:rFonts w:ascii="Arial" w:hAnsi="Arial" w:cs="Arial" w:eastAsia="Arial" w:hint="default"/>
                <w:sz w:val="18"/>
                <w:szCs w:val="18"/>
              </w:rPr>
            </w:pPr>
            <w:r>
              <w:rPr>
                <w:rFonts w:ascii="Arial"/>
                <w:w w:val="100"/>
                <w:sz w:val="18"/>
              </w:rPr>
              <w:t>-</w:t>
            </w:r>
          </w:p>
        </w:tc>
        <w:tc>
          <w:tcPr>
            <w:tcW w:w="17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3"/>
              <w:jc w:val="center"/>
              <w:rPr>
                <w:rFonts w:ascii="Arial" w:hAnsi="Arial" w:cs="Arial" w:eastAsia="Arial" w:hint="default"/>
                <w:sz w:val="18"/>
                <w:szCs w:val="18"/>
              </w:rPr>
            </w:pPr>
            <w:r>
              <w:rPr>
                <w:rFonts w:ascii="Arial"/>
                <w:sz w:val="18"/>
              </w:rPr>
              <w:t>2,391,844.17</w:t>
            </w:r>
          </w:p>
        </w:tc>
        <w:tc>
          <w:tcPr>
            <w:tcW w:w="19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21,526,597.54</w:t>
            </w: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555,202,641.71</w:t>
            </w:r>
          </w:p>
        </w:tc>
      </w:tr>
      <w:tr>
        <w:trPr>
          <w:trHeight w:val="341" w:hRule="exact"/>
        </w:trPr>
        <w:tc>
          <w:tcPr>
            <w:tcW w:w="28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一</w:t>
            </w:r>
            <w:r>
              <w:rPr>
                <w:rFonts w:ascii="Arial" w:hAnsi="Arial" w:cs="Arial" w:eastAsia="Arial" w:hint="default"/>
                <w:sz w:val="18"/>
                <w:szCs w:val="18"/>
              </w:rPr>
              <w:t>)</w:t>
            </w:r>
            <w:r>
              <w:rPr>
                <w:rFonts w:ascii="宋体" w:hAnsi="宋体" w:cs="宋体" w:eastAsia="宋体" w:hint="default"/>
                <w:sz w:val="18"/>
                <w:szCs w:val="18"/>
              </w:rPr>
              <w:t>净利润</w:t>
            </w:r>
          </w:p>
        </w:tc>
        <w:tc>
          <w:tcPr>
            <w:tcW w:w="2059" w:type="dxa"/>
            <w:tcBorders>
              <w:top w:val="single" w:sz="12" w:space="0" w:color="000000"/>
              <w:left w:val="single" w:sz="12" w:space="0" w:color="000000"/>
              <w:bottom w:val="single" w:sz="12" w:space="0" w:color="000000"/>
              <w:right w:val="single" w:sz="12" w:space="0" w:color="000000"/>
            </w:tcBorders>
          </w:tcPr>
          <w:p>
            <w:pPr/>
          </w:p>
        </w:tc>
        <w:tc>
          <w:tcPr>
            <w:tcW w:w="2057" w:type="dxa"/>
            <w:tcBorders>
              <w:top w:val="single" w:sz="12" w:space="0" w:color="000000"/>
              <w:left w:val="single" w:sz="12" w:space="0" w:color="000000"/>
              <w:bottom w:val="single" w:sz="12" w:space="0" w:color="000000"/>
              <w:right w:val="single" w:sz="12" w:space="0" w:color="000000"/>
            </w:tcBorders>
          </w:tcPr>
          <w:p>
            <w:pP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23,918,441.71</w:t>
            </w: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23,918,441.71</w:t>
            </w:r>
          </w:p>
        </w:tc>
      </w:tr>
      <w:tr>
        <w:trPr>
          <w:trHeight w:val="343" w:hRule="exact"/>
        </w:trPr>
        <w:tc>
          <w:tcPr>
            <w:tcW w:w="28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二</w:t>
            </w:r>
            <w:r>
              <w:rPr>
                <w:rFonts w:ascii="Arial" w:hAnsi="Arial" w:cs="Arial" w:eastAsia="Arial" w:hint="default"/>
                <w:sz w:val="18"/>
                <w:szCs w:val="18"/>
              </w:rPr>
              <w:t>)</w:t>
            </w:r>
            <w:r>
              <w:rPr>
                <w:rFonts w:ascii="宋体" w:hAnsi="宋体" w:cs="宋体" w:eastAsia="宋体" w:hint="default"/>
                <w:sz w:val="18"/>
                <w:szCs w:val="18"/>
              </w:rPr>
              <w:t>其他综合收益</w:t>
            </w:r>
          </w:p>
        </w:tc>
        <w:tc>
          <w:tcPr>
            <w:tcW w:w="2059" w:type="dxa"/>
            <w:tcBorders>
              <w:top w:val="single" w:sz="12" w:space="0" w:color="000000"/>
              <w:left w:val="single" w:sz="12" w:space="0" w:color="000000"/>
              <w:bottom w:val="single" w:sz="12" w:space="0" w:color="000000"/>
              <w:right w:val="single" w:sz="12" w:space="0" w:color="000000"/>
            </w:tcBorders>
          </w:tcPr>
          <w:p>
            <w:pPr/>
          </w:p>
        </w:tc>
        <w:tc>
          <w:tcPr>
            <w:tcW w:w="2057" w:type="dxa"/>
            <w:tcBorders>
              <w:top w:val="single" w:sz="12" w:space="0" w:color="000000"/>
              <w:left w:val="single" w:sz="12" w:space="0" w:color="000000"/>
              <w:bottom w:val="single" w:sz="12" w:space="0" w:color="000000"/>
              <w:right w:val="single" w:sz="12" w:space="0" w:color="000000"/>
            </w:tcBorders>
          </w:tcPr>
          <w:p>
            <w:pP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1" w:hRule="exact"/>
        </w:trPr>
        <w:tc>
          <w:tcPr>
            <w:tcW w:w="28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上述</w:t>
            </w:r>
            <w:r>
              <w:rPr>
                <w:rFonts w:ascii="Arial" w:hAnsi="Arial" w:cs="Arial" w:eastAsia="Arial" w:hint="default"/>
                <w:b/>
                <w:bCs/>
                <w:sz w:val="18"/>
                <w:szCs w:val="18"/>
              </w:rPr>
              <w:t>(</w:t>
            </w:r>
            <w:r>
              <w:rPr>
                <w:rFonts w:ascii="宋体" w:hAnsi="宋体" w:cs="宋体" w:eastAsia="宋体" w:hint="default"/>
                <w:sz w:val="18"/>
                <w:szCs w:val="18"/>
              </w:rPr>
              <w:t>一</w:t>
            </w:r>
            <w:r>
              <w:rPr>
                <w:rFonts w:ascii="Arial" w:hAnsi="Arial" w:cs="Arial" w:eastAsia="Arial" w:hint="default"/>
                <w:b/>
                <w:bCs/>
                <w:sz w:val="18"/>
                <w:szCs w:val="18"/>
              </w:rPr>
              <w:t>)</w:t>
            </w:r>
            <w:r>
              <w:rPr>
                <w:rFonts w:ascii="宋体" w:hAnsi="宋体" w:cs="宋体" w:eastAsia="宋体" w:hint="default"/>
                <w:sz w:val="18"/>
                <w:szCs w:val="18"/>
              </w:rPr>
              <w:t>和</w:t>
            </w:r>
            <w:r>
              <w:rPr>
                <w:rFonts w:ascii="Arial" w:hAnsi="Arial" w:cs="Arial" w:eastAsia="Arial" w:hint="default"/>
                <w:b/>
                <w:bCs/>
                <w:sz w:val="18"/>
                <w:szCs w:val="18"/>
              </w:rPr>
              <w:t>(</w:t>
            </w:r>
            <w:r>
              <w:rPr>
                <w:rFonts w:ascii="宋体" w:hAnsi="宋体" w:cs="宋体" w:eastAsia="宋体" w:hint="default"/>
                <w:sz w:val="18"/>
                <w:szCs w:val="18"/>
              </w:rPr>
              <w:t>二</w:t>
            </w:r>
            <w:r>
              <w:rPr>
                <w:rFonts w:ascii="Arial" w:hAnsi="Arial" w:cs="Arial" w:eastAsia="Arial" w:hint="default"/>
                <w:b/>
                <w:bCs/>
                <w:sz w:val="18"/>
                <w:szCs w:val="18"/>
              </w:rPr>
              <w:t>)</w:t>
            </w:r>
            <w:r>
              <w:rPr>
                <w:rFonts w:ascii="宋体" w:hAnsi="宋体" w:cs="宋体" w:eastAsia="宋体" w:hint="default"/>
                <w:sz w:val="18"/>
                <w:szCs w:val="18"/>
              </w:rPr>
              <w:t>小计</w:t>
            </w: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20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8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2"/>
              <w:jc w:val="center"/>
              <w:rPr>
                <w:rFonts w:ascii="Arial" w:hAnsi="Arial" w:cs="Arial" w:eastAsia="Arial" w:hint="default"/>
                <w:sz w:val="18"/>
                <w:szCs w:val="18"/>
              </w:rPr>
            </w:pPr>
            <w:r>
              <w:rPr>
                <w:rFonts w:ascii="Arial"/>
                <w:w w:val="100"/>
                <w:sz w:val="18"/>
              </w:rPr>
              <w:t>-</w:t>
            </w:r>
          </w:p>
        </w:tc>
        <w:tc>
          <w:tcPr>
            <w:tcW w:w="6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290" w:right="0"/>
              <w:jc w:val="left"/>
              <w:rPr>
                <w:rFonts w:ascii="Arial" w:hAnsi="Arial" w:cs="Arial" w:eastAsia="Arial" w:hint="default"/>
                <w:sz w:val="18"/>
                <w:szCs w:val="18"/>
              </w:rPr>
            </w:pPr>
            <w:r>
              <w:rPr>
                <w:rFonts w:ascii="Arial"/>
                <w:w w:val="100"/>
                <w:sz w:val="18"/>
              </w:rPr>
              <w:t>-</w:t>
            </w:r>
          </w:p>
        </w:tc>
        <w:tc>
          <w:tcPr>
            <w:tcW w:w="17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2"/>
              <w:jc w:val="center"/>
              <w:rPr>
                <w:rFonts w:ascii="Arial" w:hAnsi="Arial" w:cs="Arial" w:eastAsia="Arial" w:hint="default"/>
                <w:sz w:val="18"/>
                <w:szCs w:val="18"/>
              </w:rPr>
            </w:pPr>
            <w:r>
              <w:rPr>
                <w:rFonts w:ascii="Arial"/>
                <w:w w:val="100"/>
                <w:sz w:val="18"/>
              </w:rPr>
              <w:t>-</w:t>
            </w:r>
          </w:p>
        </w:tc>
        <w:tc>
          <w:tcPr>
            <w:tcW w:w="19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23,918,441.71</w:t>
            </w: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23,918,441.71</w:t>
            </w:r>
          </w:p>
        </w:tc>
      </w:tr>
      <w:tr>
        <w:trPr>
          <w:trHeight w:val="343" w:hRule="exact"/>
        </w:trPr>
        <w:tc>
          <w:tcPr>
            <w:tcW w:w="28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三</w:t>
            </w:r>
            <w:r>
              <w:rPr>
                <w:rFonts w:ascii="Arial" w:hAnsi="Arial" w:cs="Arial" w:eastAsia="Arial" w:hint="default"/>
                <w:sz w:val="18"/>
                <w:szCs w:val="18"/>
              </w:rPr>
              <w:t>)</w:t>
            </w:r>
            <w:r>
              <w:rPr>
                <w:rFonts w:ascii="宋体" w:hAnsi="宋体" w:cs="宋体" w:eastAsia="宋体" w:hint="default"/>
                <w:sz w:val="18"/>
                <w:szCs w:val="18"/>
              </w:rPr>
              <w:t>所有者投入和减少资本</w:t>
            </w: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27,000,000.00</w:t>
            </w:r>
          </w:p>
        </w:tc>
        <w:tc>
          <w:tcPr>
            <w:tcW w:w="20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 w:right="0"/>
              <w:jc w:val="center"/>
              <w:rPr>
                <w:rFonts w:ascii="Arial" w:hAnsi="Arial" w:cs="Arial" w:eastAsia="Arial" w:hint="default"/>
                <w:sz w:val="18"/>
                <w:szCs w:val="18"/>
              </w:rPr>
            </w:pPr>
            <w:r>
              <w:rPr>
                <w:rFonts w:ascii="Arial"/>
                <w:sz w:val="18"/>
              </w:rPr>
              <w:t>504,284,200.00</w:t>
            </w:r>
          </w:p>
        </w:tc>
        <w:tc>
          <w:tcPr>
            <w:tcW w:w="8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2"/>
              <w:jc w:val="center"/>
              <w:rPr>
                <w:rFonts w:ascii="Arial" w:hAnsi="Arial" w:cs="Arial" w:eastAsia="Arial" w:hint="default"/>
                <w:sz w:val="18"/>
                <w:szCs w:val="18"/>
              </w:rPr>
            </w:pPr>
            <w:r>
              <w:rPr>
                <w:rFonts w:ascii="Arial"/>
                <w:w w:val="100"/>
                <w:sz w:val="18"/>
              </w:rPr>
              <w:t>-</w:t>
            </w:r>
          </w:p>
        </w:tc>
        <w:tc>
          <w:tcPr>
            <w:tcW w:w="6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290" w:right="0"/>
              <w:jc w:val="left"/>
              <w:rPr>
                <w:rFonts w:ascii="Arial" w:hAnsi="Arial" w:cs="Arial" w:eastAsia="Arial" w:hint="default"/>
                <w:sz w:val="18"/>
                <w:szCs w:val="18"/>
              </w:rPr>
            </w:pPr>
            <w:r>
              <w:rPr>
                <w:rFonts w:ascii="Arial"/>
                <w:w w:val="100"/>
                <w:sz w:val="18"/>
              </w:rPr>
              <w:t>-</w:t>
            </w:r>
          </w:p>
        </w:tc>
        <w:tc>
          <w:tcPr>
            <w:tcW w:w="17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2"/>
              <w:jc w:val="center"/>
              <w:rPr>
                <w:rFonts w:ascii="Arial" w:hAnsi="Arial" w:cs="Arial" w:eastAsia="Arial" w:hint="default"/>
                <w:sz w:val="18"/>
                <w:szCs w:val="18"/>
              </w:rPr>
            </w:pPr>
            <w:r>
              <w:rPr>
                <w:rFonts w:ascii="Arial"/>
                <w:w w:val="100"/>
                <w:sz w:val="18"/>
              </w:rPr>
              <w:t>-</w:t>
            </w:r>
          </w:p>
        </w:tc>
        <w:tc>
          <w:tcPr>
            <w:tcW w:w="19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531,284,200.00</w:t>
            </w:r>
          </w:p>
        </w:tc>
      </w:tr>
      <w:tr>
        <w:trPr>
          <w:trHeight w:val="341" w:hRule="exact"/>
        </w:trPr>
        <w:tc>
          <w:tcPr>
            <w:tcW w:w="28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所有者投入资本</w:t>
            </w: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27,000,000.00</w:t>
            </w:r>
          </w:p>
        </w:tc>
        <w:tc>
          <w:tcPr>
            <w:tcW w:w="20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 w:right="0"/>
              <w:jc w:val="center"/>
              <w:rPr>
                <w:rFonts w:ascii="Arial" w:hAnsi="Arial" w:cs="Arial" w:eastAsia="Arial" w:hint="default"/>
                <w:sz w:val="18"/>
                <w:szCs w:val="18"/>
              </w:rPr>
            </w:pPr>
            <w:r>
              <w:rPr>
                <w:rFonts w:ascii="Arial"/>
                <w:sz w:val="18"/>
              </w:rPr>
              <w:t>504,284,200.00</w:t>
            </w: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531,284,200.00</w:t>
            </w:r>
          </w:p>
        </w:tc>
      </w:tr>
      <w:tr>
        <w:trPr>
          <w:trHeight w:val="343" w:hRule="exact"/>
        </w:trPr>
        <w:tc>
          <w:tcPr>
            <w:tcW w:w="28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股份支付计入股东权益的金额</w:t>
            </w:r>
          </w:p>
        </w:tc>
        <w:tc>
          <w:tcPr>
            <w:tcW w:w="2059" w:type="dxa"/>
            <w:tcBorders>
              <w:top w:val="single" w:sz="12" w:space="0" w:color="000000"/>
              <w:left w:val="single" w:sz="12" w:space="0" w:color="000000"/>
              <w:bottom w:val="single" w:sz="12" w:space="0" w:color="000000"/>
              <w:right w:val="single" w:sz="12" w:space="0" w:color="000000"/>
            </w:tcBorders>
          </w:tcPr>
          <w:p>
            <w:pPr/>
          </w:p>
        </w:tc>
        <w:tc>
          <w:tcPr>
            <w:tcW w:w="2057" w:type="dxa"/>
            <w:tcBorders>
              <w:top w:val="single" w:sz="12" w:space="0" w:color="000000"/>
              <w:left w:val="single" w:sz="12" w:space="0" w:color="000000"/>
              <w:bottom w:val="single" w:sz="12" w:space="0" w:color="000000"/>
              <w:right w:val="single" w:sz="12" w:space="0" w:color="000000"/>
            </w:tcBorders>
          </w:tcPr>
          <w:p>
            <w:pP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1" w:hRule="exact"/>
        </w:trPr>
        <w:tc>
          <w:tcPr>
            <w:tcW w:w="28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w:t>
            </w:r>
          </w:p>
        </w:tc>
        <w:tc>
          <w:tcPr>
            <w:tcW w:w="2059" w:type="dxa"/>
            <w:tcBorders>
              <w:top w:val="single" w:sz="12" w:space="0" w:color="000000"/>
              <w:left w:val="single" w:sz="12" w:space="0" w:color="000000"/>
              <w:bottom w:val="single" w:sz="12" w:space="0" w:color="000000"/>
              <w:right w:val="single" w:sz="12" w:space="0" w:color="000000"/>
            </w:tcBorders>
          </w:tcPr>
          <w:p>
            <w:pPr/>
          </w:p>
        </w:tc>
        <w:tc>
          <w:tcPr>
            <w:tcW w:w="2057" w:type="dxa"/>
            <w:tcBorders>
              <w:top w:val="single" w:sz="12" w:space="0" w:color="000000"/>
              <w:left w:val="single" w:sz="12" w:space="0" w:color="000000"/>
              <w:bottom w:val="single" w:sz="12" w:space="0" w:color="000000"/>
              <w:right w:val="single" w:sz="12" w:space="0" w:color="000000"/>
            </w:tcBorders>
          </w:tcPr>
          <w:p>
            <w:pP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3" w:hRule="exact"/>
        </w:trPr>
        <w:tc>
          <w:tcPr>
            <w:tcW w:w="28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四</w:t>
            </w:r>
            <w:r>
              <w:rPr>
                <w:rFonts w:ascii="Arial" w:hAnsi="Arial" w:cs="Arial" w:eastAsia="Arial" w:hint="default"/>
                <w:sz w:val="18"/>
                <w:szCs w:val="18"/>
              </w:rPr>
              <w:t>)</w:t>
            </w:r>
            <w:r>
              <w:rPr>
                <w:rFonts w:ascii="宋体" w:hAnsi="宋体" w:cs="宋体" w:eastAsia="宋体" w:hint="default"/>
                <w:sz w:val="18"/>
                <w:szCs w:val="18"/>
              </w:rPr>
              <w:t>利润分配</w:t>
            </w: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20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8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2"/>
              <w:jc w:val="center"/>
              <w:rPr>
                <w:rFonts w:ascii="Arial" w:hAnsi="Arial" w:cs="Arial" w:eastAsia="Arial" w:hint="default"/>
                <w:sz w:val="18"/>
                <w:szCs w:val="18"/>
              </w:rPr>
            </w:pPr>
            <w:r>
              <w:rPr>
                <w:rFonts w:ascii="Arial"/>
                <w:w w:val="100"/>
                <w:sz w:val="18"/>
              </w:rPr>
              <w:t>-</w:t>
            </w:r>
          </w:p>
        </w:tc>
        <w:tc>
          <w:tcPr>
            <w:tcW w:w="6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290" w:right="0"/>
              <w:jc w:val="left"/>
              <w:rPr>
                <w:rFonts w:ascii="Arial" w:hAnsi="Arial" w:cs="Arial" w:eastAsia="Arial" w:hint="default"/>
                <w:sz w:val="18"/>
                <w:szCs w:val="18"/>
              </w:rPr>
            </w:pPr>
            <w:r>
              <w:rPr>
                <w:rFonts w:ascii="Arial"/>
                <w:w w:val="100"/>
                <w:sz w:val="18"/>
              </w:rPr>
              <w:t>-</w:t>
            </w:r>
          </w:p>
        </w:tc>
        <w:tc>
          <w:tcPr>
            <w:tcW w:w="17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3"/>
              <w:jc w:val="center"/>
              <w:rPr>
                <w:rFonts w:ascii="Arial" w:hAnsi="Arial" w:cs="Arial" w:eastAsia="Arial" w:hint="default"/>
                <w:sz w:val="18"/>
                <w:szCs w:val="18"/>
              </w:rPr>
            </w:pPr>
            <w:r>
              <w:rPr>
                <w:rFonts w:ascii="Arial"/>
                <w:sz w:val="18"/>
              </w:rPr>
              <w:t>2,391,844.17</w:t>
            </w:r>
          </w:p>
        </w:tc>
        <w:tc>
          <w:tcPr>
            <w:tcW w:w="19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 w:right="0"/>
              <w:jc w:val="center"/>
              <w:rPr>
                <w:rFonts w:ascii="Arial" w:hAnsi="Arial" w:cs="Arial" w:eastAsia="Arial" w:hint="default"/>
                <w:sz w:val="18"/>
                <w:szCs w:val="18"/>
              </w:rPr>
            </w:pPr>
            <w:r>
              <w:rPr>
                <w:rFonts w:ascii="Arial"/>
                <w:sz w:val="18"/>
              </w:rPr>
              <w:t>-2,391,844.17</w:t>
            </w: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1" w:hRule="exact"/>
        </w:trPr>
        <w:tc>
          <w:tcPr>
            <w:tcW w:w="28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提取盈余公积</w:t>
            </w:r>
          </w:p>
        </w:tc>
        <w:tc>
          <w:tcPr>
            <w:tcW w:w="2059" w:type="dxa"/>
            <w:tcBorders>
              <w:top w:val="single" w:sz="12" w:space="0" w:color="000000"/>
              <w:left w:val="single" w:sz="12" w:space="0" w:color="000000"/>
              <w:bottom w:val="single" w:sz="12" w:space="0" w:color="000000"/>
              <w:right w:val="single" w:sz="12" w:space="0" w:color="000000"/>
            </w:tcBorders>
          </w:tcPr>
          <w:p>
            <w:pPr/>
          </w:p>
        </w:tc>
        <w:tc>
          <w:tcPr>
            <w:tcW w:w="2057" w:type="dxa"/>
            <w:tcBorders>
              <w:top w:val="single" w:sz="12" w:space="0" w:color="000000"/>
              <w:left w:val="single" w:sz="12" w:space="0" w:color="000000"/>
              <w:bottom w:val="single" w:sz="12" w:space="0" w:color="000000"/>
              <w:right w:val="single" w:sz="12" w:space="0" w:color="000000"/>
            </w:tcBorders>
          </w:tcPr>
          <w:p>
            <w:pP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3"/>
              <w:jc w:val="center"/>
              <w:rPr>
                <w:rFonts w:ascii="Arial" w:hAnsi="Arial" w:cs="Arial" w:eastAsia="Arial" w:hint="default"/>
                <w:sz w:val="18"/>
                <w:szCs w:val="18"/>
              </w:rPr>
            </w:pPr>
            <w:r>
              <w:rPr>
                <w:rFonts w:ascii="Arial"/>
                <w:sz w:val="18"/>
              </w:rPr>
              <w:t>2,391,844.17</w:t>
            </w:r>
          </w:p>
        </w:tc>
        <w:tc>
          <w:tcPr>
            <w:tcW w:w="19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 w:right="0"/>
              <w:jc w:val="center"/>
              <w:rPr>
                <w:rFonts w:ascii="Arial" w:hAnsi="Arial" w:cs="Arial" w:eastAsia="Arial" w:hint="default"/>
                <w:sz w:val="18"/>
                <w:szCs w:val="18"/>
              </w:rPr>
            </w:pPr>
            <w:r>
              <w:rPr>
                <w:rFonts w:ascii="Arial"/>
                <w:sz w:val="18"/>
              </w:rPr>
              <w:t>-2,391,844.17</w:t>
            </w: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3" w:hRule="exact"/>
        </w:trPr>
        <w:tc>
          <w:tcPr>
            <w:tcW w:w="28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对股东的分配</w:t>
            </w:r>
          </w:p>
        </w:tc>
        <w:tc>
          <w:tcPr>
            <w:tcW w:w="2059" w:type="dxa"/>
            <w:tcBorders>
              <w:top w:val="single" w:sz="12" w:space="0" w:color="000000"/>
              <w:left w:val="single" w:sz="12" w:space="0" w:color="000000"/>
              <w:bottom w:val="single" w:sz="12" w:space="0" w:color="000000"/>
              <w:right w:val="single" w:sz="12" w:space="0" w:color="000000"/>
            </w:tcBorders>
          </w:tcPr>
          <w:p>
            <w:pPr/>
          </w:p>
        </w:tc>
        <w:tc>
          <w:tcPr>
            <w:tcW w:w="2057" w:type="dxa"/>
            <w:tcBorders>
              <w:top w:val="single" w:sz="12" w:space="0" w:color="000000"/>
              <w:left w:val="single" w:sz="12" w:space="0" w:color="000000"/>
              <w:bottom w:val="single" w:sz="12" w:space="0" w:color="000000"/>
              <w:right w:val="single" w:sz="12" w:space="0" w:color="000000"/>
            </w:tcBorders>
          </w:tcPr>
          <w:p>
            <w:pP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1" w:hRule="exact"/>
        </w:trPr>
        <w:tc>
          <w:tcPr>
            <w:tcW w:w="28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w:t>
            </w:r>
          </w:p>
        </w:tc>
        <w:tc>
          <w:tcPr>
            <w:tcW w:w="2059" w:type="dxa"/>
            <w:tcBorders>
              <w:top w:val="single" w:sz="12" w:space="0" w:color="000000"/>
              <w:left w:val="single" w:sz="12" w:space="0" w:color="000000"/>
              <w:bottom w:val="single" w:sz="12" w:space="0" w:color="000000"/>
              <w:right w:val="single" w:sz="12" w:space="0" w:color="000000"/>
            </w:tcBorders>
          </w:tcPr>
          <w:p>
            <w:pPr/>
          </w:p>
        </w:tc>
        <w:tc>
          <w:tcPr>
            <w:tcW w:w="2057" w:type="dxa"/>
            <w:tcBorders>
              <w:top w:val="single" w:sz="12" w:space="0" w:color="000000"/>
              <w:left w:val="single" w:sz="12" w:space="0" w:color="000000"/>
              <w:bottom w:val="single" w:sz="12" w:space="0" w:color="000000"/>
              <w:right w:val="single" w:sz="12" w:space="0" w:color="000000"/>
            </w:tcBorders>
          </w:tcPr>
          <w:p>
            <w:pP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3" w:hRule="exact"/>
        </w:trPr>
        <w:tc>
          <w:tcPr>
            <w:tcW w:w="28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五</w:t>
            </w:r>
            <w:r>
              <w:rPr>
                <w:rFonts w:ascii="Arial" w:hAnsi="Arial" w:cs="Arial" w:eastAsia="Arial" w:hint="default"/>
                <w:sz w:val="18"/>
                <w:szCs w:val="18"/>
              </w:rPr>
              <w:t>)</w:t>
            </w:r>
            <w:r>
              <w:rPr>
                <w:rFonts w:ascii="宋体" w:hAnsi="宋体" w:cs="宋体" w:eastAsia="宋体" w:hint="default"/>
                <w:sz w:val="18"/>
                <w:szCs w:val="18"/>
              </w:rPr>
              <w:t>所有者权益内部结转</w:t>
            </w: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20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8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2"/>
              <w:jc w:val="center"/>
              <w:rPr>
                <w:rFonts w:ascii="Arial" w:hAnsi="Arial" w:cs="Arial" w:eastAsia="Arial" w:hint="default"/>
                <w:sz w:val="18"/>
                <w:szCs w:val="18"/>
              </w:rPr>
            </w:pPr>
            <w:r>
              <w:rPr>
                <w:rFonts w:ascii="Arial"/>
                <w:w w:val="100"/>
                <w:sz w:val="18"/>
              </w:rPr>
              <w:t>-</w:t>
            </w:r>
          </w:p>
        </w:tc>
        <w:tc>
          <w:tcPr>
            <w:tcW w:w="6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290" w:right="0"/>
              <w:jc w:val="left"/>
              <w:rPr>
                <w:rFonts w:ascii="Arial" w:hAnsi="Arial" w:cs="Arial" w:eastAsia="Arial" w:hint="default"/>
                <w:sz w:val="18"/>
                <w:szCs w:val="18"/>
              </w:rPr>
            </w:pPr>
            <w:r>
              <w:rPr>
                <w:rFonts w:ascii="Arial"/>
                <w:w w:val="100"/>
                <w:sz w:val="18"/>
              </w:rPr>
              <w:t>-</w:t>
            </w:r>
          </w:p>
        </w:tc>
        <w:tc>
          <w:tcPr>
            <w:tcW w:w="17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2"/>
              <w:jc w:val="center"/>
              <w:rPr>
                <w:rFonts w:ascii="Arial" w:hAnsi="Arial" w:cs="Arial" w:eastAsia="Arial" w:hint="default"/>
                <w:sz w:val="18"/>
                <w:szCs w:val="18"/>
              </w:rPr>
            </w:pPr>
            <w:r>
              <w:rPr>
                <w:rFonts w:ascii="Arial"/>
                <w:w w:val="100"/>
                <w:sz w:val="18"/>
              </w:rPr>
              <w:t>-</w:t>
            </w:r>
          </w:p>
        </w:tc>
        <w:tc>
          <w:tcPr>
            <w:tcW w:w="19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1" w:hRule="exact"/>
        </w:trPr>
        <w:tc>
          <w:tcPr>
            <w:tcW w:w="28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Arial" w:hAnsi="Arial" w:cs="Arial" w:eastAsia="Arial" w:hint="default"/>
                <w:sz w:val="18"/>
                <w:szCs w:val="18"/>
              </w:rPr>
            </w:pPr>
            <w:r>
              <w:rPr>
                <w:rFonts w:ascii="Arial" w:hAnsi="Arial" w:cs="Arial" w:eastAsia="Arial" w:hint="default"/>
                <w:sz w:val="18"/>
                <w:szCs w:val="18"/>
              </w:rPr>
              <w:t>1.</w:t>
            </w:r>
            <w:r>
              <w:rPr>
                <w:rFonts w:ascii="宋体" w:hAnsi="宋体" w:cs="宋体" w:eastAsia="宋体" w:hint="default"/>
                <w:sz w:val="18"/>
                <w:szCs w:val="18"/>
              </w:rPr>
              <w:t>资本公积转增资本</w:t>
            </w:r>
            <w:r>
              <w:rPr>
                <w:rFonts w:ascii="Arial" w:hAnsi="Arial" w:cs="Arial" w:eastAsia="Arial" w:hint="default"/>
                <w:sz w:val="18"/>
                <w:szCs w:val="18"/>
              </w:rPr>
              <w:t>(</w:t>
            </w:r>
            <w:r>
              <w:rPr>
                <w:rFonts w:ascii="宋体" w:hAnsi="宋体" w:cs="宋体" w:eastAsia="宋体" w:hint="default"/>
                <w:sz w:val="18"/>
                <w:szCs w:val="18"/>
              </w:rPr>
              <w:t>或股本</w:t>
            </w:r>
            <w:r>
              <w:rPr>
                <w:rFonts w:ascii="Arial" w:hAnsi="Arial" w:cs="Arial" w:eastAsia="Arial" w:hint="default"/>
                <w:sz w:val="18"/>
                <w:szCs w:val="18"/>
              </w:rPr>
              <w:t>)</w:t>
            </w:r>
          </w:p>
        </w:tc>
        <w:tc>
          <w:tcPr>
            <w:tcW w:w="2059" w:type="dxa"/>
            <w:tcBorders>
              <w:top w:val="single" w:sz="12" w:space="0" w:color="000000"/>
              <w:left w:val="single" w:sz="12" w:space="0" w:color="000000"/>
              <w:bottom w:val="single" w:sz="12" w:space="0" w:color="000000"/>
              <w:right w:val="single" w:sz="12" w:space="0" w:color="000000"/>
            </w:tcBorders>
          </w:tcPr>
          <w:p>
            <w:pPr/>
          </w:p>
        </w:tc>
        <w:tc>
          <w:tcPr>
            <w:tcW w:w="2057" w:type="dxa"/>
            <w:tcBorders>
              <w:top w:val="single" w:sz="12" w:space="0" w:color="000000"/>
              <w:left w:val="single" w:sz="12" w:space="0" w:color="000000"/>
              <w:bottom w:val="single" w:sz="12" w:space="0" w:color="000000"/>
              <w:right w:val="single" w:sz="12" w:space="0" w:color="000000"/>
            </w:tcBorders>
          </w:tcPr>
          <w:p>
            <w:pP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1" w:hRule="exact"/>
        </w:trPr>
        <w:tc>
          <w:tcPr>
            <w:tcW w:w="28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Arial" w:hAnsi="Arial" w:cs="Arial" w:eastAsia="Arial" w:hint="default"/>
                <w:sz w:val="18"/>
                <w:szCs w:val="18"/>
              </w:rPr>
            </w:pPr>
            <w:r>
              <w:rPr>
                <w:rFonts w:ascii="Arial" w:hAnsi="Arial" w:cs="Arial" w:eastAsia="Arial" w:hint="default"/>
                <w:sz w:val="18"/>
                <w:szCs w:val="18"/>
              </w:rPr>
              <w:t>2.</w:t>
            </w:r>
            <w:r>
              <w:rPr>
                <w:rFonts w:ascii="宋体" w:hAnsi="宋体" w:cs="宋体" w:eastAsia="宋体" w:hint="default"/>
                <w:sz w:val="18"/>
                <w:szCs w:val="18"/>
              </w:rPr>
              <w:t>盈余公积转增资本</w:t>
            </w:r>
            <w:r>
              <w:rPr>
                <w:rFonts w:ascii="Arial" w:hAnsi="Arial" w:cs="Arial" w:eastAsia="Arial" w:hint="default"/>
                <w:sz w:val="18"/>
                <w:szCs w:val="18"/>
              </w:rPr>
              <w:t>(</w:t>
            </w:r>
            <w:r>
              <w:rPr>
                <w:rFonts w:ascii="宋体" w:hAnsi="宋体" w:cs="宋体" w:eastAsia="宋体" w:hint="default"/>
                <w:sz w:val="18"/>
                <w:szCs w:val="18"/>
              </w:rPr>
              <w:t>或股本</w:t>
            </w:r>
            <w:r>
              <w:rPr>
                <w:rFonts w:ascii="Arial" w:hAnsi="Arial" w:cs="Arial" w:eastAsia="Arial" w:hint="default"/>
                <w:sz w:val="18"/>
                <w:szCs w:val="18"/>
              </w:rPr>
              <w:t>)</w:t>
            </w:r>
          </w:p>
        </w:tc>
        <w:tc>
          <w:tcPr>
            <w:tcW w:w="2059" w:type="dxa"/>
            <w:tcBorders>
              <w:top w:val="single" w:sz="12" w:space="0" w:color="000000"/>
              <w:left w:val="single" w:sz="12" w:space="0" w:color="000000"/>
              <w:bottom w:val="single" w:sz="12" w:space="0" w:color="000000"/>
              <w:right w:val="single" w:sz="12" w:space="0" w:color="000000"/>
            </w:tcBorders>
          </w:tcPr>
          <w:p>
            <w:pPr/>
          </w:p>
        </w:tc>
        <w:tc>
          <w:tcPr>
            <w:tcW w:w="2057" w:type="dxa"/>
            <w:tcBorders>
              <w:top w:val="single" w:sz="12" w:space="0" w:color="000000"/>
              <w:left w:val="single" w:sz="12" w:space="0" w:color="000000"/>
              <w:bottom w:val="single" w:sz="12" w:space="0" w:color="000000"/>
              <w:right w:val="single" w:sz="12" w:space="0" w:color="000000"/>
            </w:tcBorders>
          </w:tcPr>
          <w:p>
            <w:pP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bl>
    <w:p>
      <w:pPr>
        <w:spacing w:after="0" w:line="240" w:lineRule="auto"/>
        <w:jc w:val="center"/>
        <w:rPr>
          <w:rFonts w:ascii="Arial" w:hAnsi="Arial" w:cs="Arial" w:eastAsia="Arial" w:hint="default"/>
          <w:sz w:val="18"/>
          <w:szCs w:val="18"/>
        </w:rPr>
        <w:sectPr>
          <w:pgSz w:w="16840" w:h="11900" w:orient="landscape"/>
          <w:pgMar w:header="867" w:footer="975" w:top="1060" w:bottom="1160" w:left="1200" w:right="1200"/>
        </w:sectPr>
      </w:pPr>
    </w:p>
    <w:p>
      <w:pPr>
        <w:spacing w:line="240" w:lineRule="auto" w:before="11"/>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2803"/>
        <w:gridCol w:w="2059"/>
        <w:gridCol w:w="2057"/>
        <w:gridCol w:w="838"/>
        <w:gridCol w:w="667"/>
        <w:gridCol w:w="1774"/>
        <w:gridCol w:w="1918"/>
        <w:gridCol w:w="2059"/>
      </w:tblGrid>
      <w:tr>
        <w:trPr>
          <w:trHeight w:val="350" w:hRule="exact"/>
        </w:trPr>
        <w:tc>
          <w:tcPr>
            <w:tcW w:w="2803" w:type="dxa"/>
            <w:tcBorders>
              <w:top w:val="single" w:sz="17"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盈余公积弥补亏损</w:t>
            </w:r>
          </w:p>
        </w:tc>
        <w:tc>
          <w:tcPr>
            <w:tcW w:w="2059" w:type="dxa"/>
            <w:tcBorders>
              <w:top w:val="single" w:sz="17" w:space="0" w:color="000000"/>
              <w:left w:val="single" w:sz="12" w:space="0" w:color="000000"/>
              <w:bottom w:val="single" w:sz="12" w:space="0" w:color="000000"/>
              <w:right w:val="single" w:sz="12" w:space="0" w:color="000000"/>
            </w:tcBorders>
          </w:tcPr>
          <w:p>
            <w:pPr/>
          </w:p>
        </w:tc>
        <w:tc>
          <w:tcPr>
            <w:tcW w:w="2057" w:type="dxa"/>
            <w:tcBorders>
              <w:top w:val="single" w:sz="17" w:space="0" w:color="000000"/>
              <w:left w:val="single" w:sz="12" w:space="0" w:color="000000"/>
              <w:bottom w:val="single" w:sz="12" w:space="0" w:color="000000"/>
              <w:right w:val="single" w:sz="12" w:space="0" w:color="000000"/>
            </w:tcBorders>
          </w:tcPr>
          <w:p>
            <w:pPr/>
          </w:p>
        </w:tc>
        <w:tc>
          <w:tcPr>
            <w:tcW w:w="838" w:type="dxa"/>
            <w:tcBorders>
              <w:top w:val="single" w:sz="17" w:space="0" w:color="000000"/>
              <w:left w:val="single" w:sz="12" w:space="0" w:color="000000"/>
              <w:bottom w:val="single" w:sz="12" w:space="0" w:color="000000"/>
              <w:right w:val="single" w:sz="12" w:space="0" w:color="000000"/>
            </w:tcBorders>
          </w:tcPr>
          <w:p>
            <w:pPr/>
          </w:p>
        </w:tc>
        <w:tc>
          <w:tcPr>
            <w:tcW w:w="667" w:type="dxa"/>
            <w:tcBorders>
              <w:top w:val="single" w:sz="17" w:space="0" w:color="000000"/>
              <w:left w:val="single" w:sz="12" w:space="0" w:color="000000"/>
              <w:bottom w:val="single" w:sz="12" w:space="0" w:color="000000"/>
              <w:right w:val="single" w:sz="12" w:space="0" w:color="000000"/>
            </w:tcBorders>
          </w:tcPr>
          <w:p>
            <w:pPr/>
          </w:p>
        </w:tc>
        <w:tc>
          <w:tcPr>
            <w:tcW w:w="1774" w:type="dxa"/>
            <w:tcBorders>
              <w:top w:val="single" w:sz="17" w:space="0" w:color="000000"/>
              <w:left w:val="single" w:sz="12" w:space="0" w:color="000000"/>
              <w:bottom w:val="single" w:sz="12" w:space="0" w:color="000000"/>
              <w:right w:val="single" w:sz="12" w:space="0" w:color="000000"/>
            </w:tcBorders>
          </w:tcPr>
          <w:p>
            <w:pPr/>
          </w:p>
        </w:tc>
        <w:tc>
          <w:tcPr>
            <w:tcW w:w="1918" w:type="dxa"/>
            <w:tcBorders>
              <w:top w:val="single" w:sz="17" w:space="0" w:color="000000"/>
              <w:left w:val="single" w:sz="12" w:space="0" w:color="000000"/>
              <w:bottom w:val="single" w:sz="12" w:space="0" w:color="000000"/>
              <w:right w:val="single" w:sz="12" w:space="0" w:color="000000"/>
            </w:tcBorders>
          </w:tcPr>
          <w:p>
            <w:pPr/>
          </w:p>
        </w:tc>
        <w:tc>
          <w:tcPr>
            <w:tcW w:w="2059" w:type="dxa"/>
            <w:tcBorders>
              <w:top w:val="single" w:sz="17"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1" w:hRule="exact"/>
        </w:trPr>
        <w:tc>
          <w:tcPr>
            <w:tcW w:w="28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2059" w:type="dxa"/>
            <w:tcBorders>
              <w:top w:val="single" w:sz="12" w:space="0" w:color="000000"/>
              <w:left w:val="single" w:sz="12" w:space="0" w:color="000000"/>
              <w:bottom w:val="single" w:sz="12" w:space="0" w:color="000000"/>
              <w:right w:val="single" w:sz="12" w:space="0" w:color="000000"/>
            </w:tcBorders>
          </w:tcPr>
          <w:p>
            <w:pPr/>
          </w:p>
        </w:tc>
        <w:tc>
          <w:tcPr>
            <w:tcW w:w="2057" w:type="dxa"/>
            <w:tcBorders>
              <w:top w:val="single" w:sz="12" w:space="0" w:color="000000"/>
              <w:left w:val="single" w:sz="12" w:space="0" w:color="000000"/>
              <w:bottom w:val="single" w:sz="12" w:space="0" w:color="000000"/>
              <w:right w:val="single" w:sz="12" w:space="0" w:color="000000"/>
            </w:tcBorders>
          </w:tcPr>
          <w:p>
            <w:pP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3" w:hRule="exact"/>
        </w:trPr>
        <w:tc>
          <w:tcPr>
            <w:tcW w:w="28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六</w:t>
            </w:r>
            <w:r>
              <w:rPr>
                <w:rFonts w:ascii="Arial" w:hAnsi="Arial" w:cs="Arial" w:eastAsia="Arial" w:hint="default"/>
                <w:sz w:val="18"/>
                <w:szCs w:val="18"/>
              </w:rPr>
              <w:t>)</w:t>
            </w:r>
            <w:r>
              <w:rPr>
                <w:rFonts w:ascii="宋体" w:hAnsi="宋体" w:cs="宋体" w:eastAsia="宋体" w:hint="default"/>
                <w:sz w:val="18"/>
                <w:szCs w:val="18"/>
              </w:rPr>
              <w:t>专项储备</w:t>
            </w:r>
          </w:p>
        </w:tc>
        <w:tc>
          <w:tcPr>
            <w:tcW w:w="2059" w:type="dxa"/>
            <w:tcBorders>
              <w:top w:val="single" w:sz="12" w:space="0" w:color="000000"/>
              <w:left w:val="single" w:sz="12" w:space="0" w:color="000000"/>
              <w:bottom w:val="single" w:sz="12" w:space="0" w:color="000000"/>
              <w:right w:val="single" w:sz="12" w:space="0" w:color="000000"/>
            </w:tcBorders>
          </w:tcPr>
          <w:p>
            <w:pPr/>
          </w:p>
        </w:tc>
        <w:tc>
          <w:tcPr>
            <w:tcW w:w="2057" w:type="dxa"/>
            <w:tcBorders>
              <w:top w:val="single" w:sz="12" w:space="0" w:color="000000"/>
              <w:left w:val="single" w:sz="12" w:space="0" w:color="000000"/>
              <w:bottom w:val="single" w:sz="12" w:space="0" w:color="000000"/>
              <w:right w:val="single" w:sz="12" w:space="0" w:color="000000"/>
            </w:tcBorders>
          </w:tcPr>
          <w:p>
            <w:pP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
        </w:tc>
        <w:tc>
          <w:tcPr>
            <w:tcW w:w="2059"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8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七</w:t>
            </w:r>
            <w:r>
              <w:rPr>
                <w:rFonts w:ascii="Arial" w:hAnsi="Arial" w:cs="Arial" w:eastAsia="Arial" w:hint="default"/>
                <w:sz w:val="18"/>
                <w:szCs w:val="18"/>
              </w:rPr>
              <w:t>)</w:t>
            </w:r>
            <w:r>
              <w:rPr>
                <w:rFonts w:ascii="宋体" w:hAnsi="宋体" w:cs="宋体" w:eastAsia="宋体" w:hint="default"/>
                <w:sz w:val="18"/>
                <w:szCs w:val="18"/>
              </w:rPr>
              <w:t>其他</w:t>
            </w:r>
          </w:p>
        </w:tc>
        <w:tc>
          <w:tcPr>
            <w:tcW w:w="2059" w:type="dxa"/>
            <w:tcBorders>
              <w:top w:val="single" w:sz="12" w:space="0" w:color="000000"/>
              <w:left w:val="single" w:sz="12" w:space="0" w:color="000000"/>
              <w:bottom w:val="single" w:sz="12" w:space="0" w:color="000000"/>
              <w:right w:val="single" w:sz="12" w:space="0" w:color="000000"/>
            </w:tcBorders>
          </w:tcPr>
          <w:p>
            <w:pPr/>
          </w:p>
        </w:tc>
        <w:tc>
          <w:tcPr>
            <w:tcW w:w="2057" w:type="dxa"/>
            <w:tcBorders>
              <w:top w:val="single" w:sz="12" w:space="0" w:color="000000"/>
              <w:left w:val="single" w:sz="12" w:space="0" w:color="000000"/>
              <w:bottom w:val="single" w:sz="12" w:space="0" w:color="000000"/>
              <w:right w:val="single" w:sz="12" w:space="0" w:color="000000"/>
            </w:tcBorders>
          </w:tcPr>
          <w:p>
            <w:pP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
        </w:tc>
        <w:tc>
          <w:tcPr>
            <w:tcW w:w="2059"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803" w:type="dxa"/>
            <w:tcBorders>
              <w:top w:val="single" w:sz="12" w:space="0" w:color="000000"/>
              <w:left w:val="single" w:sz="12" w:space="0" w:color="000000"/>
              <w:bottom w:val="single" w:sz="12" w:space="0" w:color="000000"/>
              <w:right w:val="single" w:sz="12" w:space="0" w:color="000000"/>
            </w:tcBorders>
          </w:tcPr>
          <w:p>
            <w:pPr/>
          </w:p>
        </w:tc>
        <w:tc>
          <w:tcPr>
            <w:tcW w:w="2059" w:type="dxa"/>
            <w:tcBorders>
              <w:top w:val="single" w:sz="12" w:space="0" w:color="000000"/>
              <w:left w:val="single" w:sz="12" w:space="0" w:color="000000"/>
              <w:bottom w:val="single" w:sz="12" w:space="0" w:color="000000"/>
              <w:right w:val="single" w:sz="12" w:space="0" w:color="000000"/>
            </w:tcBorders>
          </w:tcPr>
          <w:p>
            <w:pPr/>
          </w:p>
        </w:tc>
        <w:tc>
          <w:tcPr>
            <w:tcW w:w="2057" w:type="dxa"/>
            <w:tcBorders>
              <w:top w:val="single" w:sz="12" w:space="0" w:color="000000"/>
              <w:left w:val="single" w:sz="12" w:space="0" w:color="000000"/>
              <w:bottom w:val="single" w:sz="12" w:space="0" w:color="000000"/>
              <w:right w:val="single" w:sz="12" w:space="0" w:color="000000"/>
            </w:tcBorders>
          </w:tcPr>
          <w:p>
            <w:pP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1" w:hRule="exact"/>
        </w:trPr>
        <w:tc>
          <w:tcPr>
            <w:tcW w:w="28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b/>
                <w:bCs/>
                <w:sz w:val="18"/>
                <w:szCs w:val="18"/>
              </w:rPr>
              <w:t>2010</w:t>
            </w:r>
            <w:r>
              <w:rPr>
                <w:rFonts w:ascii="Arial" w:hAnsi="Arial" w:cs="Arial" w:eastAsia="Arial" w:hint="default"/>
                <w:b/>
                <w:bCs/>
                <w:spacing w:val="-8"/>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Arial" w:hAnsi="Arial" w:cs="Arial" w:eastAsia="Arial" w:hint="default"/>
                <w:b/>
                <w:bCs/>
                <w:sz w:val="18"/>
                <w:szCs w:val="18"/>
              </w:rPr>
              <w:t>12</w:t>
            </w:r>
            <w:r>
              <w:rPr>
                <w:rFonts w:ascii="Arial" w:hAnsi="Arial" w:cs="Arial" w:eastAsia="Arial" w:hint="default"/>
                <w:b/>
                <w:bCs/>
                <w:spacing w:val="-8"/>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Arial" w:hAnsi="Arial" w:cs="Arial" w:eastAsia="Arial" w:hint="default"/>
                <w:b/>
                <w:bCs/>
                <w:sz w:val="18"/>
                <w:szCs w:val="18"/>
              </w:rPr>
              <w:t>31</w:t>
            </w:r>
            <w:r>
              <w:rPr>
                <w:rFonts w:ascii="Arial" w:hAnsi="Arial" w:cs="Arial" w:eastAsia="Arial" w:hint="default"/>
                <w:b/>
                <w:bCs/>
                <w:spacing w:val="-5"/>
                <w:sz w:val="18"/>
                <w:szCs w:val="18"/>
              </w:rPr>
              <w:t> </w:t>
            </w:r>
            <w:r>
              <w:rPr>
                <w:rFonts w:ascii="宋体" w:hAnsi="宋体" w:cs="宋体" w:eastAsia="宋体" w:hint="default"/>
                <w:sz w:val="18"/>
                <w:szCs w:val="18"/>
              </w:rPr>
              <w:t>日年末余额</w:t>
            </w: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388" w:right="0"/>
              <w:jc w:val="left"/>
              <w:rPr>
                <w:rFonts w:ascii="Arial" w:hAnsi="Arial" w:cs="Arial" w:eastAsia="Arial" w:hint="default"/>
                <w:sz w:val="18"/>
                <w:szCs w:val="18"/>
              </w:rPr>
            </w:pPr>
            <w:r>
              <w:rPr>
                <w:rFonts w:ascii="Arial"/>
                <w:sz w:val="18"/>
              </w:rPr>
              <w:t>107,000,000.00</w:t>
            </w:r>
          </w:p>
        </w:tc>
        <w:tc>
          <w:tcPr>
            <w:tcW w:w="20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393" w:right="0"/>
              <w:jc w:val="left"/>
              <w:rPr>
                <w:rFonts w:ascii="Arial" w:hAnsi="Arial" w:cs="Arial" w:eastAsia="Arial" w:hint="default"/>
                <w:sz w:val="18"/>
                <w:szCs w:val="18"/>
              </w:rPr>
            </w:pPr>
            <w:r>
              <w:rPr>
                <w:rFonts w:ascii="Arial"/>
                <w:sz w:val="18"/>
              </w:rPr>
              <w:t>532,811,033.47</w:t>
            </w:r>
          </w:p>
        </w:tc>
        <w:tc>
          <w:tcPr>
            <w:tcW w:w="8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2"/>
              <w:jc w:val="center"/>
              <w:rPr>
                <w:rFonts w:ascii="Arial" w:hAnsi="Arial" w:cs="Arial" w:eastAsia="Arial" w:hint="default"/>
                <w:sz w:val="18"/>
                <w:szCs w:val="18"/>
              </w:rPr>
            </w:pPr>
            <w:r>
              <w:rPr>
                <w:rFonts w:ascii="Arial"/>
                <w:w w:val="100"/>
                <w:sz w:val="18"/>
              </w:rPr>
              <w:t>-</w:t>
            </w:r>
          </w:p>
        </w:tc>
        <w:tc>
          <w:tcPr>
            <w:tcW w:w="6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2" w:right="0"/>
              <w:jc w:val="center"/>
              <w:rPr>
                <w:rFonts w:ascii="Arial" w:hAnsi="Arial" w:cs="Arial" w:eastAsia="Arial" w:hint="default"/>
                <w:sz w:val="18"/>
                <w:szCs w:val="18"/>
              </w:rPr>
            </w:pPr>
            <w:r>
              <w:rPr>
                <w:rFonts w:ascii="Arial"/>
                <w:w w:val="100"/>
                <w:sz w:val="18"/>
              </w:rPr>
              <w:t>-</w:t>
            </w:r>
          </w:p>
        </w:tc>
        <w:tc>
          <w:tcPr>
            <w:tcW w:w="17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343" w:right="0"/>
              <w:jc w:val="left"/>
              <w:rPr>
                <w:rFonts w:ascii="Arial" w:hAnsi="Arial" w:cs="Arial" w:eastAsia="Arial" w:hint="default"/>
                <w:sz w:val="18"/>
                <w:szCs w:val="18"/>
              </w:rPr>
            </w:pPr>
            <w:r>
              <w:rPr>
                <w:rFonts w:ascii="Arial"/>
                <w:sz w:val="18"/>
              </w:rPr>
              <w:t>8,422,352.91</w:t>
            </w:r>
          </w:p>
        </w:tc>
        <w:tc>
          <w:tcPr>
            <w:tcW w:w="19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367" w:right="0"/>
              <w:jc w:val="left"/>
              <w:rPr>
                <w:rFonts w:ascii="Arial" w:hAnsi="Arial" w:cs="Arial" w:eastAsia="Arial" w:hint="default"/>
                <w:sz w:val="18"/>
                <w:szCs w:val="18"/>
              </w:rPr>
            </w:pPr>
            <w:r>
              <w:rPr>
                <w:rFonts w:ascii="Arial"/>
                <w:sz w:val="18"/>
              </w:rPr>
              <w:t>75,801,176.28</w:t>
            </w: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724,034,562.66</w:t>
            </w:r>
          </w:p>
        </w:tc>
      </w:tr>
    </w:tbl>
    <w:p>
      <w:pPr>
        <w:spacing w:line="240" w:lineRule="auto" w:before="7"/>
        <w:rPr>
          <w:rFonts w:ascii="宋体" w:hAnsi="宋体" w:cs="宋体" w:eastAsia="宋体" w:hint="default"/>
          <w:sz w:val="18"/>
          <w:szCs w:val="18"/>
        </w:rPr>
      </w:pPr>
    </w:p>
    <w:p>
      <w:pPr>
        <w:tabs>
          <w:tab w:pos="6724" w:val="left" w:leader="none"/>
          <w:tab w:pos="12126" w:val="left" w:leader="none"/>
        </w:tabs>
        <w:spacing w:before="44"/>
        <w:ind w:left="239" w:right="0" w:firstLine="0"/>
        <w:jc w:val="left"/>
        <w:rPr>
          <w:rFonts w:ascii="宋体" w:hAnsi="宋体" w:cs="宋体" w:eastAsia="宋体" w:hint="default"/>
          <w:sz w:val="18"/>
          <w:szCs w:val="18"/>
        </w:rPr>
      </w:pPr>
      <w:r>
        <w:rPr>
          <w:rFonts w:ascii="宋体" w:hAnsi="宋体" w:cs="宋体" w:eastAsia="宋体" w:hint="default"/>
          <w:spacing w:val="-1"/>
          <w:sz w:val="18"/>
          <w:szCs w:val="18"/>
        </w:rPr>
        <w:t>法定代表人：纪立军</w:t>
        <w:tab/>
      </w:r>
      <w:r>
        <w:rPr>
          <w:rFonts w:ascii="宋体" w:hAnsi="宋体" w:cs="宋体" w:eastAsia="宋体" w:hint="default"/>
          <w:spacing w:val="-2"/>
          <w:sz w:val="18"/>
          <w:szCs w:val="18"/>
        </w:rPr>
        <w:t>主管会计工作负责人：郑强</w:t>
        <w:tab/>
        <w:t>会计机构负责人：王迎辉</w:t>
      </w:r>
    </w:p>
    <w:p>
      <w:pPr>
        <w:spacing w:after="0"/>
        <w:jc w:val="left"/>
        <w:rPr>
          <w:rFonts w:ascii="宋体" w:hAnsi="宋体" w:cs="宋体" w:eastAsia="宋体" w:hint="default"/>
          <w:sz w:val="18"/>
          <w:szCs w:val="18"/>
        </w:rPr>
        <w:sectPr>
          <w:footerReference w:type="default" r:id="rId53"/>
          <w:pgSz w:w="16840" w:h="11900" w:orient="landscape"/>
          <w:pgMar w:footer="975" w:header="867" w:top="1060" w:bottom="1160" w:left="1200" w:right="1200"/>
          <w:pgNumType w:start="80"/>
        </w:sectPr>
      </w:pPr>
    </w:p>
    <w:p>
      <w:pPr>
        <w:pStyle w:val="Heading2"/>
        <w:spacing w:line="415" w:lineRule="exact"/>
        <w:ind w:left="4860" w:right="4962"/>
        <w:jc w:val="center"/>
      </w:pPr>
      <w:r>
        <w:rPr/>
        <w:pict>
          <v:group style="position:absolute;margin-left:70.550636pt;margin-top:2.202084pt;width:700.8pt;height:.1pt;mso-position-horizontal-relative:page;mso-position-vertical-relative:paragraph;z-index:-601816" coordorigin="1411,44" coordsize="14016,2">
            <v:shape style="position:absolute;left:1411;top:44;width:14016;height:2" coordorigin="1411,44" coordsize="14016,0" path="m1411,44l15427,44e" filled="false" stroked="true" strokeweight=".72pt" strokecolor="#000000">
              <v:path arrowok="t"/>
            </v:shape>
            <w10:wrap type="none"/>
          </v:group>
        </w:pict>
      </w:r>
      <w:r>
        <w:rPr/>
        <w:t>2009</w:t>
      </w:r>
      <w:r>
        <w:rPr>
          <w:spacing w:val="-63"/>
        </w:rPr>
        <w:t> </w:t>
      </w:r>
      <w:r>
        <w:rPr/>
        <w:t>年度母公司股东权益变动表</w:t>
      </w:r>
    </w:p>
    <w:p>
      <w:pPr>
        <w:tabs>
          <w:tab w:pos="7624" w:val="left" w:leader="none"/>
          <w:tab w:pos="12340" w:val="left" w:leader="none"/>
        </w:tabs>
        <w:spacing w:before="145"/>
        <w:ind w:left="239" w:right="0" w:firstLine="0"/>
        <w:jc w:val="left"/>
        <w:rPr>
          <w:rFonts w:ascii="宋体" w:hAnsi="宋体" w:cs="宋体" w:eastAsia="宋体" w:hint="default"/>
          <w:sz w:val="18"/>
          <w:szCs w:val="18"/>
        </w:rPr>
      </w:pPr>
      <w:r>
        <w:rPr>
          <w:rFonts w:ascii="宋体" w:hAnsi="宋体" w:cs="宋体" w:eastAsia="宋体" w:hint="default"/>
          <w:spacing w:val="-1"/>
          <w:sz w:val="18"/>
          <w:szCs w:val="18"/>
        </w:rPr>
        <w:t>编制单位：上海安诺其纺织化工股份有限公司</w:t>
        <w:tab/>
      </w:r>
      <w:r>
        <w:rPr>
          <w:rFonts w:ascii="Arial" w:hAnsi="Arial" w:cs="Arial" w:eastAsia="Arial" w:hint="default"/>
          <w:spacing w:val="-1"/>
          <w:sz w:val="18"/>
          <w:szCs w:val="18"/>
        </w:rPr>
        <w:t>2010</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pacing w:val="-1"/>
          <w:sz w:val="18"/>
          <w:szCs w:val="18"/>
        </w:rPr>
        <w:t>31</w:t>
      </w:r>
      <w:r>
        <w:rPr>
          <w:rFonts w:ascii="Arial" w:hAnsi="Arial" w:cs="Arial" w:eastAsia="Arial" w:hint="default"/>
          <w:spacing w:val="-4"/>
          <w:sz w:val="18"/>
          <w:szCs w:val="18"/>
        </w:rPr>
        <w:t> </w:t>
      </w:r>
      <w:r>
        <w:rPr>
          <w:rFonts w:ascii="宋体" w:hAnsi="宋体" w:cs="宋体" w:eastAsia="宋体" w:hint="default"/>
          <w:sz w:val="18"/>
          <w:szCs w:val="18"/>
        </w:rPr>
        <w:t>日</w:t>
        <w:tab/>
      </w:r>
      <w:r>
        <w:rPr>
          <w:rFonts w:ascii="宋体" w:hAnsi="宋体" w:cs="宋体" w:eastAsia="宋体" w:hint="default"/>
          <w:spacing w:val="-1"/>
          <w:sz w:val="18"/>
          <w:szCs w:val="18"/>
        </w:rPr>
        <w:t>单位：元</w:t>
      </w:r>
    </w:p>
    <w:p>
      <w:pPr>
        <w:spacing w:line="240" w:lineRule="auto" w:before="8"/>
        <w:rPr>
          <w:rFonts w:ascii="宋体" w:hAnsi="宋体" w:cs="宋体" w:eastAsia="宋体" w:hint="default"/>
          <w:sz w:val="6"/>
          <w:szCs w:val="6"/>
        </w:rPr>
      </w:pPr>
    </w:p>
    <w:tbl>
      <w:tblPr>
        <w:tblW w:w="0" w:type="auto"/>
        <w:jc w:val="left"/>
        <w:tblInd w:w="117" w:type="dxa"/>
        <w:tblLayout w:type="fixed"/>
        <w:tblCellMar>
          <w:top w:w="0" w:type="dxa"/>
          <w:left w:w="0" w:type="dxa"/>
          <w:bottom w:w="0" w:type="dxa"/>
          <w:right w:w="0" w:type="dxa"/>
        </w:tblCellMar>
        <w:tblLook w:val="01E0"/>
      </w:tblPr>
      <w:tblGrid>
        <w:gridCol w:w="3221"/>
        <w:gridCol w:w="1843"/>
        <w:gridCol w:w="1838"/>
        <w:gridCol w:w="919"/>
        <w:gridCol w:w="737"/>
        <w:gridCol w:w="1706"/>
        <w:gridCol w:w="1841"/>
        <w:gridCol w:w="2069"/>
      </w:tblGrid>
      <w:tr>
        <w:trPr>
          <w:trHeight w:val="341" w:hRule="exact"/>
        </w:trPr>
        <w:tc>
          <w:tcPr>
            <w:tcW w:w="3221" w:type="dxa"/>
            <w:vMerge w:val="restart"/>
            <w:tcBorders>
              <w:top w:val="single" w:sz="12" w:space="0" w:color="000000"/>
              <w:left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885" w:type="dxa"/>
            <w:gridSpan w:val="6"/>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069" w:type="dxa"/>
            <w:vMerge w:val="restart"/>
            <w:tcBorders>
              <w:top w:val="single" w:sz="12" w:space="0" w:color="000000"/>
              <w:left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655" w:hRule="exact"/>
        </w:trPr>
        <w:tc>
          <w:tcPr>
            <w:tcW w:w="3221" w:type="dxa"/>
            <w:vMerge/>
            <w:tcBorders>
              <w:left w:val="single" w:sz="12" w:space="0" w:color="000000"/>
              <w:bottom w:val="single" w:sz="12" w:space="0" w:color="000000"/>
              <w:right w:val="single" w:sz="12" w:space="0" w:color="000000"/>
            </w:tcBorders>
          </w:tcPr>
          <w:p>
            <w:pPr/>
          </w:p>
        </w:tc>
        <w:tc>
          <w:tcPr>
            <w:tcW w:w="18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8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919"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355" w:right="91" w:hanging="262"/>
              <w:jc w:val="left"/>
              <w:rPr>
                <w:rFonts w:ascii="宋体" w:hAnsi="宋体" w:cs="宋体" w:eastAsia="宋体" w:hint="default"/>
                <w:sz w:val="18"/>
                <w:szCs w:val="18"/>
              </w:rPr>
            </w:pPr>
            <w:r>
              <w:rPr>
                <w:rFonts w:ascii="宋体" w:hAnsi="宋体" w:cs="宋体" w:eastAsia="宋体" w:hint="default"/>
                <w:spacing w:val="-5"/>
                <w:sz w:val="18"/>
                <w:szCs w:val="18"/>
              </w:rPr>
              <w:t>减：库存</w:t>
            </w:r>
            <w:r>
              <w:rPr>
                <w:rFonts w:ascii="宋体" w:hAnsi="宋体" w:cs="宋体" w:eastAsia="宋体" w:hint="default"/>
                <w:w w:val="100"/>
                <w:sz w:val="18"/>
                <w:szCs w:val="18"/>
              </w:rPr>
              <w:t> </w:t>
            </w:r>
            <w:r>
              <w:rPr>
                <w:rFonts w:ascii="宋体" w:hAnsi="宋体" w:cs="宋体" w:eastAsia="宋体" w:hint="default"/>
                <w:sz w:val="18"/>
                <w:szCs w:val="18"/>
              </w:rPr>
              <w:t>股</w:t>
            </w:r>
          </w:p>
        </w:tc>
        <w:tc>
          <w:tcPr>
            <w:tcW w:w="737"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172" w:right="173"/>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w w:val="100"/>
                <w:sz w:val="18"/>
                <w:szCs w:val="18"/>
              </w:rPr>
              <w:t> </w:t>
            </w:r>
            <w:r>
              <w:rPr>
                <w:rFonts w:ascii="宋体" w:hAnsi="宋体" w:cs="宋体" w:eastAsia="宋体" w:hint="default"/>
                <w:sz w:val="18"/>
                <w:szCs w:val="18"/>
              </w:rPr>
              <w:t>储备</w:t>
            </w:r>
          </w:p>
        </w:tc>
        <w:tc>
          <w:tcPr>
            <w:tcW w:w="17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18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2069" w:type="dxa"/>
            <w:vMerge/>
            <w:tcBorders>
              <w:left w:val="single" w:sz="12" w:space="0" w:color="000000"/>
              <w:bottom w:val="single" w:sz="12" w:space="0" w:color="000000"/>
              <w:right w:val="single" w:sz="12" w:space="0" w:color="000000"/>
            </w:tcBorders>
          </w:tcPr>
          <w:p>
            <w:pPr/>
          </w:p>
        </w:tc>
      </w:tr>
      <w:tr>
        <w:trPr>
          <w:trHeight w:val="341" w:hRule="exact"/>
        </w:trPr>
        <w:tc>
          <w:tcPr>
            <w:tcW w:w="32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b/>
                <w:bCs/>
                <w:sz w:val="18"/>
                <w:szCs w:val="18"/>
              </w:rPr>
              <w:t>2008</w:t>
            </w:r>
            <w:r>
              <w:rPr>
                <w:rFonts w:ascii="Arial" w:hAnsi="Arial" w:cs="Arial" w:eastAsia="Arial" w:hint="default"/>
                <w:b/>
                <w:bCs/>
                <w:spacing w:val="-8"/>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Arial" w:hAnsi="Arial" w:cs="Arial" w:eastAsia="Arial" w:hint="default"/>
                <w:b/>
                <w:bCs/>
                <w:sz w:val="18"/>
                <w:szCs w:val="18"/>
              </w:rPr>
              <w:t>12</w:t>
            </w:r>
            <w:r>
              <w:rPr>
                <w:rFonts w:ascii="Arial" w:hAnsi="Arial" w:cs="Arial" w:eastAsia="Arial" w:hint="default"/>
                <w:b/>
                <w:bCs/>
                <w:spacing w:val="-8"/>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Arial" w:hAnsi="Arial" w:cs="Arial" w:eastAsia="Arial" w:hint="default"/>
                <w:b/>
                <w:bCs/>
                <w:sz w:val="18"/>
                <w:szCs w:val="18"/>
              </w:rPr>
              <w:t>31</w:t>
            </w:r>
            <w:r>
              <w:rPr>
                <w:rFonts w:ascii="Arial" w:hAnsi="Arial" w:cs="Arial" w:eastAsia="Arial" w:hint="default"/>
                <w:b/>
                <w:bCs/>
                <w:spacing w:val="-5"/>
                <w:sz w:val="18"/>
                <w:szCs w:val="18"/>
              </w:rPr>
              <w:t> </w:t>
            </w:r>
            <w:r>
              <w:rPr>
                <w:rFonts w:ascii="宋体" w:hAnsi="宋体" w:cs="宋体" w:eastAsia="宋体" w:hint="default"/>
                <w:sz w:val="18"/>
                <w:szCs w:val="18"/>
              </w:rPr>
              <w:t>日年末余额</w:t>
            </w:r>
          </w:p>
        </w:tc>
        <w:tc>
          <w:tcPr>
            <w:tcW w:w="18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80,000,000.00</w:t>
            </w:r>
          </w:p>
        </w:tc>
        <w:tc>
          <w:tcPr>
            <w:tcW w:w="18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 w:right="0"/>
              <w:jc w:val="center"/>
              <w:rPr>
                <w:rFonts w:ascii="Arial" w:hAnsi="Arial" w:cs="Arial" w:eastAsia="Arial" w:hint="default"/>
                <w:sz w:val="18"/>
                <w:szCs w:val="18"/>
              </w:rPr>
            </w:pPr>
            <w:r>
              <w:rPr>
                <w:rFonts w:ascii="Arial"/>
                <w:sz w:val="18"/>
              </w:rPr>
              <w:t>28,526,833.47</w:t>
            </w:r>
          </w:p>
        </w:tc>
        <w:tc>
          <w:tcPr>
            <w:tcW w:w="919" w:type="dxa"/>
            <w:tcBorders>
              <w:top w:val="single" w:sz="12" w:space="0" w:color="000000"/>
              <w:left w:val="single" w:sz="12" w:space="0" w:color="000000"/>
              <w:bottom w:val="single" w:sz="12" w:space="0" w:color="000000"/>
              <w:right w:val="single" w:sz="12" w:space="0" w:color="000000"/>
            </w:tcBorders>
          </w:tcPr>
          <w:p>
            <w:pPr/>
          </w:p>
        </w:tc>
        <w:tc>
          <w:tcPr>
            <w:tcW w:w="737" w:type="dxa"/>
            <w:tcBorders>
              <w:top w:val="single" w:sz="12" w:space="0" w:color="000000"/>
              <w:left w:val="single" w:sz="12" w:space="0" w:color="000000"/>
              <w:bottom w:val="single" w:sz="12" w:space="0" w:color="000000"/>
              <w:right w:val="single" w:sz="12" w:space="0" w:color="000000"/>
            </w:tcBorders>
          </w:tcPr>
          <w:p>
            <w:pPr/>
          </w:p>
        </w:tc>
        <w:tc>
          <w:tcPr>
            <w:tcW w:w="17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1,835,935.64</w:t>
            </w:r>
          </w:p>
        </w:tc>
        <w:tc>
          <w:tcPr>
            <w:tcW w:w="18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16,523,420.81</w:t>
            </w:r>
          </w:p>
        </w:tc>
        <w:tc>
          <w:tcPr>
            <w:tcW w:w="20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126,886,189.92</w:t>
            </w:r>
          </w:p>
        </w:tc>
      </w:tr>
      <w:tr>
        <w:trPr>
          <w:trHeight w:val="343" w:hRule="exact"/>
        </w:trPr>
        <w:tc>
          <w:tcPr>
            <w:tcW w:w="32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会计政策变更</w:t>
            </w:r>
          </w:p>
        </w:tc>
        <w:tc>
          <w:tcPr>
            <w:tcW w:w="1843" w:type="dxa"/>
            <w:tcBorders>
              <w:top w:val="single" w:sz="12" w:space="0" w:color="000000"/>
              <w:left w:val="single" w:sz="12" w:space="0" w:color="000000"/>
              <w:bottom w:val="single" w:sz="12" w:space="0" w:color="000000"/>
              <w:right w:val="single" w:sz="12" w:space="0" w:color="000000"/>
            </w:tcBorders>
          </w:tcPr>
          <w:p>
            <w:pPr/>
          </w:p>
        </w:tc>
        <w:tc>
          <w:tcPr>
            <w:tcW w:w="1838" w:type="dxa"/>
            <w:tcBorders>
              <w:top w:val="single" w:sz="12" w:space="0" w:color="000000"/>
              <w:left w:val="single" w:sz="12" w:space="0" w:color="000000"/>
              <w:bottom w:val="single" w:sz="12" w:space="0" w:color="000000"/>
              <w:right w:val="single" w:sz="12" w:space="0" w:color="000000"/>
            </w:tcBorders>
          </w:tcPr>
          <w:p>
            <w:pPr/>
          </w:p>
        </w:tc>
        <w:tc>
          <w:tcPr>
            <w:tcW w:w="919" w:type="dxa"/>
            <w:tcBorders>
              <w:top w:val="single" w:sz="12" w:space="0" w:color="000000"/>
              <w:left w:val="single" w:sz="12" w:space="0" w:color="000000"/>
              <w:bottom w:val="single" w:sz="12" w:space="0" w:color="000000"/>
              <w:right w:val="single" w:sz="12" w:space="0" w:color="000000"/>
            </w:tcBorders>
          </w:tcPr>
          <w:p>
            <w:pPr/>
          </w:p>
        </w:tc>
        <w:tc>
          <w:tcPr>
            <w:tcW w:w="737" w:type="dxa"/>
            <w:tcBorders>
              <w:top w:val="single" w:sz="12" w:space="0" w:color="000000"/>
              <w:left w:val="single" w:sz="12" w:space="0" w:color="000000"/>
              <w:bottom w:val="single" w:sz="12" w:space="0" w:color="000000"/>
              <w:right w:val="single" w:sz="12" w:space="0" w:color="000000"/>
            </w:tcBorders>
          </w:tcPr>
          <w:p>
            <w:pPr/>
          </w:p>
        </w:tc>
        <w:tc>
          <w:tcPr>
            <w:tcW w:w="1706" w:type="dxa"/>
            <w:tcBorders>
              <w:top w:val="single" w:sz="12" w:space="0" w:color="000000"/>
              <w:left w:val="single" w:sz="12" w:space="0" w:color="000000"/>
              <w:bottom w:val="single" w:sz="12" w:space="0" w:color="000000"/>
              <w:right w:val="single" w:sz="12" w:space="0" w:color="000000"/>
            </w:tcBorders>
          </w:tcPr>
          <w:p>
            <w:pPr/>
          </w:p>
        </w:tc>
        <w:tc>
          <w:tcPr>
            <w:tcW w:w="1841" w:type="dxa"/>
            <w:tcBorders>
              <w:top w:val="single" w:sz="12" w:space="0" w:color="000000"/>
              <w:left w:val="single" w:sz="12" w:space="0" w:color="000000"/>
              <w:bottom w:val="single" w:sz="12" w:space="0" w:color="000000"/>
              <w:right w:val="single" w:sz="12" w:space="0" w:color="000000"/>
            </w:tcBorders>
          </w:tcPr>
          <w:p>
            <w:pPr/>
          </w:p>
        </w:tc>
        <w:tc>
          <w:tcPr>
            <w:tcW w:w="20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1" w:hRule="exact"/>
        </w:trPr>
        <w:tc>
          <w:tcPr>
            <w:tcW w:w="32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843" w:type="dxa"/>
            <w:tcBorders>
              <w:top w:val="single" w:sz="12" w:space="0" w:color="000000"/>
              <w:left w:val="single" w:sz="12" w:space="0" w:color="000000"/>
              <w:bottom w:val="single" w:sz="12" w:space="0" w:color="000000"/>
              <w:right w:val="single" w:sz="12" w:space="0" w:color="000000"/>
            </w:tcBorders>
          </w:tcPr>
          <w:p>
            <w:pPr/>
          </w:p>
        </w:tc>
        <w:tc>
          <w:tcPr>
            <w:tcW w:w="1838" w:type="dxa"/>
            <w:tcBorders>
              <w:top w:val="single" w:sz="12" w:space="0" w:color="000000"/>
              <w:left w:val="single" w:sz="12" w:space="0" w:color="000000"/>
              <w:bottom w:val="single" w:sz="12" w:space="0" w:color="000000"/>
              <w:right w:val="single" w:sz="12" w:space="0" w:color="000000"/>
            </w:tcBorders>
          </w:tcPr>
          <w:p>
            <w:pPr/>
          </w:p>
        </w:tc>
        <w:tc>
          <w:tcPr>
            <w:tcW w:w="919" w:type="dxa"/>
            <w:tcBorders>
              <w:top w:val="single" w:sz="12" w:space="0" w:color="000000"/>
              <w:left w:val="single" w:sz="12" w:space="0" w:color="000000"/>
              <w:bottom w:val="single" w:sz="12" w:space="0" w:color="000000"/>
              <w:right w:val="single" w:sz="12" w:space="0" w:color="000000"/>
            </w:tcBorders>
          </w:tcPr>
          <w:p>
            <w:pPr/>
          </w:p>
        </w:tc>
        <w:tc>
          <w:tcPr>
            <w:tcW w:w="737" w:type="dxa"/>
            <w:tcBorders>
              <w:top w:val="single" w:sz="12" w:space="0" w:color="000000"/>
              <w:left w:val="single" w:sz="12" w:space="0" w:color="000000"/>
              <w:bottom w:val="single" w:sz="12" w:space="0" w:color="000000"/>
              <w:right w:val="single" w:sz="12" w:space="0" w:color="000000"/>
            </w:tcBorders>
          </w:tcPr>
          <w:p>
            <w:pPr/>
          </w:p>
        </w:tc>
        <w:tc>
          <w:tcPr>
            <w:tcW w:w="1706" w:type="dxa"/>
            <w:tcBorders>
              <w:top w:val="single" w:sz="12" w:space="0" w:color="000000"/>
              <w:left w:val="single" w:sz="12" w:space="0" w:color="000000"/>
              <w:bottom w:val="single" w:sz="12" w:space="0" w:color="000000"/>
              <w:right w:val="single" w:sz="12" w:space="0" w:color="000000"/>
            </w:tcBorders>
          </w:tcPr>
          <w:p>
            <w:pPr/>
          </w:p>
        </w:tc>
        <w:tc>
          <w:tcPr>
            <w:tcW w:w="1841" w:type="dxa"/>
            <w:tcBorders>
              <w:top w:val="single" w:sz="12" w:space="0" w:color="000000"/>
              <w:left w:val="single" w:sz="12" w:space="0" w:color="000000"/>
              <w:bottom w:val="single" w:sz="12" w:space="0" w:color="000000"/>
              <w:right w:val="single" w:sz="12" w:space="0" w:color="000000"/>
            </w:tcBorders>
          </w:tcPr>
          <w:p>
            <w:pPr/>
          </w:p>
        </w:tc>
        <w:tc>
          <w:tcPr>
            <w:tcW w:w="20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3" w:hRule="exact"/>
        </w:trPr>
        <w:tc>
          <w:tcPr>
            <w:tcW w:w="32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b/>
                <w:bCs/>
                <w:sz w:val="18"/>
                <w:szCs w:val="18"/>
              </w:rPr>
              <w:t>2009</w:t>
            </w:r>
            <w:r>
              <w:rPr>
                <w:rFonts w:ascii="Arial" w:hAnsi="Arial" w:cs="Arial" w:eastAsia="Arial" w:hint="default"/>
                <w:b/>
                <w:bCs/>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b/>
                <w:bCs/>
                <w:sz w:val="18"/>
                <w:szCs w:val="18"/>
              </w:rPr>
              <w:t>1</w:t>
            </w:r>
            <w:r>
              <w:rPr>
                <w:rFonts w:ascii="Arial" w:hAnsi="Arial" w:cs="Arial" w:eastAsia="Arial" w:hint="default"/>
                <w:b/>
                <w:bCs/>
                <w:spacing w:val="-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Arial" w:hAnsi="Arial" w:cs="Arial" w:eastAsia="Arial" w:hint="default"/>
                <w:b/>
                <w:bCs/>
                <w:sz w:val="18"/>
                <w:szCs w:val="18"/>
              </w:rPr>
              <w:t>1</w:t>
            </w:r>
            <w:r>
              <w:rPr>
                <w:rFonts w:ascii="Arial" w:hAnsi="Arial" w:cs="Arial" w:eastAsia="Arial" w:hint="default"/>
                <w:b/>
                <w:bCs/>
                <w:spacing w:val="-7"/>
                <w:sz w:val="18"/>
                <w:szCs w:val="18"/>
              </w:rPr>
              <w:t> </w:t>
            </w:r>
            <w:r>
              <w:rPr>
                <w:rFonts w:ascii="宋体" w:hAnsi="宋体" w:cs="宋体" w:eastAsia="宋体" w:hint="default"/>
                <w:sz w:val="18"/>
                <w:szCs w:val="18"/>
              </w:rPr>
              <w:t>日年初余额</w:t>
            </w:r>
          </w:p>
        </w:tc>
        <w:tc>
          <w:tcPr>
            <w:tcW w:w="18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80,000,000.00</w:t>
            </w:r>
          </w:p>
        </w:tc>
        <w:tc>
          <w:tcPr>
            <w:tcW w:w="18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 w:right="0"/>
              <w:jc w:val="center"/>
              <w:rPr>
                <w:rFonts w:ascii="Arial" w:hAnsi="Arial" w:cs="Arial" w:eastAsia="Arial" w:hint="default"/>
                <w:sz w:val="18"/>
                <w:szCs w:val="18"/>
              </w:rPr>
            </w:pPr>
            <w:r>
              <w:rPr>
                <w:rFonts w:ascii="Arial"/>
                <w:sz w:val="18"/>
              </w:rPr>
              <w:t>28,526,833.47</w:t>
            </w:r>
          </w:p>
        </w:tc>
        <w:tc>
          <w:tcPr>
            <w:tcW w:w="9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7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17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1,835,935.64</w:t>
            </w:r>
          </w:p>
        </w:tc>
        <w:tc>
          <w:tcPr>
            <w:tcW w:w="18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16,523,420.81</w:t>
            </w:r>
          </w:p>
        </w:tc>
        <w:tc>
          <w:tcPr>
            <w:tcW w:w="20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126,886,189.92</w:t>
            </w:r>
          </w:p>
        </w:tc>
      </w:tr>
      <w:tr>
        <w:trPr>
          <w:trHeight w:val="341" w:hRule="exact"/>
        </w:trPr>
        <w:tc>
          <w:tcPr>
            <w:tcW w:w="3221" w:type="dxa"/>
            <w:tcBorders>
              <w:top w:val="single" w:sz="12" w:space="0" w:color="000000"/>
              <w:left w:val="single" w:sz="12" w:space="0" w:color="000000"/>
              <w:bottom w:val="single" w:sz="12" w:space="0" w:color="000000"/>
              <w:right w:val="single" w:sz="12" w:space="0" w:color="000000"/>
            </w:tcBorders>
          </w:tcPr>
          <w:p>
            <w:pPr/>
          </w:p>
        </w:tc>
        <w:tc>
          <w:tcPr>
            <w:tcW w:w="1843" w:type="dxa"/>
            <w:tcBorders>
              <w:top w:val="single" w:sz="12" w:space="0" w:color="000000"/>
              <w:left w:val="single" w:sz="12" w:space="0" w:color="000000"/>
              <w:bottom w:val="single" w:sz="12" w:space="0" w:color="000000"/>
              <w:right w:val="single" w:sz="12" w:space="0" w:color="000000"/>
            </w:tcBorders>
          </w:tcPr>
          <w:p>
            <w:pPr/>
          </w:p>
        </w:tc>
        <w:tc>
          <w:tcPr>
            <w:tcW w:w="1838" w:type="dxa"/>
            <w:tcBorders>
              <w:top w:val="single" w:sz="12" w:space="0" w:color="000000"/>
              <w:left w:val="single" w:sz="12" w:space="0" w:color="000000"/>
              <w:bottom w:val="single" w:sz="12" w:space="0" w:color="000000"/>
              <w:right w:val="single" w:sz="12" w:space="0" w:color="000000"/>
            </w:tcBorders>
          </w:tcPr>
          <w:p>
            <w:pPr/>
          </w:p>
        </w:tc>
        <w:tc>
          <w:tcPr>
            <w:tcW w:w="919" w:type="dxa"/>
            <w:tcBorders>
              <w:top w:val="single" w:sz="12" w:space="0" w:color="000000"/>
              <w:left w:val="single" w:sz="12" w:space="0" w:color="000000"/>
              <w:bottom w:val="single" w:sz="12" w:space="0" w:color="000000"/>
              <w:right w:val="single" w:sz="12" w:space="0" w:color="000000"/>
            </w:tcBorders>
          </w:tcPr>
          <w:p>
            <w:pPr/>
          </w:p>
        </w:tc>
        <w:tc>
          <w:tcPr>
            <w:tcW w:w="737" w:type="dxa"/>
            <w:tcBorders>
              <w:top w:val="single" w:sz="12" w:space="0" w:color="000000"/>
              <w:left w:val="single" w:sz="12" w:space="0" w:color="000000"/>
              <w:bottom w:val="single" w:sz="12" w:space="0" w:color="000000"/>
              <w:right w:val="single" w:sz="12" w:space="0" w:color="000000"/>
            </w:tcBorders>
          </w:tcPr>
          <w:p>
            <w:pPr/>
          </w:p>
        </w:tc>
        <w:tc>
          <w:tcPr>
            <w:tcW w:w="1706" w:type="dxa"/>
            <w:tcBorders>
              <w:top w:val="single" w:sz="12" w:space="0" w:color="000000"/>
              <w:left w:val="single" w:sz="12" w:space="0" w:color="000000"/>
              <w:bottom w:val="single" w:sz="12" w:space="0" w:color="000000"/>
              <w:right w:val="single" w:sz="12" w:space="0" w:color="000000"/>
            </w:tcBorders>
          </w:tcPr>
          <w:p>
            <w:pPr/>
          </w:p>
        </w:tc>
        <w:tc>
          <w:tcPr>
            <w:tcW w:w="1841" w:type="dxa"/>
            <w:tcBorders>
              <w:top w:val="single" w:sz="12" w:space="0" w:color="000000"/>
              <w:left w:val="single" w:sz="12" w:space="0" w:color="000000"/>
              <w:bottom w:val="single" w:sz="12" w:space="0" w:color="000000"/>
              <w:right w:val="single" w:sz="12" w:space="0" w:color="000000"/>
            </w:tcBorders>
          </w:tcPr>
          <w:p>
            <w:pPr/>
          </w:p>
        </w:tc>
        <w:tc>
          <w:tcPr>
            <w:tcW w:w="20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3" w:hRule="exact"/>
        </w:trPr>
        <w:tc>
          <w:tcPr>
            <w:tcW w:w="32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b/>
                <w:bCs/>
                <w:sz w:val="18"/>
                <w:szCs w:val="18"/>
              </w:rPr>
              <w:t>2009</w:t>
            </w:r>
            <w:r>
              <w:rPr>
                <w:rFonts w:ascii="Arial" w:hAnsi="Arial" w:cs="Arial" w:eastAsia="Arial" w:hint="default"/>
                <w:b/>
                <w:bCs/>
                <w:spacing w:val="-7"/>
                <w:sz w:val="18"/>
                <w:szCs w:val="18"/>
              </w:rPr>
              <w:t> </w:t>
            </w:r>
            <w:r>
              <w:rPr>
                <w:rFonts w:ascii="宋体" w:hAnsi="宋体" w:cs="宋体" w:eastAsia="宋体" w:hint="default"/>
                <w:sz w:val="18"/>
                <w:szCs w:val="18"/>
              </w:rPr>
              <w:t>年度增减变动额</w:t>
            </w:r>
          </w:p>
        </w:tc>
        <w:tc>
          <w:tcPr>
            <w:tcW w:w="18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18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2" w:right="0"/>
              <w:jc w:val="center"/>
              <w:rPr>
                <w:rFonts w:ascii="Arial" w:hAnsi="Arial" w:cs="Arial" w:eastAsia="Arial" w:hint="default"/>
                <w:sz w:val="18"/>
                <w:szCs w:val="18"/>
              </w:rPr>
            </w:pPr>
            <w:r>
              <w:rPr>
                <w:rFonts w:ascii="Arial"/>
                <w:w w:val="100"/>
                <w:sz w:val="18"/>
              </w:rPr>
              <w:t>-</w:t>
            </w:r>
          </w:p>
        </w:tc>
        <w:tc>
          <w:tcPr>
            <w:tcW w:w="9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7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17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4,194,573.10</w:t>
            </w:r>
          </w:p>
        </w:tc>
        <w:tc>
          <w:tcPr>
            <w:tcW w:w="18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37,751,157.93</w:t>
            </w:r>
          </w:p>
        </w:tc>
        <w:tc>
          <w:tcPr>
            <w:tcW w:w="20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41,945,731.03</w:t>
            </w:r>
          </w:p>
        </w:tc>
      </w:tr>
      <w:tr>
        <w:trPr>
          <w:trHeight w:val="341" w:hRule="exact"/>
        </w:trPr>
        <w:tc>
          <w:tcPr>
            <w:tcW w:w="32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一</w:t>
            </w:r>
            <w:r>
              <w:rPr>
                <w:rFonts w:ascii="Arial" w:hAnsi="Arial" w:cs="Arial" w:eastAsia="Arial" w:hint="default"/>
                <w:sz w:val="18"/>
                <w:szCs w:val="18"/>
              </w:rPr>
              <w:t>)</w:t>
            </w:r>
            <w:r>
              <w:rPr>
                <w:rFonts w:ascii="宋体" w:hAnsi="宋体" w:cs="宋体" w:eastAsia="宋体" w:hint="default"/>
                <w:sz w:val="18"/>
                <w:szCs w:val="18"/>
              </w:rPr>
              <w:t>净利润</w:t>
            </w:r>
          </w:p>
        </w:tc>
        <w:tc>
          <w:tcPr>
            <w:tcW w:w="1843" w:type="dxa"/>
            <w:tcBorders>
              <w:top w:val="single" w:sz="12" w:space="0" w:color="000000"/>
              <w:left w:val="single" w:sz="12" w:space="0" w:color="000000"/>
              <w:bottom w:val="single" w:sz="12" w:space="0" w:color="000000"/>
              <w:right w:val="single" w:sz="12" w:space="0" w:color="000000"/>
            </w:tcBorders>
          </w:tcPr>
          <w:p>
            <w:pPr/>
          </w:p>
        </w:tc>
        <w:tc>
          <w:tcPr>
            <w:tcW w:w="1838" w:type="dxa"/>
            <w:tcBorders>
              <w:top w:val="single" w:sz="12" w:space="0" w:color="000000"/>
              <w:left w:val="single" w:sz="12" w:space="0" w:color="000000"/>
              <w:bottom w:val="single" w:sz="12" w:space="0" w:color="000000"/>
              <w:right w:val="single" w:sz="12" w:space="0" w:color="000000"/>
            </w:tcBorders>
          </w:tcPr>
          <w:p>
            <w:pPr/>
          </w:p>
        </w:tc>
        <w:tc>
          <w:tcPr>
            <w:tcW w:w="919" w:type="dxa"/>
            <w:tcBorders>
              <w:top w:val="single" w:sz="12" w:space="0" w:color="000000"/>
              <w:left w:val="single" w:sz="12" w:space="0" w:color="000000"/>
              <w:bottom w:val="single" w:sz="12" w:space="0" w:color="000000"/>
              <w:right w:val="single" w:sz="12" w:space="0" w:color="000000"/>
            </w:tcBorders>
          </w:tcPr>
          <w:p>
            <w:pPr/>
          </w:p>
        </w:tc>
        <w:tc>
          <w:tcPr>
            <w:tcW w:w="737" w:type="dxa"/>
            <w:tcBorders>
              <w:top w:val="single" w:sz="12" w:space="0" w:color="000000"/>
              <w:left w:val="single" w:sz="12" w:space="0" w:color="000000"/>
              <w:bottom w:val="single" w:sz="12" w:space="0" w:color="000000"/>
              <w:right w:val="single" w:sz="12" w:space="0" w:color="000000"/>
            </w:tcBorders>
          </w:tcPr>
          <w:p>
            <w:pPr/>
          </w:p>
        </w:tc>
        <w:tc>
          <w:tcPr>
            <w:tcW w:w="1706" w:type="dxa"/>
            <w:tcBorders>
              <w:top w:val="single" w:sz="12" w:space="0" w:color="000000"/>
              <w:left w:val="single" w:sz="12" w:space="0" w:color="000000"/>
              <w:bottom w:val="single" w:sz="12" w:space="0" w:color="000000"/>
              <w:right w:val="single" w:sz="12" w:space="0" w:color="000000"/>
            </w:tcBorders>
          </w:tcPr>
          <w:p>
            <w:pPr/>
          </w:p>
        </w:tc>
        <w:tc>
          <w:tcPr>
            <w:tcW w:w="18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41,945,731.03</w:t>
            </w:r>
          </w:p>
        </w:tc>
        <w:tc>
          <w:tcPr>
            <w:tcW w:w="20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41,945,731.03</w:t>
            </w:r>
          </w:p>
        </w:tc>
      </w:tr>
      <w:tr>
        <w:trPr>
          <w:trHeight w:val="343" w:hRule="exact"/>
        </w:trPr>
        <w:tc>
          <w:tcPr>
            <w:tcW w:w="32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二</w:t>
            </w:r>
            <w:r>
              <w:rPr>
                <w:rFonts w:ascii="Arial" w:hAnsi="Arial" w:cs="Arial" w:eastAsia="Arial" w:hint="default"/>
                <w:sz w:val="18"/>
                <w:szCs w:val="18"/>
              </w:rPr>
              <w:t>)</w:t>
            </w:r>
            <w:r>
              <w:rPr>
                <w:rFonts w:ascii="宋体" w:hAnsi="宋体" w:cs="宋体" w:eastAsia="宋体" w:hint="default"/>
                <w:sz w:val="18"/>
                <w:szCs w:val="18"/>
              </w:rPr>
              <w:t>其他综合收益</w:t>
            </w:r>
          </w:p>
        </w:tc>
        <w:tc>
          <w:tcPr>
            <w:tcW w:w="1843" w:type="dxa"/>
            <w:tcBorders>
              <w:top w:val="single" w:sz="12" w:space="0" w:color="000000"/>
              <w:left w:val="single" w:sz="12" w:space="0" w:color="000000"/>
              <w:bottom w:val="single" w:sz="12" w:space="0" w:color="000000"/>
              <w:right w:val="single" w:sz="12" w:space="0" w:color="000000"/>
            </w:tcBorders>
          </w:tcPr>
          <w:p>
            <w:pPr/>
          </w:p>
        </w:tc>
        <w:tc>
          <w:tcPr>
            <w:tcW w:w="1838" w:type="dxa"/>
            <w:tcBorders>
              <w:top w:val="single" w:sz="12" w:space="0" w:color="000000"/>
              <w:left w:val="single" w:sz="12" w:space="0" w:color="000000"/>
              <w:bottom w:val="single" w:sz="12" w:space="0" w:color="000000"/>
              <w:right w:val="single" w:sz="12" w:space="0" w:color="000000"/>
            </w:tcBorders>
          </w:tcPr>
          <w:p>
            <w:pPr/>
          </w:p>
        </w:tc>
        <w:tc>
          <w:tcPr>
            <w:tcW w:w="919" w:type="dxa"/>
            <w:tcBorders>
              <w:top w:val="single" w:sz="12" w:space="0" w:color="000000"/>
              <w:left w:val="single" w:sz="12" w:space="0" w:color="000000"/>
              <w:bottom w:val="single" w:sz="12" w:space="0" w:color="000000"/>
              <w:right w:val="single" w:sz="12" w:space="0" w:color="000000"/>
            </w:tcBorders>
          </w:tcPr>
          <w:p>
            <w:pPr/>
          </w:p>
        </w:tc>
        <w:tc>
          <w:tcPr>
            <w:tcW w:w="737" w:type="dxa"/>
            <w:tcBorders>
              <w:top w:val="single" w:sz="12" w:space="0" w:color="000000"/>
              <w:left w:val="single" w:sz="12" w:space="0" w:color="000000"/>
              <w:bottom w:val="single" w:sz="12" w:space="0" w:color="000000"/>
              <w:right w:val="single" w:sz="12" w:space="0" w:color="000000"/>
            </w:tcBorders>
          </w:tcPr>
          <w:p>
            <w:pPr/>
          </w:p>
        </w:tc>
        <w:tc>
          <w:tcPr>
            <w:tcW w:w="1706" w:type="dxa"/>
            <w:tcBorders>
              <w:top w:val="single" w:sz="12" w:space="0" w:color="000000"/>
              <w:left w:val="single" w:sz="12" w:space="0" w:color="000000"/>
              <w:bottom w:val="single" w:sz="12" w:space="0" w:color="000000"/>
              <w:right w:val="single" w:sz="12" w:space="0" w:color="000000"/>
            </w:tcBorders>
          </w:tcPr>
          <w:p>
            <w:pPr/>
          </w:p>
        </w:tc>
        <w:tc>
          <w:tcPr>
            <w:tcW w:w="1841" w:type="dxa"/>
            <w:tcBorders>
              <w:top w:val="single" w:sz="12" w:space="0" w:color="000000"/>
              <w:left w:val="single" w:sz="12" w:space="0" w:color="000000"/>
              <w:bottom w:val="single" w:sz="12" w:space="0" w:color="000000"/>
              <w:right w:val="single" w:sz="12" w:space="0" w:color="000000"/>
            </w:tcBorders>
          </w:tcPr>
          <w:p>
            <w:pPr/>
          </w:p>
        </w:tc>
        <w:tc>
          <w:tcPr>
            <w:tcW w:w="20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1" w:hRule="exact"/>
        </w:trPr>
        <w:tc>
          <w:tcPr>
            <w:tcW w:w="32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上述</w:t>
            </w:r>
            <w:r>
              <w:rPr>
                <w:rFonts w:ascii="Arial" w:hAnsi="Arial" w:cs="Arial" w:eastAsia="Arial" w:hint="default"/>
                <w:b/>
                <w:bCs/>
                <w:sz w:val="18"/>
                <w:szCs w:val="18"/>
              </w:rPr>
              <w:t>(</w:t>
            </w:r>
            <w:r>
              <w:rPr>
                <w:rFonts w:ascii="宋体" w:hAnsi="宋体" w:cs="宋体" w:eastAsia="宋体" w:hint="default"/>
                <w:sz w:val="18"/>
                <w:szCs w:val="18"/>
              </w:rPr>
              <w:t>一</w:t>
            </w:r>
            <w:r>
              <w:rPr>
                <w:rFonts w:ascii="Arial" w:hAnsi="Arial" w:cs="Arial" w:eastAsia="Arial" w:hint="default"/>
                <w:b/>
                <w:bCs/>
                <w:sz w:val="18"/>
                <w:szCs w:val="18"/>
              </w:rPr>
              <w:t>)</w:t>
            </w:r>
            <w:r>
              <w:rPr>
                <w:rFonts w:ascii="宋体" w:hAnsi="宋体" w:cs="宋体" w:eastAsia="宋体" w:hint="default"/>
                <w:sz w:val="18"/>
                <w:szCs w:val="18"/>
              </w:rPr>
              <w:t>和</w:t>
            </w:r>
            <w:r>
              <w:rPr>
                <w:rFonts w:ascii="Arial" w:hAnsi="Arial" w:cs="Arial" w:eastAsia="Arial" w:hint="default"/>
                <w:b/>
                <w:bCs/>
                <w:sz w:val="18"/>
                <w:szCs w:val="18"/>
              </w:rPr>
              <w:t>(</w:t>
            </w:r>
            <w:r>
              <w:rPr>
                <w:rFonts w:ascii="宋体" w:hAnsi="宋体" w:cs="宋体" w:eastAsia="宋体" w:hint="default"/>
                <w:sz w:val="18"/>
                <w:szCs w:val="18"/>
              </w:rPr>
              <w:t>二</w:t>
            </w:r>
            <w:r>
              <w:rPr>
                <w:rFonts w:ascii="Arial" w:hAnsi="Arial" w:cs="Arial" w:eastAsia="Arial" w:hint="default"/>
                <w:b/>
                <w:bCs/>
                <w:sz w:val="18"/>
                <w:szCs w:val="18"/>
              </w:rPr>
              <w:t>)</w:t>
            </w:r>
            <w:r>
              <w:rPr>
                <w:rFonts w:ascii="宋体" w:hAnsi="宋体" w:cs="宋体" w:eastAsia="宋体" w:hint="default"/>
                <w:sz w:val="18"/>
                <w:szCs w:val="18"/>
              </w:rPr>
              <w:t>小计</w:t>
            </w:r>
          </w:p>
        </w:tc>
        <w:tc>
          <w:tcPr>
            <w:tcW w:w="18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18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2" w:right="0"/>
              <w:jc w:val="center"/>
              <w:rPr>
                <w:rFonts w:ascii="Arial" w:hAnsi="Arial" w:cs="Arial" w:eastAsia="Arial" w:hint="default"/>
                <w:sz w:val="18"/>
                <w:szCs w:val="18"/>
              </w:rPr>
            </w:pPr>
            <w:r>
              <w:rPr>
                <w:rFonts w:ascii="Arial"/>
                <w:w w:val="100"/>
                <w:sz w:val="18"/>
              </w:rPr>
              <w:t>-</w:t>
            </w:r>
          </w:p>
        </w:tc>
        <w:tc>
          <w:tcPr>
            <w:tcW w:w="9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7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17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18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41,945,731.03</w:t>
            </w:r>
          </w:p>
        </w:tc>
        <w:tc>
          <w:tcPr>
            <w:tcW w:w="20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41,945,731.03</w:t>
            </w:r>
          </w:p>
        </w:tc>
      </w:tr>
      <w:tr>
        <w:trPr>
          <w:trHeight w:val="343" w:hRule="exact"/>
        </w:trPr>
        <w:tc>
          <w:tcPr>
            <w:tcW w:w="32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三</w:t>
            </w:r>
            <w:r>
              <w:rPr>
                <w:rFonts w:ascii="Arial" w:hAnsi="Arial" w:cs="Arial" w:eastAsia="Arial" w:hint="default"/>
                <w:sz w:val="18"/>
                <w:szCs w:val="18"/>
              </w:rPr>
              <w:t>)</w:t>
            </w:r>
            <w:r>
              <w:rPr>
                <w:rFonts w:ascii="宋体" w:hAnsi="宋体" w:cs="宋体" w:eastAsia="宋体" w:hint="default"/>
                <w:sz w:val="18"/>
                <w:szCs w:val="18"/>
              </w:rPr>
              <w:t>所有者投入和减少资本</w:t>
            </w:r>
          </w:p>
        </w:tc>
        <w:tc>
          <w:tcPr>
            <w:tcW w:w="18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18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2" w:right="0"/>
              <w:jc w:val="center"/>
              <w:rPr>
                <w:rFonts w:ascii="Arial" w:hAnsi="Arial" w:cs="Arial" w:eastAsia="Arial" w:hint="default"/>
                <w:sz w:val="18"/>
                <w:szCs w:val="18"/>
              </w:rPr>
            </w:pPr>
            <w:r>
              <w:rPr>
                <w:rFonts w:ascii="Arial"/>
                <w:w w:val="100"/>
                <w:sz w:val="18"/>
              </w:rPr>
              <w:t>-</w:t>
            </w:r>
          </w:p>
        </w:tc>
        <w:tc>
          <w:tcPr>
            <w:tcW w:w="9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7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17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18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20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1" w:hRule="exact"/>
        </w:trPr>
        <w:tc>
          <w:tcPr>
            <w:tcW w:w="32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所有者投入资本</w:t>
            </w:r>
          </w:p>
        </w:tc>
        <w:tc>
          <w:tcPr>
            <w:tcW w:w="1843" w:type="dxa"/>
            <w:tcBorders>
              <w:top w:val="single" w:sz="12" w:space="0" w:color="000000"/>
              <w:left w:val="single" w:sz="12" w:space="0" w:color="000000"/>
              <w:bottom w:val="single" w:sz="12" w:space="0" w:color="000000"/>
              <w:right w:val="single" w:sz="12" w:space="0" w:color="000000"/>
            </w:tcBorders>
          </w:tcPr>
          <w:p>
            <w:pPr/>
          </w:p>
        </w:tc>
        <w:tc>
          <w:tcPr>
            <w:tcW w:w="1838" w:type="dxa"/>
            <w:tcBorders>
              <w:top w:val="single" w:sz="12" w:space="0" w:color="000000"/>
              <w:left w:val="single" w:sz="12" w:space="0" w:color="000000"/>
              <w:bottom w:val="single" w:sz="12" w:space="0" w:color="000000"/>
              <w:right w:val="single" w:sz="12" w:space="0" w:color="000000"/>
            </w:tcBorders>
          </w:tcPr>
          <w:p>
            <w:pPr/>
          </w:p>
        </w:tc>
        <w:tc>
          <w:tcPr>
            <w:tcW w:w="919" w:type="dxa"/>
            <w:tcBorders>
              <w:top w:val="single" w:sz="12" w:space="0" w:color="000000"/>
              <w:left w:val="single" w:sz="12" w:space="0" w:color="000000"/>
              <w:bottom w:val="single" w:sz="12" w:space="0" w:color="000000"/>
              <w:right w:val="single" w:sz="12" w:space="0" w:color="000000"/>
            </w:tcBorders>
          </w:tcPr>
          <w:p>
            <w:pPr/>
          </w:p>
        </w:tc>
        <w:tc>
          <w:tcPr>
            <w:tcW w:w="737" w:type="dxa"/>
            <w:tcBorders>
              <w:top w:val="single" w:sz="12" w:space="0" w:color="000000"/>
              <w:left w:val="single" w:sz="12" w:space="0" w:color="000000"/>
              <w:bottom w:val="single" w:sz="12" w:space="0" w:color="000000"/>
              <w:right w:val="single" w:sz="12" w:space="0" w:color="000000"/>
            </w:tcBorders>
          </w:tcPr>
          <w:p>
            <w:pPr/>
          </w:p>
        </w:tc>
        <w:tc>
          <w:tcPr>
            <w:tcW w:w="1706" w:type="dxa"/>
            <w:tcBorders>
              <w:top w:val="single" w:sz="12" w:space="0" w:color="000000"/>
              <w:left w:val="single" w:sz="12" w:space="0" w:color="000000"/>
              <w:bottom w:val="single" w:sz="12" w:space="0" w:color="000000"/>
              <w:right w:val="single" w:sz="12" w:space="0" w:color="000000"/>
            </w:tcBorders>
          </w:tcPr>
          <w:p>
            <w:pPr/>
          </w:p>
        </w:tc>
        <w:tc>
          <w:tcPr>
            <w:tcW w:w="1841" w:type="dxa"/>
            <w:tcBorders>
              <w:top w:val="single" w:sz="12" w:space="0" w:color="000000"/>
              <w:left w:val="single" w:sz="12" w:space="0" w:color="000000"/>
              <w:bottom w:val="single" w:sz="12" w:space="0" w:color="000000"/>
              <w:right w:val="single" w:sz="12" w:space="0" w:color="000000"/>
            </w:tcBorders>
          </w:tcPr>
          <w:p>
            <w:pPr/>
          </w:p>
        </w:tc>
        <w:tc>
          <w:tcPr>
            <w:tcW w:w="20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3" w:hRule="exact"/>
        </w:trPr>
        <w:tc>
          <w:tcPr>
            <w:tcW w:w="32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股份支付计入股东权益的金额</w:t>
            </w:r>
          </w:p>
        </w:tc>
        <w:tc>
          <w:tcPr>
            <w:tcW w:w="1843" w:type="dxa"/>
            <w:tcBorders>
              <w:top w:val="single" w:sz="12" w:space="0" w:color="000000"/>
              <w:left w:val="single" w:sz="12" w:space="0" w:color="000000"/>
              <w:bottom w:val="single" w:sz="12" w:space="0" w:color="000000"/>
              <w:right w:val="single" w:sz="12" w:space="0" w:color="000000"/>
            </w:tcBorders>
          </w:tcPr>
          <w:p>
            <w:pPr/>
          </w:p>
        </w:tc>
        <w:tc>
          <w:tcPr>
            <w:tcW w:w="1838" w:type="dxa"/>
            <w:tcBorders>
              <w:top w:val="single" w:sz="12" w:space="0" w:color="000000"/>
              <w:left w:val="single" w:sz="12" w:space="0" w:color="000000"/>
              <w:bottom w:val="single" w:sz="12" w:space="0" w:color="000000"/>
              <w:right w:val="single" w:sz="12" w:space="0" w:color="000000"/>
            </w:tcBorders>
          </w:tcPr>
          <w:p>
            <w:pPr/>
          </w:p>
        </w:tc>
        <w:tc>
          <w:tcPr>
            <w:tcW w:w="919" w:type="dxa"/>
            <w:tcBorders>
              <w:top w:val="single" w:sz="12" w:space="0" w:color="000000"/>
              <w:left w:val="single" w:sz="12" w:space="0" w:color="000000"/>
              <w:bottom w:val="single" w:sz="12" w:space="0" w:color="000000"/>
              <w:right w:val="single" w:sz="12" w:space="0" w:color="000000"/>
            </w:tcBorders>
          </w:tcPr>
          <w:p>
            <w:pPr/>
          </w:p>
        </w:tc>
        <w:tc>
          <w:tcPr>
            <w:tcW w:w="737" w:type="dxa"/>
            <w:tcBorders>
              <w:top w:val="single" w:sz="12" w:space="0" w:color="000000"/>
              <w:left w:val="single" w:sz="12" w:space="0" w:color="000000"/>
              <w:bottom w:val="single" w:sz="12" w:space="0" w:color="000000"/>
              <w:right w:val="single" w:sz="12" w:space="0" w:color="000000"/>
            </w:tcBorders>
          </w:tcPr>
          <w:p>
            <w:pPr/>
          </w:p>
        </w:tc>
        <w:tc>
          <w:tcPr>
            <w:tcW w:w="1706" w:type="dxa"/>
            <w:tcBorders>
              <w:top w:val="single" w:sz="12" w:space="0" w:color="000000"/>
              <w:left w:val="single" w:sz="12" w:space="0" w:color="000000"/>
              <w:bottom w:val="single" w:sz="12" w:space="0" w:color="000000"/>
              <w:right w:val="single" w:sz="12" w:space="0" w:color="000000"/>
            </w:tcBorders>
          </w:tcPr>
          <w:p>
            <w:pPr/>
          </w:p>
        </w:tc>
        <w:tc>
          <w:tcPr>
            <w:tcW w:w="1841" w:type="dxa"/>
            <w:tcBorders>
              <w:top w:val="single" w:sz="12" w:space="0" w:color="000000"/>
              <w:left w:val="single" w:sz="12" w:space="0" w:color="000000"/>
              <w:bottom w:val="single" w:sz="12" w:space="0" w:color="000000"/>
              <w:right w:val="single" w:sz="12" w:space="0" w:color="000000"/>
            </w:tcBorders>
          </w:tcPr>
          <w:p>
            <w:pPr/>
          </w:p>
        </w:tc>
        <w:tc>
          <w:tcPr>
            <w:tcW w:w="20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1" w:hRule="exact"/>
        </w:trPr>
        <w:tc>
          <w:tcPr>
            <w:tcW w:w="32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w:t>
            </w:r>
          </w:p>
        </w:tc>
        <w:tc>
          <w:tcPr>
            <w:tcW w:w="1843" w:type="dxa"/>
            <w:tcBorders>
              <w:top w:val="single" w:sz="12" w:space="0" w:color="000000"/>
              <w:left w:val="single" w:sz="12" w:space="0" w:color="000000"/>
              <w:bottom w:val="single" w:sz="12" w:space="0" w:color="000000"/>
              <w:right w:val="single" w:sz="12" w:space="0" w:color="000000"/>
            </w:tcBorders>
          </w:tcPr>
          <w:p>
            <w:pPr/>
          </w:p>
        </w:tc>
        <w:tc>
          <w:tcPr>
            <w:tcW w:w="1838" w:type="dxa"/>
            <w:tcBorders>
              <w:top w:val="single" w:sz="12" w:space="0" w:color="000000"/>
              <w:left w:val="single" w:sz="12" w:space="0" w:color="000000"/>
              <w:bottom w:val="single" w:sz="12" w:space="0" w:color="000000"/>
              <w:right w:val="single" w:sz="12" w:space="0" w:color="000000"/>
            </w:tcBorders>
          </w:tcPr>
          <w:p>
            <w:pPr/>
          </w:p>
        </w:tc>
        <w:tc>
          <w:tcPr>
            <w:tcW w:w="919" w:type="dxa"/>
            <w:tcBorders>
              <w:top w:val="single" w:sz="12" w:space="0" w:color="000000"/>
              <w:left w:val="single" w:sz="12" w:space="0" w:color="000000"/>
              <w:bottom w:val="single" w:sz="12" w:space="0" w:color="000000"/>
              <w:right w:val="single" w:sz="12" w:space="0" w:color="000000"/>
            </w:tcBorders>
          </w:tcPr>
          <w:p>
            <w:pPr/>
          </w:p>
        </w:tc>
        <w:tc>
          <w:tcPr>
            <w:tcW w:w="737" w:type="dxa"/>
            <w:tcBorders>
              <w:top w:val="single" w:sz="12" w:space="0" w:color="000000"/>
              <w:left w:val="single" w:sz="12" w:space="0" w:color="000000"/>
              <w:bottom w:val="single" w:sz="12" w:space="0" w:color="000000"/>
              <w:right w:val="single" w:sz="12" w:space="0" w:color="000000"/>
            </w:tcBorders>
          </w:tcPr>
          <w:p>
            <w:pPr/>
          </w:p>
        </w:tc>
        <w:tc>
          <w:tcPr>
            <w:tcW w:w="1706" w:type="dxa"/>
            <w:tcBorders>
              <w:top w:val="single" w:sz="12" w:space="0" w:color="000000"/>
              <w:left w:val="single" w:sz="12" w:space="0" w:color="000000"/>
              <w:bottom w:val="single" w:sz="12" w:space="0" w:color="000000"/>
              <w:right w:val="single" w:sz="12" w:space="0" w:color="000000"/>
            </w:tcBorders>
          </w:tcPr>
          <w:p>
            <w:pPr/>
          </w:p>
        </w:tc>
        <w:tc>
          <w:tcPr>
            <w:tcW w:w="1841" w:type="dxa"/>
            <w:tcBorders>
              <w:top w:val="single" w:sz="12" w:space="0" w:color="000000"/>
              <w:left w:val="single" w:sz="12" w:space="0" w:color="000000"/>
              <w:bottom w:val="single" w:sz="12" w:space="0" w:color="000000"/>
              <w:right w:val="single" w:sz="12" w:space="0" w:color="000000"/>
            </w:tcBorders>
          </w:tcPr>
          <w:p>
            <w:pPr/>
          </w:p>
        </w:tc>
        <w:tc>
          <w:tcPr>
            <w:tcW w:w="20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3" w:hRule="exact"/>
        </w:trPr>
        <w:tc>
          <w:tcPr>
            <w:tcW w:w="32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四</w:t>
            </w:r>
            <w:r>
              <w:rPr>
                <w:rFonts w:ascii="Arial" w:hAnsi="Arial" w:cs="Arial" w:eastAsia="Arial" w:hint="default"/>
                <w:sz w:val="18"/>
                <w:szCs w:val="18"/>
              </w:rPr>
              <w:t>)</w:t>
            </w:r>
            <w:r>
              <w:rPr>
                <w:rFonts w:ascii="宋体" w:hAnsi="宋体" w:cs="宋体" w:eastAsia="宋体" w:hint="default"/>
                <w:sz w:val="18"/>
                <w:szCs w:val="18"/>
              </w:rPr>
              <w:t>利润分配</w:t>
            </w:r>
          </w:p>
        </w:tc>
        <w:tc>
          <w:tcPr>
            <w:tcW w:w="18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18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2" w:right="0"/>
              <w:jc w:val="center"/>
              <w:rPr>
                <w:rFonts w:ascii="Arial" w:hAnsi="Arial" w:cs="Arial" w:eastAsia="Arial" w:hint="default"/>
                <w:sz w:val="18"/>
                <w:szCs w:val="18"/>
              </w:rPr>
            </w:pPr>
            <w:r>
              <w:rPr>
                <w:rFonts w:ascii="Arial"/>
                <w:w w:val="100"/>
                <w:sz w:val="18"/>
              </w:rPr>
              <w:t>-</w:t>
            </w:r>
          </w:p>
        </w:tc>
        <w:tc>
          <w:tcPr>
            <w:tcW w:w="9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7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17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4,194,573.10</w:t>
            </w:r>
          </w:p>
        </w:tc>
        <w:tc>
          <w:tcPr>
            <w:tcW w:w="18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-4,194,573.10</w:t>
            </w:r>
          </w:p>
        </w:tc>
        <w:tc>
          <w:tcPr>
            <w:tcW w:w="20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1" w:hRule="exact"/>
        </w:trPr>
        <w:tc>
          <w:tcPr>
            <w:tcW w:w="32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提取盈余公积</w:t>
            </w:r>
          </w:p>
        </w:tc>
        <w:tc>
          <w:tcPr>
            <w:tcW w:w="1843" w:type="dxa"/>
            <w:tcBorders>
              <w:top w:val="single" w:sz="12" w:space="0" w:color="000000"/>
              <w:left w:val="single" w:sz="12" w:space="0" w:color="000000"/>
              <w:bottom w:val="single" w:sz="12" w:space="0" w:color="000000"/>
              <w:right w:val="single" w:sz="12" w:space="0" w:color="000000"/>
            </w:tcBorders>
          </w:tcPr>
          <w:p>
            <w:pPr/>
          </w:p>
        </w:tc>
        <w:tc>
          <w:tcPr>
            <w:tcW w:w="1838" w:type="dxa"/>
            <w:tcBorders>
              <w:top w:val="single" w:sz="12" w:space="0" w:color="000000"/>
              <w:left w:val="single" w:sz="12" w:space="0" w:color="000000"/>
              <w:bottom w:val="single" w:sz="12" w:space="0" w:color="000000"/>
              <w:right w:val="single" w:sz="12" w:space="0" w:color="000000"/>
            </w:tcBorders>
          </w:tcPr>
          <w:p>
            <w:pPr/>
          </w:p>
        </w:tc>
        <w:tc>
          <w:tcPr>
            <w:tcW w:w="919" w:type="dxa"/>
            <w:tcBorders>
              <w:top w:val="single" w:sz="12" w:space="0" w:color="000000"/>
              <w:left w:val="single" w:sz="12" w:space="0" w:color="000000"/>
              <w:bottom w:val="single" w:sz="12" w:space="0" w:color="000000"/>
              <w:right w:val="single" w:sz="12" w:space="0" w:color="000000"/>
            </w:tcBorders>
          </w:tcPr>
          <w:p>
            <w:pPr/>
          </w:p>
        </w:tc>
        <w:tc>
          <w:tcPr>
            <w:tcW w:w="737" w:type="dxa"/>
            <w:tcBorders>
              <w:top w:val="single" w:sz="12" w:space="0" w:color="000000"/>
              <w:left w:val="single" w:sz="12" w:space="0" w:color="000000"/>
              <w:bottom w:val="single" w:sz="12" w:space="0" w:color="000000"/>
              <w:right w:val="single" w:sz="12" w:space="0" w:color="000000"/>
            </w:tcBorders>
          </w:tcPr>
          <w:p>
            <w:pPr/>
          </w:p>
        </w:tc>
        <w:tc>
          <w:tcPr>
            <w:tcW w:w="17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4,194,573.10</w:t>
            </w:r>
          </w:p>
        </w:tc>
        <w:tc>
          <w:tcPr>
            <w:tcW w:w="18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-4,194,573.10</w:t>
            </w:r>
          </w:p>
        </w:tc>
        <w:tc>
          <w:tcPr>
            <w:tcW w:w="20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3" w:hRule="exact"/>
        </w:trPr>
        <w:tc>
          <w:tcPr>
            <w:tcW w:w="32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对股东的分配</w:t>
            </w:r>
          </w:p>
        </w:tc>
        <w:tc>
          <w:tcPr>
            <w:tcW w:w="1843" w:type="dxa"/>
            <w:tcBorders>
              <w:top w:val="single" w:sz="12" w:space="0" w:color="000000"/>
              <w:left w:val="single" w:sz="12" w:space="0" w:color="000000"/>
              <w:bottom w:val="single" w:sz="12" w:space="0" w:color="000000"/>
              <w:right w:val="single" w:sz="12" w:space="0" w:color="000000"/>
            </w:tcBorders>
          </w:tcPr>
          <w:p>
            <w:pPr/>
          </w:p>
        </w:tc>
        <w:tc>
          <w:tcPr>
            <w:tcW w:w="1838" w:type="dxa"/>
            <w:tcBorders>
              <w:top w:val="single" w:sz="12" w:space="0" w:color="000000"/>
              <w:left w:val="single" w:sz="12" w:space="0" w:color="000000"/>
              <w:bottom w:val="single" w:sz="12" w:space="0" w:color="000000"/>
              <w:right w:val="single" w:sz="12" w:space="0" w:color="000000"/>
            </w:tcBorders>
          </w:tcPr>
          <w:p>
            <w:pPr/>
          </w:p>
        </w:tc>
        <w:tc>
          <w:tcPr>
            <w:tcW w:w="919" w:type="dxa"/>
            <w:tcBorders>
              <w:top w:val="single" w:sz="12" w:space="0" w:color="000000"/>
              <w:left w:val="single" w:sz="12" w:space="0" w:color="000000"/>
              <w:bottom w:val="single" w:sz="12" w:space="0" w:color="000000"/>
              <w:right w:val="single" w:sz="12" w:space="0" w:color="000000"/>
            </w:tcBorders>
          </w:tcPr>
          <w:p>
            <w:pPr/>
          </w:p>
        </w:tc>
        <w:tc>
          <w:tcPr>
            <w:tcW w:w="737" w:type="dxa"/>
            <w:tcBorders>
              <w:top w:val="single" w:sz="12" w:space="0" w:color="000000"/>
              <w:left w:val="single" w:sz="12" w:space="0" w:color="000000"/>
              <w:bottom w:val="single" w:sz="12" w:space="0" w:color="000000"/>
              <w:right w:val="single" w:sz="12" w:space="0" w:color="000000"/>
            </w:tcBorders>
          </w:tcPr>
          <w:p>
            <w:pPr/>
          </w:p>
        </w:tc>
        <w:tc>
          <w:tcPr>
            <w:tcW w:w="1706" w:type="dxa"/>
            <w:tcBorders>
              <w:top w:val="single" w:sz="12" w:space="0" w:color="000000"/>
              <w:left w:val="single" w:sz="12" w:space="0" w:color="000000"/>
              <w:bottom w:val="single" w:sz="12" w:space="0" w:color="000000"/>
              <w:right w:val="single" w:sz="12" w:space="0" w:color="000000"/>
            </w:tcBorders>
          </w:tcPr>
          <w:p>
            <w:pPr/>
          </w:p>
        </w:tc>
        <w:tc>
          <w:tcPr>
            <w:tcW w:w="1841" w:type="dxa"/>
            <w:tcBorders>
              <w:top w:val="single" w:sz="12" w:space="0" w:color="000000"/>
              <w:left w:val="single" w:sz="12" w:space="0" w:color="000000"/>
              <w:bottom w:val="single" w:sz="12" w:space="0" w:color="000000"/>
              <w:right w:val="single" w:sz="12" w:space="0" w:color="000000"/>
            </w:tcBorders>
          </w:tcPr>
          <w:p>
            <w:pPr/>
          </w:p>
        </w:tc>
        <w:tc>
          <w:tcPr>
            <w:tcW w:w="20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1" w:hRule="exact"/>
        </w:trPr>
        <w:tc>
          <w:tcPr>
            <w:tcW w:w="32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w:t>
            </w:r>
          </w:p>
        </w:tc>
        <w:tc>
          <w:tcPr>
            <w:tcW w:w="1843" w:type="dxa"/>
            <w:tcBorders>
              <w:top w:val="single" w:sz="12" w:space="0" w:color="000000"/>
              <w:left w:val="single" w:sz="12" w:space="0" w:color="000000"/>
              <w:bottom w:val="single" w:sz="12" w:space="0" w:color="000000"/>
              <w:right w:val="single" w:sz="12" w:space="0" w:color="000000"/>
            </w:tcBorders>
          </w:tcPr>
          <w:p>
            <w:pPr/>
          </w:p>
        </w:tc>
        <w:tc>
          <w:tcPr>
            <w:tcW w:w="1838" w:type="dxa"/>
            <w:tcBorders>
              <w:top w:val="single" w:sz="12" w:space="0" w:color="000000"/>
              <w:left w:val="single" w:sz="12" w:space="0" w:color="000000"/>
              <w:bottom w:val="single" w:sz="12" w:space="0" w:color="000000"/>
              <w:right w:val="single" w:sz="12" w:space="0" w:color="000000"/>
            </w:tcBorders>
          </w:tcPr>
          <w:p>
            <w:pPr/>
          </w:p>
        </w:tc>
        <w:tc>
          <w:tcPr>
            <w:tcW w:w="919" w:type="dxa"/>
            <w:tcBorders>
              <w:top w:val="single" w:sz="12" w:space="0" w:color="000000"/>
              <w:left w:val="single" w:sz="12" w:space="0" w:color="000000"/>
              <w:bottom w:val="single" w:sz="12" w:space="0" w:color="000000"/>
              <w:right w:val="single" w:sz="12" w:space="0" w:color="000000"/>
            </w:tcBorders>
          </w:tcPr>
          <w:p>
            <w:pPr/>
          </w:p>
        </w:tc>
        <w:tc>
          <w:tcPr>
            <w:tcW w:w="737" w:type="dxa"/>
            <w:tcBorders>
              <w:top w:val="single" w:sz="12" w:space="0" w:color="000000"/>
              <w:left w:val="single" w:sz="12" w:space="0" w:color="000000"/>
              <w:bottom w:val="single" w:sz="12" w:space="0" w:color="000000"/>
              <w:right w:val="single" w:sz="12" w:space="0" w:color="000000"/>
            </w:tcBorders>
          </w:tcPr>
          <w:p>
            <w:pPr/>
          </w:p>
        </w:tc>
        <w:tc>
          <w:tcPr>
            <w:tcW w:w="1706" w:type="dxa"/>
            <w:tcBorders>
              <w:top w:val="single" w:sz="12" w:space="0" w:color="000000"/>
              <w:left w:val="single" w:sz="12" w:space="0" w:color="000000"/>
              <w:bottom w:val="single" w:sz="12" w:space="0" w:color="000000"/>
              <w:right w:val="single" w:sz="12" w:space="0" w:color="000000"/>
            </w:tcBorders>
          </w:tcPr>
          <w:p>
            <w:pPr/>
          </w:p>
        </w:tc>
        <w:tc>
          <w:tcPr>
            <w:tcW w:w="1841" w:type="dxa"/>
            <w:tcBorders>
              <w:top w:val="single" w:sz="12" w:space="0" w:color="000000"/>
              <w:left w:val="single" w:sz="12" w:space="0" w:color="000000"/>
              <w:bottom w:val="single" w:sz="12" w:space="0" w:color="000000"/>
              <w:right w:val="single" w:sz="12" w:space="0" w:color="000000"/>
            </w:tcBorders>
          </w:tcPr>
          <w:p>
            <w:pPr/>
          </w:p>
        </w:tc>
        <w:tc>
          <w:tcPr>
            <w:tcW w:w="20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3" w:hRule="exact"/>
        </w:trPr>
        <w:tc>
          <w:tcPr>
            <w:tcW w:w="32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五</w:t>
            </w:r>
            <w:r>
              <w:rPr>
                <w:rFonts w:ascii="Arial" w:hAnsi="Arial" w:cs="Arial" w:eastAsia="Arial" w:hint="default"/>
                <w:sz w:val="18"/>
                <w:szCs w:val="18"/>
              </w:rPr>
              <w:t>)</w:t>
            </w:r>
            <w:r>
              <w:rPr>
                <w:rFonts w:ascii="宋体" w:hAnsi="宋体" w:cs="宋体" w:eastAsia="宋体" w:hint="default"/>
                <w:sz w:val="18"/>
                <w:szCs w:val="18"/>
              </w:rPr>
              <w:t>所有者权益内部结转</w:t>
            </w:r>
          </w:p>
        </w:tc>
        <w:tc>
          <w:tcPr>
            <w:tcW w:w="18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18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2" w:right="0"/>
              <w:jc w:val="center"/>
              <w:rPr>
                <w:rFonts w:ascii="Arial" w:hAnsi="Arial" w:cs="Arial" w:eastAsia="Arial" w:hint="default"/>
                <w:sz w:val="18"/>
                <w:szCs w:val="18"/>
              </w:rPr>
            </w:pPr>
            <w:r>
              <w:rPr>
                <w:rFonts w:ascii="Arial"/>
                <w:w w:val="100"/>
                <w:sz w:val="18"/>
              </w:rPr>
              <w:t>-</w:t>
            </w:r>
          </w:p>
        </w:tc>
        <w:tc>
          <w:tcPr>
            <w:tcW w:w="9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7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17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18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20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1" w:hRule="exact"/>
        </w:trPr>
        <w:tc>
          <w:tcPr>
            <w:tcW w:w="32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Arial" w:hAnsi="Arial" w:cs="Arial" w:eastAsia="Arial" w:hint="default"/>
                <w:sz w:val="18"/>
                <w:szCs w:val="18"/>
              </w:rPr>
            </w:pPr>
            <w:r>
              <w:rPr>
                <w:rFonts w:ascii="Arial" w:hAnsi="Arial" w:cs="Arial" w:eastAsia="Arial" w:hint="default"/>
                <w:sz w:val="18"/>
                <w:szCs w:val="18"/>
              </w:rPr>
              <w:t>1.</w:t>
            </w:r>
            <w:r>
              <w:rPr>
                <w:rFonts w:ascii="宋体" w:hAnsi="宋体" w:cs="宋体" w:eastAsia="宋体" w:hint="default"/>
                <w:sz w:val="18"/>
                <w:szCs w:val="18"/>
              </w:rPr>
              <w:t>资本公积转增资本</w:t>
            </w:r>
            <w:r>
              <w:rPr>
                <w:rFonts w:ascii="Arial" w:hAnsi="Arial" w:cs="Arial" w:eastAsia="Arial" w:hint="default"/>
                <w:sz w:val="18"/>
                <w:szCs w:val="18"/>
              </w:rPr>
              <w:t>(</w:t>
            </w:r>
            <w:r>
              <w:rPr>
                <w:rFonts w:ascii="宋体" w:hAnsi="宋体" w:cs="宋体" w:eastAsia="宋体" w:hint="default"/>
                <w:sz w:val="18"/>
                <w:szCs w:val="18"/>
              </w:rPr>
              <w:t>或股本</w:t>
            </w:r>
            <w:r>
              <w:rPr>
                <w:rFonts w:ascii="Arial" w:hAnsi="Arial" w:cs="Arial" w:eastAsia="Arial" w:hint="default"/>
                <w:sz w:val="18"/>
                <w:szCs w:val="18"/>
              </w:rPr>
              <w:t>)</w:t>
            </w:r>
          </w:p>
        </w:tc>
        <w:tc>
          <w:tcPr>
            <w:tcW w:w="1843" w:type="dxa"/>
            <w:tcBorders>
              <w:top w:val="single" w:sz="12" w:space="0" w:color="000000"/>
              <w:left w:val="single" w:sz="12" w:space="0" w:color="000000"/>
              <w:bottom w:val="single" w:sz="12" w:space="0" w:color="000000"/>
              <w:right w:val="single" w:sz="12" w:space="0" w:color="000000"/>
            </w:tcBorders>
          </w:tcPr>
          <w:p>
            <w:pPr/>
          </w:p>
        </w:tc>
        <w:tc>
          <w:tcPr>
            <w:tcW w:w="1838" w:type="dxa"/>
            <w:tcBorders>
              <w:top w:val="single" w:sz="12" w:space="0" w:color="000000"/>
              <w:left w:val="single" w:sz="12" w:space="0" w:color="000000"/>
              <w:bottom w:val="single" w:sz="12" w:space="0" w:color="000000"/>
              <w:right w:val="single" w:sz="12" w:space="0" w:color="000000"/>
            </w:tcBorders>
          </w:tcPr>
          <w:p>
            <w:pPr/>
          </w:p>
        </w:tc>
        <w:tc>
          <w:tcPr>
            <w:tcW w:w="919" w:type="dxa"/>
            <w:tcBorders>
              <w:top w:val="single" w:sz="12" w:space="0" w:color="000000"/>
              <w:left w:val="single" w:sz="12" w:space="0" w:color="000000"/>
              <w:bottom w:val="single" w:sz="12" w:space="0" w:color="000000"/>
              <w:right w:val="single" w:sz="12" w:space="0" w:color="000000"/>
            </w:tcBorders>
          </w:tcPr>
          <w:p>
            <w:pPr/>
          </w:p>
        </w:tc>
        <w:tc>
          <w:tcPr>
            <w:tcW w:w="737" w:type="dxa"/>
            <w:tcBorders>
              <w:top w:val="single" w:sz="12" w:space="0" w:color="000000"/>
              <w:left w:val="single" w:sz="12" w:space="0" w:color="000000"/>
              <w:bottom w:val="single" w:sz="12" w:space="0" w:color="000000"/>
              <w:right w:val="single" w:sz="12" w:space="0" w:color="000000"/>
            </w:tcBorders>
          </w:tcPr>
          <w:p>
            <w:pPr/>
          </w:p>
        </w:tc>
        <w:tc>
          <w:tcPr>
            <w:tcW w:w="1706" w:type="dxa"/>
            <w:tcBorders>
              <w:top w:val="single" w:sz="12" w:space="0" w:color="000000"/>
              <w:left w:val="single" w:sz="12" w:space="0" w:color="000000"/>
              <w:bottom w:val="single" w:sz="12" w:space="0" w:color="000000"/>
              <w:right w:val="single" w:sz="12" w:space="0" w:color="000000"/>
            </w:tcBorders>
          </w:tcPr>
          <w:p>
            <w:pPr/>
          </w:p>
        </w:tc>
        <w:tc>
          <w:tcPr>
            <w:tcW w:w="1841" w:type="dxa"/>
            <w:tcBorders>
              <w:top w:val="single" w:sz="12" w:space="0" w:color="000000"/>
              <w:left w:val="single" w:sz="12" w:space="0" w:color="000000"/>
              <w:bottom w:val="single" w:sz="12" w:space="0" w:color="000000"/>
              <w:right w:val="single" w:sz="12" w:space="0" w:color="000000"/>
            </w:tcBorders>
          </w:tcPr>
          <w:p>
            <w:pPr/>
          </w:p>
        </w:tc>
        <w:tc>
          <w:tcPr>
            <w:tcW w:w="20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1" w:hRule="exact"/>
        </w:trPr>
        <w:tc>
          <w:tcPr>
            <w:tcW w:w="32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Arial" w:hAnsi="Arial" w:cs="Arial" w:eastAsia="Arial" w:hint="default"/>
                <w:sz w:val="18"/>
                <w:szCs w:val="18"/>
              </w:rPr>
            </w:pPr>
            <w:r>
              <w:rPr>
                <w:rFonts w:ascii="Arial" w:hAnsi="Arial" w:cs="Arial" w:eastAsia="Arial" w:hint="default"/>
                <w:sz w:val="18"/>
                <w:szCs w:val="18"/>
              </w:rPr>
              <w:t>2.</w:t>
            </w:r>
            <w:r>
              <w:rPr>
                <w:rFonts w:ascii="宋体" w:hAnsi="宋体" w:cs="宋体" w:eastAsia="宋体" w:hint="default"/>
                <w:sz w:val="18"/>
                <w:szCs w:val="18"/>
              </w:rPr>
              <w:t>盈余公积转增资本</w:t>
            </w:r>
            <w:r>
              <w:rPr>
                <w:rFonts w:ascii="Arial" w:hAnsi="Arial" w:cs="Arial" w:eastAsia="Arial" w:hint="default"/>
                <w:sz w:val="18"/>
                <w:szCs w:val="18"/>
              </w:rPr>
              <w:t>(</w:t>
            </w:r>
            <w:r>
              <w:rPr>
                <w:rFonts w:ascii="宋体" w:hAnsi="宋体" w:cs="宋体" w:eastAsia="宋体" w:hint="default"/>
                <w:sz w:val="18"/>
                <w:szCs w:val="18"/>
              </w:rPr>
              <w:t>或股本</w:t>
            </w:r>
            <w:r>
              <w:rPr>
                <w:rFonts w:ascii="Arial" w:hAnsi="Arial" w:cs="Arial" w:eastAsia="Arial" w:hint="default"/>
                <w:sz w:val="18"/>
                <w:szCs w:val="18"/>
              </w:rPr>
              <w:t>)</w:t>
            </w:r>
          </w:p>
        </w:tc>
        <w:tc>
          <w:tcPr>
            <w:tcW w:w="1843" w:type="dxa"/>
            <w:tcBorders>
              <w:top w:val="single" w:sz="12" w:space="0" w:color="000000"/>
              <w:left w:val="single" w:sz="12" w:space="0" w:color="000000"/>
              <w:bottom w:val="single" w:sz="12" w:space="0" w:color="000000"/>
              <w:right w:val="single" w:sz="12" w:space="0" w:color="000000"/>
            </w:tcBorders>
          </w:tcPr>
          <w:p>
            <w:pPr/>
          </w:p>
        </w:tc>
        <w:tc>
          <w:tcPr>
            <w:tcW w:w="1838" w:type="dxa"/>
            <w:tcBorders>
              <w:top w:val="single" w:sz="12" w:space="0" w:color="000000"/>
              <w:left w:val="single" w:sz="12" w:space="0" w:color="000000"/>
              <w:bottom w:val="single" w:sz="12" w:space="0" w:color="000000"/>
              <w:right w:val="single" w:sz="12" w:space="0" w:color="000000"/>
            </w:tcBorders>
          </w:tcPr>
          <w:p>
            <w:pPr/>
          </w:p>
        </w:tc>
        <w:tc>
          <w:tcPr>
            <w:tcW w:w="919" w:type="dxa"/>
            <w:tcBorders>
              <w:top w:val="single" w:sz="12" w:space="0" w:color="000000"/>
              <w:left w:val="single" w:sz="12" w:space="0" w:color="000000"/>
              <w:bottom w:val="single" w:sz="12" w:space="0" w:color="000000"/>
              <w:right w:val="single" w:sz="12" w:space="0" w:color="000000"/>
            </w:tcBorders>
          </w:tcPr>
          <w:p>
            <w:pPr/>
          </w:p>
        </w:tc>
        <w:tc>
          <w:tcPr>
            <w:tcW w:w="737" w:type="dxa"/>
            <w:tcBorders>
              <w:top w:val="single" w:sz="12" w:space="0" w:color="000000"/>
              <w:left w:val="single" w:sz="12" w:space="0" w:color="000000"/>
              <w:bottom w:val="single" w:sz="12" w:space="0" w:color="000000"/>
              <w:right w:val="single" w:sz="12" w:space="0" w:color="000000"/>
            </w:tcBorders>
          </w:tcPr>
          <w:p>
            <w:pPr/>
          </w:p>
        </w:tc>
        <w:tc>
          <w:tcPr>
            <w:tcW w:w="1706" w:type="dxa"/>
            <w:tcBorders>
              <w:top w:val="single" w:sz="12" w:space="0" w:color="000000"/>
              <w:left w:val="single" w:sz="12" w:space="0" w:color="000000"/>
              <w:bottom w:val="single" w:sz="12" w:space="0" w:color="000000"/>
              <w:right w:val="single" w:sz="12" w:space="0" w:color="000000"/>
            </w:tcBorders>
          </w:tcPr>
          <w:p>
            <w:pPr/>
          </w:p>
        </w:tc>
        <w:tc>
          <w:tcPr>
            <w:tcW w:w="1841" w:type="dxa"/>
            <w:tcBorders>
              <w:top w:val="single" w:sz="12" w:space="0" w:color="000000"/>
              <w:left w:val="single" w:sz="12" w:space="0" w:color="000000"/>
              <w:bottom w:val="single" w:sz="12" w:space="0" w:color="000000"/>
              <w:right w:val="single" w:sz="12" w:space="0" w:color="000000"/>
            </w:tcBorders>
          </w:tcPr>
          <w:p>
            <w:pPr/>
          </w:p>
        </w:tc>
        <w:tc>
          <w:tcPr>
            <w:tcW w:w="20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bl>
    <w:p>
      <w:pPr>
        <w:spacing w:after="0" w:line="240" w:lineRule="auto"/>
        <w:jc w:val="center"/>
        <w:rPr>
          <w:rFonts w:ascii="Arial" w:hAnsi="Arial" w:cs="Arial" w:eastAsia="Arial" w:hint="default"/>
          <w:sz w:val="18"/>
          <w:szCs w:val="18"/>
        </w:rPr>
        <w:sectPr>
          <w:pgSz w:w="16840" w:h="11900" w:orient="landscape"/>
          <w:pgMar w:header="867" w:footer="975" w:top="1060" w:bottom="1160" w:left="1200" w:right="1200"/>
        </w:sectPr>
      </w:pPr>
    </w:p>
    <w:p>
      <w:pPr>
        <w:spacing w:line="240" w:lineRule="auto" w:before="11"/>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3221"/>
        <w:gridCol w:w="1843"/>
        <w:gridCol w:w="1838"/>
        <w:gridCol w:w="919"/>
        <w:gridCol w:w="737"/>
        <w:gridCol w:w="1706"/>
        <w:gridCol w:w="1841"/>
        <w:gridCol w:w="2069"/>
      </w:tblGrid>
      <w:tr>
        <w:trPr>
          <w:trHeight w:val="350" w:hRule="exact"/>
        </w:trPr>
        <w:tc>
          <w:tcPr>
            <w:tcW w:w="3221" w:type="dxa"/>
            <w:tcBorders>
              <w:top w:val="single" w:sz="17"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盈余公积弥补亏损</w:t>
            </w:r>
          </w:p>
        </w:tc>
        <w:tc>
          <w:tcPr>
            <w:tcW w:w="1843" w:type="dxa"/>
            <w:tcBorders>
              <w:top w:val="single" w:sz="17" w:space="0" w:color="000000"/>
              <w:left w:val="single" w:sz="12" w:space="0" w:color="000000"/>
              <w:bottom w:val="single" w:sz="12" w:space="0" w:color="000000"/>
              <w:right w:val="single" w:sz="12" w:space="0" w:color="000000"/>
            </w:tcBorders>
          </w:tcPr>
          <w:p>
            <w:pPr/>
          </w:p>
        </w:tc>
        <w:tc>
          <w:tcPr>
            <w:tcW w:w="1838" w:type="dxa"/>
            <w:tcBorders>
              <w:top w:val="single" w:sz="17" w:space="0" w:color="000000"/>
              <w:left w:val="single" w:sz="12" w:space="0" w:color="000000"/>
              <w:bottom w:val="single" w:sz="12" w:space="0" w:color="000000"/>
              <w:right w:val="single" w:sz="12" w:space="0" w:color="000000"/>
            </w:tcBorders>
          </w:tcPr>
          <w:p>
            <w:pPr/>
          </w:p>
        </w:tc>
        <w:tc>
          <w:tcPr>
            <w:tcW w:w="919" w:type="dxa"/>
            <w:tcBorders>
              <w:top w:val="single" w:sz="17" w:space="0" w:color="000000"/>
              <w:left w:val="single" w:sz="12" w:space="0" w:color="000000"/>
              <w:bottom w:val="single" w:sz="12" w:space="0" w:color="000000"/>
              <w:right w:val="single" w:sz="12" w:space="0" w:color="000000"/>
            </w:tcBorders>
          </w:tcPr>
          <w:p>
            <w:pPr/>
          </w:p>
        </w:tc>
        <w:tc>
          <w:tcPr>
            <w:tcW w:w="737" w:type="dxa"/>
            <w:tcBorders>
              <w:top w:val="single" w:sz="17" w:space="0" w:color="000000"/>
              <w:left w:val="single" w:sz="12" w:space="0" w:color="000000"/>
              <w:bottom w:val="single" w:sz="12" w:space="0" w:color="000000"/>
              <w:right w:val="single" w:sz="12" w:space="0" w:color="000000"/>
            </w:tcBorders>
          </w:tcPr>
          <w:p>
            <w:pPr/>
          </w:p>
        </w:tc>
        <w:tc>
          <w:tcPr>
            <w:tcW w:w="1706" w:type="dxa"/>
            <w:tcBorders>
              <w:top w:val="single" w:sz="17" w:space="0" w:color="000000"/>
              <w:left w:val="single" w:sz="12" w:space="0" w:color="000000"/>
              <w:bottom w:val="single" w:sz="12" w:space="0" w:color="000000"/>
              <w:right w:val="single" w:sz="12" w:space="0" w:color="000000"/>
            </w:tcBorders>
          </w:tcPr>
          <w:p>
            <w:pPr/>
          </w:p>
        </w:tc>
        <w:tc>
          <w:tcPr>
            <w:tcW w:w="1841" w:type="dxa"/>
            <w:tcBorders>
              <w:top w:val="single" w:sz="17" w:space="0" w:color="000000"/>
              <w:left w:val="single" w:sz="12" w:space="0" w:color="000000"/>
              <w:bottom w:val="single" w:sz="12" w:space="0" w:color="000000"/>
              <w:right w:val="single" w:sz="12" w:space="0" w:color="000000"/>
            </w:tcBorders>
          </w:tcPr>
          <w:p>
            <w:pPr/>
          </w:p>
        </w:tc>
        <w:tc>
          <w:tcPr>
            <w:tcW w:w="2069" w:type="dxa"/>
            <w:tcBorders>
              <w:top w:val="single" w:sz="17"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1" w:hRule="exact"/>
        </w:trPr>
        <w:tc>
          <w:tcPr>
            <w:tcW w:w="32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843" w:type="dxa"/>
            <w:tcBorders>
              <w:top w:val="single" w:sz="12" w:space="0" w:color="000000"/>
              <w:left w:val="single" w:sz="12" w:space="0" w:color="000000"/>
              <w:bottom w:val="single" w:sz="12" w:space="0" w:color="000000"/>
              <w:right w:val="single" w:sz="12" w:space="0" w:color="000000"/>
            </w:tcBorders>
          </w:tcPr>
          <w:p>
            <w:pPr/>
          </w:p>
        </w:tc>
        <w:tc>
          <w:tcPr>
            <w:tcW w:w="1838" w:type="dxa"/>
            <w:tcBorders>
              <w:top w:val="single" w:sz="12" w:space="0" w:color="000000"/>
              <w:left w:val="single" w:sz="12" w:space="0" w:color="000000"/>
              <w:bottom w:val="single" w:sz="12" w:space="0" w:color="000000"/>
              <w:right w:val="single" w:sz="12" w:space="0" w:color="000000"/>
            </w:tcBorders>
          </w:tcPr>
          <w:p>
            <w:pPr/>
          </w:p>
        </w:tc>
        <w:tc>
          <w:tcPr>
            <w:tcW w:w="919" w:type="dxa"/>
            <w:tcBorders>
              <w:top w:val="single" w:sz="12" w:space="0" w:color="000000"/>
              <w:left w:val="single" w:sz="12" w:space="0" w:color="000000"/>
              <w:bottom w:val="single" w:sz="12" w:space="0" w:color="000000"/>
              <w:right w:val="single" w:sz="12" w:space="0" w:color="000000"/>
            </w:tcBorders>
          </w:tcPr>
          <w:p>
            <w:pPr/>
          </w:p>
        </w:tc>
        <w:tc>
          <w:tcPr>
            <w:tcW w:w="737" w:type="dxa"/>
            <w:tcBorders>
              <w:top w:val="single" w:sz="12" w:space="0" w:color="000000"/>
              <w:left w:val="single" w:sz="12" w:space="0" w:color="000000"/>
              <w:bottom w:val="single" w:sz="12" w:space="0" w:color="000000"/>
              <w:right w:val="single" w:sz="12" w:space="0" w:color="000000"/>
            </w:tcBorders>
          </w:tcPr>
          <w:p>
            <w:pPr/>
          </w:p>
        </w:tc>
        <w:tc>
          <w:tcPr>
            <w:tcW w:w="1706" w:type="dxa"/>
            <w:tcBorders>
              <w:top w:val="single" w:sz="12" w:space="0" w:color="000000"/>
              <w:left w:val="single" w:sz="12" w:space="0" w:color="000000"/>
              <w:bottom w:val="single" w:sz="12" w:space="0" w:color="000000"/>
              <w:right w:val="single" w:sz="12" w:space="0" w:color="000000"/>
            </w:tcBorders>
          </w:tcPr>
          <w:p>
            <w:pPr/>
          </w:p>
        </w:tc>
        <w:tc>
          <w:tcPr>
            <w:tcW w:w="1841" w:type="dxa"/>
            <w:tcBorders>
              <w:top w:val="single" w:sz="12" w:space="0" w:color="000000"/>
              <w:left w:val="single" w:sz="12" w:space="0" w:color="000000"/>
              <w:bottom w:val="single" w:sz="12" w:space="0" w:color="000000"/>
              <w:right w:val="single" w:sz="12" w:space="0" w:color="000000"/>
            </w:tcBorders>
          </w:tcPr>
          <w:p>
            <w:pPr/>
          </w:p>
        </w:tc>
        <w:tc>
          <w:tcPr>
            <w:tcW w:w="20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3" w:hRule="exact"/>
        </w:trPr>
        <w:tc>
          <w:tcPr>
            <w:tcW w:w="32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六</w:t>
            </w:r>
            <w:r>
              <w:rPr>
                <w:rFonts w:ascii="Arial" w:hAnsi="Arial" w:cs="Arial" w:eastAsia="Arial" w:hint="default"/>
                <w:sz w:val="18"/>
                <w:szCs w:val="18"/>
              </w:rPr>
              <w:t>)</w:t>
            </w:r>
            <w:r>
              <w:rPr>
                <w:rFonts w:ascii="宋体" w:hAnsi="宋体" w:cs="宋体" w:eastAsia="宋体" w:hint="default"/>
                <w:sz w:val="18"/>
                <w:szCs w:val="18"/>
              </w:rPr>
              <w:t>专项储备</w:t>
            </w:r>
          </w:p>
        </w:tc>
        <w:tc>
          <w:tcPr>
            <w:tcW w:w="1843" w:type="dxa"/>
            <w:tcBorders>
              <w:top w:val="single" w:sz="12" w:space="0" w:color="000000"/>
              <w:left w:val="single" w:sz="12" w:space="0" w:color="000000"/>
              <w:bottom w:val="single" w:sz="12" w:space="0" w:color="000000"/>
              <w:right w:val="single" w:sz="12" w:space="0" w:color="000000"/>
            </w:tcBorders>
          </w:tcPr>
          <w:p>
            <w:pPr/>
          </w:p>
        </w:tc>
        <w:tc>
          <w:tcPr>
            <w:tcW w:w="1838" w:type="dxa"/>
            <w:tcBorders>
              <w:top w:val="single" w:sz="12" w:space="0" w:color="000000"/>
              <w:left w:val="single" w:sz="12" w:space="0" w:color="000000"/>
              <w:bottom w:val="single" w:sz="12" w:space="0" w:color="000000"/>
              <w:right w:val="single" w:sz="12" w:space="0" w:color="000000"/>
            </w:tcBorders>
          </w:tcPr>
          <w:p>
            <w:pPr/>
          </w:p>
        </w:tc>
        <w:tc>
          <w:tcPr>
            <w:tcW w:w="919" w:type="dxa"/>
            <w:tcBorders>
              <w:top w:val="single" w:sz="12" w:space="0" w:color="000000"/>
              <w:left w:val="single" w:sz="12" w:space="0" w:color="000000"/>
              <w:bottom w:val="single" w:sz="12" w:space="0" w:color="000000"/>
              <w:right w:val="single" w:sz="12" w:space="0" w:color="000000"/>
            </w:tcBorders>
          </w:tcPr>
          <w:p>
            <w:pPr/>
          </w:p>
        </w:tc>
        <w:tc>
          <w:tcPr>
            <w:tcW w:w="737" w:type="dxa"/>
            <w:tcBorders>
              <w:top w:val="single" w:sz="12" w:space="0" w:color="000000"/>
              <w:left w:val="single" w:sz="12" w:space="0" w:color="000000"/>
              <w:bottom w:val="single" w:sz="12" w:space="0" w:color="000000"/>
              <w:right w:val="single" w:sz="12" w:space="0" w:color="000000"/>
            </w:tcBorders>
          </w:tcPr>
          <w:p>
            <w:pPr/>
          </w:p>
        </w:tc>
        <w:tc>
          <w:tcPr>
            <w:tcW w:w="1706" w:type="dxa"/>
            <w:tcBorders>
              <w:top w:val="single" w:sz="12" w:space="0" w:color="000000"/>
              <w:left w:val="single" w:sz="12" w:space="0" w:color="000000"/>
              <w:bottom w:val="single" w:sz="12" w:space="0" w:color="000000"/>
              <w:right w:val="single" w:sz="12" w:space="0" w:color="000000"/>
            </w:tcBorders>
          </w:tcPr>
          <w:p>
            <w:pPr/>
          </w:p>
        </w:tc>
        <w:tc>
          <w:tcPr>
            <w:tcW w:w="1841" w:type="dxa"/>
            <w:tcBorders>
              <w:top w:val="single" w:sz="12" w:space="0" w:color="000000"/>
              <w:left w:val="single" w:sz="12" w:space="0" w:color="000000"/>
              <w:bottom w:val="single" w:sz="12" w:space="0" w:color="000000"/>
              <w:right w:val="single" w:sz="12" w:space="0" w:color="000000"/>
            </w:tcBorders>
          </w:tcPr>
          <w:p>
            <w:pPr/>
          </w:p>
        </w:tc>
        <w:tc>
          <w:tcPr>
            <w:tcW w:w="2069"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32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七</w:t>
            </w:r>
            <w:r>
              <w:rPr>
                <w:rFonts w:ascii="Arial" w:hAnsi="Arial" w:cs="Arial" w:eastAsia="Arial" w:hint="default"/>
                <w:sz w:val="18"/>
                <w:szCs w:val="18"/>
              </w:rPr>
              <w:t>)</w:t>
            </w:r>
            <w:r>
              <w:rPr>
                <w:rFonts w:ascii="宋体" w:hAnsi="宋体" w:cs="宋体" w:eastAsia="宋体" w:hint="default"/>
                <w:sz w:val="18"/>
                <w:szCs w:val="18"/>
              </w:rPr>
              <w:t>其他</w:t>
            </w:r>
          </w:p>
        </w:tc>
        <w:tc>
          <w:tcPr>
            <w:tcW w:w="1843" w:type="dxa"/>
            <w:tcBorders>
              <w:top w:val="single" w:sz="12" w:space="0" w:color="000000"/>
              <w:left w:val="single" w:sz="12" w:space="0" w:color="000000"/>
              <w:bottom w:val="single" w:sz="12" w:space="0" w:color="000000"/>
              <w:right w:val="single" w:sz="12" w:space="0" w:color="000000"/>
            </w:tcBorders>
          </w:tcPr>
          <w:p>
            <w:pPr/>
          </w:p>
        </w:tc>
        <w:tc>
          <w:tcPr>
            <w:tcW w:w="1838" w:type="dxa"/>
            <w:tcBorders>
              <w:top w:val="single" w:sz="12" w:space="0" w:color="000000"/>
              <w:left w:val="single" w:sz="12" w:space="0" w:color="000000"/>
              <w:bottom w:val="single" w:sz="12" w:space="0" w:color="000000"/>
              <w:right w:val="single" w:sz="12" w:space="0" w:color="000000"/>
            </w:tcBorders>
          </w:tcPr>
          <w:p>
            <w:pPr/>
          </w:p>
        </w:tc>
        <w:tc>
          <w:tcPr>
            <w:tcW w:w="919" w:type="dxa"/>
            <w:tcBorders>
              <w:top w:val="single" w:sz="12" w:space="0" w:color="000000"/>
              <w:left w:val="single" w:sz="12" w:space="0" w:color="000000"/>
              <w:bottom w:val="single" w:sz="12" w:space="0" w:color="000000"/>
              <w:right w:val="single" w:sz="12" w:space="0" w:color="000000"/>
            </w:tcBorders>
          </w:tcPr>
          <w:p>
            <w:pPr/>
          </w:p>
        </w:tc>
        <w:tc>
          <w:tcPr>
            <w:tcW w:w="737" w:type="dxa"/>
            <w:tcBorders>
              <w:top w:val="single" w:sz="12" w:space="0" w:color="000000"/>
              <w:left w:val="single" w:sz="12" w:space="0" w:color="000000"/>
              <w:bottom w:val="single" w:sz="12" w:space="0" w:color="000000"/>
              <w:right w:val="single" w:sz="12" w:space="0" w:color="000000"/>
            </w:tcBorders>
          </w:tcPr>
          <w:p>
            <w:pPr/>
          </w:p>
        </w:tc>
        <w:tc>
          <w:tcPr>
            <w:tcW w:w="1706" w:type="dxa"/>
            <w:tcBorders>
              <w:top w:val="single" w:sz="12" w:space="0" w:color="000000"/>
              <w:left w:val="single" w:sz="12" w:space="0" w:color="000000"/>
              <w:bottom w:val="single" w:sz="12" w:space="0" w:color="000000"/>
              <w:right w:val="single" w:sz="12" w:space="0" w:color="000000"/>
            </w:tcBorders>
          </w:tcPr>
          <w:p>
            <w:pPr/>
          </w:p>
        </w:tc>
        <w:tc>
          <w:tcPr>
            <w:tcW w:w="1841" w:type="dxa"/>
            <w:tcBorders>
              <w:top w:val="single" w:sz="12" w:space="0" w:color="000000"/>
              <w:left w:val="single" w:sz="12" w:space="0" w:color="000000"/>
              <w:bottom w:val="single" w:sz="12" w:space="0" w:color="000000"/>
              <w:right w:val="single" w:sz="12" w:space="0" w:color="000000"/>
            </w:tcBorders>
          </w:tcPr>
          <w:p>
            <w:pPr/>
          </w:p>
        </w:tc>
        <w:tc>
          <w:tcPr>
            <w:tcW w:w="2069"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3221" w:type="dxa"/>
            <w:tcBorders>
              <w:top w:val="single" w:sz="12" w:space="0" w:color="000000"/>
              <w:left w:val="single" w:sz="12" w:space="0" w:color="000000"/>
              <w:bottom w:val="single" w:sz="12" w:space="0" w:color="000000"/>
              <w:right w:val="single" w:sz="12" w:space="0" w:color="000000"/>
            </w:tcBorders>
          </w:tcPr>
          <w:p>
            <w:pPr/>
          </w:p>
        </w:tc>
        <w:tc>
          <w:tcPr>
            <w:tcW w:w="1843" w:type="dxa"/>
            <w:tcBorders>
              <w:top w:val="single" w:sz="12" w:space="0" w:color="000000"/>
              <w:left w:val="single" w:sz="12" w:space="0" w:color="000000"/>
              <w:bottom w:val="single" w:sz="12" w:space="0" w:color="000000"/>
              <w:right w:val="single" w:sz="12" w:space="0" w:color="000000"/>
            </w:tcBorders>
          </w:tcPr>
          <w:p>
            <w:pPr/>
          </w:p>
        </w:tc>
        <w:tc>
          <w:tcPr>
            <w:tcW w:w="1838" w:type="dxa"/>
            <w:tcBorders>
              <w:top w:val="single" w:sz="12" w:space="0" w:color="000000"/>
              <w:left w:val="single" w:sz="12" w:space="0" w:color="000000"/>
              <w:bottom w:val="single" w:sz="12" w:space="0" w:color="000000"/>
              <w:right w:val="single" w:sz="12" w:space="0" w:color="000000"/>
            </w:tcBorders>
          </w:tcPr>
          <w:p>
            <w:pPr/>
          </w:p>
        </w:tc>
        <w:tc>
          <w:tcPr>
            <w:tcW w:w="919" w:type="dxa"/>
            <w:tcBorders>
              <w:top w:val="single" w:sz="12" w:space="0" w:color="000000"/>
              <w:left w:val="single" w:sz="12" w:space="0" w:color="000000"/>
              <w:bottom w:val="single" w:sz="12" w:space="0" w:color="000000"/>
              <w:right w:val="single" w:sz="12" w:space="0" w:color="000000"/>
            </w:tcBorders>
          </w:tcPr>
          <w:p>
            <w:pPr/>
          </w:p>
        </w:tc>
        <w:tc>
          <w:tcPr>
            <w:tcW w:w="737" w:type="dxa"/>
            <w:tcBorders>
              <w:top w:val="single" w:sz="12" w:space="0" w:color="000000"/>
              <w:left w:val="single" w:sz="12" w:space="0" w:color="000000"/>
              <w:bottom w:val="single" w:sz="12" w:space="0" w:color="000000"/>
              <w:right w:val="single" w:sz="12" w:space="0" w:color="000000"/>
            </w:tcBorders>
          </w:tcPr>
          <w:p>
            <w:pPr/>
          </w:p>
        </w:tc>
        <w:tc>
          <w:tcPr>
            <w:tcW w:w="1706" w:type="dxa"/>
            <w:tcBorders>
              <w:top w:val="single" w:sz="12" w:space="0" w:color="000000"/>
              <w:left w:val="single" w:sz="12" w:space="0" w:color="000000"/>
              <w:bottom w:val="single" w:sz="12" w:space="0" w:color="000000"/>
              <w:right w:val="single" w:sz="12" w:space="0" w:color="000000"/>
            </w:tcBorders>
          </w:tcPr>
          <w:p>
            <w:pPr/>
          </w:p>
        </w:tc>
        <w:tc>
          <w:tcPr>
            <w:tcW w:w="1841" w:type="dxa"/>
            <w:tcBorders>
              <w:top w:val="single" w:sz="12" w:space="0" w:color="000000"/>
              <w:left w:val="single" w:sz="12" w:space="0" w:color="000000"/>
              <w:bottom w:val="single" w:sz="12" w:space="0" w:color="000000"/>
              <w:right w:val="single" w:sz="12" w:space="0" w:color="000000"/>
            </w:tcBorders>
          </w:tcPr>
          <w:p>
            <w:pPr/>
          </w:p>
        </w:tc>
        <w:tc>
          <w:tcPr>
            <w:tcW w:w="20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r>
      <w:tr>
        <w:trPr>
          <w:trHeight w:val="341" w:hRule="exact"/>
        </w:trPr>
        <w:tc>
          <w:tcPr>
            <w:tcW w:w="32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b/>
                <w:bCs/>
                <w:sz w:val="18"/>
                <w:szCs w:val="18"/>
              </w:rPr>
              <w:t>2009</w:t>
            </w:r>
            <w:r>
              <w:rPr>
                <w:rFonts w:ascii="Arial" w:hAnsi="Arial" w:cs="Arial" w:eastAsia="Arial" w:hint="default"/>
                <w:b/>
                <w:bCs/>
                <w:spacing w:val="-8"/>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Arial" w:hAnsi="Arial" w:cs="Arial" w:eastAsia="Arial" w:hint="default"/>
                <w:b/>
                <w:bCs/>
                <w:sz w:val="18"/>
                <w:szCs w:val="18"/>
              </w:rPr>
              <w:t>12</w:t>
            </w:r>
            <w:r>
              <w:rPr>
                <w:rFonts w:ascii="Arial" w:hAnsi="Arial" w:cs="Arial" w:eastAsia="Arial" w:hint="default"/>
                <w:b/>
                <w:bCs/>
                <w:spacing w:val="-8"/>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Arial" w:hAnsi="Arial" w:cs="Arial" w:eastAsia="Arial" w:hint="default"/>
                <w:b/>
                <w:bCs/>
                <w:sz w:val="18"/>
                <w:szCs w:val="18"/>
              </w:rPr>
              <w:t>31</w:t>
            </w:r>
            <w:r>
              <w:rPr>
                <w:rFonts w:ascii="Arial" w:hAnsi="Arial" w:cs="Arial" w:eastAsia="Arial" w:hint="default"/>
                <w:b/>
                <w:bCs/>
                <w:spacing w:val="-5"/>
                <w:sz w:val="18"/>
                <w:szCs w:val="18"/>
              </w:rPr>
              <w:t> </w:t>
            </w:r>
            <w:r>
              <w:rPr>
                <w:rFonts w:ascii="宋体" w:hAnsi="宋体" w:cs="宋体" w:eastAsia="宋体" w:hint="default"/>
                <w:sz w:val="18"/>
                <w:szCs w:val="18"/>
              </w:rPr>
              <w:t>日年末余额</w:t>
            </w:r>
          </w:p>
        </w:tc>
        <w:tc>
          <w:tcPr>
            <w:tcW w:w="18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328" w:right="0"/>
              <w:jc w:val="left"/>
              <w:rPr>
                <w:rFonts w:ascii="Arial" w:hAnsi="Arial" w:cs="Arial" w:eastAsia="Arial" w:hint="default"/>
                <w:sz w:val="18"/>
                <w:szCs w:val="18"/>
              </w:rPr>
            </w:pPr>
            <w:r>
              <w:rPr>
                <w:rFonts w:ascii="Arial"/>
                <w:sz w:val="18"/>
              </w:rPr>
              <w:t>80,000,000.00</w:t>
            </w:r>
          </w:p>
        </w:tc>
        <w:tc>
          <w:tcPr>
            <w:tcW w:w="18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328" w:right="0"/>
              <w:jc w:val="left"/>
              <w:rPr>
                <w:rFonts w:ascii="Arial" w:hAnsi="Arial" w:cs="Arial" w:eastAsia="Arial" w:hint="default"/>
                <w:sz w:val="18"/>
                <w:szCs w:val="18"/>
              </w:rPr>
            </w:pPr>
            <w:r>
              <w:rPr>
                <w:rFonts w:ascii="Arial"/>
                <w:sz w:val="18"/>
              </w:rPr>
              <w:t>28,526,833.47</w:t>
            </w:r>
          </w:p>
        </w:tc>
        <w:tc>
          <w:tcPr>
            <w:tcW w:w="9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7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100"/>
                <w:sz w:val="18"/>
              </w:rPr>
              <w:t>-</w:t>
            </w:r>
          </w:p>
        </w:tc>
        <w:tc>
          <w:tcPr>
            <w:tcW w:w="17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312" w:right="0"/>
              <w:jc w:val="left"/>
              <w:rPr>
                <w:rFonts w:ascii="Arial" w:hAnsi="Arial" w:cs="Arial" w:eastAsia="Arial" w:hint="default"/>
                <w:sz w:val="18"/>
                <w:szCs w:val="18"/>
              </w:rPr>
            </w:pPr>
            <w:r>
              <w:rPr>
                <w:rFonts w:ascii="Arial"/>
                <w:sz w:val="18"/>
              </w:rPr>
              <w:t>6,030,508.74</w:t>
            </w:r>
          </w:p>
        </w:tc>
        <w:tc>
          <w:tcPr>
            <w:tcW w:w="18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328" w:right="0"/>
              <w:jc w:val="left"/>
              <w:rPr>
                <w:rFonts w:ascii="Arial" w:hAnsi="Arial" w:cs="Arial" w:eastAsia="Arial" w:hint="default"/>
                <w:sz w:val="18"/>
                <w:szCs w:val="18"/>
              </w:rPr>
            </w:pPr>
            <w:r>
              <w:rPr>
                <w:rFonts w:ascii="Arial"/>
                <w:sz w:val="18"/>
              </w:rPr>
              <w:t>54,274,578.74</w:t>
            </w:r>
          </w:p>
        </w:tc>
        <w:tc>
          <w:tcPr>
            <w:tcW w:w="20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168,831,920.95</w:t>
            </w:r>
          </w:p>
        </w:tc>
      </w:tr>
    </w:tbl>
    <w:p>
      <w:pPr>
        <w:spacing w:line="240" w:lineRule="auto" w:before="0"/>
        <w:rPr>
          <w:rFonts w:ascii="宋体" w:hAnsi="宋体" w:cs="宋体" w:eastAsia="宋体" w:hint="default"/>
          <w:sz w:val="15"/>
          <w:szCs w:val="15"/>
        </w:rPr>
      </w:pPr>
    </w:p>
    <w:p>
      <w:pPr>
        <w:tabs>
          <w:tab w:pos="6724" w:val="left" w:leader="none"/>
          <w:tab w:pos="12126" w:val="left" w:leader="none"/>
        </w:tabs>
        <w:spacing w:before="44"/>
        <w:ind w:left="239" w:right="0" w:firstLine="0"/>
        <w:jc w:val="left"/>
        <w:rPr>
          <w:rFonts w:ascii="宋体" w:hAnsi="宋体" w:cs="宋体" w:eastAsia="宋体" w:hint="default"/>
          <w:sz w:val="18"/>
          <w:szCs w:val="18"/>
        </w:rPr>
      </w:pPr>
      <w:r>
        <w:rPr>
          <w:rFonts w:ascii="宋体" w:hAnsi="宋体" w:cs="宋体" w:eastAsia="宋体" w:hint="default"/>
          <w:spacing w:val="-1"/>
          <w:sz w:val="18"/>
          <w:szCs w:val="18"/>
        </w:rPr>
        <w:t>法定代表人：纪立军</w:t>
        <w:tab/>
      </w:r>
      <w:r>
        <w:rPr>
          <w:rFonts w:ascii="宋体" w:hAnsi="宋体" w:cs="宋体" w:eastAsia="宋体" w:hint="default"/>
          <w:spacing w:val="-2"/>
          <w:sz w:val="18"/>
          <w:szCs w:val="18"/>
        </w:rPr>
        <w:t>主管会计工作负责人：郑强</w:t>
        <w:tab/>
        <w:t>会计机构负责人：王迎辉</w:t>
      </w:r>
    </w:p>
    <w:p>
      <w:pPr>
        <w:spacing w:after="0"/>
        <w:jc w:val="left"/>
        <w:rPr>
          <w:rFonts w:ascii="宋体" w:hAnsi="宋体" w:cs="宋体" w:eastAsia="宋体" w:hint="default"/>
          <w:sz w:val="18"/>
          <w:szCs w:val="18"/>
        </w:rPr>
        <w:sectPr>
          <w:pgSz w:w="16840" w:h="11900" w:orient="landscape"/>
          <w:pgMar w:header="867" w:footer="975" w:top="1060" w:bottom="1160" w:left="1200" w:right="1200"/>
        </w:sectPr>
      </w:pPr>
    </w:p>
    <w:p>
      <w:pPr>
        <w:spacing w:line="240" w:lineRule="auto" w:before="0"/>
        <w:rPr>
          <w:rFonts w:ascii="宋体" w:hAnsi="宋体" w:cs="宋体" w:eastAsia="宋体" w:hint="default"/>
          <w:sz w:val="20"/>
          <w:szCs w:val="20"/>
        </w:rPr>
      </w:pPr>
    </w:p>
    <w:p>
      <w:pPr>
        <w:pStyle w:val="Heading3"/>
        <w:spacing w:line="240" w:lineRule="auto" w:before="145"/>
        <w:ind w:right="0"/>
        <w:jc w:val="both"/>
      </w:pPr>
      <w:r>
        <w:rPr/>
        <w:t>三、报表附注</w:t>
      </w:r>
    </w:p>
    <w:p>
      <w:pPr>
        <w:spacing w:line="240" w:lineRule="auto" w:before="9"/>
        <w:rPr>
          <w:rFonts w:ascii="宋体" w:hAnsi="宋体" w:cs="宋体" w:eastAsia="宋体" w:hint="default"/>
          <w:sz w:val="19"/>
          <w:szCs w:val="19"/>
        </w:rPr>
      </w:pPr>
    </w:p>
    <w:p>
      <w:pPr>
        <w:pStyle w:val="Heading3"/>
        <w:spacing w:line="240" w:lineRule="auto"/>
        <w:ind w:right="0"/>
        <w:jc w:val="both"/>
      </w:pPr>
      <w:r>
        <w:rPr>
          <w:rFonts w:ascii="Arial" w:hAnsi="Arial" w:cs="Arial" w:eastAsia="Arial" w:hint="default"/>
          <w:b/>
          <w:bCs/>
        </w:rPr>
        <w:t>1</w:t>
      </w:r>
      <w:r>
        <w:rPr/>
        <w:t>．公司基本情况</w:t>
      </w:r>
    </w:p>
    <w:p>
      <w:pPr>
        <w:pStyle w:val="BodyText"/>
        <w:spacing w:line="240" w:lineRule="auto" w:before="207"/>
        <w:ind w:right="0"/>
        <w:jc w:val="both"/>
      </w:pPr>
      <w:r>
        <w:rPr>
          <w:rFonts w:ascii="Arial" w:hAnsi="Arial" w:cs="Arial" w:eastAsia="Arial" w:hint="default"/>
        </w:rPr>
        <w:t>1.1</w:t>
      </w:r>
      <w:r>
        <w:rPr/>
        <w:t>公司注册地址、组织形式、总部地址及注册资本</w:t>
      </w:r>
    </w:p>
    <w:p>
      <w:pPr>
        <w:pStyle w:val="BodyText"/>
        <w:spacing w:line="240" w:lineRule="auto" w:before="164"/>
        <w:ind w:right="0"/>
        <w:jc w:val="both"/>
      </w:pPr>
      <w:r>
        <w:rPr>
          <w:rFonts w:ascii="Arial" w:hAnsi="Arial" w:cs="Arial" w:eastAsia="Arial" w:hint="default"/>
        </w:rPr>
        <w:t>1.1.1</w:t>
      </w:r>
      <w:r>
        <w:rPr/>
        <w:t>注册地址：上海市青浦区练塘镇朱枫公路</w:t>
      </w:r>
      <w:r>
        <w:rPr>
          <w:rFonts w:ascii="Arial" w:hAnsi="Arial" w:cs="Arial" w:eastAsia="Arial" w:hint="default"/>
        </w:rPr>
        <w:t>6188</w:t>
      </w:r>
      <w:r>
        <w:rPr/>
        <w:t>号</w:t>
      </w:r>
      <w:r>
        <w:rPr>
          <w:rFonts w:ascii="Arial" w:hAnsi="Arial" w:cs="Arial" w:eastAsia="Arial" w:hint="default"/>
        </w:rPr>
        <w:t>2622</w:t>
      </w:r>
      <w:r>
        <w:rPr/>
        <w:t>室</w:t>
      </w:r>
    </w:p>
    <w:p>
      <w:pPr>
        <w:pStyle w:val="BodyText"/>
        <w:spacing w:line="240" w:lineRule="auto" w:before="164"/>
        <w:ind w:right="0"/>
        <w:jc w:val="both"/>
      </w:pPr>
      <w:r>
        <w:rPr>
          <w:rFonts w:ascii="Arial" w:hAnsi="Arial" w:cs="Arial" w:eastAsia="Arial" w:hint="default"/>
        </w:rPr>
        <w:t>1.1.2</w:t>
      </w:r>
      <w:r>
        <w:rPr/>
        <w:t>组织形式：股份有限公司（已上市）</w:t>
      </w:r>
    </w:p>
    <w:p>
      <w:pPr>
        <w:pStyle w:val="BodyText"/>
        <w:spacing w:line="240" w:lineRule="auto" w:before="164"/>
        <w:ind w:right="0"/>
        <w:jc w:val="both"/>
      </w:pPr>
      <w:r>
        <w:rPr>
          <w:rFonts w:ascii="Arial" w:hAnsi="Arial" w:cs="Arial" w:eastAsia="Arial" w:hint="default"/>
        </w:rPr>
        <w:t>1.1.3</w:t>
      </w:r>
      <w:r>
        <w:rPr/>
        <w:t>总部地址：上海市青浦区赵巷镇崧华路</w:t>
      </w:r>
      <w:r>
        <w:rPr>
          <w:rFonts w:ascii="Arial" w:hAnsi="Arial" w:cs="Arial" w:eastAsia="Arial" w:hint="default"/>
        </w:rPr>
        <w:t>881</w:t>
      </w:r>
      <w:r>
        <w:rPr/>
        <w:t>号</w:t>
      </w:r>
    </w:p>
    <w:p>
      <w:pPr>
        <w:pStyle w:val="BodyText"/>
        <w:spacing w:line="240" w:lineRule="auto" w:before="164"/>
        <w:ind w:right="0"/>
        <w:jc w:val="both"/>
      </w:pPr>
      <w:r>
        <w:rPr>
          <w:rFonts w:ascii="Arial" w:hAnsi="Arial" w:cs="Arial" w:eastAsia="Arial" w:hint="default"/>
        </w:rPr>
        <w:t>1.1.4</w:t>
      </w:r>
      <w:r>
        <w:rPr/>
        <w:t>注册资本：</w:t>
      </w:r>
      <w:r>
        <w:rPr>
          <w:rFonts w:ascii="Arial" w:hAnsi="Arial" w:cs="Arial" w:eastAsia="Arial" w:hint="default"/>
        </w:rPr>
        <w:t>10,700</w:t>
      </w:r>
      <w:r>
        <w:rPr/>
        <w:t>万元</w:t>
      </w:r>
    </w:p>
    <w:p>
      <w:pPr>
        <w:pStyle w:val="BodyText"/>
        <w:spacing w:line="369" w:lineRule="auto" w:before="164"/>
        <w:ind w:left="576" w:right="33" w:hanging="440"/>
        <w:jc w:val="left"/>
      </w:pPr>
      <w:r>
        <w:rPr>
          <w:rFonts w:ascii="Arial" w:hAnsi="Arial" w:cs="Arial" w:eastAsia="Arial" w:hint="default"/>
        </w:rPr>
        <w:t>1.2</w:t>
      </w:r>
      <w:r>
        <w:rPr>
          <w:rFonts w:ascii="Arial" w:hAnsi="Arial" w:cs="Arial" w:eastAsia="Arial" w:hint="default"/>
          <w:spacing w:val="51"/>
        </w:rPr>
        <w:t> </w:t>
      </w:r>
      <w:r>
        <w:rPr/>
        <w:t>公司设立情况</w:t>
      </w:r>
      <w:r>
        <w:rPr>
          <w:w w:val="100"/>
        </w:rPr>
        <w:t> </w:t>
      </w:r>
      <w:r>
        <w:rPr>
          <w:spacing w:val="-2"/>
        </w:rPr>
        <w:t>上海安诺其纺织化工股份有限公司</w:t>
      </w:r>
      <w:r>
        <w:rPr>
          <w:rFonts w:ascii="Arial" w:hAnsi="Arial" w:cs="Arial" w:eastAsia="Arial" w:hint="default"/>
          <w:spacing w:val="-2"/>
        </w:rPr>
        <w:t>(</w:t>
      </w:r>
      <w:r>
        <w:rPr>
          <w:spacing w:val="-2"/>
        </w:rPr>
        <w:t>以下简称“本公司”</w:t>
      </w:r>
      <w:r>
        <w:rPr>
          <w:rFonts w:ascii="Arial" w:hAnsi="Arial" w:cs="Arial" w:eastAsia="Arial" w:hint="default"/>
          <w:spacing w:val="-2"/>
        </w:rPr>
        <w:t>)</w:t>
      </w:r>
      <w:r>
        <w:rPr>
          <w:spacing w:val="-2"/>
        </w:rPr>
        <w:t>为境内公开发行</w:t>
      </w:r>
      <w:r>
        <w:rPr>
          <w:rFonts w:ascii="Arial" w:hAnsi="Arial" w:cs="Arial" w:eastAsia="Arial" w:hint="default"/>
          <w:spacing w:val="-2"/>
        </w:rPr>
        <w:t>A</w:t>
      </w:r>
      <w:r>
        <w:rPr>
          <w:spacing w:val="-2"/>
        </w:rPr>
        <w:t>股股票并在</w:t>
      </w:r>
    </w:p>
    <w:p>
      <w:pPr>
        <w:pStyle w:val="BodyText"/>
        <w:spacing w:line="391" w:lineRule="auto" w:before="31"/>
        <w:ind w:left="576" w:right="33" w:hanging="440"/>
        <w:jc w:val="left"/>
      </w:pPr>
      <w:r>
        <w:rPr/>
        <w:t>深圳证券交易所上市的股份有限公司。</w:t>
      </w:r>
      <w:r>
        <w:rPr>
          <w:w w:val="100"/>
        </w:rPr>
        <w:t> </w:t>
      </w:r>
      <w:r>
        <w:rPr>
          <w:spacing w:val="-2"/>
        </w:rPr>
        <w:t>本公司前身为上海安诺其纺织化工有限公司。</w:t>
      </w:r>
      <w:r>
        <w:rPr>
          <w:rFonts w:ascii="Arial" w:hAnsi="Arial" w:cs="Arial" w:eastAsia="Arial" w:hint="default"/>
          <w:spacing w:val="-2"/>
        </w:rPr>
        <w:t>2008</w:t>
      </w:r>
      <w:r>
        <w:rPr>
          <w:spacing w:val="-2"/>
        </w:rPr>
        <w:t>年</w:t>
      </w:r>
      <w:r>
        <w:rPr>
          <w:rFonts w:ascii="Arial" w:hAnsi="Arial" w:cs="Arial" w:eastAsia="Arial" w:hint="default"/>
          <w:spacing w:val="-2"/>
        </w:rPr>
        <w:t>7</w:t>
      </w:r>
      <w:r>
        <w:rPr>
          <w:spacing w:val="-2"/>
        </w:rPr>
        <w:t>月</w:t>
      </w:r>
      <w:r>
        <w:rPr>
          <w:rFonts w:ascii="Arial" w:hAnsi="Arial" w:cs="Arial" w:eastAsia="Arial" w:hint="default"/>
          <w:spacing w:val="-2"/>
        </w:rPr>
        <w:t>5</w:t>
      </w:r>
      <w:r>
        <w:rPr>
          <w:spacing w:val="-2"/>
        </w:rPr>
        <w:t>日，上海安诺其纺织化工有</w:t>
      </w:r>
    </w:p>
    <w:p>
      <w:pPr>
        <w:pStyle w:val="BodyText"/>
        <w:spacing w:line="369" w:lineRule="auto" w:before="9"/>
        <w:ind w:right="107"/>
        <w:jc w:val="both"/>
      </w:pPr>
      <w:r>
        <w:rPr/>
        <w:t>限公司股东会形成决议，一致同意将上海安诺其纺织化工有限公司以</w:t>
      </w:r>
      <w:r>
        <w:rPr>
          <w:rFonts w:ascii="Arial" w:hAnsi="Arial" w:cs="Arial" w:eastAsia="Arial" w:hint="default"/>
        </w:rPr>
        <w:t>2008</w:t>
      </w:r>
      <w:r>
        <w:rPr/>
        <w:t>年</w:t>
      </w:r>
      <w:r>
        <w:rPr>
          <w:rFonts w:ascii="Arial" w:hAnsi="Arial" w:cs="Arial" w:eastAsia="Arial" w:hint="default"/>
        </w:rPr>
        <w:t>6</w:t>
      </w:r>
      <w:r>
        <w:rPr/>
        <w:t>月</w:t>
      </w:r>
      <w:r>
        <w:rPr>
          <w:rFonts w:ascii="Arial" w:hAnsi="Arial" w:cs="Arial" w:eastAsia="Arial" w:hint="default"/>
        </w:rPr>
        <w:t>30</w:t>
      </w:r>
      <w:r>
        <w:rPr/>
        <w:t>日的净</w:t>
      </w:r>
      <w:r>
        <w:rPr>
          <w:spacing w:val="-40"/>
        </w:rPr>
        <w:t> </w:t>
      </w:r>
      <w:r>
        <w:rPr>
          <w:spacing w:val="-40"/>
        </w:rPr>
      </w:r>
      <w:r>
        <w:rPr>
          <w:spacing w:val="-3"/>
        </w:rPr>
        <w:t>资产</w:t>
      </w:r>
      <w:r>
        <w:rPr>
          <w:rFonts w:ascii="Arial" w:hAnsi="Arial" w:cs="Arial" w:eastAsia="Arial" w:hint="default"/>
          <w:spacing w:val="-3"/>
        </w:rPr>
        <w:t>108,526,833.47</w:t>
      </w:r>
      <w:r>
        <w:rPr>
          <w:spacing w:val="-3"/>
        </w:rPr>
        <w:t>元为基础设立股份公司，其中人民币</w:t>
      </w:r>
      <w:r>
        <w:rPr>
          <w:rFonts w:ascii="Arial" w:hAnsi="Arial" w:cs="Arial" w:eastAsia="Arial" w:hint="default"/>
          <w:spacing w:val="-3"/>
        </w:rPr>
        <w:t>8,000</w:t>
      </w:r>
      <w:r>
        <w:rPr>
          <w:spacing w:val="-3"/>
        </w:rPr>
        <w:t>万元按</w:t>
      </w:r>
      <w:r>
        <w:rPr>
          <w:rFonts w:ascii="Arial" w:hAnsi="Arial" w:cs="Arial" w:eastAsia="Arial" w:hint="default"/>
          <w:spacing w:val="-3"/>
        </w:rPr>
        <w:t>1</w:t>
      </w:r>
      <w:r>
        <w:rPr>
          <w:spacing w:val="-3"/>
        </w:rPr>
        <w:t>：</w:t>
      </w:r>
      <w:r>
        <w:rPr>
          <w:rFonts w:ascii="Arial" w:hAnsi="Arial" w:cs="Arial" w:eastAsia="Arial" w:hint="default"/>
          <w:spacing w:val="-3"/>
        </w:rPr>
        <w:t>1</w:t>
      </w:r>
      <w:r>
        <w:rPr>
          <w:spacing w:val="-3"/>
        </w:rPr>
        <w:t>比例折合股份总</w:t>
      </w:r>
      <w:r>
        <w:rPr>
          <w:spacing w:val="-39"/>
        </w:rPr>
        <w:t> </w:t>
      </w:r>
      <w:r>
        <w:rPr>
          <w:spacing w:val="-39"/>
        </w:rPr>
      </w:r>
      <w:r>
        <w:rPr/>
        <w:t>数</w:t>
      </w:r>
      <w:r>
        <w:rPr>
          <w:rFonts w:ascii="Arial" w:hAnsi="Arial" w:cs="Arial" w:eastAsia="Arial" w:hint="default"/>
        </w:rPr>
        <w:t>8,000</w:t>
      </w:r>
      <w:r>
        <w:rPr/>
        <w:t>万股，每股面值</w:t>
      </w:r>
      <w:r>
        <w:rPr>
          <w:rFonts w:ascii="Arial" w:hAnsi="Arial" w:cs="Arial" w:eastAsia="Arial" w:hint="default"/>
        </w:rPr>
        <w:t>1</w:t>
      </w:r>
      <w:r>
        <w:rPr/>
        <w:t>元，其余</w:t>
      </w:r>
      <w:r>
        <w:rPr>
          <w:rFonts w:ascii="Arial" w:hAnsi="Arial" w:cs="Arial" w:eastAsia="Arial" w:hint="default"/>
        </w:rPr>
        <w:t>28,526,833.47 </w:t>
      </w:r>
      <w:r>
        <w:rPr/>
        <w:t>元计入资本公积。变更后公司股本为人</w:t>
      </w:r>
      <w:r>
        <w:rPr>
          <w:spacing w:val="-69"/>
        </w:rPr>
        <w:t> </w:t>
      </w:r>
      <w:r>
        <w:rPr>
          <w:spacing w:val="-69"/>
        </w:rPr>
      </w:r>
      <w:r>
        <w:rPr>
          <w:spacing w:val="-2"/>
        </w:rPr>
        <w:t>民币</w:t>
      </w:r>
      <w:r>
        <w:rPr>
          <w:rFonts w:ascii="Arial" w:hAnsi="Arial" w:cs="Arial" w:eastAsia="Arial" w:hint="default"/>
          <w:spacing w:val="-2"/>
        </w:rPr>
        <w:t>8,000</w:t>
      </w:r>
      <w:r>
        <w:rPr>
          <w:spacing w:val="-2"/>
        </w:rPr>
        <w:t>万元。</w:t>
      </w:r>
      <w:r>
        <w:rPr>
          <w:rFonts w:ascii="Arial" w:hAnsi="Arial" w:cs="Arial" w:eastAsia="Arial" w:hint="default"/>
          <w:spacing w:val="-2"/>
        </w:rPr>
        <w:t>2008</w:t>
      </w:r>
      <w:r>
        <w:rPr>
          <w:spacing w:val="-2"/>
        </w:rPr>
        <w:t>年</w:t>
      </w:r>
      <w:r>
        <w:rPr>
          <w:rFonts w:ascii="Arial" w:hAnsi="Arial" w:cs="Arial" w:eastAsia="Arial" w:hint="default"/>
          <w:spacing w:val="-2"/>
        </w:rPr>
        <w:t>8</w:t>
      </w:r>
      <w:r>
        <w:rPr>
          <w:spacing w:val="-2"/>
        </w:rPr>
        <w:t>月</w:t>
      </w:r>
      <w:r>
        <w:rPr>
          <w:rFonts w:ascii="Arial" w:hAnsi="Arial" w:cs="Arial" w:eastAsia="Arial" w:hint="default"/>
          <w:spacing w:val="-2"/>
        </w:rPr>
        <w:t>8</w:t>
      </w:r>
      <w:r>
        <w:rPr>
          <w:spacing w:val="-2"/>
        </w:rPr>
        <w:t>日，公司在上海市工商行政管理局履行了工商变更登记手续。</w:t>
      </w:r>
    </w:p>
    <w:p>
      <w:pPr>
        <w:pStyle w:val="BodyText"/>
        <w:spacing w:line="379" w:lineRule="auto" w:before="31"/>
        <w:ind w:right="215" w:firstLine="439"/>
        <w:jc w:val="both"/>
      </w:pPr>
      <w:r>
        <w:rPr/>
        <w:t>经中国证券监督管理委员会</w:t>
      </w:r>
      <w:r>
        <w:rPr>
          <w:rFonts w:ascii="Arial" w:hAnsi="Arial" w:cs="Arial" w:eastAsia="Arial" w:hint="default"/>
        </w:rPr>
        <w:t>2010</w:t>
      </w:r>
      <w:r>
        <w:rPr/>
        <w:t>年</w:t>
      </w:r>
      <w:r>
        <w:rPr>
          <w:rFonts w:ascii="Arial" w:hAnsi="Arial" w:cs="Arial" w:eastAsia="Arial" w:hint="default"/>
        </w:rPr>
        <w:t>3</w:t>
      </w:r>
      <w:r>
        <w:rPr/>
        <w:t>月</w:t>
      </w:r>
      <w:r>
        <w:rPr>
          <w:rFonts w:ascii="Arial" w:hAnsi="Arial" w:cs="Arial" w:eastAsia="Arial" w:hint="default"/>
        </w:rPr>
        <w:t>26</w:t>
      </w:r>
      <w:r>
        <w:rPr/>
        <w:t>日证监许可［</w:t>
      </w:r>
      <w:r>
        <w:rPr>
          <w:rFonts w:ascii="Arial" w:hAnsi="Arial" w:cs="Arial" w:eastAsia="Arial" w:hint="default"/>
        </w:rPr>
        <w:t>2010</w:t>
      </w:r>
      <w:r>
        <w:rPr/>
        <w:t>］</w:t>
      </w:r>
      <w:r>
        <w:rPr>
          <w:rFonts w:ascii="Arial" w:hAnsi="Arial" w:cs="Arial" w:eastAsia="Arial" w:hint="default"/>
        </w:rPr>
        <w:t>366</w:t>
      </w:r>
      <w:r>
        <w:rPr/>
        <w:t>号《关于核准上海</w:t>
      </w:r>
      <w:r>
        <w:rPr>
          <w:w w:val="100"/>
        </w:rPr>
        <w:t> </w:t>
      </w:r>
      <w:r>
        <w:rPr/>
        <w:t>安诺其纺织化工股份有限公司首次公开发行股票的批复》的核准，向社会公开发行人民币</w:t>
      </w:r>
      <w:r>
        <w:rPr>
          <w:spacing w:val="-57"/>
        </w:rPr>
        <w:t> </w:t>
      </w:r>
      <w:r>
        <w:rPr>
          <w:spacing w:val="-57"/>
        </w:rPr>
      </w:r>
      <w:r>
        <w:rPr>
          <w:spacing w:val="2"/>
          <w:w w:val="100"/>
        </w:rPr>
        <w:t>普通股股票</w:t>
      </w:r>
      <w:r>
        <w:rPr>
          <w:rFonts w:ascii="Arial" w:hAnsi="Arial" w:cs="Arial" w:eastAsia="Arial" w:hint="default"/>
          <w:spacing w:val="2"/>
          <w:w w:val="100"/>
        </w:rPr>
        <w:t>2,700</w:t>
      </w:r>
      <w:r>
        <w:rPr>
          <w:spacing w:val="2"/>
          <w:w w:val="100"/>
        </w:rPr>
        <w:t>万股，每股面值壹元（</w:t>
      </w:r>
      <w:r>
        <w:rPr>
          <w:rFonts w:ascii="Arial" w:hAnsi="Arial" w:cs="Arial" w:eastAsia="Arial" w:hint="default"/>
          <w:spacing w:val="2"/>
          <w:w w:val="100"/>
        </w:rPr>
        <w:t>CNY</w:t>
      </w:r>
      <w:r>
        <w:rPr>
          <w:rFonts w:ascii="Arial" w:hAnsi="Arial" w:cs="Arial" w:eastAsia="Arial" w:hint="default"/>
          <w:w w:val="100"/>
        </w:rPr>
        <w:t>  </w:t>
      </w:r>
      <w:r>
        <w:rPr>
          <w:rFonts w:ascii="Arial" w:hAnsi="Arial" w:cs="Arial" w:eastAsia="Arial" w:hint="default"/>
          <w:spacing w:val="-3"/>
          <w:w w:val="100"/>
        </w:rPr>
        <w:t>1.00</w:t>
      </w:r>
      <w:r>
        <w:rPr>
          <w:spacing w:val="-3"/>
          <w:w w:val="100"/>
        </w:rPr>
        <w:t>），每股发行价为人民币贰拾壹点贰元</w:t>
      </w:r>
    </w:p>
    <w:p>
      <w:pPr>
        <w:pStyle w:val="BodyText"/>
        <w:spacing w:line="369" w:lineRule="auto" w:before="22"/>
        <w:ind w:right="214"/>
        <w:jc w:val="both"/>
      </w:pPr>
      <w:r>
        <w:rPr/>
        <w:t>（</w:t>
      </w:r>
      <w:r>
        <w:rPr>
          <w:spacing w:val="-58"/>
        </w:rPr>
        <w:t> </w:t>
      </w:r>
      <w:r>
        <w:rPr>
          <w:rFonts w:ascii="Arial" w:hAnsi="Arial" w:cs="Arial" w:eastAsia="Arial" w:hint="default"/>
        </w:rPr>
        <w:t>CNY</w:t>
      </w:r>
      <w:r>
        <w:rPr>
          <w:rFonts w:ascii="Arial" w:hAnsi="Arial" w:cs="Arial" w:eastAsia="Arial" w:hint="default"/>
          <w:spacing w:val="36"/>
        </w:rPr>
        <w:t> </w:t>
      </w:r>
      <w:r>
        <w:rPr>
          <w:rFonts w:ascii="Arial" w:hAnsi="Arial" w:cs="Arial" w:eastAsia="Arial" w:hint="default"/>
        </w:rPr>
        <w:t>21.20</w:t>
      </w:r>
      <w:r>
        <w:rPr>
          <w:rFonts w:ascii="Arial" w:hAnsi="Arial" w:cs="Arial" w:eastAsia="Arial" w:hint="default"/>
          <w:spacing w:val="-9"/>
        </w:rPr>
        <w:t> </w:t>
      </w:r>
      <w:r>
        <w:rPr>
          <w:spacing w:val="-30"/>
        </w:rPr>
        <w:t>），</w:t>
      </w:r>
      <w:r>
        <w:rPr>
          <w:spacing w:val="-60"/>
        </w:rPr>
        <w:t> </w:t>
      </w:r>
      <w:r>
        <w:rPr/>
        <w:t>可</w:t>
      </w:r>
      <w:r>
        <w:rPr>
          <w:spacing w:val="-60"/>
        </w:rPr>
        <w:t> </w:t>
      </w:r>
      <w:r>
        <w:rPr/>
        <w:t>募</w:t>
      </w:r>
      <w:r>
        <w:rPr>
          <w:spacing w:val="-60"/>
        </w:rPr>
        <w:t> </w:t>
      </w:r>
      <w:r>
        <w:rPr/>
        <w:t>集</w:t>
      </w:r>
      <w:r>
        <w:rPr>
          <w:spacing w:val="-58"/>
        </w:rPr>
        <w:t> </w:t>
      </w:r>
      <w:r>
        <w:rPr/>
        <w:t>资</w:t>
      </w:r>
      <w:r>
        <w:rPr>
          <w:spacing w:val="-60"/>
        </w:rPr>
        <w:t> </w:t>
      </w:r>
      <w:r>
        <w:rPr/>
        <w:t>金</w:t>
      </w:r>
      <w:r>
        <w:rPr>
          <w:spacing w:val="-60"/>
        </w:rPr>
        <w:t> </w:t>
      </w:r>
      <w:r>
        <w:rPr/>
        <w:t>总</w:t>
      </w:r>
      <w:r>
        <w:rPr>
          <w:spacing w:val="-60"/>
        </w:rPr>
        <w:t> </w:t>
      </w:r>
      <w:r>
        <w:rPr/>
        <w:t>额</w:t>
      </w:r>
      <w:r>
        <w:rPr>
          <w:spacing w:val="-58"/>
        </w:rPr>
        <w:t> </w:t>
      </w:r>
      <w:r>
        <w:rPr/>
        <w:t>为</w:t>
      </w:r>
      <w:r>
        <w:rPr>
          <w:spacing w:val="-60"/>
        </w:rPr>
        <w:t> </w:t>
      </w:r>
      <w:r>
        <w:rPr/>
        <w:t>人</w:t>
      </w:r>
      <w:r>
        <w:rPr>
          <w:spacing w:val="-60"/>
        </w:rPr>
        <w:t> </w:t>
      </w:r>
      <w:r>
        <w:rPr/>
        <w:t>民</w:t>
      </w:r>
      <w:r>
        <w:rPr>
          <w:spacing w:val="-60"/>
        </w:rPr>
        <w:t> </w:t>
      </w:r>
      <w:r>
        <w:rPr/>
        <w:t>币</w:t>
      </w:r>
      <w:r>
        <w:rPr>
          <w:spacing w:val="-60"/>
        </w:rPr>
        <w:t> </w:t>
      </w:r>
      <w:r>
        <w:rPr/>
        <w:t>伍</w:t>
      </w:r>
      <w:r>
        <w:rPr>
          <w:spacing w:val="-58"/>
        </w:rPr>
        <w:t> </w:t>
      </w:r>
      <w:r>
        <w:rPr/>
        <w:t>亿</w:t>
      </w:r>
      <w:r>
        <w:rPr>
          <w:spacing w:val="-60"/>
        </w:rPr>
        <w:t> </w:t>
      </w:r>
      <w:r>
        <w:rPr/>
        <w:t>柒</w:t>
      </w:r>
      <w:r>
        <w:rPr>
          <w:spacing w:val="-60"/>
        </w:rPr>
        <w:t> </w:t>
      </w:r>
      <w:r>
        <w:rPr/>
        <w:t>仟</w:t>
      </w:r>
      <w:r>
        <w:rPr>
          <w:spacing w:val="-60"/>
        </w:rPr>
        <w:t> </w:t>
      </w:r>
      <w:r>
        <w:rPr/>
        <w:t>贰</w:t>
      </w:r>
      <w:r>
        <w:rPr>
          <w:spacing w:val="-58"/>
        </w:rPr>
        <w:t> </w:t>
      </w:r>
      <w:r>
        <w:rPr/>
        <w:t>佰</w:t>
      </w:r>
      <w:r>
        <w:rPr>
          <w:spacing w:val="-60"/>
        </w:rPr>
        <w:t> </w:t>
      </w:r>
      <w:r>
        <w:rPr/>
        <w:t>肆</w:t>
      </w:r>
      <w:r>
        <w:rPr>
          <w:spacing w:val="-60"/>
        </w:rPr>
        <w:t> </w:t>
      </w:r>
      <w:r>
        <w:rPr/>
        <w:t>拾</w:t>
      </w:r>
      <w:r>
        <w:rPr>
          <w:spacing w:val="-60"/>
        </w:rPr>
        <w:t> </w:t>
      </w:r>
      <w:r>
        <w:rPr/>
        <w:t>万</w:t>
      </w:r>
      <w:r>
        <w:rPr>
          <w:spacing w:val="-60"/>
        </w:rPr>
        <w:t> </w:t>
      </w:r>
      <w:r>
        <w:rPr/>
        <w:t>元</w:t>
      </w:r>
      <w:r>
        <w:rPr>
          <w:spacing w:val="-58"/>
        </w:rPr>
        <w:t> </w:t>
      </w:r>
      <w:r>
        <w:rPr/>
        <w:t>整</w:t>
      </w:r>
      <w:r>
        <w:rPr>
          <w:spacing w:val="-60"/>
        </w:rPr>
        <w:t> </w:t>
      </w:r>
      <w:r>
        <w:rPr/>
        <w:t>（</w:t>
      </w:r>
      <w:r>
        <w:rPr>
          <w:spacing w:val="-58"/>
        </w:rPr>
        <w:t> </w:t>
      </w:r>
      <w:r>
        <w:rPr>
          <w:rFonts w:ascii="Arial" w:hAnsi="Arial" w:cs="Arial" w:eastAsia="Arial" w:hint="default"/>
        </w:rPr>
        <w:t>CNY</w:t>
      </w:r>
      <w:r>
        <w:rPr>
          <w:rFonts w:ascii="Arial" w:hAnsi="Arial" w:cs="Arial" w:eastAsia="Arial" w:hint="default"/>
          <w:w w:val="100"/>
        </w:rPr>
        <w:t> </w:t>
      </w:r>
      <w:r>
        <w:rPr>
          <w:rFonts w:ascii="Arial" w:hAnsi="Arial" w:cs="Arial" w:eastAsia="Arial" w:hint="default"/>
          <w:spacing w:val="-5"/>
          <w:w w:val="100"/>
        </w:rPr>
        <w:t>572,400,000.00</w:t>
      </w:r>
      <w:r>
        <w:rPr>
          <w:spacing w:val="-5"/>
          <w:w w:val="100"/>
        </w:rPr>
        <w:t>），发行采用网下向询价对象询价配售和网上向社会公众投资者定价发行相</w:t>
      </w:r>
      <w:r>
        <w:rPr>
          <w:spacing w:val="-68"/>
          <w:w w:val="100"/>
        </w:rPr>
        <w:t> </w:t>
      </w:r>
      <w:r>
        <w:rPr>
          <w:spacing w:val="-68"/>
          <w:w w:val="100"/>
        </w:rPr>
      </w:r>
      <w:r>
        <w:rPr/>
        <w:t>结合的方式。此次公开发行股票实际募集资金净额为人民币</w:t>
      </w:r>
      <w:r>
        <w:rPr>
          <w:rFonts w:ascii="Arial" w:hAnsi="Arial" w:cs="Arial" w:eastAsia="Arial" w:hint="default"/>
        </w:rPr>
        <w:t>531,284,200.00</w:t>
      </w:r>
      <w:r>
        <w:rPr>
          <w:rFonts w:ascii="Arial" w:hAnsi="Arial" w:cs="Arial" w:eastAsia="Arial" w:hint="default"/>
          <w:spacing w:val="28"/>
        </w:rPr>
        <w:t> </w:t>
      </w:r>
      <w:r>
        <w:rPr>
          <w:spacing w:val="-5"/>
        </w:rPr>
        <w:t>元，其中：新</w:t>
      </w:r>
      <w:r>
        <w:rPr>
          <w:w w:val="100"/>
        </w:rPr>
        <w:t> </w:t>
      </w:r>
      <w:r>
        <w:rPr>
          <w:spacing w:val="-2"/>
        </w:rPr>
        <w:t>增股本人民币</w:t>
      </w:r>
      <w:r>
        <w:rPr>
          <w:rFonts w:ascii="Arial" w:hAnsi="Arial" w:cs="Arial" w:eastAsia="Arial" w:hint="default"/>
          <w:spacing w:val="-2"/>
        </w:rPr>
        <w:t>27,000,000.00</w:t>
      </w:r>
      <w:r>
        <w:rPr>
          <w:spacing w:val="-2"/>
        </w:rPr>
        <w:t>元；出资额溢价部分为人民币</w:t>
      </w:r>
      <w:r>
        <w:rPr>
          <w:rFonts w:ascii="Arial" w:hAnsi="Arial" w:cs="Arial" w:eastAsia="Arial" w:hint="default"/>
          <w:spacing w:val="-2"/>
        </w:rPr>
        <w:t>504,284,200.00</w:t>
      </w:r>
      <w:r>
        <w:rPr>
          <w:spacing w:val="-2"/>
        </w:rPr>
        <w:t>元，全部计入资</w:t>
      </w:r>
      <w:r>
        <w:rPr>
          <w:spacing w:val="-41"/>
        </w:rPr>
        <w:t> </w:t>
      </w:r>
      <w:r>
        <w:rPr>
          <w:spacing w:val="-41"/>
        </w:rPr>
      </w:r>
      <w:r>
        <w:rPr/>
        <w:t>本公积。截至</w:t>
      </w:r>
      <w:r>
        <w:rPr>
          <w:rFonts w:ascii="Arial" w:hAnsi="Arial" w:cs="Arial" w:eastAsia="Arial" w:hint="default"/>
        </w:rPr>
        <w:t>2010</w:t>
      </w:r>
      <w:r>
        <w:rPr/>
        <w:t>年</w:t>
      </w:r>
      <w:r>
        <w:rPr>
          <w:rFonts w:ascii="Arial" w:hAnsi="Arial" w:cs="Arial" w:eastAsia="Arial" w:hint="default"/>
        </w:rPr>
        <w:t>4</w:t>
      </w:r>
      <w:r>
        <w:rPr/>
        <w:t>月</w:t>
      </w:r>
      <w:r>
        <w:rPr>
          <w:rFonts w:ascii="Arial" w:hAnsi="Arial" w:cs="Arial" w:eastAsia="Arial" w:hint="default"/>
        </w:rPr>
        <w:t>13</w:t>
      </w:r>
      <w:r>
        <w:rPr/>
        <w:t>日止，变更后的注册资本为人民币</w:t>
      </w:r>
      <w:r>
        <w:rPr>
          <w:rFonts w:ascii="Arial" w:hAnsi="Arial" w:cs="Arial" w:eastAsia="Arial" w:hint="default"/>
        </w:rPr>
        <w:t>107,000,000.00</w:t>
      </w:r>
      <w:r>
        <w:rPr/>
        <w:t>元，累计实</w:t>
      </w:r>
      <w:r>
        <w:rPr>
          <w:spacing w:val="-38"/>
        </w:rPr>
        <w:t> </w:t>
      </w:r>
      <w:r>
        <w:rPr>
          <w:spacing w:val="-38"/>
        </w:rPr>
      </w:r>
      <w:r>
        <w:rPr/>
        <w:t>收股本为人民币</w:t>
      </w:r>
      <w:r>
        <w:rPr>
          <w:rFonts w:ascii="Arial" w:hAnsi="Arial" w:cs="Arial" w:eastAsia="Arial" w:hint="default"/>
        </w:rPr>
        <w:t>107,000,000.00</w:t>
      </w:r>
      <w:r>
        <w:rPr/>
        <w:t>元，上海众华沪银会计师事务所有限公司</w:t>
      </w:r>
      <w:r>
        <w:rPr>
          <w:rFonts w:ascii="Arial" w:hAnsi="Arial" w:cs="Arial" w:eastAsia="Arial" w:hint="default"/>
        </w:rPr>
        <w:t>2010</w:t>
      </w:r>
      <w:r>
        <w:rPr/>
        <w:t>年</w:t>
      </w:r>
      <w:r>
        <w:rPr>
          <w:rFonts w:ascii="Arial" w:hAnsi="Arial" w:cs="Arial" w:eastAsia="Arial" w:hint="default"/>
        </w:rPr>
        <w:t>4</w:t>
      </w:r>
      <w:r>
        <w:rPr/>
        <w:t>月</w:t>
      </w:r>
      <w:r>
        <w:rPr>
          <w:rFonts w:ascii="Arial" w:hAnsi="Arial" w:cs="Arial" w:eastAsia="Arial" w:hint="default"/>
        </w:rPr>
        <w:t>13</w:t>
      </w:r>
      <w:r>
        <w:rPr/>
        <w:t>日</w:t>
      </w:r>
      <w:r>
        <w:rPr>
          <w:spacing w:val="-43"/>
        </w:rPr>
        <w:t> </w:t>
      </w:r>
      <w:r>
        <w:rPr/>
        <w:t>出具的沪众会验字</w:t>
      </w:r>
      <w:r>
        <w:rPr>
          <w:rFonts w:ascii="Arial" w:hAnsi="Arial" w:cs="Arial" w:eastAsia="Arial" w:hint="default"/>
        </w:rPr>
        <w:t>(2010)</w:t>
      </w:r>
      <w:r>
        <w:rPr/>
        <w:t>第</w:t>
      </w:r>
      <w:r>
        <w:rPr>
          <w:rFonts w:ascii="Arial" w:hAnsi="Arial" w:cs="Arial" w:eastAsia="Arial" w:hint="default"/>
        </w:rPr>
        <w:t>2691</w:t>
      </w:r>
      <w:r>
        <w:rPr/>
        <w:t>号《验资报告》对上述本次发行的股本进行了验证。本公</w:t>
      </w:r>
      <w:r>
        <w:rPr>
          <w:spacing w:val="-89"/>
        </w:rPr>
        <w:t> </w:t>
      </w:r>
      <w:r>
        <w:rPr>
          <w:spacing w:val="-89"/>
        </w:rPr>
      </w:r>
      <w:r>
        <w:rPr/>
        <w:t>司于</w:t>
      </w:r>
      <w:r>
        <w:rPr>
          <w:rFonts w:ascii="Arial" w:hAnsi="Arial" w:cs="Arial" w:eastAsia="Arial" w:hint="default"/>
        </w:rPr>
        <w:t>2010</w:t>
      </w:r>
      <w:r>
        <w:rPr/>
        <w:t>年</w:t>
      </w:r>
      <w:r>
        <w:rPr>
          <w:rFonts w:ascii="Arial" w:hAnsi="Arial" w:cs="Arial" w:eastAsia="Arial" w:hint="default"/>
        </w:rPr>
        <w:t>7</w:t>
      </w:r>
      <w:r>
        <w:rPr/>
        <w:t>月</w:t>
      </w:r>
      <w:r>
        <w:rPr>
          <w:rFonts w:ascii="Arial" w:hAnsi="Arial" w:cs="Arial" w:eastAsia="Arial" w:hint="default"/>
        </w:rPr>
        <w:t>22</w:t>
      </w:r>
      <w:r>
        <w:rPr/>
        <w:t>日在上海市工商行政管理局履行了工商变更登记手续，营业执照注册号</w:t>
      </w:r>
      <w:r>
        <w:rPr>
          <w:spacing w:val="-40"/>
        </w:rPr>
        <w:t> </w:t>
      </w:r>
      <w:r>
        <w:rPr>
          <w:spacing w:val="-40"/>
        </w:rPr>
      </w:r>
      <w:r>
        <w:rPr/>
        <w:t>为</w:t>
      </w:r>
      <w:r>
        <w:rPr>
          <w:rFonts w:ascii="Arial" w:hAnsi="Arial" w:cs="Arial" w:eastAsia="Arial" w:hint="default"/>
        </w:rPr>
        <w:t>310229000492439</w:t>
      </w:r>
      <w:r>
        <w:rPr/>
        <w:t>，住所为青浦区赵巷镇崧华路</w:t>
      </w:r>
      <w:r>
        <w:rPr>
          <w:rFonts w:ascii="Arial" w:hAnsi="Arial" w:cs="Arial" w:eastAsia="Arial" w:hint="default"/>
        </w:rPr>
        <w:t>881</w:t>
      </w:r>
      <w:r>
        <w:rPr/>
        <w:t>号，法定代表人为纪立军。</w:t>
      </w:r>
    </w:p>
    <w:p>
      <w:pPr>
        <w:pStyle w:val="BodyText"/>
        <w:spacing w:line="369" w:lineRule="auto" w:before="31"/>
        <w:ind w:right="218" w:firstLine="439"/>
        <w:jc w:val="both"/>
      </w:pPr>
      <w:r>
        <w:rPr>
          <w:spacing w:val="-2"/>
        </w:rPr>
        <w:t>经深圳证券交易所深证上</w:t>
      </w:r>
      <w:r>
        <w:rPr>
          <w:rFonts w:ascii="Arial" w:hAnsi="Arial" w:cs="Arial" w:eastAsia="Arial" w:hint="default"/>
          <w:spacing w:val="-2"/>
        </w:rPr>
        <w:t>[2010]132</w:t>
      </w:r>
      <w:r>
        <w:rPr>
          <w:spacing w:val="-2"/>
        </w:rPr>
        <w:t>号文同意，本公司的股票于</w:t>
      </w:r>
      <w:r>
        <w:rPr>
          <w:rFonts w:ascii="Arial" w:hAnsi="Arial" w:cs="Arial" w:eastAsia="Arial" w:hint="default"/>
          <w:spacing w:val="-2"/>
        </w:rPr>
        <w:t>2010</w:t>
      </w:r>
      <w:r>
        <w:rPr>
          <w:spacing w:val="-2"/>
        </w:rPr>
        <w:t>年</w:t>
      </w:r>
      <w:r>
        <w:rPr>
          <w:rFonts w:ascii="Arial" w:hAnsi="Arial" w:cs="Arial" w:eastAsia="Arial" w:hint="default"/>
          <w:spacing w:val="-2"/>
        </w:rPr>
        <w:t>4</w:t>
      </w:r>
      <w:r>
        <w:rPr>
          <w:spacing w:val="-2"/>
        </w:rPr>
        <w:t>月</w:t>
      </w:r>
      <w:r>
        <w:rPr>
          <w:rFonts w:ascii="Arial" w:hAnsi="Arial" w:cs="Arial" w:eastAsia="Arial" w:hint="default"/>
          <w:spacing w:val="-2"/>
        </w:rPr>
        <w:t>21</w:t>
      </w:r>
      <w:r>
        <w:rPr>
          <w:spacing w:val="-2"/>
        </w:rPr>
        <w:t>日在深圳</w:t>
      </w:r>
      <w:r>
        <w:rPr>
          <w:w w:val="100"/>
        </w:rPr>
        <w:t> </w:t>
      </w:r>
      <w:r>
        <w:rPr/>
        <w:t>证券交易所创业板挂牌交易，股票代码为</w:t>
      </w:r>
      <w:r>
        <w:rPr>
          <w:rFonts w:ascii="Arial" w:hAnsi="Arial" w:cs="Arial" w:eastAsia="Arial" w:hint="default"/>
        </w:rPr>
        <w:t>300067</w:t>
      </w:r>
      <w:r>
        <w:rPr/>
        <w:t>。</w:t>
      </w:r>
    </w:p>
    <w:p>
      <w:pPr>
        <w:spacing w:after="0" w:line="369" w:lineRule="auto"/>
        <w:jc w:val="both"/>
        <w:sectPr>
          <w:headerReference w:type="default" r:id="rId54"/>
          <w:footerReference w:type="default" r:id="rId55"/>
          <w:pgSz w:w="11900" w:h="16840"/>
          <w:pgMar w:header="877" w:footer="983" w:top="1100" w:bottom="1180" w:left="1660" w:right="1240"/>
          <w:pgNumType w:start="83"/>
        </w:sectPr>
      </w:pPr>
    </w:p>
    <w:p>
      <w:pPr>
        <w:spacing w:line="240" w:lineRule="auto" w:before="4"/>
        <w:rPr>
          <w:rFonts w:ascii="宋体" w:hAnsi="宋体" w:cs="宋体" w:eastAsia="宋体" w:hint="default"/>
          <w:sz w:val="26"/>
          <w:szCs w:val="26"/>
        </w:rPr>
      </w:pPr>
    </w:p>
    <w:p>
      <w:pPr>
        <w:pStyle w:val="BodyText"/>
        <w:spacing w:line="369" w:lineRule="auto"/>
        <w:ind w:right="33" w:firstLine="439"/>
        <w:jc w:val="left"/>
      </w:pPr>
      <w:r>
        <w:rPr>
          <w:spacing w:val="-2"/>
        </w:rPr>
        <w:t>截止</w:t>
      </w:r>
      <w:r>
        <w:rPr>
          <w:rFonts w:ascii="Arial" w:hAnsi="Arial" w:cs="Arial" w:eastAsia="Arial" w:hint="default"/>
          <w:spacing w:val="-2"/>
        </w:rPr>
        <w:t>2010</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日，公司有限售条件股份为</w:t>
      </w:r>
      <w:r>
        <w:rPr>
          <w:rFonts w:ascii="Arial" w:hAnsi="Arial" w:cs="Arial" w:eastAsia="Arial" w:hint="default"/>
          <w:spacing w:val="-2"/>
        </w:rPr>
        <w:t>8,000</w:t>
      </w:r>
      <w:r>
        <w:rPr>
          <w:spacing w:val="-2"/>
        </w:rPr>
        <w:t>万股，无限售条件股份为</w:t>
      </w:r>
      <w:r>
        <w:rPr>
          <w:rFonts w:ascii="Arial" w:hAnsi="Arial" w:cs="Arial" w:eastAsia="Arial" w:hint="default"/>
          <w:spacing w:val="-2"/>
        </w:rPr>
        <w:t>2,700</w:t>
      </w:r>
      <w:r>
        <w:rPr>
          <w:spacing w:val="-2"/>
        </w:rPr>
        <w:t>万</w:t>
      </w:r>
      <w:r>
        <w:rPr>
          <w:w w:val="100"/>
        </w:rPr>
        <w:t> </w:t>
      </w:r>
      <w:r>
        <w:rPr/>
        <w:t>股。</w:t>
      </w:r>
    </w:p>
    <w:p>
      <w:pPr>
        <w:pStyle w:val="BodyText"/>
        <w:spacing w:line="240" w:lineRule="auto" w:before="61"/>
        <w:ind w:right="33"/>
        <w:jc w:val="left"/>
      </w:pPr>
      <w:r>
        <w:rPr>
          <w:rFonts w:ascii="Arial" w:hAnsi="Arial" w:cs="Arial" w:eastAsia="Arial" w:hint="default"/>
        </w:rPr>
        <w:t>1.3</w:t>
      </w:r>
      <w:r>
        <w:rPr>
          <w:rFonts w:ascii="Arial" w:hAnsi="Arial" w:cs="Arial" w:eastAsia="Arial" w:hint="default"/>
          <w:spacing w:val="49"/>
        </w:rPr>
        <w:t> </w:t>
      </w:r>
      <w:r>
        <w:rPr/>
        <w:t>公司的业务性质和主要经营活动</w:t>
      </w:r>
    </w:p>
    <w:p>
      <w:pPr>
        <w:pStyle w:val="BodyText"/>
        <w:spacing w:line="240" w:lineRule="auto" w:before="164"/>
        <w:ind w:right="33"/>
        <w:jc w:val="left"/>
      </w:pPr>
      <w:r>
        <w:rPr>
          <w:rFonts w:ascii="Arial" w:hAnsi="Arial" w:cs="Arial" w:eastAsia="Arial" w:hint="default"/>
        </w:rPr>
        <w:t>1.3.1</w:t>
      </w:r>
      <w:r>
        <w:rPr/>
        <w:t>业务性质</w:t>
      </w:r>
    </w:p>
    <w:p>
      <w:pPr>
        <w:pStyle w:val="BodyText"/>
        <w:spacing w:line="240" w:lineRule="auto" w:before="164"/>
        <w:ind w:left="557" w:right="33"/>
        <w:jc w:val="left"/>
      </w:pPr>
      <w:r>
        <w:rPr/>
        <w:t>本公司是专业从事新型染料研发，生产，销售和相关技术服务于一体的高新技术企业。</w:t>
      </w:r>
    </w:p>
    <w:p>
      <w:pPr>
        <w:pStyle w:val="BodyText"/>
        <w:spacing w:line="240" w:lineRule="auto" w:before="180"/>
        <w:ind w:right="33"/>
        <w:jc w:val="left"/>
      </w:pPr>
      <w:r>
        <w:rPr>
          <w:rFonts w:ascii="Arial" w:hAnsi="Arial" w:cs="Arial" w:eastAsia="Arial" w:hint="default"/>
        </w:rPr>
        <w:t>1.3.2</w:t>
      </w:r>
      <w:r>
        <w:rPr/>
        <w:t>经营范围</w:t>
      </w:r>
    </w:p>
    <w:p>
      <w:pPr>
        <w:pStyle w:val="BodyText"/>
        <w:spacing w:line="391" w:lineRule="auto" w:before="164"/>
        <w:ind w:right="33" w:firstLine="420"/>
        <w:jc w:val="left"/>
      </w:pPr>
      <w:r>
        <w:rPr>
          <w:spacing w:val="-2"/>
        </w:rPr>
        <w:t>经营范围为：化工产品销售（除危险化学品、监控化学品、烟花爆竹、民用爆炸物品、</w:t>
      </w:r>
      <w:r>
        <w:rPr>
          <w:w w:val="100"/>
        </w:rPr>
        <w:t> </w:t>
      </w:r>
      <w:r>
        <w:rPr>
          <w:spacing w:val="-5"/>
          <w:w w:val="100"/>
        </w:rPr>
        <w:t>易制毒化学品），从事货物和技术的进出口业务（企业经营涉及行政许可的，凭许可证件经</w:t>
      </w:r>
      <w:r>
        <w:rPr>
          <w:spacing w:val="-109"/>
          <w:w w:val="100"/>
        </w:rPr>
        <w:t> </w:t>
      </w:r>
      <w:r>
        <w:rPr>
          <w:spacing w:val="-109"/>
          <w:w w:val="100"/>
        </w:rPr>
      </w:r>
      <w:r>
        <w:rPr>
          <w:spacing w:val="-37"/>
          <w:w w:val="100"/>
        </w:rPr>
        <w:t>营）。</w:t>
      </w:r>
    </w:p>
    <w:p>
      <w:pPr>
        <w:pStyle w:val="BodyText"/>
        <w:spacing w:line="369" w:lineRule="auto" w:before="41"/>
        <w:ind w:left="557" w:right="33" w:hanging="420"/>
        <w:jc w:val="left"/>
      </w:pPr>
      <w:r>
        <w:rPr>
          <w:rFonts w:ascii="Arial" w:hAnsi="Arial" w:cs="Arial" w:eastAsia="Arial" w:hint="default"/>
        </w:rPr>
        <w:t>1.3.3</w:t>
      </w:r>
      <w:r>
        <w:rPr/>
        <w:t>主要经营活动</w:t>
      </w:r>
      <w:r>
        <w:rPr>
          <w:w w:val="100"/>
        </w:rPr>
        <w:t> </w:t>
      </w:r>
      <w:r>
        <w:rPr>
          <w:spacing w:val="-2"/>
        </w:rPr>
        <w:t>本公司是专业从事新型染料研发，生产，销售和相关技术服务于一体的高新技术企业。</w:t>
      </w:r>
    </w:p>
    <w:p>
      <w:pPr>
        <w:pStyle w:val="BodyText"/>
        <w:spacing w:line="391" w:lineRule="auto" w:before="61"/>
        <w:ind w:right="215"/>
        <w:jc w:val="both"/>
      </w:pPr>
      <w:r>
        <w:rPr/>
        <w:t>公司目前拥有分散染料，酸性染料，活性染料等产品，有近三百种来满足纺织品加工的不</w:t>
      </w:r>
      <w:r>
        <w:rPr>
          <w:spacing w:val="-57"/>
        </w:rPr>
        <w:t> </w:t>
      </w:r>
      <w:r>
        <w:rPr>
          <w:spacing w:val="-57"/>
        </w:rPr>
      </w:r>
      <w:r>
        <w:rPr/>
        <w:t>断发展需求。本公司在青岛、广州、晋江、普宁等地设有办事机构，用户网络遍布全国。</w:t>
      </w:r>
      <w:r>
        <w:rPr>
          <w:spacing w:val="-57"/>
        </w:rPr>
        <w:t> </w:t>
      </w:r>
      <w:r>
        <w:rPr>
          <w:spacing w:val="-57"/>
        </w:rPr>
      </w:r>
      <w:r>
        <w:rPr/>
        <w:t>本公司设有实验中心，配备国际先进的研发检测设备，拥有高素质的研发实验人员。对为</w:t>
      </w:r>
      <w:r>
        <w:rPr>
          <w:spacing w:val="-57"/>
        </w:rPr>
        <w:t> </w:t>
      </w:r>
      <w:r>
        <w:rPr>
          <w:spacing w:val="-57"/>
        </w:rPr>
      </w:r>
      <w:r>
        <w:rPr/>
        <w:t>广大客户提供更加完善，配套的技术服务和支持。</w:t>
      </w:r>
    </w:p>
    <w:p>
      <w:pPr>
        <w:pStyle w:val="Heading3"/>
        <w:spacing w:line="240" w:lineRule="auto" w:before="72"/>
        <w:ind w:right="33"/>
        <w:jc w:val="left"/>
      </w:pPr>
      <w:r>
        <w:rPr>
          <w:rFonts w:ascii="Arial" w:hAnsi="Arial" w:cs="Arial" w:eastAsia="Arial" w:hint="default"/>
          <w:b/>
          <w:bCs/>
        </w:rPr>
        <w:t>2. </w:t>
      </w:r>
      <w:r>
        <w:rPr>
          <w:rFonts w:ascii="Arial" w:hAnsi="Arial" w:cs="Arial" w:eastAsia="Arial" w:hint="default"/>
          <w:b/>
          <w:bCs/>
          <w:spacing w:val="2"/>
        </w:rPr>
        <w:t> </w:t>
      </w:r>
      <w:r>
        <w:rPr/>
        <w:t>遵循企业会计准则的声明及财务报表的编制基础</w:t>
      </w:r>
    </w:p>
    <w:p>
      <w:pPr>
        <w:pStyle w:val="BodyText"/>
        <w:spacing w:line="369" w:lineRule="auto" w:before="207"/>
        <w:ind w:left="557" w:right="33" w:hanging="420"/>
        <w:jc w:val="left"/>
      </w:pPr>
      <w:r>
        <w:rPr>
          <w:rFonts w:ascii="Arial" w:hAnsi="Arial" w:cs="Arial" w:eastAsia="Arial" w:hint="default"/>
        </w:rPr>
        <w:t>2.1</w:t>
      </w:r>
      <w:r>
        <w:rPr>
          <w:rFonts w:ascii="Arial" w:hAnsi="Arial" w:cs="Arial" w:eastAsia="Arial" w:hint="default"/>
          <w:spacing w:val="51"/>
        </w:rPr>
        <w:t> </w:t>
      </w:r>
      <w:r>
        <w:rPr/>
        <w:t>财务报表的编制基础</w:t>
      </w:r>
      <w:r>
        <w:rPr>
          <w:w w:val="100"/>
        </w:rPr>
        <w:t> </w:t>
      </w:r>
      <w:r>
        <w:rPr/>
        <w:t>本公司以持续经营为基础，根据实际发生的交易和事项，按照《企业会计准则—基本</w:t>
      </w:r>
    </w:p>
    <w:p>
      <w:pPr>
        <w:pStyle w:val="BodyText"/>
        <w:spacing w:line="240" w:lineRule="auto" w:before="61"/>
        <w:ind w:right="33"/>
        <w:jc w:val="left"/>
      </w:pPr>
      <w:r>
        <w:rPr/>
        <w:t>准则》和其他各项会计准则的规定进行确认和计量，在此基础上编制财务报表。</w:t>
      </w:r>
    </w:p>
    <w:p>
      <w:pPr>
        <w:pStyle w:val="BodyText"/>
        <w:spacing w:line="369" w:lineRule="auto" w:before="180"/>
        <w:ind w:left="557" w:right="33" w:hanging="420"/>
        <w:jc w:val="left"/>
      </w:pPr>
      <w:r>
        <w:rPr>
          <w:rFonts w:ascii="Arial" w:hAnsi="Arial" w:cs="Arial" w:eastAsia="Arial" w:hint="default"/>
        </w:rPr>
        <w:t>2.2</w:t>
      </w:r>
      <w:r>
        <w:rPr>
          <w:rFonts w:ascii="Arial" w:hAnsi="Arial" w:cs="Arial" w:eastAsia="Arial" w:hint="default"/>
          <w:spacing w:val="51"/>
        </w:rPr>
        <w:t> </w:t>
      </w:r>
      <w:r>
        <w:rPr/>
        <w:t>遵循企业会计准则的声明</w:t>
      </w:r>
      <w:r>
        <w:rPr>
          <w:w w:val="100"/>
        </w:rPr>
        <w:t> </w:t>
      </w:r>
      <w:r>
        <w:rPr/>
        <w:t>本公司所编制的财务报表符合企业会计准则的要求，真实、完整地反映了本公司的财</w:t>
      </w:r>
    </w:p>
    <w:p>
      <w:pPr>
        <w:pStyle w:val="BodyText"/>
        <w:spacing w:line="391" w:lineRule="auto" w:before="61"/>
        <w:ind w:right="33"/>
        <w:jc w:val="left"/>
      </w:pPr>
      <w:r>
        <w:rPr/>
        <w:t>务状况、经营成果、股东权益变动和现金流量等有关信息，本公司管理层对财务报表的真</w:t>
      </w:r>
      <w:r>
        <w:rPr>
          <w:spacing w:val="-57"/>
        </w:rPr>
        <w:t> </w:t>
      </w:r>
      <w:r>
        <w:rPr>
          <w:spacing w:val="-57"/>
        </w:rPr>
      </w:r>
      <w:r>
        <w:rPr/>
        <w:t>实性、合法性和完整性承担</w:t>
      </w:r>
    </w:p>
    <w:p>
      <w:pPr>
        <w:pStyle w:val="BodyText"/>
        <w:spacing w:line="240" w:lineRule="auto" w:before="41"/>
        <w:ind w:right="33"/>
        <w:jc w:val="left"/>
      </w:pPr>
      <w:r>
        <w:rPr/>
        <w:t>责任。</w:t>
      </w:r>
    </w:p>
    <w:p>
      <w:pPr>
        <w:spacing w:line="240" w:lineRule="auto" w:before="1"/>
        <w:rPr>
          <w:rFonts w:ascii="宋体" w:hAnsi="宋体" w:cs="宋体" w:eastAsia="宋体" w:hint="default"/>
          <w:sz w:val="16"/>
          <w:szCs w:val="16"/>
        </w:rPr>
      </w:pPr>
    </w:p>
    <w:p>
      <w:pPr>
        <w:spacing w:before="0"/>
        <w:ind w:left="137" w:right="33" w:firstLine="0"/>
        <w:jc w:val="left"/>
        <w:rPr>
          <w:rFonts w:ascii="宋体" w:hAnsi="宋体" w:cs="宋体" w:eastAsia="宋体" w:hint="default"/>
          <w:sz w:val="28"/>
          <w:szCs w:val="28"/>
        </w:rPr>
      </w:pPr>
      <w:r>
        <w:rPr>
          <w:rFonts w:ascii="Arial" w:hAnsi="Arial" w:cs="Arial" w:eastAsia="Arial" w:hint="default"/>
          <w:b/>
          <w:bCs/>
          <w:sz w:val="28"/>
          <w:szCs w:val="28"/>
        </w:rPr>
        <w:t>3. </w:t>
      </w:r>
      <w:r>
        <w:rPr>
          <w:rFonts w:ascii="Arial" w:hAnsi="Arial" w:cs="Arial" w:eastAsia="Arial" w:hint="default"/>
          <w:b/>
          <w:bCs/>
          <w:spacing w:val="38"/>
          <w:sz w:val="28"/>
          <w:szCs w:val="28"/>
        </w:rPr>
        <w:t> </w:t>
      </w:r>
      <w:r>
        <w:rPr>
          <w:rFonts w:ascii="宋体" w:hAnsi="宋体" w:cs="宋体" w:eastAsia="宋体" w:hint="default"/>
          <w:sz w:val="28"/>
          <w:szCs w:val="28"/>
        </w:rPr>
        <w:t>重要会计政策和会计估计</w:t>
      </w:r>
    </w:p>
    <w:p>
      <w:pPr>
        <w:pStyle w:val="BodyText"/>
        <w:spacing w:line="240" w:lineRule="auto" w:before="207"/>
        <w:ind w:right="33"/>
        <w:jc w:val="left"/>
      </w:pPr>
      <w:r>
        <w:rPr>
          <w:rFonts w:ascii="Arial" w:hAnsi="Arial" w:cs="Arial" w:eastAsia="Arial" w:hint="default"/>
        </w:rPr>
        <w:t>3.1</w:t>
      </w:r>
      <w:r>
        <w:rPr>
          <w:rFonts w:ascii="Arial" w:hAnsi="Arial" w:cs="Arial" w:eastAsia="Arial" w:hint="default"/>
          <w:spacing w:val="54"/>
        </w:rPr>
        <w:t> </w:t>
      </w:r>
      <w:r>
        <w:rPr/>
        <w:t>会计期间</w:t>
      </w:r>
    </w:p>
    <w:p>
      <w:pPr>
        <w:pStyle w:val="BodyText"/>
        <w:spacing w:line="240" w:lineRule="auto" w:before="164"/>
        <w:ind w:left="557" w:right="33"/>
        <w:jc w:val="left"/>
      </w:pPr>
      <w:r>
        <w:rPr/>
        <w:t>会计期间为公历</w:t>
      </w:r>
      <w:r>
        <w:rPr>
          <w:rFonts w:ascii="Arial" w:hAnsi="Arial" w:cs="Arial" w:eastAsia="Arial" w:hint="default"/>
        </w:rPr>
        <w:t>1</w:t>
      </w:r>
      <w:r>
        <w:rPr/>
        <w:t>月</w:t>
      </w:r>
      <w:r>
        <w:rPr>
          <w:rFonts w:ascii="Arial" w:hAnsi="Arial" w:cs="Arial" w:eastAsia="Arial" w:hint="default"/>
        </w:rPr>
        <w:t>1</w:t>
      </w:r>
      <w:r>
        <w:rPr/>
        <w:t>日起至</w:t>
      </w:r>
      <w:r>
        <w:rPr>
          <w:rFonts w:ascii="Arial" w:hAnsi="Arial" w:cs="Arial" w:eastAsia="Arial" w:hint="default"/>
        </w:rPr>
        <w:t>12</w:t>
      </w:r>
      <w:r>
        <w:rPr/>
        <w:t>月</w:t>
      </w:r>
      <w:r>
        <w:rPr>
          <w:rFonts w:ascii="Arial" w:hAnsi="Arial" w:cs="Arial" w:eastAsia="Arial" w:hint="default"/>
        </w:rPr>
        <w:t>31</w:t>
      </w:r>
      <w:r>
        <w:rPr/>
        <w:t>日止。</w:t>
      </w:r>
    </w:p>
    <w:p>
      <w:pPr>
        <w:pStyle w:val="BodyText"/>
        <w:spacing w:line="369" w:lineRule="auto" w:before="164"/>
        <w:ind w:left="557" w:right="6233" w:hanging="420"/>
        <w:jc w:val="left"/>
      </w:pPr>
      <w:r>
        <w:rPr>
          <w:rFonts w:ascii="Arial" w:hAnsi="Arial" w:cs="Arial" w:eastAsia="Arial" w:hint="default"/>
        </w:rPr>
        <w:t>3.2</w:t>
      </w:r>
      <w:r>
        <w:rPr>
          <w:rFonts w:ascii="Arial" w:hAnsi="Arial" w:cs="Arial" w:eastAsia="Arial" w:hint="default"/>
          <w:spacing w:val="51"/>
        </w:rPr>
        <w:t> </w:t>
      </w:r>
      <w:r>
        <w:rPr/>
        <w:t>记账本位币</w:t>
      </w:r>
      <w:r>
        <w:rPr>
          <w:w w:val="100"/>
        </w:rPr>
        <w:t> </w:t>
      </w:r>
      <w:r>
        <w:rPr>
          <w:spacing w:val="-1"/>
        </w:rPr>
        <w:t>记账本位币为人民币。</w:t>
      </w:r>
    </w:p>
    <w:p>
      <w:pPr>
        <w:spacing w:after="0" w:line="369" w:lineRule="auto"/>
        <w:jc w:val="left"/>
        <w:sectPr>
          <w:pgSz w:w="11900" w:h="16840"/>
          <w:pgMar w:header="877" w:footer="983" w:top="1100" w:bottom="1180" w:left="1660" w:right="1240"/>
        </w:sectPr>
      </w:pPr>
    </w:p>
    <w:p>
      <w:pPr>
        <w:spacing w:line="240" w:lineRule="auto" w:before="4"/>
        <w:rPr>
          <w:rFonts w:ascii="宋体" w:hAnsi="宋体" w:cs="宋体" w:eastAsia="宋体" w:hint="default"/>
          <w:sz w:val="26"/>
          <w:szCs w:val="26"/>
        </w:rPr>
      </w:pPr>
    </w:p>
    <w:p>
      <w:pPr>
        <w:pStyle w:val="BodyText"/>
        <w:spacing w:line="240" w:lineRule="auto"/>
        <w:ind w:right="137"/>
        <w:jc w:val="left"/>
      </w:pPr>
      <w:r>
        <w:rPr>
          <w:rFonts w:ascii="Arial" w:hAnsi="Arial" w:cs="Arial" w:eastAsia="Arial" w:hint="default"/>
        </w:rPr>
        <w:t>3.3</w:t>
      </w:r>
      <w:r>
        <w:rPr>
          <w:rFonts w:ascii="Arial" w:hAnsi="Arial" w:cs="Arial" w:eastAsia="Arial" w:hint="default"/>
          <w:spacing w:val="43"/>
        </w:rPr>
        <w:t> </w:t>
      </w:r>
      <w:r>
        <w:rPr/>
        <w:t>同一控制下和非同一控制下企业合并的会计处理方法</w:t>
      </w:r>
    </w:p>
    <w:p>
      <w:pPr>
        <w:pStyle w:val="BodyText"/>
        <w:spacing w:line="240" w:lineRule="auto" w:before="164"/>
        <w:ind w:right="137"/>
        <w:jc w:val="left"/>
      </w:pPr>
      <w:r>
        <w:rPr>
          <w:rFonts w:ascii="Arial" w:hAnsi="Arial" w:cs="Arial" w:eastAsia="Arial" w:hint="default"/>
        </w:rPr>
        <w:t>3.3.1</w:t>
      </w:r>
      <w:r>
        <w:rPr/>
        <w:t>同一控制下的企业合并</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6"/>
          <w:szCs w:val="26"/>
        </w:rPr>
      </w:pPr>
    </w:p>
    <w:p>
      <w:pPr>
        <w:pStyle w:val="BodyText"/>
        <w:spacing w:line="391" w:lineRule="auto" w:before="0"/>
        <w:ind w:right="140" w:firstLine="420"/>
        <w:jc w:val="both"/>
      </w:pPr>
      <w:r>
        <w:rPr>
          <w:spacing w:val="6"/>
        </w:rPr>
        <w:t>参与合并的企业在合并前后均受同一方或相同的多方最终控制且该控制并非暂时性</w:t>
      </w:r>
      <w:r>
        <w:rPr>
          <w:w w:val="100"/>
        </w:rPr>
        <w:t> </w:t>
      </w:r>
      <w:r>
        <w:rPr/>
        <w:t>的，认定为同一控制下的企业合并。</w:t>
      </w:r>
    </w:p>
    <w:p>
      <w:pPr>
        <w:pStyle w:val="BodyText"/>
        <w:spacing w:line="391" w:lineRule="auto" w:before="41"/>
        <w:ind w:right="135" w:firstLine="420"/>
        <w:jc w:val="both"/>
      </w:pPr>
      <w:r>
        <w:rPr/>
        <w:t>合并方以支付现金、转让非现金资产或承担债务方式作为合并对价的，在合并日按照</w:t>
      </w:r>
      <w:r>
        <w:rPr>
          <w:w w:val="100"/>
        </w:rPr>
        <w:t> </w:t>
      </w:r>
      <w:r>
        <w:rPr/>
        <w:t>取得被合并方所有者权益账面价值的份额作为长期股权投资的初始投资成本。长期股权投</w:t>
      </w:r>
      <w:r>
        <w:rPr>
          <w:spacing w:val="-57"/>
        </w:rPr>
        <w:t> </w:t>
      </w:r>
      <w:r>
        <w:rPr>
          <w:spacing w:val="-57"/>
        </w:rPr>
      </w:r>
      <w:r>
        <w:rPr/>
        <w:t>资初始投资成本与支付的现金、转让的非现金资产以及所承担债务账面价值之间的差额，</w:t>
      </w:r>
      <w:r>
        <w:rPr>
          <w:spacing w:val="-57"/>
        </w:rPr>
        <w:t> </w:t>
      </w:r>
      <w:r>
        <w:rPr>
          <w:spacing w:val="-57"/>
        </w:rPr>
      </w:r>
      <w:r>
        <w:rPr/>
        <w:t>调整资本公积；资本公积不足冲减的，调整留存收益。</w:t>
      </w:r>
    </w:p>
    <w:p>
      <w:pPr>
        <w:pStyle w:val="BodyText"/>
        <w:spacing w:line="240" w:lineRule="auto" w:before="41"/>
        <w:ind w:left="557" w:right="137"/>
        <w:jc w:val="left"/>
      </w:pPr>
      <w:r>
        <w:rPr/>
        <w:t>为进行企业合并发生的各项直接相关费用于发生时计入当期损益。</w:t>
      </w:r>
    </w:p>
    <w:p>
      <w:pPr>
        <w:pStyle w:val="BodyText"/>
        <w:spacing w:line="369" w:lineRule="auto" w:before="180"/>
        <w:ind w:left="557" w:right="137" w:hanging="420"/>
        <w:jc w:val="left"/>
      </w:pPr>
      <w:r>
        <w:rPr>
          <w:rFonts w:ascii="Arial" w:hAnsi="Arial" w:cs="Arial" w:eastAsia="Arial" w:hint="default"/>
        </w:rPr>
        <w:t>3.3.2</w:t>
      </w:r>
      <w:r>
        <w:rPr/>
        <w:t>非同一控制下的企业合并</w:t>
      </w:r>
      <w:r>
        <w:rPr>
          <w:w w:val="100"/>
        </w:rPr>
        <w:t> </w:t>
      </w:r>
      <w:r>
        <w:rPr/>
        <w:t>参与合并的各方在合并前后不受同一方或相同的多方最终控制的，认定为非同一控制</w:t>
      </w:r>
    </w:p>
    <w:p>
      <w:pPr>
        <w:pStyle w:val="BodyText"/>
        <w:spacing w:line="391" w:lineRule="auto" w:before="61"/>
        <w:ind w:left="557" w:right="137" w:hanging="420"/>
        <w:jc w:val="left"/>
      </w:pPr>
      <w:r>
        <w:rPr/>
        <w:t>下的企业合并。</w:t>
      </w:r>
      <w:r>
        <w:rPr>
          <w:w w:val="100"/>
        </w:rPr>
        <w:t> </w:t>
      </w:r>
      <w:r>
        <w:rPr/>
        <w:t>购买方通过一次交换交易实现的企业合并，合并成本为购买方在购买日为取得对被购</w:t>
      </w:r>
    </w:p>
    <w:p>
      <w:pPr>
        <w:pStyle w:val="BodyText"/>
        <w:spacing w:line="391" w:lineRule="auto" w:before="41"/>
        <w:ind w:right="135"/>
        <w:jc w:val="both"/>
      </w:pPr>
      <w:r>
        <w:rPr/>
        <w:t>买方的控制权而付出的资产、发生或承担的负债以及发行的权益性证券的公允价值。通过</w:t>
      </w:r>
      <w:r>
        <w:rPr>
          <w:spacing w:val="-57"/>
        </w:rPr>
        <w:t> </w:t>
      </w:r>
      <w:r>
        <w:rPr>
          <w:spacing w:val="-57"/>
        </w:rPr>
      </w:r>
      <w:r>
        <w:rPr/>
        <w:t>多次交换交易分步实现的企业合并，合并成本为每一单项交易成本之和。购买方为进行企</w:t>
      </w:r>
      <w:r>
        <w:rPr>
          <w:spacing w:val="-57"/>
        </w:rPr>
        <w:t> </w:t>
      </w:r>
      <w:r>
        <w:rPr>
          <w:spacing w:val="-57"/>
        </w:rPr>
      </w:r>
      <w:r>
        <w:rPr/>
        <w:t>业合并发生的各项直接相关费用也计入企业合并成本。</w:t>
      </w:r>
    </w:p>
    <w:p>
      <w:pPr>
        <w:pStyle w:val="BodyText"/>
        <w:spacing w:line="391" w:lineRule="auto" w:before="41"/>
        <w:ind w:right="135" w:firstLine="420"/>
        <w:jc w:val="both"/>
      </w:pPr>
      <w:r>
        <w:rPr/>
        <w:t>购买方的合并成本和购买方在合并中取得的可辨认净资产按购买日的公允价值计量。</w:t>
      </w:r>
      <w:r>
        <w:rPr>
          <w:w w:val="100"/>
        </w:rPr>
        <w:t> </w:t>
      </w:r>
      <w:r>
        <w:rPr/>
        <w:t>合并成本大于合并中取得的被购买方于购买日可辨认净资产公允价值份额的差额，确认为</w:t>
      </w:r>
      <w:r>
        <w:rPr>
          <w:spacing w:val="-57"/>
        </w:rPr>
        <w:t> </w:t>
      </w:r>
      <w:r>
        <w:rPr>
          <w:spacing w:val="-57"/>
        </w:rPr>
      </w:r>
      <w:r>
        <w:rPr/>
        <w:t>商誉；合并成本小于合并中取得的被购买方可辨认净资产公允价值份额的差额，计入当期</w:t>
      </w:r>
      <w:r>
        <w:rPr>
          <w:spacing w:val="-57"/>
        </w:rPr>
        <w:t> </w:t>
      </w:r>
      <w:r>
        <w:rPr>
          <w:spacing w:val="-57"/>
        </w:rPr>
      </w:r>
      <w:r>
        <w:rPr/>
        <w:t>损益。</w:t>
      </w:r>
    </w:p>
    <w:p>
      <w:pPr>
        <w:pStyle w:val="BodyText"/>
        <w:spacing w:line="369" w:lineRule="auto" w:before="41"/>
        <w:ind w:left="576" w:right="1367" w:hanging="440"/>
        <w:jc w:val="left"/>
      </w:pPr>
      <w:r>
        <w:rPr>
          <w:rFonts w:ascii="Arial" w:hAnsi="Arial" w:cs="Arial" w:eastAsia="Arial" w:hint="default"/>
        </w:rPr>
        <w:t>3.4</w:t>
      </w:r>
      <w:r>
        <w:rPr>
          <w:rFonts w:ascii="Arial" w:hAnsi="Arial" w:cs="Arial" w:eastAsia="Arial" w:hint="default"/>
          <w:spacing w:val="51"/>
        </w:rPr>
        <w:t> </w:t>
      </w:r>
      <w:r>
        <w:rPr/>
        <w:t>合并财务报表的编制方法</w:t>
      </w:r>
      <w:r>
        <w:rPr>
          <w:w w:val="100"/>
        </w:rPr>
        <w:t> </w:t>
      </w:r>
      <w:r>
        <w:rPr>
          <w:spacing w:val="-1"/>
        </w:rPr>
        <w:t>合并财务报表的合并范围包括本公司及子公司。</w:t>
      </w:r>
    </w:p>
    <w:p>
      <w:pPr>
        <w:pStyle w:val="BodyText"/>
        <w:spacing w:line="391" w:lineRule="auto" w:before="61"/>
        <w:ind w:right="135" w:firstLine="439"/>
        <w:jc w:val="both"/>
      </w:pPr>
      <w:r>
        <w:rPr/>
        <w:t>从取得子公司实际控制权之日起，本公司开始将其予以合并；从丧失实际控制权之日</w:t>
      </w:r>
      <w:r>
        <w:rPr>
          <w:w w:val="100"/>
        </w:rPr>
        <w:t> </w:t>
      </w:r>
      <w:r>
        <w:rPr/>
        <w:t>起停止合并。公司间所有重大往来余额、交易及未实现利润在合并财务报表编制时予以抵</w:t>
      </w:r>
      <w:r>
        <w:rPr>
          <w:spacing w:val="-57"/>
        </w:rPr>
        <w:t> </w:t>
      </w:r>
      <w:r>
        <w:rPr>
          <w:spacing w:val="-57"/>
        </w:rPr>
      </w:r>
      <w:r>
        <w:rPr/>
        <w:t>销。子公司的股东权益中不属于公司所拥有的部分作为少数股东权益在合并资产负债表中</w:t>
      </w:r>
      <w:r>
        <w:rPr>
          <w:spacing w:val="-57"/>
        </w:rPr>
        <w:t> </w:t>
      </w:r>
      <w:r>
        <w:rPr>
          <w:spacing w:val="-57"/>
        </w:rPr>
      </w:r>
      <w:r>
        <w:rPr/>
        <w:t>股东权益项下单独列示；子公司净利润中不属于公司所拥有的部分作为少数股东损益在合</w:t>
      </w:r>
      <w:r>
        <w:rPr>
          <w:spacing w:val="-57"/>
        </w:rPr>
        <w:t> </w:t>
      </w:r>
      <w:r>
        <w:rPr>
          <w:spacing w:val="-57"/>
        </w:rPr>
      </w:r>
      <w:r>
        <w:rPr/>
        <w:t>并利润表中净利润项下单独列示。</w:t>
      </w:r>
    </w:p>
    <w:p>
      <w:pPr>
        <w:pStyle w:val="BodyText"/>
        <w:spacing w:line="391" w:lineRule="auto" w:before="41"/>
        <w:ind w:right="135" w:firstLine="420"/>
        <w:jc w:val="both"/>
      </w:pPr>
      <w:r>
        <w:rPr/>
        <w:t>子公司与本公司采用的会计政策或会计期间不一致的，在编制合并财务报表时，按照</w:t>
      </w:r>
      <w:r>
        <w:rPr>
          <w:w w:val="100"/>
        </w:rPr>
        <w:t> </w:t>
      </w:r>
      <w:r>
        <w:rPr/>
        <w:t>本公司的会计政策或会计期间对子公司财务报表进行必要的调整。</w:t>
      </w:r>
    </w:p>
    <w:p>
      <w:pPr>
        <w:spacing w:after="0" w:line="391" w:lineRule="auto"/>
        <w:jc w:val="both"/>
        <w:sectPr>
          <w:pgSz w:w="11900" w:h="16840"/>
          <w:pgMar w:header="877" w:footer="983" w:top="1100" w:bottom="1180" w:left="1660" w:right="1320"/>
        </w:sectPr>
      </w:pPr>
    </w:p>
    <w:p>
      <w:pPr>
        <w:spacing w:line="240" w:lineRule="auto" w:before="4"/>
        <w:rPr>
          <w:rFonts w:ascii="宋体" w:hAnsi="宋体" w:cs="宋体" w:eastAsia="宋体" w:hint="default"/>
          <w:sz w:val="26"/>
          <w:szCs w:val="26"/>
        </w:rPr>
      </w:pPr>
    </w:p>
    <w:p>
      <w:pPr>
        <w:pStyle w:val="BodyText"/>
        <w:spacing w:line="391" w:lineRule="auto"/>
        <w:ind w:right="135" w:firstLine="420"/>
        <w:jc w:val="both"/>
      </w:pPr>
      <w:r>
        <w:rPr/>
        <w:t>对于因非同一控制下企业合并取得的子公司，在编制合并财务报表时，以购买日可辨</w:t>
      </w:r>
      <w:r>
        <w:rPr>
          <w:w w:val="100"/>
        </w:rPr>
        <w:t> </w:t>
      </w:r>
      <w:r>
        <w:rPr/>
        <w:t>认净资产公允价值为基础对其个别财务报表进行调整；对于因同一控制下企业合并取得的</w:t>
      </w:r>
      <w:r>
        <w:rPr>
          <w:spacing w:val="-57"/>
        </w:rPr>
        <w:t> </w:t>
      </w:r>
      <w:r>
        <w:rPr>
          <w:spacing w:val="-57"/>
        </w:rPr>
      </w:r>
      <w:r>
        <w:rPr/>
        <w:t>子公司，在编制合并财务报表时，视同该企业合并于报告期最早期间的期初已经发生，从</w:t>
      </w:r>
      <w:r>
        <w:rPr>
          <w:spacing w:val="-57"/>
        </w:rPr>
        <w:t> </w:t>
      </w:r>
      <w:r>
        <w:rPr>
          <w:spacing w:val="-57"/>
        </w:rPr>
      </w:r>
      <w:r>
        <w:rPr/>
        <w:t>报告期最早期间的期初起将其资产、负债、经营成果和现金流量纳入合并财务报表，且其</w:t>
      </w:r>
      <w:r>
        <w:rPr>
          <w:spacing w:val="-57"/>
        </w:rPr>
        <w:t> </w:t>
      </w:r>
      <w:r>
        <w:rPr>
          <w:spacing w:val="-57"/>
        </w:rPr>
      </w:r>
      <w:r>
        <w:rPr/>
        <w:t>合并日前实现的净利润在合并利润表中单列项目反映。</w:t>
      </w:r>
    </w:p>
    <w:p>
      <w:pPr>
        <w:pStyle w:val="BodyText"/>
        <w:spacing w:line="369" w:lineRule="auto" w:before="41"/>
        <w:ind w:left="557" w:right="137" w:hanging="420"/>
        <w:jc w:val="left"/>
      </w:pPr>
      <w:r>
        <w:rPr>
          <w:rFonts w:ascii="Arial" w:hAnsi="Arial" w:cs="Arial" w:eastAsia="Arial" w:hint="default"/>
        </w:rPr>
        <w:t>3.5</w:t>
      </w:r>
      <w:r>
        <w:rPr>
          <w:rFonts w:ascii="Arial" w:hAnsi="Arial" w:cs="Arial" w:eastAsia="Arial" w:hint="default"/>
          <w:spacing w:val="51"/>
        </w:rPr>
        <w:t> </w:t>
      </w:r>
      <w:r>
        <w:rPr/>
        <w:t>现金及现金等价物的确定标准</w:t>
      </w:r>
      <w:r>
        <w:rPr>
          <w:w w:val="100"/>
        </w:rPr>
        <w:t> </w:t>
      </w:r>
      <w:r>
        <w:rPr/>
        <w:t>列示于现金流量表中的现金是指库存现金及可随时用于支付的存款，现金等价物是指</w:t>
      </w:r>
    </w:p>
    <w:p>
      <w:pPr>
        <w:pStyle w:val="BodyText"/>
        <w:spacing w:line="240" w:lineRule="auto" w:before="61"/>
        <w:ind w:right="137"/>
        <w:jc w:val="left"/>
      </w:pPr>
      <w:r>
        <w:rPr/>
        <w:t>持有的期限短、流动性强、易于转换为已知金额现金及价值变动风险很小的投资。</w:t>
      </w:r>
    </w:p>
    <w:p>
      <w:pPr>
        <w:pStyle w:val="BodyText"/>
        <w:spacing w:line="240" w:lineRule="auto" w:before="180"/>
        <w:ind w:right="137"/>
        <w:jc w:val="left"/>
      </w:pPr>
      <w:r>
        <w:rPr>
          <w:rFonts w:ascii="Arial" w:hAnsi="Arial" w:cs="Arial" w:eastAsia="Arial" w:hint="default"/>
        </w:rPr>
        <w:t>3.6</w:t>
      </w:r>
      <w:r>
        <w:rPr>
          <w:rFonts w:ascii="Arial" w:hAnsi="Arial" w:cs="Arial" w:eastAsia="Arial" w:hint="default"/>
          <w:spacing w:val="54"/>
        </w:rPr>
        <w:t> </w:t>
      </w:r>
      <w:r>
        <w:rPr/>
        <w:t>外币业务</w:t>
      </w:r>
    </w:p>
    <w:p>
      <w:pPr>
        <w:pStyle w:val="BodyText"/>
        <w:spacing w:line="391" w:lineRule="auto" w:before="164"/>
        <w:ind w:left="557" w:right="137"/>
        <w:jc w:val="left"/>
      </w:pPr>
      <w:r>
        <w:rPr/>
        <w:t>外币业务按业务发生日的即期汇率将外币金额折算为人民币入账。</w:t>
      </w:r>
      <w:r>
        <w:rPr>
          <w:w w:val="100"/>
        </w:rPr>
        <w:t> </w:t>
      </w:r>
      <w:r>
        <w:rPr/>
        <w:t>于资产负债表日，外币货币性项目采用资产负债表日的即期汇率折算为人民币，所产</w:t>
      </w:r>
    </w:p>
    <w:p>
      <w:pPr>
        <w:pStyle w:val="BodyText"/>
        <w:spacing w:line="391" w:lineRule="auto" w:before="41"/>
        <w:ind w:right="135"/>
        <w:jc w:val="both"/>
      </w:pPr>
      <w:r>
        <w:rPr/>
        <w:t>生的折算差额除了为购建或生产符合资本化条件的资产而借入的外币借款产生的汇兑差额</w:t>
      </w:r>
      <w:r>
        <w:rPr>
          <w:spacing w:val="-57"/>
        </w:rPr>
        <w:t> </w:t>
      </w:r>
      <w:r>
        <w:rPr>
          <w:spacing w:val="-57"/>
        </w:rPr>
      </w:r>
      <w:r>
        <w:rPr/>
        <w:t>按资本化的原则处理外，直接计入当期损益。以历史成本计量的外币非货币性项目，于资</w:t>
      </w:r>
      <w:r>
        <w:rPr>
          <w:spacing w:val="-57"/>
        </w:rPr>
        <w:t> </w:t>
      </w:r>
      <w:r>
        <w:rPr>
          <w:spacing w:val="-57"/>
        </w:rPr>
      </w:r>
      <w:r>
        <w:rPr/>
        <w:t>产负债表日采用交易发生日的即期汇率折算。</w:t>
      </w:r>
    </w:p>
    <w:p>
      <w:pPr>
        <w:pStyle w:val="BodyText"/>
        <w:spacing w:line="240" w:lineRule="auto" w:before="41"/>
        <w:ind w:right="137"/>
        <w:jc w:val="left"/>
      </w:pPr>
      <w:r>
        <w:rPr>
          <w:rFonts w:ascii="Arial" w:hAnsi="Arial" w:cs="Arial" w:eastAsia="Arial" w:hint="default"/>
        </w:rPr>
        <w:t>3.7</w:t>
      </w:r>
      <w:r>
        <w:rPr>
          <w:rFonts w:ascii="Arial" w:hAnsi="Arial" w:cs="Arial" w:eastAsia="Arial" w:hint="default"/>
          <w:spacing w:val="54"/>
        </w:rPr>
        <w:t> </w:t>
      </w:r>
      <w:r>
        <w:rPr/>
        <w:t>金融工具</w:t>
      </w:r>
    </w:p>
    <w:p>
      <w:pPr>
        <w:pStyle w:val="BodyText"/>
        <w:spacing w:line="379" w:lineRule="auto" w:before="164"/>
        <w:ind w:left="557" w:right="137" w:hanging="420"/>
        <w:jc w:val="left"/>
      </w:pPr>
      <w:r>
        <w:rPr>
          <w:rFonts w:ascii="Arial" w:hAnsi="Arial" w:cs="Arial" w:eastAsia="Arial" w:hint="default"/>
        </w:rPr>
        <w:t>3.7.1</w:t>
      </w:r>
      <w:r>
        <w:rPr>
          <w:rFonts w:ascii="Arial" w:hAnsi="Arial" w:cs="Arial" w:eastAsia="Arial" w:hint="default"/>
          <w:spacing w:val="46"/>
        </w:rPr>
        <w:t> </w:t>
      </w:r>
      <w:r>
        <w:rPr/>
        <w:t>金融工具的确认和终止确认</w:t>
      </w:r>
      <w:r>
        <w:rPr>
          <w:w w:val="100"/>
        </w:rPr>
        <w:t> </w:t>
      </w:r>
      <w:r>
        <w:rPr/>
        <w:t>本公司于成为金融工具合同的一方时确认一项金融资产或金融负债。</w:t>
      </w:r>
      <w:r>
        <w:rPr>
          <w:w w:val="100"/>
        </w:rPr>
        <w:t> </w:t>
      </w:r>
      <w:r>
        <w:rPr/>
        <w:t>金融资产满足下列条件之一的，终止确认：</w:t>
      </w:r>
      <w:r>
        <w:rPr>
          <w:rFonts w:ascii="Arial" w:hAnsi="Arial" w:cs="Arial" w:eastAsia="Arial" w:hint="default"/>
        </w:rPr>
        <w:t>(1)  </w:t>
      </w:r>
      <w:r>
        <w:rPr>
          <w:rFonts w:ascii="Arial" w:hAnsi="Arial" w:cs="Arial" w:eastAsia="Arial" w:hint="default"/>
          <w:spacing w:val="15"/>
        </w:rPr>
        <w:t> </w:t>
      </w:r>
      <w:r>
        <w:rPr>
          <w:spacing w:val="2"/>
        </w:rPr>
        <w:t>收取该金融资产现金流量的合同权利</w:t>
      </w:r>
    </w:p>
    <w:p>
      <w:pPr>
        <w:pStyle w:val="BodyText"/>
        <w:tabs>
          <w:tab w:pos="1397" w:val="left" w:leader="none"/>
        </w:tabs>
        <w:spacing w:line="369" w:lineRule="auto" w:before="22"/>
        <w:ind w:right="140"/>
        <w:jc w:val="left"/>
      </w:pPr>
      <w:r>
        <w:rPr>
          <w:spacing w:val="-1"/>
        </w:rPr>
        <w:t>终止；</w:t>
      </w:r>
      <w:r>
        <w:rPr>
          <w:rFonts w:ascii="Arial" w:hAnsi="Arial" w:cs="Arial" w:eastAsia="Arial" w:hint="default"/>
          <w:spacing w:val="-1"/>
        </w:rPr>
        <w:t>(2)</w:t>
        <w:tab/>
      </w:r>
      <w:r>
        <w:rPr>
          <w:spacing w:val="1"/>
        </w:rPr>
        <w:t>该金融资产已转移，且符合《企业会计准则第</w:t>
      </w:r>
      <w:r>
        <w:rPr>
          <w:rFonts w:ascii="Arial" w:hAnsi="Arial" w:cs="Arial" w:eastAsia="Arial" w:hint="default"/>
          <w:spacing w:val="1"/>
        </w:rPr>
        <w:t>23</w:t>
      </w:r>
      <w:r>
        <w:rPr>
          <w:spacing w:val="1"/>
        </w:rPr>
        <w:t>号－金融资产转移》规定的</w:t>
      </w:r>
      <w:r>
        <w:rPr>
          <w:spacing w:val="-67"/>
        </w:rPr>
        <w:t> </w:t>
      </w:r>
      <w:r>
        <w:rPr>
          <w:spacing w:val="-67"/>
        </w:rPr>
      </w:r>
      <w:r>
        <w:rPr/>
        <w:t>金融资产终止确认条件。</w:t>
      </w:r>
    </w:p>
    <w:p>
      <w:pPr>
        <w:pStyle w:val="BodyText"/>
        <w:spacing w:line="240" w:lineRule="auto" w:before="61"/>
        <w:ind w:left="557" w:right="137"/>
        <w:jc w:val="left"/>
      </w:pPr>
      <w:r>
        <w:rPr/>
        <w:t>金融负债的现时义务全部或部分已经解除的，终止确认该金融负债或其一部分。</w:t>
      </w:r>
    </w:p>
    <w:p>
      <w:pPr>
        <w:pStyle w:val="BodyText"/>
        <w:spacing w:line="369" w:lineRule="auto" w:before="180"/>
        <w:ind w:left="557" w:right="137" w:hanging="420"/>
        <w:jc w:val="left"/>
      </w:pPr>
      <w:r>
        <w:rPr>
          <w:rFonts w:ascii="Arial" w:hAnsi="Arial" w:cs="Arial" w:eastAsia="Arial" w:hint="default"/>
        </w:rPr>
        <w:t>3.7.2</w:t>
      </w:r>
      <w:r>
        <w:rPr/>
        <w:t>金融资产的分类</w:t>
      </w:r>
      <w:r>
        <w:rPr>
          <w:w w:val="100"/>
        </w:rPr>
        <w:t> </w:t>
      </w:r>
      <w:r>
        <w:rPr/>
        <w:t>金融资产于初始确认时分类为：以公允价值计量且其变动计入当期损益的金融资产、</w:t>
      </w:r>
    </w:p>
    <w:p>
      <w:pPr>
        <w:pStyle w:val="BodyText"/>
        <w:spacing w:line="391" w:lineRule="auto" w:before="61"/>
        <w:ind w:right="137"/>
        <w:jc w:val="left"/>
      </w:pPr>
      <w:r>
        <w:rPr/>
        <w:t>应收款项、可供出售金融资产和持有至到期投资。金融资产的分类取决于本公司对金融资</w:t>
      </w:r>
      <w:r>
        <w:rPr>
          <w:spacing w:val="-57"/>
        </w:rPr>
        <w:t> </w:t>
      </w:r>
      <w:r>
        <w:rPr>
          <w:spacing w:val="-57"/>
        </w:rPr>
      </w:r>
      <w:r>
        <w:rPr/>
        <w:t>产的持有意图和持有能力。</w:t>
      </w:r>
    </w:p>
    <w:p>
      <w:pPr>
        <w:pStyle w:val="BodyText"/>
        <w:spacing w:line="369" w:lineRule="auto" w:before="41"/>
        <w:ind w:left="557" w:right="137" w:firstLine="110"/>
        <w:jc w:val="left"/>
      </w:pPr>
      <w:r>
        <w:rPr>
          <w:rFonts w:ascii="Arial" w:hAnsi="Arial" w:cs="Arial" w:eastAsia="Arial" w:hint="default"/>
        </w:rPr>
        <w:t>(1)</w:t>
      </w:r>
      <w:r>
        <w:rPr>
          <w:rFonts w:ascii="Arial" w:hAnsi="Arial" w:cs="Arial" w:eastAsia="Arial" w:hint="default"/>
          <w:spacing w:val="46"/>
        </w:rPr>
        <w:t> </w:t>
      </w:r>
      <w:r>
        <w:rPr/>
        <w:t>以公允价值计量且其变动计入当期损益的金融资产</w:t>
      </w:r>
      <w:r>
        <w:rPr>
          <w:w w:val="100"/>
        </w:rPr>
        <w:t> </w:t>
      </w:r>
      <w:r>
        <w:rPr/>
        <w:t>以公允价值计量且其变动计入当期损益的金融资产包括持有目的为短期内出售的金融</w:t>
      </w:r>
    </w:p>
    <w:p>
      <w:pPr>
        <w:pStyle w:val="BodyText"/>
        <w:spacing w:line="240" w:lineRule="auto" w:before="61"/>
        <w:ind w:right="137"/>
        <w:jc w:val="left"/>
      </w:pPr>
      <w:r>
        <w:rPr/>
        <w:t>资产，该资产在资产负债表中以交易性金融资产列示。</w:t>
      </w:r>
    </w:p>
    <w:p>
      <w:pPr>
        <w:pStyle w:val="BodyText"/>
        <w:spacing w:line="369" w:lineRule="auto" w:before="180"/>
        <w:ind w:left="557" w:right="137" w:firstLine="110"/>
        <w:jc w:val="left"/>
      </w:pPr>
      <w:r>
        <w:rPr>
          <w:rFonts w:ascii="Arial" w:hAnsi="Arial" w:cs="Arial" w:eastAsia="Arial" w:hint="default"/>
        </w:rPr>
        <w:t>(2)</w:t>
      </w:r>
      <w:r>
        <w:rPr>
          <w:rFonts w:ascii="Arial" w:hAnsi="Arial" w:cs="Arial" w:eastAsia="Arial" w:hint="default"/>
          <w:spacing w:val="47"/>
        </w:rPr>
        <w:t> </w:t>
      </w:r>
      <w:r>
        <w:rPr/>
        <w:t>应收款项</w:t>
      </w:r>
      <w:r>
        <w:rPr>
          <w:w w:val="100"/>
        </w:rPr>
        <w:t> </w:t>
      </w:r>
      <w:r>
        <w:rPr/>
        <w:t>应收款项是指在活跃市场中没有报价、回收金额固定或可确定的非衍生金融资产，包</w:t>
      </w:r>
    </w:p>
    <w:p>
      <w:pPr>
        <w:spacing w:after="0" w:line="369" w:lineRule="auto"/>
        <w:jc w:val="left"/>
        <w:sectPr>
          <w:pgSz w:w="11900" w:h="16840"/>
          <w:pgMar w:header="877" w:footer="983" w:top="1100" w:bottom="1180" w:left="1660" w:right="1320"/>
        </w:sectPr>
      </w:pPr>
    </w:p>
    <w:p>
      <w:pPr>
        <w:spacing w:line="240" w:lineRule="auto" w:before="4"/>
        <w:rPr>
          <w:rFonts w:ascii="宋体" w:hAnsi="宋体" w:cs="宋体" w:eastAsia="宋体" w:hint="default"/>
          <w:sz w:val="26"/>
          <w:szCs w:val="26"/>
        </w:rPr>
      </w:pPr>
    </w:p>
    <w:p>
      <w:pPr>
        <w:pStyle w:val="BodyText"/>
        <w:spacing w:line="240" w:lineRule="auto"/>
        <w:ind w:right="137"/>
        <w:jc w:val="left"/>
      </w:pPr>
      <w:r>
        <w:rPr/>
        <w:t>括应收账款、其他应收款和长期应收款等。</w:t>
      </w:r>
    </w:p>
    <w:p>
      <w:pPr>
        <w:pStyle w:val="BodyText"/>
        <w:spacing w:line="369" w:lineRule="auto" w:before="180"/>
        <w:ind w:left="557" w:right="137"/>
        <w:jc w:val="left"/>
      </w:pPr>
      <w:r>
        <w:rPr>
          <w:rFonts w:ascii="Arial" w:hAnsi="Arial" w:cs="Arial" w:eastAsia="Arial" w:hint="default"/>
        </w:rPr>
        <w:t>(3)</w:t>
      </w:r>
      <w:r>
        <w:rPr>
          <w:rFonts w:ascii="Arial" w:hAnsi="Arial" w:cs="Arial" w:eastAsia="Arial" w:hint="default"/>
          <w:spacing w:val="50"/>
        </w:rPr>
        <w:t> </w:t>
      </w:r>
      <w:r>
        <w:rPr/>
        <w:t>可供出售金融资产</w:t>
      </w:r>
      <w:r>
        <w:rPr>
          <w:w w:val="100"/>
        </w:rPr>
        <w:t> </w:t>
      </w:r>
      <w:r>
        <w:rPr/>
        <w:t>可供出售金融资产包括初始确认时即被指定为可供出售的非衍生金融资产及未被划分</w:t>
      </w:r>
    </w:p>
    <w:p>
      <w:pPr>
        <w:pStyle w:val="BodyText"/>
        <w:spacing w:line="369" w:lineRule="auto" w:before="61"/>
        <w:ind w:right="137"/>
        <w:jc w:val="left"/>
      </w:pPr>
      <w:r>
        <w:rPr/>
        <w:t>为其他类的金融资产。自资产负债表日起</w:t>
      </w:r>
      <w:r>
        <w:rPr>
          <w:rFonts w:ascii="Arial" w:hAnsi="Arial" w:cs="Arial" w:eastAsia="Arial" w:hint="default"/>
        </w:rPr>
        <w:t>12</w:t>
      </w:r>
      <w:r>
        <w:rPr/>
        <w:t>个月内将出售的可供出售金融资产在资产负债</w:t>
      </w:r>
      <w:r>
        <w:rPr>
          <w:spacing w:val="-80"/>
        </w:rPr>
        <w:t> </w:t>
      </w:r>
      <w:r>
        <w:rPr>
          <w:spacing w:val="-80"/>
        </w:rPr>
      </w:r>
      <w:r>
        <w:rPr/>
        <w:t>表中列示为一年内到期的非流动资产。</w:t>
      </w:r>
    </w:p>
    <w:p>
      <w:pPr>
        <w:pStyle w:val="BodyText"/>
        <w:spacing w:line="369" w:lineRule="auto" w:before="61"/>
        <w:ind w:left="557" w:right="137"/>
        <w:jc w:val="left"/>
      </w:pPr>
      <w:r>
        <w:rPr>
          <w:rFonts w:ascii="Arial" w:hAnsi="Arial" w:cs="Arial" w:eastAsia="Arial" w:hint="default"/>
        </w:rPr>
        <w:t>(4)</w:t>
      </w:r>
      <w:r>
        <w:rPr>
          <w:rFonts w:ascii="Arial" w:hAnsi="Arial" w:cs="Arial" w:eastAsia="Arial" w:hint="default"/>
          <w:spacing w:val="50"/>
        </w:rPr>
        <w:t> </w:t>
      </w:r>
      <w:r>
        <w:rPr/>
        <w:t>持有至到期投资</w:t>
      </w:r>
      <w:r>
        <w:rPr>
          <w:w w:val="100"/>
        </w:rPr>
        <w:t> </w:t>
      </w:r>
      <w:r>
        <w:rPr/>
        <w:t>持有至到期投资是指到期日固定、回收金额固定或可确定，且管理层有明确意图和能</w:t>
      </w:r>
    </w:p>
    <w:p>
      <w:pPr>
        <w:pStyle w:val="BodyText"/>
        <w:spacing w:line="369" w:lineRule="auto" w:before="61"/>
        <w:ind w:right="137"/>
        <w:jc w:val="left"/>
      </w:pPr>
      <w:r>
        <w:rPr/>
        <w:t>力持有至到期的非衍生金融资产。自资产负债表日起</w:t>
      </w:r>
      <w:r>
        <w:rPr>
          <w:rFonts w:ascii="Arial" w:hAnsi="Arial" w:cs="Arial" w:eastAsia="Arial" w:hint="default"/>
        </w:rPr>
        <w:t>12</w:t>
      </w:r>
      <w:r>
        <w:rPr/>
        <w:t>个月内到期的持有至到期投资在资</w:t>
      </w:r>
      <w:r>
        <w:rPr>
          <w:spacing w:val="-81"/>
        </w:rPr>
        <w:t> </w:t>
      </w:r>
      <w:r>
        <w:rPr>
          <w:spacing w:val="-81"/>
        </w:rPr>
      </w:r>
      <w:r>
        <w:rPr/>
        <w:t>产负债表中列示为一年内到期的非流动资产。</w:t>
      </w:r>
    </w:p>
    <w:p>
      <w:pPr>
        <w:pStyle w:val="BodyText"/>
        <w:spacing w:line="369" w:lineRule="auto" w:before="61"/>
        <w:ind w:left="557" w:right="137" w:hanging="420"/>
        <w:jc w:val="left"/>
      </w:pPr>
      <w:r>
        <w:rPr>
          <w:rFonts w:ascii="Arial" w:hAnsi="Arial" w:cs="Arial" w:eastAsia="Arial" w:hint="default"/>
        </w:rPr>
        <w:t>3.7.3</w:t>
      </w:r>
      <w:r>
        <w:rPr/>
        <w:t>金融资产的计量</w:t>
      </w:r>
      <w:r>
        <w:rPr>
          <w:w w:val="100"/>
        </w:rPr>
        <w:t> </w:t>
      </w:r>
      <w:r>
        <w:rPr/>
        <w:t>金融资产于本公司成为金融工具合同的一方时，按公允价值在资产负债表内确认。以</w:t>
      </w:r>
    </w:p>
    <w:p>
      <w:pPr>
        <w:pStyle w:val="BodyText"/>
        <w:spacing w:line="391" w:lineRule="auto" w:before="61"/>
        <w:ind w:right="137"/>
        <w:jc w:val="left"/>
      </w:pPr>
      <w:r>
        <w:rPr/>
        <w:t>公允价值计量且其变动计入当期损益的金融资产，取得时发生的相关交易费用直接计入当</w:t>
      </w:r>
      <w:r>
        <w:rPr>
          <w:spacing w:val="-57"/>
        </w:rPr>
        <w:t> </w:t>
      </w:r>
      <w:r>
        <w:rPr>
          <w:spacing w:val="-57"/>
        </w:rPr>
      </w:r>
      <w:r>
        <w:rPr/>
        <w:t>期损益。其他金融资产的相关交易费用计入初始确认金额。</w:t>
      </w:r>
    </w:p>
    <w:p>
      <w:pPr>
        <w:pStyle w:val="BodyText"/>
        <w:spacing w:line="391" w:lineRule="auto" w:before="41"/>
        <w:ind w:right="135" w:firstLine="420"/>
        <w:jc w:val="both"/>
      </w:pPr>
      <w:r>
        <w:rPr/>
        <w:t>以公允价值计量且其变动计入当期损益的金融资产和可供出售金融资产按照公允价值</w:t>
      </w:r>
      <w:r>
        <w:rPr>
          <w:w w:val="100"/>
        </w:rPr>
        <w:t> </w:t>
      </w:r>
      <w:r>
        <w:rPr/>
        <w:t>进行后续计量，但在活跃市场中没有报价且其公允价值不能可靠计量的权益工具投资，按</w:t>
      </w:r>
      <w:r>
        <w:rPr>
          <w:spacing w:val="-57"/>
        </w:rPr>
        <w:t> </w:t>
      </w:r>
      <w:r>
        <w:rPr>
          <w:spacing w:val="-57"/>
        </w:rPr>
      </w:r>
      <w:r>
        <w:rPr/>
        <w:t>照成本计量；应收款项以及持有至到期投资采用实际利率法，以摊余成本计量。</w:t>
      </w:r>
    </w:p>
    <w:p>
      <w:pPr>
        <w:pStyle w:val="BodyText"/>
        <w:spacing w:line="391" w:lineRule="auto" w:before="41"/>
        <w:ind w:right="135" w:firstLine="420"/>
        <w:jc w:val="both"/>
      </w:pPr>
      <w:r>
        <w:rPr/>
        <w:t>以公允价值计量且其变动计入当期损益的金融资产的公允价值变动计入公允价值变动</w:t>
      </w:r>
      <w:r>
        <w:rPr>
          <w:w w:val="100"/>
        </w:rPr>
        <w:t> </w:t>
      </w:r>
      <w:r>
        <w:rPr/>
        <w:t>损益；在资产持有期间所取得的利息或现金股利以及在处置时产生的处置损益，计入当期</w:t>
      </w:r>
      <w:r>
        <w:rPr>
          <w:spacing w:val="-57"/>
        </w:rPr>
        <w:t> </w:t>
      </w:r>
      <w:r>
        <w:rPr>
          <w:spacing w:val="-57"/>
        </w:rPr>
      </w:r>
      <w:r>
        <w:rPr/>
        <w:t>损益。</w:t>
      </w:r>
    </w:p>
    <w:p>
      <w:pPr>
        <w:pStyle w:val="BodyText"/>
        <w:spacing w:line="391" w:lineRule="auto" w:before="41"/>
        <w:ind w:right="137" w:firstLine="420"/>
        <w:jc w:val="left"/>
      </w:pPr>
      <w:r>
        <w:rPr/>
        <w:t>除减值损失及外币货币性金融资产形成的汇兑损益外，可供出售金融资产公允价值变</w:t>
      </w:r>
      <w:r>
        <w:rPr>
          <w:w w:val="100"/>
        </w:rPr>
        <w:t> </w:t>
      </w:r>
      <w:r>
        <w:rPr/>
        <w:t>动计入股东权益，待该金融资产终止确认时，原直接计入权益的公允价值变动累计额转入</w:t>
      </w:r>
      <w:r>
        <w:rPr>
          <w:spacing w:val="-57"/>
        </w:rPr>
        <w:t> </w:t>
      </w:r>
      <w:r>
        <w:rPr>
          <w:spacing w:val="-57"/>
        </w:rPr>
      </w:r>
      <w:r>
        <w:rPr/>
        <w:t>当期损益。可供出售债务工具投资在持有期间按实际利率法计算利息，计入投资收益；可</w:t>
      </w:r>
      <w:r>
        <w:rPr>
          <w:spacing w:val="-57"/>
        </w:rPr>
        <w:t> </w:t>
      </w:r>
      <w:r>
        <w:rPr>
          <w:spacing w:val="-57"/>
        </w:rPr>
      </w:r>
      <w:r>
        <w:rPr/>
        <w:t>供出售权益工具投资的现金股利，于被投资单位宣告发放股利时计入投资收益。</w:t>
      </w:r>
      <w:r>
        <w:rPr>
          <w:w w:val="100"/>
        </w:rPr>
        <w:t> </w:t>
      </w:r>
      <w:r>
        <w:rPr>
          <w:rFonts w:ascii="Arial" w:hAnsi="Arial" w:cs="Arial" w:eastAsia="Arial" w:hint="default"/>
        </w:rPr>
        <w:t>3.7.4</w:t>
      </w:r>
      <w:r>
        <w:rPr/>
        <w:t>金融负债的分类</w:t>
      </w:r>
    </w:p>
    <w:p>
      <w:pPr>
        <w:pStyle w:val="BodyText"/>
        <w:spacing w:line="391" w:lineRule="auto" w:before="9"/>
        <w:ind w:right="137" w:firstLine="420"/>
        <w:jc w:val="left"/>
      </w:pPr>
      <w:r>
        <w:rPr/>
        <w:t>金融负债于初始确认时分类为：以公允价值计量且其变动计入当期损益的金融负债和</w:t>
      </w:r>
      <w:r>
        <w:rPr>
          <w:w w:val="100"/>
        </w:rPr>
        <w:t> </w:t>
      </w:r>
      <w:r>
        <w:rPr/>
        <w:t>其他金融负债。以公允价值计量且其变动计入当期损益的金融负债，包括交易性金融负债</w:t>
      </w:r>
      <w:r>
        <w:rPr>
          <w:spacing w:val="-57"/>
        </w:rPr>
        <w:t> </w:t>
      </w:r>
      <w:r>
        <w:rPr>
          <w:spacing w:val="-57"/>
        </w:rPr>
      </w:r>
      <w:r>
        <w:rPr/>
        <w:t>和初始确认时指定为以公允价值计量且其变动计入当期损益的金融负债。</w:t>
      </w:r>
      <w:r>
        <w:rPr>
          <w:w w:val="100"/>
        </w:rPr>
        <w:t> </w:t>
      </w:r>
      <w:r>
        <w:rPr>
          <w:rFonts w:ascii="Arial" w:hAnsi="Arial" w:cs="Arial" w:eastAsia="Arial" w:hint="default"/>
        </w:rPr>
        <w:t>3.7.5</w:t>
      </w:r>
      <w:r>
        <w:rPr/>
        <w:t>金融负债的计量</w:t>
      </w:r>
    </w:p>
    <w:p>
      <w:pPr>
        <w:pStyle w:val="BodyText"/>
        <w:spacing w:line="391" w:lineRule="auto" w:before="9"/>
        <w:ind w:right="137" w:firstLine="420"/>
        <w:jc w:val="left"/>
      </w:pPr>
      <w:r>
        <w:rPr/>
        <w:t>金融负债于本公司成为金融工具合同的一方时，按公允价值在资产负债表内确认。以</w:t>
      </w:r>
      <w:r>
        <w:rPr>
          <w:w w:val="100"/>
        </w:rPr>
        <w:t> </w:t>
      </w:r>
      <w:r>
        <w:rPr/>
        <w:t>公允价值计量且其变动计入当期损益的金融负债，取得时发生的相关交易费用直接计入当</w:t>
      </w:r>
    </w:p>
    <w:p>
      <w:pPr>
        <w:spacing w:after="0" w:line="391" w:lineRule="auto"/>
        <w:jc w:val="left"/>
        <w:sectPr>
          <w:footerReference w:type="default" r:id="rId56"/>
          <w:pgSz w:w="11900" w:h="16840"/>
          <w:pgMar w:footer="983" w:header="877" w:top="1100" w:bottom="1180" w:left="1660" w:right="1320"/>
          <w:pgNumType w:start="87"/>
        </w:sectPr>
      </w:pPr>
    </w:p>
    <w:p>
      <w:pPr>
        <w:spacing w:line="240" w:lineRule="auto" w:before="4"/>
        <w:rPr>
          <w:rFonts w:ascii="宋体" w:hAnsi="宋体" w:cs="宋体" w:eastAsia="宋体" w:hint="default"/>
          <w:sz w:val="26"/>
          <w:szCs w:val="26"/>
        </w:rPr>
      </w:pPr>
    </w:p>
    <w:p>
      <w:pPr>
        <w:pStyle w:val="BodyText"/>
        <w:spacing w:line="391" w:lineRule="auto"/>
        <w:ind w:left="877" w:right="0" w:hanging="420"/>
        <w:jc w:val="left"/>
      </w:pPr>
      <w:r>
        <w:rPr/>
        <w:t>期损益；其他金融负债的相关交易费用计入初始确认金额。</w:t>
      </w:r>
      <w:r>
        <w:rPr>
          <w:w w:val="100"/>
        </w:rPr>
        <w:t> </w:t>
      </w:r>
      <w:r>
        <w:rPr/>
        <w:t>以公允价值计量且其变动计入当期损益的金融负债，按照公允价值后续计量，且不扣</w:t>
      </w:r>
    </w:p>
    <w:p>
      <w:pPr>
        <w:pStyle w:val="BodyText"/>
        <w:spacing w:line="391" w:lineRule="auto" w:before="41"/>
        <w:ind w:left="877" w:right="0" w:hanging="420"/>
        <w:jc w:val="left"/>
      </w:pPr>
      <w:r>
        <w:rPr/>
        <w:t>除将来结清金融负债时可能发生的交易费用。</w:t>
      </w:r>
      <w:r>
        <w:rPr>
          <w:w w:val="100"/>
        </w:rPr>
        <w:t> </w:t>
      </w:r>
      <w:r>
        <w:rPr>
          <w:spacing w:val="-1"/>
        </w:rPr>
        <w:t>其他金融负债，采用实际利率法，按照摊余成本进行后续计量。</w:t>
      </w:r>
    </w:p>
    <w:p>
      <w:pPr>
        <w:pStyle w:val="BodyText"/>
        <w:spacing w:line="369" w:lineRule="auto" w:before="41"/>
        <w:ind w:left="877" w:right="0" w:hanging="420"/>
        <w:jc w:val="left"/>
      </w:pPr>
      <w:r>
        <w:rPr>
          <w:rFonts w:ascii="Arial" w:hAnsi="Arial" w:cs="Arial" w:eastAsia="Arial" w:hint="default"/>
        </w:rPr>
        <w:t>3.7.6</w:t>
      </w:r>
      <w:r>
        <w:rPr/>
        <w:t>金融工具的公允价值</w:t>
      </w:r>
      <w:r>
        <w:rPr>
          <w:w w:val="100"/>
        </w:rPr>
        <w:t> </w:t>
      </w:r>
      <w:r>
        <w:rPr/>
        <w:t>存在活跃市场的金融资产或金融负债，采用活跃市场中的报价确定其公允价值。金融</w:t>
      </w:r>
    </w:p>
    <w:p>
      <w:pPr>
        <w:pStyle w:val="BodyText"/>
        <w:spacing w:line="391" w:lineRule="auto" w:before="61"/>
        <w:ind w:left="457" w:right="455"/>
        <w:jc w:val="both"/>
      </w:pPr>
      <w:r>
        <w:rPr/>
        <w:t>工具不存在活跃市场的，采用估值技术确定其公允价值，估值技术包括参考熟悉情况并自</w:t>
      </w:r>
      <w:r>
        <w:rPr>
          <w:spacing w:val="-57"/>
        </w:rPr>
        <w:t> </w:t>
      </w:r>
      <w:r>
        <w:rPr>
          <w:spacing w:val="-57"/>
        </w:rPr>
      </w:r>
      <w:r>
        <w:rPr/>
        <w:t>愿交易的各方最近进行的市场交易中使用的价格、参照实质上相同的其他金融工具的当前</w:t>
      </w:r>
      <w:r>
        <w:rPr>
          <w:spacing w:val="-57"/>
        </w:rPr>
        <w:t> </w:t>
      </w:r>
      <w:r>
        <w:rPr>
          <w:spacing w:val="-57"/>
        </w:rPr>
      </w:r>
      <w:r>
        <w:rPr/>
        <w:t>公允价值、现金流量折现法和期权定价模型等。</w:t>
      </w:r>
    </w:p>
    <w:p>
      <w:pPr>
        <w:pStyle w:val="BodyText"/>
        <w:spacing w:line="369" w:lineRule="auto" w:before="41"/>
        <w:ind w:left="877" w:right="0" w:hanging="420"/>
        <w:jc w:val="left"/>
      </w:pPr>
      <w:r>
        <w:rPr>
          <w:rFonts w:ascii="Arial" w:hAnsi="Arial" w:cs="Arial" w:eastAsia="Arial" w:hint="default"/>
        </w:rPr>
        <w:t>3.7.7</w:t>
      </w:r>
      <w:r>
        <w:rPr/>
        <w:t>金融资产减值</w:t>
      </w:r>
      <w:r>
        <w:rPr>
          <w:w w:val="100"/>
        </w:rPr>
        <w:t> </w:t>
      </w:r>
      <w:r>
        <w:rPr/>
        <w:t>除以公允价值计量且其变动计入当期损益的金融资产外，本公司于资产负债表日对金</w:t>
      </w:r>
    </w:p>
    <w:p>
      <w:pPr>
        <w:pStyle w:val="BodyText"/>
        <w:spacing w:line="391" w:lineRule="auto" w:before="61"/>
        <w:ind w:left="457" w:right="455"/>
        <w:jc w:val="both"/>
      </w:pPr>
      <w:r>
        <w:rPr/>
        <w:t>融资产的账面价值进行检查，如果有客观证据表明某项金融资产发生减值的，计提减值准</w:t>
      </w:r>
      <w:r>
        <w:rPr>
          <w:spacing w:val="-57"/>
        </w:rPr>
        <w:t> </w:t>
      </w:r>
      <w:r>
        <w:rPr>
          <w:spacing w:val="-57"/>
        </w:rPr>
      </w:r>
      <w:r>
        <w:rPr/>
        <w:t>备。</w:t>
      </w:r>
    </w:p>
    <w:p>
      <w:pPr>
        <w:pStyle w:val="BodyText"/>
        <w:spacing w:line="376" w:lineRule="auto" w:before="41"/>
        <w:ind w:left="457" w:right="455" w:firstLine="420"/>
        <w:jc w:val="both"/>
      </w:pPr>
      <w:r>
        <w:rPr>
          <w:spacing w:val="-1"/>
        </w:rPr>
        <w:t>以摊余成本计量的金融资产发生减值时，按预计未来现金流量</w:t>
      </w:r>
      <w:r>
        <w:rPr>
          <w:rFonts w:ascii="Arial" w:hAnsi="Arial" w:cs="Arial" w:eastAsia="Arial" w:hint="default"/>
          <w:spacing w:val="-1"/>
        </w:rPr>
        <w:t>(</w:t>
      </w:r>
      <w:r>
        <w:rPr>
          <w:spacing w:val="-1"/>
        </w:rPr>
        <w:t>不包括尚未发生的未来</w:t>
      </w:r>
      <w:r>
        <w:rPr>
          <w:w w:val="100"/>
        </w:rPr>
        <w:t> </w:t>
      </w:r>
      <w:r>
        <w:rPr>
          <w:spacing w:val="-2"/>
        </w:rPr>
        <w:t>信用损失</w:t>
      </w:r>
      <w:r>
        <w:rPr>
          <w:rFonts w:ascii="Arial" w:hAnsi="Arial" w:cs="Arial" w:eastAsia="Arial" w:hint="default"/>
          <w:spacing w:val="-2"/>
        </w:rPr>
        <w:t>)</w:t>
      </w:r>
      <w:r>
        <w:rPr>
          <w:spacing w:val="-2"/>
        </w:rPr>
        <w:t>现值低于账面价值的差额，计提减值准备。如果有客观证据表明该金融资产价值</w:t>
      </w:r>
      <w:r>
        <w:rPr>
          <w:spacing w:val="-53"/>
        </w:rPr>
        <w:t> </w:t>
      </w:r>
      <w:r>
        <w:rPr>
          <w:spacing w:val="-53"/>
        </w:rPr>
      </w:r>
      <w:r>
        <w:rPr/>
        <w:t>已恢复，且客观上与确认该损失后发生的事项有关，原确认的减值损失予以转回，计入当</w:t>
      </w:r>
      <w:r>
        <w:rPr>
          <w:spacing w:val="-57"/>
        </w:rPr>
        <w:t> </w:t>
      </w:r>
      <w:r>
        <w:rPr>
          <w:spacing w:val="-57"/>
        </w:rPr>
      </w:r>
      <w:r>
        <w:rPr/>
        <w:t>期损益。</w:t>
      </w:r>
    </w:p>
    <w:p>
      <w:pPr>
        <w:pStyle w:val="BodyText"/>
        <w:spacing w:line="391" w:lineRule="auto" w:before="54"/>
        <w:ind w:left="457" w:right="455" w:firstLine="420"/>
        <w:jc w:val="both"/>
      </w:pPr>
      <w:r>
        <w:rPr/>
        <w:t>当可供出售金融资产的公允价值发生较大幅度或非暂时性下降，原直接计入股东权益</w:t>
      </w:r>
      <w:r>
        <w:rPr>
          <w:w w:val="100"/>
        </w:rPr>
        <w:t> </w:t>
      </w:r>
      <w:r>
        <w:rPr/>
        <w:t>的因公允价值下降形成的累计损失计入减值损失。对已确认减值损失的可供出售债务工具</w:t>
      </w:r>
      <w:r>
        <w:rPr>
          <w:spacing w:val="-57"/>
        </w:rPr>
        <w:t> </w:t>
      </w:r>
      <w:r>
        <w:rPr>
          <w:spacing w:val="-57"/>
        </w:rPr>
      </w:r>
      <w:r>
        <w:rPr/>
        <w:t>投资，在期后公允价值上升且客观上与确认原减值损失确认后发生的事项有关的，原确认</w:t>
      </w:r>
      <w:r>
        <w:rPr>
          <w:spacing w:val="-57"/>
        </w:rPr>
        <w:t> </w:t>
      </w:r>
      <w:r>
        <w:rPr>
          <w:spacing w:val="-57"/>
        </w:rPr>
      </w:r>
      <w:r>
        <w:rPr/>
        <w:t>的减值损失予以转回，计入当期损益。对已确认减值损失的可供出售权益工具投资，在期</w:t>
      </w:r>
      <w:r>
        <w:rPr>
          <w:spacing w:val="-57"/>
        </w:rPr>
        <w:t> </w:t>
      </w:r>
      <w:r>
        <w:rPr>
          <w:spacing w:val="-57"/>
        </w:rPr>
      </w:r>
      <w:r>
        <w:rPr/>
        <w:t>后公允价值上升且客观上与确认原减值损失后发生的事项有关的，原确认的减值损失予以</w:t>
      </w:r>
      <w:r>
        <w:rPr>
          <w:spacing w:val="-57"/>
        </w:rPr>
        <w:t> </w:t>
      </w:r>
      <w:r>
        <w:rPr>
          <w:spacing w:val="-57"/>
        </w:rPr>
      </w:r>
      <w:r>
        <w:rPr/>
        <w:t>转回，直接计入股东权益。在活跃市场中没有报价且其公允价值不能可靠计量的权益工具</w:t>
      </w:r>
      <w:r>
        <w:rPr>
          <w:spacing w:val="-57"/>
        </w:rPr>
        <w:t> </w:t>
      </w:r>
      <w:r>
        <w:rPr>
          <w:spacing w:val="-57"/>
        </w:rPr>
      </w:r>
      <w:r>
        <w:rPr/>
        <w:t>投资发生的减值损失，如果在以后期间价值得以恢复，也不予转回。</w:t>
      </w:r>
    </w:p>
    <w:p>
      <w:pPr>
        <w:pStyle w:val="BodyText"/>
        <w:spacing w:line="240" w:lineRule="auto" w:before="41"/>
        <w:ind w:left="457" w:right="0"/>
        <w:jc w:val="left"/>
      </w:pPr>
      <w:r>
        <w:rPr>
          <w:rFonts w:ascii="Arial" w:hAnsi="Arial" w:cs="Arial" w:eastAsia="Arial" w:hint="default"/>
        </w:rPr>
        <w:t>3.8</w:t>
      </w:r>
      <w:r>
        <w:rPr/>
        <w:t>应收款项</w:t>
      </w:r>
    </w:p>
    <w:p>
      <w:pPr>
        <w:pStyle w:val="BodyText"/>
        <w:spacing w:line="240" w:lineRule="auto" w:before="164"/>
        <w:ind w:left="457" w:right="0"/>
        <w:jc w:val="left"/>
      </w:pPr>
      <w:r>
        <w:rPr>
          <w:rFonts w:ascii="Arial" w:hAnsi="Arial" w:cs="Arial" w:eastAsia="Arial" w:hint="default"/>
        </w:rPr>
        <w:t>3.8.1</w:t>
      </w:r>
      <w:r>
        <w:rPr>
          <w:rFonts w:ascii="Arial" w:hAnsi="Arial" w:cs="Arial" w:eastAsia="Arial" w:hint="default"/>
          <w:spacing w:val="40"/>
        </w:rPr>
        <w:t> </w:t>
      </w:r>
      <w:r>
        <w:rPr/>
        <w:t>单项金额重大并单项计提坏账准备的应收款项</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2088"/>
        <w:gridCol w:w="7200"/>
      </w:tblGrid>
      <w:tr>
        <w:trPr>
          <w:trHeight w:val="785" w:hRule="exact"/>
        </w:trPr>
        <w:tc>
          <w:tcPr>
            <w:tcW w:w="2088" w:type="dxa"/>
            <w:tcBorders>
              <w:top w:val="single" w:sz="12" w:space="0" w:color="000000"/>
              <w:left w:val="single" w:sz="12" w:space="0" w:color="000000"/>
              <w:bottom w:val="single" w:sz="12" w:space="0" w:color="000000"/>
              <w:right w:val="single" w:sz="12" w:space="0" w:color="000000"/>
            </w:tcBorders>
          </w:tcPr>
          <w:p>
            <w:pPr>
              <w:pStyle w:val="TableParagraph"/>
              <w:spacing w:line="307" w:lineRule="auto" w:before="46"/>
              <w:ind w:left="93" w:right="70"/>
              <w:jc w:val="left"/>
              <w:rPr>
                <w:rFonts w:ascii="宋体" w:hAnsi="宋体" w:cs="宋体" w:eastAsia="宋体" w:hint="default"/>
                <w:sz w:val="18"/>
                <w:szCs w:val="18"/>
              </w:rPr>
            </w:pPr>
            <w:r>
              <w:rPr>
                <w:rFonts w:ascii="宋体" w:hAnsi="宋体" w:cs="宋体" w:eastAsia="宋体" w:hint="default"/>
                <w:spacing w:val="9"/>
                <w:sz w:val="18"/>
                <w:szCs w:val="18"/>
              </w:rPr>
              <w:t>单项金额重大的判断依</w:t>
            </w:r>
            <w:r>
              <w:rPr>
                <w:rFonts w:ascii="宋体" w:hAnsi="宋体" w:cs="宋体" w:eastAsia="宋体" w:hint="default"/>
                <w:w w:val="99"/>
                <w:sz w:val="18"/>
                <w:szCs w:val="18"/>
              </w:rPr>
              <w:t> </w:t>
            </w:r>
            <w:r>
              <w:rPr>
                <w:rFonts w:ascii="宋体" w:hAnsi="宋体" w:cs="宋体" w:eastAsia="宋体" w:hint="default"/>
                <w:sz w:val="18"/>
                <w:szCs w:val="18"/>
              </w:rPr>
              <w:t>据或金额标准</w:t>
            </w:r>
          </w:p>
        </w:tc>
        <w:tc>
          <w:tcPr>
            <w:tcW w:w="72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单项金额重大的判断依据为单项金额</w:t>
            </w:r>
            <w:r>
              <w:rPr>
                <w:rFonts w:ascii="宋体" w:hAnsi="宋体" w:cs="宋体" w:eastAsia="宋体" w:hint="default"/>
                <w:spacing w:val="-47"/>
                <w:sz w:val="18"/>
                <w:szCs w:val="18"/>
              </w:rPr>
              <w:t> </w:t>
            </w:r>
            <w:r>
              <w:rPr>
                <w:rFonts w:ascii="宋体" w:hAnsi="宋体" w:cs="宋体" w:eastAsia="宋体" w:hint="default"/>
                <w:sz w:val="18"/>
                <w:szCs w:val="18"/>
              </w:rPr>
              <w:t>70</w:t>
            </w:r>
            <w:r>
              <w:rPr>
                <w:rFonts w:ascii="宋体" w:hAnsi="宋体" w:cs="宋体" w:eastAsia="宋体" w:hint="default"/>
                <w:spacing w:val="-46"/>
                <w:sz w:val="18"/>
                <w:szCs w:val="18"/>
              </w:rPr>
              <w:t> </w:t>
            </w:r>
            <w:r>
              <w:rPr>
                <w:rFonts w:ascii="宋体" w:hAnsi="宋体" w:cs="宋体" w:eastAsia="宋体" w:hint="default"/>
                <w:sz w:val="18"/>
                <w:szCs w:val="18"/>
              </w:rPr>
              <w:t>万元(含</w:t>
            </w:r>
            <w:r>
              <w:rPr>
                <w:rFonts w:ascii="宋体" w:hAnsi="宋体" w:cs="宋体" w:eastAsia="宋体" w:hint="default"/>
                <w:spacing w:val="-49"/>
                <w:sz w:val="18"/>
                <w:szCs w:val="18"/>
              </w:rPr>
              <w:t> </w:t>
            </w:r>
            <w:r>
              <w:rPr>
                <w:rFonts w:ascii="宋体" w:hAnsi="宋体" w:cs="宋体" w:eastAsia="宋体" w:hint="default"/>
                <w:sz w:val="18"/>
                <w:szCs w:val="18"/>
              </w:rPr>
              <w:t>70</w:t>
            </w:r>
            <w:r>
              <w:rPr>
                <w:rFonts w:ascii="宋体" w:hAnsi="宋体" w:cs="宋体" w:eastAsia="宋体" w:hint="default"/>
                <w:spacing w:val="-46"/>
                <w:sz w:val="18"/>
                <w:szCs w:val="18"/>
              </w:rPr>
              <w:t> </w:t>
            </w:r>
            <w:r>
              <w:rPr>
                <w:rFonts w:ascii="宋体" w:hAnsi="宋体" w:cs="宋体" w:eastAsia="宋体" w:hint="default"/>
                <w:sz w:val="18"/>
                <w:szCs w:val="18"/>
              </w:rPr>
              <w:t>万元)以上。</w:t>
            </w:r>
          </w:p>
        </w:tc>
      </w:tr>
      <w:tr>
        <w:trPr>
          <w:trHeight w:val="334" w:hRule="exact"/>
        </w:trPr>
        <w:tc>
          <w:tcPr>
            <w:tcW w:w="2088"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spacing w:val="9"/>
                <w:sz w:val="18"/>
                <w:szCs w:val="18"/>
              </w:rPr>
              <w:t>单项金额重大并单项计</w:t>
            </w:r>
          </w:p>
        </w:tc>
        <w:tc>
          <w:tcPr>
            <w:tcW w:w="7200"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sz w:val="18"/>
                <w:szCs w:val="18"/>
              </w:rPr>
              <w:t>对于单项金额重大的应收款项，当存在客观证据表明本公司将无法按应收款项的原有条款</w:t>
            </w:r>
          </w:p>
        </w:tc>
      </w:tr>
    </w:tbl>
    <w:p>
      <w:pPr>
        <w:spacing w:after="0" w:line="208" w:lineRule="exact"/>
        <w:jc w:val="left"/>
        <w:rPr>
          <w:rFonts w:ascii="宋体" w:hAnsi="宋体" w:cs="宋体" w:eastAsia="宋体" w:hint="default"/>
          <w:sz w:val="18"/>
          <w:szCs w:val="18"/>
        </w:rPr>
        <w:sectPr>
          <w:pgSz w:w="11900" w:h="16840"/>
          <w:pgMar w:header="877" w:footer="983" w:top="1100" w:bottom="1180" w:left="1340" w:right="1000"/>
        </w:sectPr>
      </w:pPr>
    </w:p>
    <w:p>
      <w:pPr>
        <w:spacing w:line="240" w:lineRule="auto" w:before="6"/>
        <w:rPr>
          <w:rFonts w:ascii="宋体" w:hAnsi="宋体" w:cs="宋体" w:eastAsia="宋体" w:hint="default"/>
          <w:sz w:val="23"/>
          <w:szCs w:val="23"/>
        </w:rPr>
      </w:pPr>
    </w:p>
    <w:p>
      <w:pPr>
        <w:spacing w:line="693" w:lineRule="exact"/>
        <w:ind w:left="119"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465.85pt;height:34.7pt;mso-position-horizontal-relative:char;mso-position-vertical-relative:line" coordorigin="0,0" coordsize="9317,694">
            <v:group style="position:absolute;left:29;top:29;width:2060;height:2" coordorigin="29,29" coordsize="2060,2">
              <v:shape style="position:absolute;left:29;top:29;width:2060;height:2" coordorigin="29,29" coordsize="2060,0" path="m29,29l2088,29e" filled="false" stroked="true" strokeweight="1.44pt" strokecolor="#000000">
                <v:path arrowok="t"/>
              </v:shape>
            </v:group>
            <v:group style="position:absolute;left:2117;top:29;width:7172;height:2" coordorigin="2117,29" coordsize="7172,2">
              <v:shape style="position:absolute;left:2117;top:29;width:7172;height:2" coordorigin="2117,29" coordsize="7172,0" path="m2117,29l9288,29e" filled="false" stroked="true" strokeweight="1.44pt" strokecolor="#000000">
                <v:path arrowok="t"/>
              </v:shape>
            </v:group>
            <v:group style="position:absolute;left:14;top:14;width:2;height:665" coordorigin="14,14" coordsize="2,665">
              <v:shape style="position:absolute;left:14;top:14;width:2;height:665" coordorigin="14,14" coordsize="0,665" path="m14,14l14,679e" filled="false" stroked="true" strokeweight="1.44pt" strokecolor="#000000">
                <v:path arrowok="t"/>
              </v:shape>
            </v:group>
            <v:group style="position:absolute;left:29;top:665;width:2060;height:2" coordorigin="29,665" coordsize="2060,2">
              <v:shape style="position:absolute;left:29;top:665;width:2060;height:2" coordorigin="29,665" coordsize="2060,0" path="m29,665l2088,665e" filled="false" stroked="true" strokeweight="1.44pt" strokecolor="#000000">
                <v:path arrowok="t"/>
              </v:shape>
            </v:group>
            <v:group style="position:absolute;left:2102;top:14;width:2;height:665" coordorigin="2102,14" coordsize="2,665">
              <v:shape style="position:absolute;left:2102;top:14;width:2;height:665" coordorigin="2102,14" coordsize="0,665" path="m2102,14l2102,679e" filled="false" stroked="true" strokeweight="1.44pt" strokecolor="#000000">
                <v:path arrowok="t"/>
              </v:shape>
            </v:group>
            <v:group style="position:absolute;left:2117;top:665;width:7172;height:2" coordorigin="2117,665" coordsize="7172,2">
              <v:shape style="position:absolute;left:2117;top:665;width:7172;height:2" coordorigin="2117,665" coordsize="7172,0" path="m2117,665l9288,665e" filled="false" stroked="true" strokeweight="1.44pt" strokecolor="#000000">
                <v:path arrowok="t"/>
              </v:shape>
            </v:group>
            <v:group style="position:absolute;left:9302;top:14;width:2;height:665" coordorigin="9302,14" coordsize="2,665">
              <v:shape style="position:absolute;left:9302;top:14;width:2;height:665" coordorigin="9302,14" coordsize="0,665" path="m9302,14l9302,679e" filled="false" stroked="true" strokeweight="1.44pt" strokecolor="#000000">
                <v:path arrowok="t"/>
              </v:shape>
              <v:shape style="position:absolute;left:14;top:29;width:2088;height:636" type="#_x0000_t202" filled="false" stroked="false">
                <v:textbox inset="0,0,0,0">
                  <w:txbxContent>
                    <w:p>
                      <w:pPr>
                        <w:spacing w:line="222" w:lineRule="exact" w:before="0"/>
                        <w:ind w:left="107" w:right="0" w:firstLine="0"/>
                        <w:jc w:val="left"/>
                        <w:rPr>
                          <w:rFonts w:ascii="宋体" w:hAnsi="宋体" w:cs="宋体" w:eastAsia="宋体" w:hint="default"/>
                          <w:sz w:val="18"/>
                          <w:szCs w:val="18"/>
                        </w:rPr>
                      </w:pPr>
                      <w:r>
                        <w:rPr>
                          <w:rFonts w:ascii="宋体" w:hAnsi="宋体" w:cs="宋体" w:eastAsia="宋体" w:hint="default"/>
                          <w:sz w:val="18"/>
                          <w:szCs w:val="18"/>
                        </w:rPr>
                        <w:t>提坏账准备的计提方法</w:t>
                      </w:r>
                    </w:p>
                  </w:txbxContent>
                </v:textbox>
                <w10:wrap type="none"/>
              </v:shape>
              <v:shape style="position:absolute;left:2102;top:29;width:7200;height:636" type="#_x0000_t202" filled="false" stroked="false">
                <v:textbox inset="0,0,0,0">
                  <w:txbxContent>
                    <w:p>
                      <w:pPr>
                        <w:spacing w:line="222" w:lineRule="exact" w:before="0"/>
                        <w:ind w:left="107" w:right="0" w:firstLine="0"/>
                        <w:jc w:val="left"/>
                        <w:rPr>
                          <w:rFonts w:ascii="宋体" w:hAnsi="宋体" w:cs="宋体" w:eastAsia="宋体" w:hint="default"/>
                          <w:sz w:val="18"/>
                          <w:szCs w:val="18"/>
                        </w:rPr>
                      </w:pPr>
                      <w:r>
                        <w:rPr>
                          <w:rFonts w:ascii="宋体" w:hAnsi="宋体" w:cs="宋体" w:eastAsia="宋体" w:hint="default"/>
                          <w:sz w:val="18"/>
                          <w:szCs w:val="18"/>
                        </w:rPr>
                        <w:t>收回所有款项时，确认相应的坏账准备，根据该款项预计未来现金流量现值低于其账面价</w:t>
                      </w:r>
                    </w:p>
                    <w:p>
                      <w:pPr>
                        <w:spacing w:before="67"/>
                        <w:ind w:left="107" w:right="0" w:firstLine="0"/>
                        <w:jc w:val="left"/>
                        <w:rPr>
                          <w:rFonts w:ascii="宋体" w:hAnsi="宋体" w:cs="宋体" w:eastAsia="宋体" w:hint="default"/>
                          <w:sz w:val="18"/>
                          <w:szCs w:val="18"/>
                        </w:rPr>
                      </w:pPr>
                      <w:r>
                        <w:rPr>
                          <w:rFonts w:ascii="宋体" w:hAnsi="宋体" w:cs="宋体" w:eastAsia="宋体" w:hint="default"/>
                          <w:sz w:val="18"/>
                          <w:szCs w:val="18"/>
                        </w:rPr>
                        <w:t>值的差额，单独进行减值测试，计提坏账准备。</w:t>
                      </w:r>
                    </w:p>
                  </w:txbxContent>
                </v:textbox>
                <w10:wrap type="none"/>
              </v:shape>
            </v:group>
          </v:group>
        </w:pict>
      </w:r>
      <w:r>
        <w:rPr>
          <w:rFonts w:ascii="宋体" w:hAnsi="宋体" w:cs="宋体" w:eastAsia="宋体" w:hint="default"/>
          <w:position w:val="-13"/>
          <w:sz w:val="20"/>
          <w:szCs w:val="20"/>
        </w:rPr>
      </w:r>
    </w:p>
    <w:p>
      <w:pPr>
        <w:pStyle w:val="BodyText"/>
        <w:spacing w:line="240" w:lineRule="auto" w:before="43"/>
        <w:ind w:left="457" w:right="3403"/>
        <w:jc w:val="left"/>
      </w:pPr>
      <w:r>
        <w:rPr>
          <w:rFonts w:ascii="Arial" w:hAnsi="Arial" w:cs="Arial" w:eastAsia="Arial" w:hint="default"/>
        </w:rPr>
        <w:t>3.8.2</w:t>
      </w:r>
      <w:r>
        <w:rPr/>
        <w:t>按组合计提坏账准备应收款项</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tbl>
      <w:tblPr>
        <w:tblW w:w="0" w:type="auto"/>
        <w:jc w:val="left"/>
        <w:tblInd w:w="335" w:type="dxa"/>
        <w:tblLayout w:type="fixed"/>
        <w:tblCellMar>
          <w:top w:w="0" w:type="dxa"/>
          <w:left w:w="0" w:type="dxa"/>
          <w:bottom w:w="0" w:type="dxa"/>
          <w:right w:w="0" w:type="dxa"/>
        </w:tblCellMar>
        <w:tblLook w:val="01E0"/>
      </w:tblPr>
      <w:tblGrid>
        <w:gridCol w:w="2904"/>
        <w:gridCol w:w="5952"/>
      </w:tblGrid>
      <w:tr>
        <w:trPr>
          <w:trHeight w:val="334" w:hRule="exact"/>
        </w:trPr>
        <w:tc>
          <w:tcPr>
            <w:tcW w:w="8856"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283" w:hRule="exact"/>
        </w:trPr>
        <w:tc>
          <w:tcPr>
            <w:tcW w:w="2904" w:type="dxa"/>
            <w:tcBorders>
              <w:top w:val="single" w:sz="12" w:space="0" w:color="000000"/>
              <w:left w:val="single" w:sz="12" w:space="0" w:color="000000"/>
              <w:bottom w:val="nil" w:sz="6" w:space="0" w:color="auto"/>
              <w:right w:val="single" w:sz="12" w:space="0" w:color="000000"/>
            </w:tcBorders>
          </w:tcPr>
          <w:p>
            <w:pPr/>
          </w:p>
        </w:tc>
        <w:tc>
          <w:tcPr>
            <w:tcW w:w="5952" w:type="dxa"/>
            <w:tcBorders>
              <w:top w:val="single" w:sz="12" w:space="0" w:color="000000"/>
              <w:left w:val="single" w:sz="12" w:space="0" w:color="000000"/>
              <w:bottom w:val="nil" w:sz="6" w:space="0" w:color="auto"/>
              <w:right w:val="single" w:sz="12"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sz w:val="18"/>
                <w:szCs w:val="18"/>
              </w:rPr>
              <w:t>对于未单项计提坏账准备的应收款项按款项性质特征划分为若干组合，根</w:t>
            </w:r>
          </w:p>
        </w:tc>
      </w:tr>
      <w:tr>
        <w:trPr>
          <w:trHeight w:val="607" w:hRule="exact"/>
        </w:trPr>
        <w:tc>
          <w:tcPr>
            <w:tcW w:w="2904" w:type="dxa"/>
            <w:tcBorders>
              <w:top w:val="nil" w:sz="6" w:space="0" w:color="auto"/>
              <w:left w:val="single" w:sz="12" w:space="0" w:color="000000"/>
              <w:bottom w:val="nil" w:sz="6" w:space="0" w:color="auto"/>
              <w:right w:val="single" w:sz="12" w:space="0" w:color="000000"/>
            </w:tcBorders>
          </w:tcPr>
          <w:p>
            <w:pPr>
              <w:pStyle w:val="TableParagraph"/>
              <w:spacing w:line="240" w:lineRule="auto" w:before="157"/>
              <w:ind w:left="93" w:right="0"/>
              <w:jc w:val="left"/>
              <w:rPr>
                <w:rFonts w:ascii="宋体" w:hAnsi="宋体" w:cs="宋体" w:eastAsia="宋体" w:hint="default"/>
                <w:sz w:val="18"/>
                <w:szCs w:val="18"/>
              </w:rPr>
            </w:pPr>
            <w:r>
              <w:rPr>
                <w:rFonts w:ascii="宋体" w:hAnsi="宋体" w:cs="宋体" w:eastAsia="宋体" w:hint="default"/>
                <w:sz w:val="18"/>
                <w:szCs w:val="18"/>
              </w:rPr>
              <w:t>（1）按款项性质的组合</w:t>
            </w:r>
          </w:p>
        </w:tc>
        <w:tc>
          <w:tcPr>
            <w:tcW w:w="5952" w:type="dxa"/>
            <w:tcBorders>
              <w:top w:val="nil" w:sz="6" w:space="0" w:color="auto"/>
              <w:left w:val="single" w:sz="12" w:space="0" w:color="000000"/>
              <w:bottom w:val="nil" w:sz="6" w:space="0" w:color="auto"/>
              <w:right w:val="single" w:sz="12" w:space="0" w:color="000000"/>
            </w:tcBorders>
          </w:tcPr>
          <w:p>
            <w:pPr>
              <w:pStyle w:val="TableParagraph"/>
              <w:spacing w:line="309" w:lineRule="auto" w:before="5"/>
              <w:ind w:left="93" w:right="67"/>
              <w:jc w:val="left"/>
              <w:rPr>
                <w:rFonts w:ascii="宋体" w:hAnsi="宋体" w:cs="宋体" w:eastAsia="宋体" w:hint="default"/>
                <w:sz w:val="18"/>
                <w:szCs w:val="18"/>
              </w:rPr>
            </w:pPr>
            <w:r>
              <w:rPr>
                <w:rFonts w:ascii="宋体" w:hAnsi="宋体" w:cs="宋体" w:eastAsia="宋体" w:hint="default"/>
                <w:sz w:val="18"/>
                <w:szCs w:val="18"/>
              </w:rPr>
              <w:t>据以前年度与之相同或相类似的、具有类似信用风险特征的应收账款组合</w:t>
            </w:r>
            <w:r>
              <w:rPr>
                <w:rFonts w:ascii="宋体" w:hAnsi="宋体" w:cs="宋体" w:eastAsia="宋体" w:hint="default"/>
                <w:w w:val="99"/>
                <w:sz w:val="18"/>
                <w:szCs w:val="18"/>
              </w:rPr>
              <w:t> </w:t>
            </w:r>
            <w:r>
              <w:rPr>
                <w:rFonts w:ascii="宋体" w:hAnsi="宋体" w:cs="宋体" w:eastAsia="宋体" w:hint="default"/>
                <w:sz w:val="18"/>
                <w:szCs w:val="18"/>
              </w:rPr>
              <w:t>的实际损失率为基础，结合现时情况确定各项组合计提坏账准备的比例，</w:t>
            </w:r>
          </w:p>
        </w:tc>
      </w:tr>
      <w:tr>
        <w:trPr>
          <w:trHeight w:val="353" w:hRule="exact"/>
        </w:trPr>
        <w:tc>
          <w:tcPr>
            <w:tcW w:w="2904" w:type="dxa"/>
            <w:tcBorders>
              <w:top w:val="nil" w:sz="6" w:space="0" w:color="auto"/>
              <w:left w:val="single" w:sz="12" w:space="0" w:color="000000"/>
              <w:bottom w:val="single" w:sz="12" w:space="0" w:color="000000"/>
              <w:right w:val="single" w:sz="12" w:space="0" w:color="000000"/>
            </w:tcBorders>
          </w:tcPr>
          <w:p>
            <w:pPr/>
          </w:p>
        </w:tc>
        <w:tc>
          <w:tcPr>
            <w:tcW w:w="5952" w:type="dxa"/>
            <w:tcBorders>
              <w:top w:val="nil" w:sz="6" w:space="0" w:color="auto"/>
              <w:left w:val="single" w:sz="12" w:space="0" w:color="000000"/>
              <w:bottom w:val="single" w:sz="12" w:space="0" w:color="000000"/>
              <w:right w:val="single" w:sz="12" w:space="0" w:color="000000"/>
            </w:tcBorders>
          </w:tcPr>
          <w:p>
            <w:pPr>
              <w:pStyle w:val="TableParagraph"/>
              <w:spacing w:line="240" w:lineRule="auto" w:before="5"/>
              <w:ind w:left="93" w:right="0"/>
              <w:jc w:val="left"/>
              <w:rPr>
                <w:rFonts w:ascii="宋体" w:hAnsi="宋体" w:cs="宋体" w:eastAsia="宋体" w:hint="default"/>
                <w:sz w:val="18"/>
                <w:szCs w:val="18"/>
              </w:rPr>
            </w:pPr>
            <w:r>
              <w:rPr>
                <w:rFonts w:ascii="宋体" w:hAnsi="宋体" w:cs="宋体" w:eastAsia="宋体" w:hint="default"/>
                <w:sz w:val="18"/>
                <w:szCs w:val="18"/>
              </w:rPr>
              <w:t>据此计算应计提的坏账准备。</w:t>
            </w:r>
          </w:p>
        </w:tc>
      </w:tr>
      <w:tr>
        <w:trPr>
          <w:trHeight w:val="285" w:hRule="exact"/>
        </w:trPr>
        <w:tc>
          <w:tcPr>
            <w:tcW w:w="2904" w:type="dxa"/>
            <w:tcBorders>
              <w:top w:val="single" w:sz="12" w:space="0" w:color="000000"/>
              <w:left w:val="single" w:sz="12" w:space="0" w:color="000000"/>
              <w:bottom w:val="nil" w:sz="6" w:space="0" w:color="auto"/>
              <w:right w:val="single" w:sz="12" w:space="0" w:color="000000"/>
            </w:tcBorders>
          </w:tcPr>
          <w:p>
            <w:pPr/>
          </w:p>
        </w:tc>
        <w:tc>
          <w:tcPr>
            <w:tcW w:w="5952" w:type="dxa"/>
            <w:tcBorders>
              <w:top w:val="single" w:sz="12" w:space="0" w:color="000000"/>
              <w:left w:val="single" w:sz="12" w:space="0" w:color="000000"/>
              <w:bottom w:val="nil" w:sz="6" w:space="0" w:color="auto"/>
              <w:right w:val="single" w:sz="12"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sz w:val="18"/>
                <w:szCs w:val="18"/>
              </w:rPr>
              <w:t>对于未单项计提坏账准备的应收款项按账龄划分为若干组合，根据以前年</w:t>
            </w:r>
          </w:p>
        </w:tc>
      </w:tr>
      <w:tr>
        <w:trPr>
          <w:trHeight w:val="606" w:hRule="exact"/>
        </w:trPr>
        <w:tc>
          <w:tcPr>
            <w:tcW w:w="2904" w:type="dxa"/>
            <w:tcBorders>
              <w:top w:val="nil" w:sz="6" w:space="0" w:color="auto"/>
              <w:left w:val="single" w:sz="12" w:space="0" w:color="000000"/>
              <w:bottom w:val="nil" w:sz="6" w:space="0" w:color="auto"/>
              <w:right w:val="single" w:sz="12" w:space="0" w:color="000000"/>
            </w:tcBorders>
          </w:tcPr>
          <w:p>
            <w:pPr>
              <w:pStyle w:val="TableParagraph"/>
              <w:spacing w:line="240" w:lineRule="auto" w:before="155"/>
              <w:ind w:left="93" w:right="0"/>
              <w:jc w:val="left"/>
              <w:rPr>
                <w:rFonts w:ascii="宋体" w:hAnsi="宋体" w:cs="宋体" w:eastAsia="宋体" w:hint="default"/>
                <w:sz w:val="18"/>
                <w:szCs w:val="18"/>
              </w:rPr>
            </w:pPr>
            <w:r>
              <w:rPr>
                <w:rFonts w:ascii="宋体" w:hAnsi="宋体" w:cs="宋体" w:eastAsia="宋体" w:hint="default"/>
                <w:sz w:val="18"/>
                <w:szCs w:val="18"/>
              </w:rPr>
              <w:t>（2）按款项账龄的组合</w:t>
            </w:r>
          </w:p>
        </w:tc>
        <w:tc>
          <w:tcPr>
            <w:tcW w:w="5952" w:type="dxa"/>
            <w:tcBorders>
              <w:top w:val="nil" w:sz="6" w:space="0" w:color="auto"/>
              <w:left w:val="single" w:sz="12" w:space="0" w:color="000000"/>
              <w:bottom w:val="nil" w:sz="6" w:space="0" w:color="auto"/>
              <w:right w:val="single" w:sz="12" w:space="0" w:color="000000"/>
            </w:tcBorders>
          </w:tcPr>
          <w:p>
            <w:pPr>
              <w:pStyle w:val="TableParagraph"/>
              <w:spacing w:line="307" w:lineRule="auto" w:before="7"/>
              <w:ind w:left="93" w:right="67"/>
              <w:jc w:val="left"/>
              <w:rPr>
                <w:rFonts w:ascii="宋体" w:hAnsi="宋体" w:cs="宋体" w:eastAsia="宋体" w:hint="default"/>
                <w:sz w:val="18"/>
                <w:szCs w:val="18"/>
              </w:rPr>
            </w:pPr>
            <w:r>
              <w:rPr>
                <w:rFonts w:ascii="宋体" w:hAnsi="宋体" w:cs="宋体" w:eastAsia="宋体" w:hint="default"/>
                <w:sz w:val="18"/>
                <w:szCs w:val="18"/>
              </w:rPr>
              <w:t>度与之相同或相类似的、具有类似信用风险特征的应收账款组合的实际损</w:t>
            </w:r>
            <w:r>
              <w:rPr>
                <w:rFonts w:ascii="宋体" w:hAnsi="宋体" w:cs="宋体" w:eastAsia="宋体" w:hint="default"/>
                <w:w w:val="99"/>
                <w:sz w:val="18"/>
                <w:szCs w:val="18"/>
              </w:rPr>
              <w:t> </w:t>
            </w:r>
            <w:r>
              <w:rPr>
                <w:rFonts w:ascii="宋体" w:hAnsi="宋体" w:cs="宋体" w:eastAsia="宋体" w:hint="default"/>
                <w:sz w:val="18"/>
                <w:szCs w:val="18"/>
              </w:rPr>
              <w:t>失率为基础，结合现时情况确定各项组合计提坏账准备的比例，据此计算</w:t>
            </w:r>
          </w:p>
        </w:tc>
      </w:tr>
      <w:tr>
        <w:trPr>
          <w:trHeight w:val="353" w:hRule="exact"/>
        </w:trPr>
        <w:tc>
          <w:tcPr>
            <w:tcW w:w="2904" w:type="dxa"/>
            <w:tcBorders>
              <w:top w:val="nil" w:sz="6" w:space="0" w:color="auto"/>
              <w:left w:val="single" w:sz="12" w:space="0" w:color="000000"/>
              <w:bottom w:val="single" w:sz="12" w:space="0" w:color="000000"/>
              <w:right w:val="single" w:sz="12" w:space="0" w:color="000000"/>
            </w:tcBorders>
          </w:tcPr>
          <w:p>
            <w:pPr/>
          </w:p>
        </w:tc>
        <w:tc>
          <w:tcPr>
            <w:tcW w:w="5952" w:type="dxa"/>
            <w:tcBorders>
              <w:top w:val="nil" w:sz="6" w:space="0" w:color="auto"/>
              <w:left w:val="single" w:sz="12" w:space="0" w:color="000000"/>
              <w:bottom w:val="single" w:sz="12" w:space="0" w:color="000000"/>
              <w:right w:val="single" w:sz="12" w:space="0" w:color="000000"/>
            </w:tcBorders>
          </w:tcPr>
          <w:p>
            <w:pPr>
              <w:pStyle w:val="TableParagraph"/>
              <w:spacing w:line="240" w:lineRule="auto" w:before="5"/>
              <w:ind w:left="93" w:right="0"/>
              <w:jc w:val="left"/>
              <w:rPr>
                <w:rFonts w:ascii="宋体" w:hAnsi="宋体" w:cs="宋体" w:eastAsia="宋体" w:hint="default"/>
                <w:sz w:val="18"/>
                <w:szCs w:val="18"/>
              </w:rPr>
            </w:pPr>
            <w:r>
              <w:rPr>
                <w:rFonts w:ascii="宋体" w:hAnsi="宋体" w:cs="宋体" w:eastAsia="宋体" w:hint="default"/>
                <w:sz w:val="18"/>
                <w:szCs w:val="18"/>
              </w:rPr>
              <w:t>应计提的坏账准备。</w:t>
            </w:r>
          </w:p>
        </w:tc>
      </w:tr>
      <w:tr>
        <w:trPr>
          <w:trHeight w:val="334" w:hRule="exact"/>
        </w:trPr>
        <w:tc>
          <w:tcPr>
            <w:tcW w:w="8856"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sz w:val="18"/>
                <w:szCs w:val="18"/>
              </w:rPr>
              <w:t>按组合计提坏账准备的计提方法</w:t>
            </w:r>
          </w:p>
        </w:tc>
      </w:tr>
      <w:tr>
        <w:trPr>
          <w:trHeight w:val="334" w:hRule="exact"/>
        </w:trPr>
        <w:tc>
          <w:tcPr>
            <w:tcW w:w="2904"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sz w:val="18"/>
                <w:szCs w:val="18"/>
              </w:rPr>
              <w:t>（1）按款项性质的组合</w:t>
            </w:r>
          </w:p>
        </w:tc>
        <w:tc>
          <w:tcPr>
            <w:tcW w:w="5952"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sz w:val="18"/>
                <w:szCs w:val="18"/>
              </w:rPr>
              <w:t>个别认定法</w:t>
            </w:r>
          </w:p>
        </w:tc>
      </w:tr>
      <w:tr>
        <w:trPr>
          <w:trHeight w:val="334" w:hRule="exact"/>
        </w:trPr>
        <w:tc>
          <w:tcPr>
            <w:tcW w:w="2904"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sz w:val="18"/>
                <w:szCs w:val="18"/>
              </w:rPr>
              <w:t>（2）按款项账龄的组合</w:t>
            </w:r>
          </w:p>
        </w:tc>
        <w:tc>
          <w:tcPr>
            <w:tcW w:w="5952"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391" w:lineRule="auto" w:before="57"/>
        <w:ind w:left="896" w:right="3403"/>
        <w:jc w:val="left"/>
      </w:pPr>
      <w:r>
        <w:rPr/>
        <w:t>账龄分析法</w:t>
      </w:r>
      <w:r>
        <w:rPr>
          <w:w w:val="100"/>
        </w:rPr>
        <w:t> </w:t>
      </w:r>
      <w:r>
        <w:rPr>
          <w:spacing w:val="-1"/>
        </w:rPr>
        <w:t>组合中，采用账龄分析法计提坏账准备的：</w:t>
      </w:r>
    </w:p>
    <w:tbl>
      <w:tblPr>
        <w:tblW w:w="0" w:type="auto"/>
        <w:jc w:val="left"/>
        <w:tblInd w:w="335" w:type="dxa"/>
        <w:tblLayout w:type="fixed"/>
        <w:tblCellMar>
          <w:top w:w="0" w:type="dxa"/>
          <w:left w:w="0" w:type="dxa"/>
          <w:bottom w:w="0" w:type="dxa"/>
          <w:right w:w="0" w:type="dxa"/>
        </w:tblCellMar>
        <w:tblLook w:val="01E0"/>
      </w:tblPr>
      <w:tblGrid>
        <w:gridCol w:w="2904"/>
        <w:gridCol w:w="2904"/>
        <w:gridCol w:w="3048"/>
      </w:tblGrid>
      <w:tr>
        <w:trPr>
          <w:trHeight w:val="312" w:hRule="exact"/>
        </w:trPr>
        <w:tc>
          <w:tcPr>
            <w:tcW w:w="2904" w:type="dxa"/>
            <w:tcBorders>
              <w:top w:val="single" w:sz="12" w:space="0" w:color="000000"/>
              <w:left w:val="single" w:sz="12" w:space="0" w:color="000000"/>
              <w:bottom w:val="single" w:sz="12" w:space="0" w:color="000000"/>
              <w:right w:val="single" w:sz="12" w:space="0" w:color="000000"/>
            </w:tcBorders>
          </w:tcPr>
          <w:p>
            <w:pPr>
              <w:pStyle w:val="TableParagraph"/>
              <w:spacing w:line="197" w:lineRule="exact"/>
              <w:ind w:left="2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04" w:type="dxa"/>
            <w:tcBorders>
              <w:top w:val="single" w:sz="12" w:space="0" w:color="000000"/>
              <w:left w:val="single" w:sz="12" w:space="0" w:color="000000"/>
              <w:bottom w:val="single" w:sz="12" w:space="0" w:color="000000"/>
              <w:right w:val="single" w:sz="12" w:space="0" w:color="000000"/>
            </w:tcBorders>
          </w:tcPr>
          <w:p>
            <w:pPr>
              <w:pStyle w:val="TableParagraph"/>
              <w:spacing w:line="197" w:lineRule="exact"/>
              <w:ind w:left="503"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048" w:type="dxa"/>
            <w:tcBorders>
              <w:top w:val="single" w:sz="12" w:space="0" w:color="000000"/>
              <w:left w:val="single" w:sz="12" w:space="0" w:color="000000"/>
              <w:bottom w:val="single" w:sz="12" w:space="0" w:color="000000"/>
              <w:right w:val="single" w:sz="12" w:space="0" w:color="000000"/>
            </w:tcBorders>
          </w:tcPr>
          <w:p>
            <w:pPr>
              <w:pStyle w:val="TableParagraph"/>
              <w:spacing w:line="197" w:lineRule="exact"/>
              <w:ind w:left="21" w:right="0"/>
              <w:jc w:val="center"/>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312" w:hRule="exact"/>
        </w:trPr>
        <w:tc>
          <w:tcPr>
            <w:tcW w:w="2904" w:type="dxa"/>
            <w:tcBorders>
              <w:top w:val="single" w:sz="12" w:space="0" w:color="000000"/>
              <w:left w:val="single" w:sz="12" w:space="0" w:color="000000"/>
              <w:bottom w:val="single" w:sz="12" w:space="0" w:color="000000"/>
              <w:right w:val="single" w:sz="12" w:space="0" w:color="000000"/>
            </w:tcBorders>
          </w:tcPr>
          <w:p>
            <w:pPr>
              <w:pStyle w:val="TableParagraph"/>
              <w:spacing w:line="194" w:lineRule="exact"/>
              <w:ind w:left="9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w:t>
            </w:r>
          </w:p>
        </w:tc>
        <w:tc>
          <w:tcPr>
            <w:tcW w:w="2904" w:type="dxa"/>
            <w:tcBorders>
              <w:top w:val="single" w:sz="12" w:space="0" w:color="000000"/>
              <w:left w:val="single" w:sz="12" w:space="0" w:color="000000"/>
              <w:bottom w:val="single" w:sz="12" w:space="0" w:color="000000"/>
              <w:right w:val="single" w:sz="12" w:space="0" w:color="000000"/>
            </w:tcBorders>
          </w:tcPr>
          <w:p>
            <w:pPr>
              <w:pStyle w:val="TableParagraph"/>
              <w:spacing w:line="194" w:lineRule="exact"/>
              <w:ind w:left="93" w:right="0"/>
              <w:jc w:val="left"/>
              <w:rPr>
                <w:rFonts w:ascii="宋体" w:hAnsi="宋体" w:cs="宋体" w:eastAsia="宋体" w:hint="default"/>
                <w:sz w:val="18"/>
                <w:szCs w:val="18"/>
              </w:rPr>
            </w:pPr>
            <w:r>
              <w:rPr>
                <w:rFonts w:ascii="宋体"/>
                <w:sz w:val="18"/>
              </w:rPr>
              <w:t>5%</w:t>
            </w:r>
          </w:p>
        </w:tc>
        <w:tc>
          <w:tcPr>
            <w:tcW w:w="3048" w:type="dxa"/>
            <w:tcBorders>
              <w:top w:val="single" w:sz="12" w:space="0" w:color="000000"/>
              <w:left w:val="single" w:sz="12" w:space="0" w:color="000000"/>
              <w:bottom w:val="single" w:sz="12" w:space="0" w:color="000000"/>
              <w:right w:val="single" w:sz="12" w:space="0" w:color="000000"/>
            </w:tcBorders>
          </w:tcPr>
          <w:p>
            <w:pPr>
              <w:pStyle w:val="TableParagraph"/>
              <w:spacing w:line="194" w:lineRule="exact"/>
              <w:ind w:left="22" w:right="0"/>
              <w:jc w:val="center"/>
              <w:rPr>
                <w:rFonts w:ascii="宋体" w:hAnsi="宋体" w:cs="宋体" w:eastAsia="宋体" w:hint="default"/>
                <w:sz w:val="18"/>
                <w:szCs w:val="18"/>
              </w:rPr>
            </w:pPr>
            <w:r>
              <w:rPr>
                <w:rFonts w:ascii="宋体"/>
                <w:sz w:val="18"/>
              </w:rPr>
              <w:t>5%</w:t>
            </w:r>
          </w:p>
        </w:tc>
      </w:tr>
      <w:tr>
        <w:trPr>
          <w:trHeight w:val="312" w:hRule="exact"/>
        </w:trPr>
        <w:tc>
          <w:tcPr>
            <w:tcW w:w="2904" w:type="dxa"/>
            <w:tcBorders>
              <w:top w:val="single" w:sz="12" w:space="0" w:color="000000"/>
              <w:left w:val="single" w:sz="12" w:space="0" w:color="000000"/>
              <w:bottom w:val="single" w:sz="12" w:space="0" w:color="000000"/>
              <w:right w:val="single" w:sz="12" w:space="0" w:color="000000"/>
            </w:tcBorders>
          </w:tcPr>
          <w:p>
            <w:pPr>
              <w:pStyle w:val="TableParagraph"/>
              <w:spacing w:line="194" w:lineRule="exact"/>
              <w:ind w:left="9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904" w:type="dxa"/>
            <w:tcBorders>
              <w:top w:val="single" w:sz="12" w:space="0" w:color="000000"/>
              <w:left w:val="single" w:sz="12" w:space="0" w:color="000000"/>
              <w:bottom w:val="single" w:sz="12" w:space="0" w:color="000000"/>
              <w:right w:val="single" w:sz="12" w:space="0" w:color="000000"/>
            </w:tcBorders>
          </w:tcPr>
          <w:p>
            <w:pPr>
              <w:pStyle w:val="TableParagraph"/>
              <w:spacing w:line="194" w:lineRule="exact"/>
              <w:ind w:left="93" w:right="0"/>
              <w:jc w:val="left"/>
              <w:rPr>
                <w:rFonts w:ascii="宋体" w:hAnsi="宋体" w:cs="宋体" w:eastAsia="宋体" w:hint="default"/>
                <w:sz w:val="18"/>
                <w:szCs w:val="18"/>
              </w:rPr>
            </w:pPr>
            <w:r>
              <w:rPr>
                <w:rFonts w:ascii="宋体"/>
                <w:sz w:val="18"/>
              </w:rPr>
              <w:t>20%</w:t>
            </w:r>
          </w:p>
        </w:tc>
        <w:tc>
          <w:tcPr>
            <w:tcW w:w="3048" w:type="dxa"/>
            <w:tcBorders>
              <w:top w:val="single" w:sz="12" w:space="0" w:color="000000"/>
              <w:left w:val="single" w:sz="12" w:space="0" w:color="000000"/>
              <w:bottom w:val="single" w:sz="12" w:space="0" w:color="000000"/>
              <w:right w:val="single" w:sz="12" w:space="0" w:color="000000"/>
            </w:tcBorders>
          </w:tcPr>
          <w:p>
            <w:pPr>
              <w:pStyle w:val="TableParagraph"/>
              <w:spacing w:line="194" w:lineRule="exact"/>
              <w:ind w:left="22" w:right="0"/>
              <w:jc w:val="center"/>
              <w:rPr>
                <w:rFonts w:ascii="宋体" w:hAnsi="宋体" w:cs="宋体" w:eastAsia="宋体" w:hint="default"/>
                <w:sz w:val="18"/>
                <w:szCs w:val="18"/>
              </w:rPr>
            </w:pPr>
            <w:r>
              <w:rPr>
                <w:rFonts w:ascii="宋体"/>
                <w:sz w:val="18"/>
              </w:rPr>
              <w:t>20%</w:t>
            </w:r>
          </w:p>
        </w:tc>
      </w:tr>
      <w:tr>
        <w:trPr>
          <w:trHeight w:val="312" w:hRule="exact"/>
        </w:trPr>
        <w:tc>
          <w:tcPr>
            <w:tcW w:w="2904" w:type="dxa"/>
            <w:tcBorders>
              <w:top w:val="single" w:sz="12" w:space="0" w:color="000000"/>
              <w:left w:val="single" w:sz="12" w:space="0" w:color="000000"/>
              <w:bottom w:val="single" w:sz="12" w:space="0" w:color="000000"/>
              <w:right w:val="single" w:sz="12" w:space="0" w:color="000000"/>
            </w:tcBorders>
          </w:tcPr>
          <w:p>
            <w:pPr>
              <w:pStyle w:val="TableParagraph"/>
              <w:spacing w:line="194" w:lineRule="exact"/>
              <w:ind w:left="9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904" w:type="dxa"/>
            <w:tcBorders>
              <w:top w:val="single" w:sz="12" w:space="0" w:color="000000"/>
              <w:left w:val="single" w:sz="12" w:space="0" w:color="000000"/>
              <w:bottom w:val="single" w:sz="12" w:space="0" w:color="000000"/>
              <w:right w:val="single" w:sz="12" w:space="0" w:color="000000"/>
            </w:tcBorders>
          </w:tcPr>
          <w:p>
            <w:pPr>
              <w:pStyle w:val="TableParagraph"/>
              <w:spacing w:line="194" w:lineRule="exact"/>
              <w:ind w:left="93" w:right="0"/>
              <w:jc w:val="left"/>
              <w:rPr>
                <w:rFonts w:ascii="宋体" w:hAnsi="宋体" w:cs="宋体" w:eastAsia="宋体" w:hint="default"/>
                <w:sz w:val="18"/>
                <w:szCs w:val="18"/>
              </w:rPr>
            </w:pPr>
            <w:r>
              <w:rPr>
                <w:rFonts w:ascii="宋体"/>
                <w:sz w:val="18"/>
              </w:rPr>
              <w:t>50%</w:t>
            </w:r>
          </w:p>
        </w:tc>
        <w:tc>
          <w:tcPr>
            <w:tcW w:w="3048" w:type="dxa"/>
            <w:tcBorders>
              <w:top w:val="single" w:sz="12" w:space="0" w:color="000000"/>
              <w:left w:val="single" w:sz="12" w:space="0" w:color="000000"/>
              <w:bottom w:val="single" w:sz="12" w:space="0" w:color="000000"/>
              <w:right w:val="single" w:sz="12" w:space="0" w:color="000000"/>
            </w:tcBorders>
          </w:tcPr>
          <w:p>
            <w:pPr>
              <w:pStyle w:val="TableParagraph"/>
              <w:spacing w:line="194" w:lineRule="exact"/>
              <w:ind w:left="22" w:right="0"/>
              <w:jc w:val="center"/>
              <w:rPr>
                <w:rFonts w:ascii="宋体" w:hAnsi="宋体" w:cs="宋体" w:eastAsia="宋体" w:hint="default"/>
                <w:sz w:val="18"/>
                <w:szCs w:val="18"/>
              </w:rPr>
            </w:pPr>
            <w:r>
              <w:rPr>
                <w:rFonts w:ascii="宋体"/>
                <w:sz w:val="18"/>
              </w:rPr>
              <w:t>50%</w:t>
            </w:r>
          </w:p>
        </w:tc>
      </w:tr>
      <w:tr>
        <w:trPr>
          <w:trHeight w:val="310" w:hRule="exact"/>
        </w:trPr>
        <w:tc>
          <w:tcPr>
            <w:tcW w:w="2904" w:type="dxa"/>
            <w:tcBorders>
              <w:top w:val="single" w:sz="12" w:space="0" w:color="000000"/>
              <w:left w:val="single" w:sz="12" w:space="0" w:color="000000"/>
              <w:bottom w:val="single" w:sz="12" w:space="0" w:color="000000"/>
              <w:right w:val="single" w:sz="12" w:space="0" w:color="000000"/>
            </w:tcBorders>
          </w:tcPr>
          <w:p>
            <w:pPr>
              <w:pStyle w:val="TableParagraph"/>
              <w:spacing w:line="194" w:lineRule="exact"/>
              <w:ind w:left="9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年以上</w:t>
            </w:r>
          </w:p>
        </w:tc>
        <w:tc>
          <w:tcPr>
            <w:tcW w:w="2904" w:type="dxa"/>
            <w:tcBorders>
              <w:top w:val="single" w:sz="12" w:space="0" w:color="000000"/>
              <w:left w:val="single" w:sz="12" w:space="0" w:color="000000"/>
              <w:bottom w:val="single" w:sz="12" w:space="0" w:color="000000"/>
              <w:right w:val="single" w:sz="12" w:space="0" w:color="000000"/>
            </w:tcBorders>
          </w:tcPr>
          <w:p>
            <w:pPr>
              <w:pStyle w:val="TableParagraph"/>
              <w:spacing w:line="194" w:lineRule="exact"/>
              <w:ind w:left="93" w:right="0"/>
              <w:jc w:val="left"/>
              <w:rPr>
                <w:rFonts w:ascii="宋体" w:hAnsi="宋体" w:cs="宋体" w:eastAsia="宋体" w:hint="default"/>
                <w:sz w:val="18"/>
                <w:szCs w:val="18"/>
              </w:rPr>
            </w:pPr>
            <w:r>
              <w:rPr>
                <w:rFonts w:ascii="宋体"/>
                <w:sz w:val="18"/>
              </w:rPr>
              <w:t>100%</w:t>
            </w:r>
          </w:p>
        </w:tc>
        <w:tc>
          <w:tcPr>
            <w:tcW w:w="3048" w:type="dxa"/>
            <w:tcBorders>
              <w:top w:val="single" w:sz="12" w:space="0" w:color="000000"/>
              <w:left w:val="single" w:sz="12" w:space="0" w:color="000000"/>
              <w:bottom w:val="single" w:sz="12" w:space="0" w:color="000000"/>
              <w:right w:val="single" w:sz="12" w:space="0" w:color="000000"/>
            </w:tcBorders>
          </w:tcPr>
          <w:p>
            <w:pPr>
              <w:pStyle w:val="TableParagraph"/>
              <w:spacing w:line="194" w:lineRule="exact"/>
              <w:ind w:left="20" w:right="0"/>
              <w:jc w:val="center"/>
              <w:rPr>
                <w:rFonts w:ascii="宋体" w:hAnsi="宋体" w:cs="宋体" w:eastAsia="宋体" w:hint="default"/>
                <w:sz w:val="18"/>
                <w:szCs w:val="18"/>
              </w:rPr>
            </w:pPr>
            <w:r>
              <w:rPr>
                <w:rFonts w:ascii="宋体"/>
                <w:sz w:val="18"/>
              </w:rPr>
              <w:t>100%</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457" w:right="0"/>
        <w:jc w:val="left"/>
      </w:pPr>
      <w:r>
        <w:rPr>
          <w:rFonts w:ascii="Arial" w:hAnsi="Arial" w:cs="Arial" w:eastAsia="Arial" w:hint="default"/>
        </w:rPr>
        <w:t>3.8.3</w:t>
      </w:r>
      <w:r>
        <w:rPr>
          <w:rFonts w:ascii="Arial" w:hAnsi="Arial" w:cs="Arial" w:eastAsia="Arial" w:hint="default"/>
          <w:spacing w:val="41"/>
        </w:rPr>
        <w:t> </w:t>
      </w:r>
      <w:r>
        <w:rPr/>
        <w:t>单项金额虽不重大但单项计提坏账准备的应收账款：</w:t>
      </w:r>
    </w:p>
    <w:p>
      <w:pPr>
        <w:spacing w:line="240" w:lineRule="auto" w:before="5"/>
        <w:rPr>
          <w:rFonts w:ascii="宋体" w:hAnsi="宋体" w:cs="宋体" w:eastAsia="宋体" w:hint="default"/>
          <w:sz w:val="8"/>
          <w:szCs w:val="8"/>
        </w:rPr>
      </w:pPr>
    </w:p>
    <w:tbl>
      <w:tblPr>
        <w:tblW w:w="0" w:type="auto"/>
        <w:jc w:val="left"/>
        <w:tblInd w:w="335" w:type="dxa"/>
        <w:tblLayout w:type="fixed"/>
        <w:tblCellMar>
          <w:top w:w="0" w:type="dxa"/>
          <w:left w:w="0" w:type="dxa"/>
          <w:bottom w:w="0" w:type="dxa"/>
          <w:right w:w="0" w:type="dxa"/>
        </w:tblCellMar>
        <w:tblLook w:val="01E0"/>
      </w:tblPr>
      <w:tblGrid>
        <w:gridCol w:w="2861"/>
        <w:gridCol w:w="5995"/>
      </w:tblGrid>
      <w:tr>
        <w:trPr>
          <w:trHeight w:val="816" w:hRule="exact"/>
        </w:trPr>
        <w:tc>
          <w:tcPr>
            <w:tcW w:w="28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5995" w:type="dxa"/>
            <w:tcBorders>
              <w:top w:val="single" w:sz="12" w:space="0" w:color="000000"/>
              <w:left w:val="single" w:sz="12" w:space="0" w:color="000000"/>
              <w:bottom w:val="single" w:sz="12" w:space="0" w:color="000000"/>
              <w:right w:val="single" w:sz="12" w:space="0" w:color="000000"/>
            </w:tcBorders>
          </w:tcPr>
          <w:p>
            <w:pPr>
              <w:pStyle w:val="TableParagraph"/>
              <w:spacing w:line="273" w:lineRule="auto" w:before="92"/>
              <w:ind w:left="93" w:right="62"/>
              <w:jc w:val="left"/>
              <w:rPr>
                <w:rFonts w:ascii="宋体" w:hAnsi="宋体" w:cs="宋体" w:eastAsia="宋体" w:hint="default"/>
                <w:sz w:val="18"/>
                <w:szCs w:val="18"/>
              </w:rPr>
            </w:pPr>
            <w:r>
              <w:rPr>
                <w:rFonts w:ascii="宋体" w:hAnsi="宋体" w:cs="宋体" w:eastAsia="宋体" w:hint="default"/>
                <w:sz w:val="18"/>
                <w:szCs w:val="18"/>
              </w:rPr>
              <w:t>对于单项金额不重大的应收款项，当存在客观证据表明本公司将无法按应</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收款项的原有条款收回所有款项时，应确认坏账准备。</w:t>
            </w:r>
          </w:p>
        </w:tc>
      </w:tr>
      <w:tr>
        <w:trPr>
          <w:trHeight w:val="797" w:hRule="exact"/>
        </w:trPr>
        <w:tc>
          <w:tcPr>
            <w:tcW w:w="28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5995" w:type="dxa"/>
            <w:tcBorders>
              <w:top w:val="single" w:sz="12" w:space="0" w:color="000000"/>
              <w:left w:val="single" w:sz="12" w:space="0" w:color="000000"/>
              <w:bottom w:val="single" w:sz="12" w:space="0" w:color="000000"/>
              <w:right w:val="single" w:sz="12" w:space="0" w:color="000000"/>
            </w:tcBorders>
          </w:tcPr>
          <w:p>
            <w:pPr>
              <w:pStyle w:val="TableParagraph"/>
              <w:spacing w:line="273" w:lineRule="auto" w:before="82"/>
              <w:ind w:left="93" w:right="62"/>
              <w:jc w:val="left"/>
              <w:rPr>
                <w:rFonts w:ascii="宋体" w:hAnsi="宋体" w:cs="宋体" w:eastAsia="宋体" w:hint="default"/>
                <w:sz w:val="18"/>
                <w:szCs w:val="18"/>
              </w:rPr>
            </w:pPr>
            <w:r>
              <w:rPr>
                <w:rFonts w:ascii="宋体" w:hAnsi="宋体" w:cs="宋体" w:eastAsia="宋体" w:hint="default"/>
                <w:sz w:val="18"/>
                <w:szCs w:val="18"/>
              </w:rPr>
              <w:t>根据该款项预计未来现金流量现值低于其账面价值的差额，单独进行减值</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测试，计提坏账准备。</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BodyText"/>
        <w:spacing w:line="240" w:lineRule="auto"/>
        <w:ind w:left="457" w:right="3403"/>
        <w:jc w:val="left"/>
      </w:pPr>
      <w:r>
        <w:rPr>
          <w:rFonts w:ascii="Arial" w:hAnsi="Arial" w:cs="Arial" w:eastAsia="Arial" w:hint="default"/>
        </w:rPr>
        <w:t>3.9</w:t>
      </w:r>
      <w:r>
        <w:rPr/>
        <w:t>存货</w:t>
      </w:r>
    </w:p>
    <w:p>
      <w:pPr>
        <w:pStyle w:val="BodyText"/>
        <w:spacing w:line="369" w:lineRule="auto" w:before="164"/>
        <w:ind w:left="896" w:right="0" w:hanging="440"/>
        <w:jc w:val="left"/>
      </w:pPr>
      <w:r>
        <w:rPr>
          <w:rFonts w:ascii="Arial" w:hAnsi="Arial" w:cs="Arial" w:eastAsia="Arial" w:hint="default"/>
        </w:rPr>
        <w:t>3.9.1</w:t>
      </w:r>
      <w:r>
        <w:rPr/>
        <w:t>存货的分类</w:t>
      </w:r>
      <w:r>
        <w:rPr>
          <w:w w:val="100"/>
        </w:rPr>
        <w:t> </w:t>
      </w:r>
      <w:r>
        <w:rPr/>
        <w:t>存货包括原材料、库存商品、产成品、委托加工材料、在产品、周转材料等，按成本</w:t>
      </w:r>
    </w:p>
    <w:p>
      <w:pPr>
        <w:pStyle w:val="BodyText"/>
        <w:spacing w:line="240" w:lineRule="auto" w:before="61"/>
        <w:ind w:left="457" w:right="3403"/>
        <w:jc w:val="left"/>
      </w:pPr>
      <w:r>
        <w:rPr/>
        <w:t>与可变现净值孰低列示。</w:t>
      </w:r>
    </w:p>
    <w:p>
      <w:pPr>
        <w:pStyle w:val="BodyText"/>
        <w:spacing w:line="369" w:lineRule="auto" w:before="180"/>
        <w:ind w:left="896" w:right="0" w:hanging="440"/>
        <w:jc w:val="left"/>
      </w:pPr>
      <w:r>
        <w:rPr>
          <w:rFonts w:ascii="Arial" w:hAnsi="Arial" w:cs="Arial" w:eastAsia="Arial" w:hint="default"/>
        </w:rPr>
        <w:t>3.9.2</w:t>
      </w:r>
      <w:r>
        <w:rPr/>
        <w:t>发出存货的计价方法</w:t>
      </w:r>
      <w:r>
        <w:rPr>
          <w:w w:val="100"/>
        </w:rPr>
        <w:t> </w:t>
      </w:r>
      <w:r>
        <w:rPr/>
        <w:t>存货发出时的成本按加权平均法核算，产成品和在产品成本包括原材料、直接人工以</w:t>
      </w:r>
    </w:p>
    <w:p>
      <w:pPr>
        <w:spacing w:after="0" w:line="369" w:lineRule="auto"/>
        <w:jc w:val="left"/>
        <w:sectPr>
          <w:pgSz w:w="11900" w:h="16840"/>
          <w:pgMar w:header="877" w:footer="983" w:top="1100" w:bottom="1180" w:left="1340" w:right="1020"/>
        </w:sectPr>
      </w:pPr>
    </w:p>
    <w:p>
      <w:pPr>
        <w:spacing w:line="240" w:lineRule="auto" w:before="4"/>
        <w:rPr>
          <w:rFonts w:ascii="宋体" w:hAnsi="宋体" w:cs="宋体" w:eastAsia="宋体" w:hint="default"/>
          <w:sz w:val="26"/>
          <w:szCs w:val="26"/>
        </w:rPr>
      </w:pPr>
    </w:p>
    <w:p>
      <w:pPr>
        <w:pStyle w:val="BodyText"/>
        <w:spacing w:line="240" w:lineRule="auto"/>
        <w:ind w:right="33"/>
        <w:jc w:val="left"/>
      </w:pPr>
      <w:r>
        <w:rPr>
          <w:spacing w:val="-3"/>
        </w:rPr>
        <w:t>及在正常生产能力下按照一定方法分配的制造费用。周转材料包括低值易耗品和包装物等。</w:t>
      </w:r>
    </w:p>
    <w:p>
      <w:pPr>
        <w:pStyle w:val="BodyText"/>
        <w:spacing w:line="369" w:lineRule="auto" w:before="180"/>
        <w:ind w:left="576" w:right="33" w:hanging="440"/>
        <w:jc w:val="left"/>
      </w:pPr>
      <w:r>
        <w:rPr>
          <w:rFonts w:ascii="Arial" w:hAnsi="Arial" w:cs="Arial" w:eastAsia="Arial" w:hint="default"/>
        </w:rPr>
        <w:t>3.9.3</w:t>
      </w:r>
      <w:r>
        <w:rPr/>
        <w:t>存货可变现净值的确定依据及存货跌价准备的计提方法</w:t>
      </w:r>
      <w:r>
        <w:rPr>
          <w:w w:val="100"/>
        </w:rPr>
        <w:t> </w:t>
      </w:r>
      <w:r>
        <w:rPr/>
        <w:t>存货成本高于其可变现净值的，计提存货跌价准备，计入当期损益。可变现净值，是</w:t>
      </w:r>
    </w:p>
    <w:p>
      <w:pPr>
        <w:pStyle w:val="BodyText"/>
        <w:spacing w:line="391" w:lineRule="auto" w:before="61"/>
        <w:ind w:right="215"/>
        <w:jc w:val="both"/>
      </w:pPr>
      <w:r>
        <w:rPr/>
        <w:t>指在日常活动中，存货的估计售价减去至完工时估计将要发生的成本、估计的销售费用以</w:t>
      </w:r>
      <w:r>
        <w:rPr>
          <w:spacing w:val="-57"/>
        </w:rPr>
        <w:t> </w:t>
      </w:r>
      <w:r>
        <w:rPr>
          <w:spacing w:val="-57"/>
        </w:rPr>
      </w:r>
      <w:r>
        <w:rPr/>
        <w:t>及相关税费后的金额。公司确定存货的可变现净值，以取得的确凿证据为基础，并且考虑</w:t>
      </w:r>
      <w:r>
        <w:rPr>
          <w:spacing w:val="-57"/>
        </w:rPr>
        <w:t> </w:t>
      </w:r>
      <w:r>
        <w:rPr>
          <w:spacing w:val="-57"/>
        </w:rPr>
      </w:r>
      <w:r>
        <w:rPr/>
        <w:t>持有存货的目的、资产负债表日后事项的影响等因素。</w:t>
      </w:r>
    </w:p>
    <w:p>
      <w:pPr>
        <w:pStyle w:val="BodyText"/>
        <w:spacing w:line="369" w:lineRule="auto" w:before="41"/>
        <w:ind w:left="576" w:right="5338" w:hanging="440"/>
        <w:jc w:val="left"/>
      </w:pPr>
      <w:r>
        <w:rPr>
          <w:rFonts w:ascii="Arial" w:hAnsi="Arial" w:cs="Arial" w:eastAsia="Arial" w:hint="default"/>
        </w:rPr>
        <w:t>3.9.4</w:t>
      </w:r>
      <w:r>
        <w:rPr/>
        <w:t>存货的盘存制度</w:t>
      </w:r>
      <w:r>
        <w:rPr>
          <w:w w:val="100"/>
        </w:rPr>
        <w:t> </w:t>
      </w:r>
      <w:r>
        <w:rPr>
          <w:spacing w:val="-1"/>
        </w:rPr>
        <w:t>存货盘存制度采用永续盘存制。</w:t>
      </w:r>
    </w:p>
    <w:p>
      <w:pPr>
        <w:pStyle w:val="BodyText"/>
        <w:spacing w:line="379" w:lineRule="auto" w:before="61"/>
        <w:ind w:left="576" w:right="715" w:hanging="440"/>
        <w:jc w:val="left"/>
      </w:pPr>
      <w:r>
        <w:rPr>
          <w:rFonts w:ascii="Arial" w:hAnsi="Arial" w:cs="Arial" w:eastAsia="Arial" w:hint="default"/>
        </w:rPr>
        <w:t>3.9.5</w:t>
      </w:r>
      <w:r>
        <w:rPr/>
        <w:t>低值易耗品和包装物的摊销方法</w:t>
      </w:r>
      <w:r>
        <w:rPr>
          <w:w w:val="100"/>
        </w:rPr>
        <w:t> </w:t>
      </w:r>
      <w:r>
        <w:rPr>
          <w:spacing w:val="-1"/>
        </w:rPr>
        <w:t>低值易耗品在领用时采用五五摊销法核算成本。</w:t>
      </w:r>
      <w:r>
        <w:rPr>
          <w:w w:val="100"/>
        </w:rPr>
        <w:t> </w:t>
      </w:r>
      <w:r>
        <w:rPr/>
        <w:t>包装物在领用时采用一次转销法核算成本。</w:t>
      </w:r>
    </w:p>
    <w:p>
      <w:pPr>
        <w:pStyle w:val="BodyText"/>
        <w:spacing w:line="240" w:lineRule="auto" w:before="52"/>
        <w:ind w:right="33"/>
        <w:jc w:val="left"/>
      </w:pPr>
      <w:r>
        <w:rPr>
          <w:rFonts w:ascii="Arial" w:hAnsi="Arial" w:cs="Arial" w:eastAsia="Arial" w:hint="default"/>
        </w:rPr>
        <w:t>3.10</w:t>
      </w:r>
      <w:r>
        <w:rPr/>
        <w:t>长期股权投资</w:t>
      </w:r>
    </w:p>
    <w:p>
      <w:pPr>
        <w:pStyle w:val="BodyText"/>
        <w:spacing w:line="369" w:lineRule="auto" w:before="164"/>
        <w:ind w:left="576" w:right="33" w:hanging="440"/>
        <w:jc w:val="left"/>
      </w:pPr>
      <w:r>
        <w:rPr>
          <w:rFonts w:ascii="Arial" w:hAnsi="Arial" w:cs="Arial" w:eastAsia="Arial" w:hint="default"/>
        </w:rPr>
        <w:t>3.10.1</w:t>
      </w:r>
      <w:r>
        <w:rPr/>
        <w:t>投资成本的确定</w:t>
      </w:r>
      <w:r>
        <w:rPr>
          <w:w w:val="100"/>
        </w:rPr>
        <w:t> </w:t>
      </w:r>
      <w:r>
        <w:rPr>
          <w:spacing w:val="-2"/>
        </w:rPr>
        <w:t>企业合并形成的长期股权投资，按照本附注“</w:t>
      </w:r>
      <w:r>
        <w:rPr>
          <w:rFonts w:ascii="Arial" w:hAnsi="Arial" w:cs="Arial" w:eastAsia="Arial" w:hint="default"/>
          <w:spacing w:val="-2"/>
        </w:rPr>
        <w:t>3.3</w:t>
      </w:r>
      <w:r>
        <w:rPr>
          <w:spacing w:val="-2"/>
        </w:rPr>
        <w:t>同一控制下和非同一控制下企业合并</w:t>
      </w:r>
    </w:p>
    <w:p>
      <w:pPr>
        <w:pStyle w:val="BodyText"/>
        <w:spacing w:line="391" w:lineRule="auto" w:before="31"/>
        <w:ind w:right="215"/>
        <w:jc w:val="both"/>
      </w:pPr>
      <w:r>
        <w:rPr/>
        <w:t>的会计处理方法”的相关内容确认初始投资成本；除企业合并形成的长期股权投资以外，</w:t>
      </w:r>
      <w:r>
        <w:rPr>
          <w:spacing w:val="-57"/>
        </w:rPr>
        <w:t> </w:t>
      </w:r>
      <w:r>
        <w:rPr>
          <w:spacing w:val="-57"/>
        </w:rPr>
      </w:r>
      <w:r>
        <w:rPr/>
        <w:t>其他方式取得的长期股权投资，按照下述方法确认其初始投资成本：</w:t>
      </w:r>
    </w:p>
    <w:p>
      <w:pPr>
        <w:pStyle w:val="BodyText"/>
        <w:spacing w:line="240" w:lineRule="auto" w:before="41"/>
        <w:ind w:left="576" w:right="33"/>
        <w:jc w:val="left"/>
      </w:pPr>
      <w:r>
        <w:rPr>
          <w:rFonts w:ascii="Arial" w:hAnsi="Arial" w:cs="Arial" w:eastAsia="Arial" w:hint="default"/>
          <w:spacing w:val="-1"/>
          <w:w w:val="100"/>
        </w:rPr>
        <w:t>1</w:t>
      </w:r>
      <w:r>
        <w:rPr>
          <w:spacing w:val="-87"/>
          <w:w w:val="100"/>
        </w:rPr>
        <w:t>）</w:t>
      </w:r>
      <w:r>
        <w:rPr>
          <w:w w:val="100"/>
        </w:rPr>
        <w:t>以支</w:t>
      </w:r>
      <w:r>
        <w:rPr>
          <w:spacing w:val="-3"/>
          <w:w w:val="100"/>
        </w:rPr>
        <w:t>付</w:t>
      </w:r>
      <w:r>
        <w:rPr>
          <w:w w:val="100"/>
        </w:rPr>
        <w:t>现金</w:t>
      </w:r>
      <w:r>
        <w:rPr>
          <w:spacing w:val="-3"/>
          <w:w w:val="100"/>
        </w:rPr>
        <w:t>方</w:t>
      </w:r>
      <w:r>
        <w:rPr>
          <w:w w:val="100"/>
        </w:rPr>
        <w:t>式取</w:t>
      </w:r>
      <w:r>
        <w:rPr>
          <w:spacing w:val="-3"/>
          <w:w w:val="100"/>
        </w:rPr>
        <w:t>得的</w:t>
      </w:r>
      <w:r>
        <w:rPr>
          <w:w w:val="100"/>
        </w:rPr>
        <w:t>长期股</w:t>
      </w:r>
      <w:r>
        <w:rPr>
          <w:spacing w:val="-3"/>
          <w:w w:val="100"/>
        </w:rPr>
        <w:t>权</w:t>
      </w:r>
      <w:r>
        <w:rPr>
          <w:w w:val="100"/>
        </w:rPr>
        <w:t>投资</w:t>
      </w:r>
      <w:r>
        <w:rPr>
          <w:spacing w:val="-89"/>
          <w:w w:val="100"/>
        </w:rPr>
        <w:t>，</w:t>
      </w:r>
      <w:r>
        <w:rPr>
          <w:w w:val="100"/>
        </w:rPr>
        <w:t>按照实</w:t>
      </w:r>
      <w:r>
        <w:rPr>
          <w:spacing w:val="-3"/>
          <w:w w:val="100"/>
        </w:rPr>
        <w:t>际</w:t>
      </w:r>
      <w:r>
        <w:rPr>
          <w:w w:val="100"/>
        </w:rPr>
        <w:t>支付的</w:t>
      </w:r>
      <w:r>
        <w:rPr>
          <w:spacing w:val="-3"/>
          <w:w w:val="100"/>
        </w:rPr>
        <w:t>购</w:t>
      </w:r>
      <w:r>
        <w:rPr>
          <w:w w:val="100"/>
        </w:rPr>
        <w:t>买价</w:t>
      </w:r>
      <w:r>
        <w:rPr>
          <w:spacing w:val="-3"/>
          <w:w w:val="100"/>
        </w:rPr>
        <w:t>款</w:t>
      </w:r>
      <w:r>
        <w:rPr>
          <w:w w:val="100"/>
        </w:rPr>
        <w:t>作为</w:t>
      </w:r>
      <w:r>
        <w:rPr>
          <w:spacing w:val="-3"/>
          <w:w w:val="100"/>
        </w:rPr>
        <w:t>初始</w:t>
      </w:r>
      <w:r>
        <w:rPr>
          <w:w w:val="100"/>
        </w:rPr>
        <w:t>投资成本。</w:t>
      </w:r>
    </w:p>
    <w:p>
      <w:pPr>
        <w:pStyle w:val="BodyText"/>
        <w:spacing w:line="369" w:lineRule="auto" w:before="164"/>
        <w:ind w:right="220" w:firstLine="439"/>
        <w:jc w:val="both"/>
      </w:pPr>
      <w:r>
        <w:rPr>
          <w:rFonts w:ascii="Arial" w:hAnsi="Arial" w:cs="Arial" w:eastAsia="Arial" w:hint="default"/>
          <w:spacing w:val="-3"/>
        </w:rPr>
        <w:t>2</w:t>
      </w:r>
      <w:r>
        <w:rPr>
          <w:spacing w:val="-3"/>
        </w:rPr>
        <w:t>）以发行权益性证券取得的长期股权投资，按照发行权益性证券的公允价值作为初始</w:t>
      </w:r>
      <w:r>
        <w:rPr>
          <w:w w:val="100"/>
        </w:rPr>
        <w:t> </w:t>
      </w:r>
      <w:r>
        <w:rPr/>
        <w:t>投资成本。</w:t>
      </w:r>
    </w:p>
    <w:p>
      <w:pPr>
        <w:pStyle w:val="BodyText"/>
        <w:spacing w:line="369" w:lineRule="auto" w:before="61"/>
        <w:ind w:right="158" w:firstLine="439"/>
        <w:jc w:val="both"/>
      </w:pPr>
      <w:r>
        <w:rPr>
          <w:rFonts w:ascii="Arial" w:hAnsi="Arial" w:cs="Arial" w:eastAsia="Arial" w:hint="default"/>
          <w:spacing w:val="-1"/>
        </w:rPr>
        <w:t>3</w:t>
      </w:r>
      <w:r>
        <w:rPr>
          <w:spacing w:val="-1"/>
        </w:rPr>
        <w:t>）投资者投入的长期股权投资，按照投资合同或协议约定的价值作为初始投资成本，</w:t>
      </w:r>
      <w:r>
        <w:rPr>
          <w:w w:val="100"/>
        </w:rPr>
        <w:t> </w:t>
      </w:r>
      <w:r>
        <w:rPr/>
        <w:t>但合同或协议约定价值不公允的除外。</w:t>
      </w:r>
    </w:p>
    <w:p>
      <w:pPr>
        <w:pStyle w:val="BodyText"/>
        <w:spacing w:line="384" w:lineRule="auto" w:before="61"/>
        <w:ind w:right="215" w:firstLine="439"/>
        <w:jc w:val="both"/>
      </w:pPr>
      <w:r>
        <w:rPr>
          <w:rFonts w:ascii="Arial" w:hAnsi="Arial" w:cs="Arial" w:eastAsia="Arial" w:hint="default"/>
          <w:spacing w:val="-3"/>
        </w:rPr>
        <w:t>4</w:t>
      </w:r>
      <w:r>
        <w:rPr>
          <w:spacing w:val="-3"/>
        </w:rPr>
        <w:t>）在非货币性资产交换具备商业实质和换入资产或换出资产的公允价值能够可靠计量</w:t>
      </w:r>
      <w:r>
        <w:rPr>
          <w:w w:val="100"/>
        </w:rPr>
        <w:t> </w:t>
      </w:r>
      <w:r>
        <w:rPr/>
        <w:t>的前提下，非货币性资产交换换入的长期股权投资以换出资产的公允价值为基础确定其初</w:t>
      </w:r>
      <w:r>
        <w:rPr>
          <w:spacing w:val="-57"/>
        </w:rPr>
        <w:t> </w:t>
      </w:r>
      <w:r>
        <w:rPr>
          <w:spacing w:val="-57"/>
        </w:rPr>
      </w:r>
      <w:r>
        <w:rPr/>
        <w:t>始投资成本，除非有确凿证据表明换入资产的公允价值更加可靠；不满足上述前提的非货</w:t>
      </w:r>
      <w:r>
        <w:rPr>
          <w:spacing w:val="-57"/>
        </w:rPr>
        <w:t> </w:t>
      </w:r>
      <w:r>
        <w:rPr>
          <w:spacing w:val="-57"/>
        </w:rPr>
      </w:r>
      <w:r>
        <w:rPr/>
        <w:t>币性资产交换，以换出资产的账面价值和应支付的相关税费作为换入长期股权投资的初始</w:t>
      </w:r>
      <w:r>
        <w:rPr>
          <w:spacing w:val="-57"/>
        </w:rPr>
        <w:t> </w:t>
      </w:r>
      <w:r>
        <w:rPr>
          <w:spacing w:val="-57"/>
        </w:rPr>
      </w:r>
      <w:r>
        <w:rPr/>
        <w:t>投资成本。</w:t>
      </w:r>
    </w:p>
    <w:p>
      <w:pPr>
        <w:pStyle w:val="BodyText"/>
        <w:spacing w:line="240" w:lineRule="auto" w:before="48"/>
        <w:ind w:left="576" w:right="33"/>
        <w:jc w:val="left"/>
      </w:pPr>
      <w:r>
        <w:rPr>
          <w:rFonts w:ascii="Arial" w:hAnsi="Arial" w:cs="Arial" w:eastAsia="Arial" w:hint="default"/>
        </w:rPr>
        <w:t>5</w:t>
      </w:r>
      <w:r>
        <w:rPr/>
        <w:t>）通过债务重组取得的长期股权投资，其初始投资成本按照公允价值为基础确定。</w:t>
      </w:r>
    </w:p>
    <w:p>
      <w:pPr>
        <w:pStyle w:val="BodyText"/>
        <w:spacing w:line="369" w:lineRule="auto" w:before="164"/>
        <w:ind w:left="576" w:right="33" w:hanging="440"/>
        <w:jc w:val="left"/>
      </w:pPr>
      <w:r>
        <w:rPr>
          <w:rFonts w:ascii="Arial" w:hAnsi="Arial" w:cs="Arial" w:eastAsia="Arial" w:hint="default"/>
        </w:rPr>
        <w:t>3.10.2</w:t>
      </w:r>
      <w:r>
        <w:rPr/>
        <w:t>后续计量及损益确认方法</w:t>
      </w:r>
      <w:r>
        <w:rPr>
          <w:w w:val="100"/>
        </w:rPr>
        <w:t> </w:t>
      </w:r>
      <w:r>
        <w:rPr/>
        <w:t>公司对子公司的长期股权投资，采用成本法核算，编制合并财务报表时按照权益法进</w:t>
      </w:r>
    </w:p>
    <w:p>
      <w:pPr>
        <w:pStyle w:val="BodyText"/>
        <w:spacing w:line="240" w:lineRule="auto" w:before="61"/>
        <w:ind w:right="33"/>
        <w:jc w:val="left"/>
      </w:pPr>
      <w:r>
        <w:rPr/>
        <w:t>行调整。对被投资单位不具有共同控制或重大影响，并且在活跃市场中没有报价、公允价</w:t>
      </w:r>
    </w:p>
    <w:p>
      <w:pPr>
        <w:spacing w:after="0" w:line="240" w:lineRule="auto"/>
        <w:jc w:val="left"/>
        <w:sectPr>
          <w:footerReference w:type="default" r:id="rId57"/>
          <w:pgSz w:w="11900" w:h="16840"/>
          <w:pgMar w:footer="983" w:header="877" w:top="1100" w:bottom="1180" w:left="1660" w:right="1240"/>
          <w:pgNumType w:start="90"/>
        </w:sectPr>
      </w:pPr>
    </w:p>
    <w:p>
      <w:pPr>
        <w:spacing w:line="240" w:lineRule="auto" w:before="4"/>
        <w:rPr>
          <w:rFonts w:ascii="宋体" w:hAnsi="宋体" w:cs="宋体" w:eastAsia="宋体" w:hint="default"/>
          <w:sz w:val="26"/>
          <w:szCs w:val="26"/>
        </w:rPr>
      </w:pPr>
    </w:p>
    <w:p>
      <w:pPr>
        <w:pStyle w:val="BodyText"/>
        <w:spacing w:line="391" w:lineRule="auto"/>
        <w:ind w:right="215"/>
        <w:jc w:val="both"/>
      </w:pPr>
      <w:r>
        <w:rPr/>
        <w:t>值不能可靠计量的长期股权投资，采用成本法核算。对被投资单位具有共同控制或重大影</w:t>
      </w:r>
      <w:r>
        <w:rPr>
          <w:spacing w:val="-57"/>
        </w:rPr>
        <w:t> </w:t>
      </w:r>
      <w:r>
        <w:rPr>
          <w:spacing w:val="-57"/>
        </w:rPr>
      </w:r>
      <w:r>
        <w:rPr/>
        <w:t>响的长期股权投资，采用权益法核算。</w:t>
      </w:r>
    </w:p>
    <w:p>
      <w:pPr>
        <w:pStyle w:val="BodyText"/>
        <w:spacing w:line="369" w:lineRule="auto" w:before="41"/>
        <w:ind w:left="576" w:right="33" w:hanging="440"/>
        <w:jc w:val="left"/>
      </w:pPr>
      <w:r>
        <w:rPr>
          <w:rFonts w:ascii="Arial" w:hAnsi="Arial" w:cs="Arial" w:eastAsia="Arial" w:hint="default"/>
        </w:rPr>
        <w:t>3.10.2</w:t>
      </w:r>
      <w:r>
        <w:rPr/>
        <w:t>后续计量及损益确认方法（续）</w:t>
      </w:r>
      <w:r>
        <w:rPr>
          <w:w w:val="100"/>
        </w:rPr>
        <w:t> </w:t>
      </w:r>
      <w:r>
        <w:rPr/>
        <w:t>采用成本法核算的长期股权投资，除取得投资时实际支付的价款或对价中包含的已宣</w:t>
      </w:r>
    </w:p>
    <w:p>
      <w:pPr>
        <w:pStyle w:val="BodyText"/>
        <w:spacing w:line="391" w:lineRule="auto" w:before="61"/>
        <w:ind w:right="215"/>
        <w:jc w:val="both"/>
      </w:pPr>
      <w:r>
        <w:rPr/>
        <w:t>告但尚未发放的现金股利或利润外，投资企业应当按照享有被投资单位宣告发放的现金股</w:t>
      </w:r>
      <w:r>
        <w:rPr>
          <w:spacing w:val="-57"/>
        </w:rPr>
        <w:t> </w:t>
      </w:r>
      <w:r>
        <w:rPr>
          <w:spacing w:val="-57"/>
        </w:rPr>
      </w:r>
      <w:r>
        <w:rPr/>
        <w:t>利或利润确认投资收益。采用权益法核算的长期股权投资，初始投资成本大于投资时应享</w:t>
      </w:r>
      <w:r>
        <w:rPr>
          <w:spacing w:val="-57"/>
        </w:rPr>
        <w:t> </w:t>
      </w:r>
      <w:r>
        <w:rPr>
          <w:spacing w:val="-57"/>
        </w:rPr>
      </w:r>
      <w:r>
        <w:rPr/>
        <w:t>有被投资单位可辨认净资产公允价值份额的，其差额包含在初始投资成本中；初始投资成</w:t>
      </w:r>
      <w:r>
        <w:rPr>
          <w:spacing w:val="-57"/>
        </w:rPr>
        <w:t> </w:t>
      </w:r>
      <w:r>
        <w:rPr>
          <w:spacing w:val="-57"/>
        </w:rPr>
      </w:r>
      <w:r>
        <w:rPr/>
        <w:t>本小于投资时应享有被投资单位可辨认净资产公允价值份额且经复核两者差额仍存在时，</w:t>
      </w:r>
      <w:r>
        <w:rPr>
          <w:spacing w:val="-57"/>
        </w:rPr>
        <w:t> </w:t>
      </w:r>
      <w:r>
        <w:rPr>
          <w:spacing w:val="-57"/>
        </w:rPr>
      </w:r>
      <w:r>
        <w:rPr/>
        <w:t>该差额计入当期损益，同时调整长期股权投资成本。</w:t>
      </w:r>
    </w:p>
    <w:p>
      <w:pPr>
        <w:pStyle w:val="BodyText"/>
        <w:spacing w:line="391" w:lineRule="auto" w:before="41"/>
        <w:ind w:right="33" w:firstLine="439"/>
        <w:jc w:val="left"/>
      </w:pPr>
      <w:r>
        <w:rPr>
          <w:spacing w:val="-3"/>
        </w:rPr>
        <w:t>采用权益法核算时，按应享有或应分担的被投资单位的净损益份额确认当期投资损益。</w:t>
      </w:r>
      <w:r>
        <w:rPr>
          <w:w w:val="100"/>
        </w:rPr>
        <w:t> </w:t>
      </w:r>
      <w:r>
        <w:rPr/>
        <w:t>确认被投资单位发生的净亏损，以长期股权投资的账面价值以及其他实质上构成对被投资</w:t>
      </w:r>
      <w:r>
        <w:rPr>
          <w:spacing w:val="-57"/>
        </w:rPr>
        <w:t> </w:t>
      </w:r>
      <w:r>
        <w:rPr>
          <w:spacing w:val="-57"/>
        </w:rPr>
      </w:r>
      <w:r>
        <w:rPr/>
        <w:t>单位净投资的长期权益减记至零为限，但本公司负有承担额外损失义务且符合或有事项准</w:t>
      </w:r>
      <w:r>
        <w:rPr>
          <w:spacing w:val="-57"/>
        </w:rPr>
        <w:t> </w:t>
      </w:r>
      <w:r>
        <w:rPr>
          <w:spacing w:val="-57"/>
        </w:rPr>
      </w:r>
      <w:r>
        <w:rPr/>
        <w:t>则所规定的预计负债确认条件的，继续确认投资损失和预计负债。被投资单位除净损益以</w:t>
      </w:r>
      <w:r>
        <w:rPr>
          <w:spacing w:val="-57"/>
        </w:rPr>
        <w:t> </w:t>
      </w:r>
      <w:r>
        <w:rPr>
          <w:spacing w:val="-57"/>
        </w:rPr>
      </w:r>
      <w:r>
        <w:rPr>
          <w:spacing w:val="-3"/>
        </w:rPr>
        <w:t>外股东权益的其他变动，本公司按照持股比例计算应享有或承担的部分直接计入资本公积。</w:t>
      </w:r>
      <w:r>
        <w:rPr>
          <w:spacing w:val="-50"/>
        </w:rPr>
        <w:t> </w:t>
      </w:r>
      <w:r>
        <w:rPr>
          <w:spacing w:val="-50"/>
        </w:rPr>
      </w:r>
      <w:r>
        <w:rPr/>
        <w:t>被投资单位分派的利润或现金股利于宣告分派时按照本公司应分得的部分，相应减少长期</w:t>
      </w:r>
      <w:r>
        <w:rPr>
          <w:spacing w:val="-57"/>
        </w:rPr>
        <w:t> </w:t>
      </w:r>
      <w:r>
        <w:rPr>
          <w:spacing w:val="-57"/>
        </w:rPr>
      </w:r>
      <w:r>
        <w:rPr/>
        <w:t>股权投资的账面价值。本公司与被投资单位之间的交易产生的未实现损益在本公司拥有被</w:t>
      </w:r>
      <w:r>
        <w:rPr>
          <w:spacing w:val="-57"/>
        </w:rPr>
        <w:t> </w:t>
      </w:r>
      <w:r>
        <w:rPr>
          <w:spacing w:val="-57"/>
        </w:rPr>
      </w:r>
      <w:r>
        <w:rPr/>
        <w:t>投资单位的权益范围内予以抵销，惟该交易所转让的资产发生减值的，则相应的未实现损</w:t>
      </w:r>
      <w:r>
        <w:rPr>
          <w:spacing w:val="-57"/>
        </w:rPr>
        <w:t> </w:t>
      </w:r>
      <w:r>
        <w:rPr>
          <w:spacing w:val="-57"/>
        </w:rPr>
      </w:r>
      <w:r>
        <w:rPr/>
        <w:t>益不予抵销。</w:t>
      </w:r>
    </w:p>
    <w:p>
      <w:pPr>
        <w:pStyle w:val="BodyText"/>
        <w:spacing w:line="369" w:lineRule="auto" w:before="41"/>
        <w:ind w:left="576" w:right="33" w:hanging="440"/>
        <w:jc w:val="left"/>
      </w:pPr>
      <w:r>
        <w:rPr>
          <w:rFonts w:ascii="Arial" w:hAnsi="Arial" w:cs="Arial" w:eastAsia="Arial" w:hint="default"/>
        </w:rPr>
        <w:t>3.10.3</w:t>
      </w:r>
      <w:r>
        <w:rPr>
          <w:rFonts w:ascii="Arial" w:hAnsi="Arial" w:cs="Arial" w:eastAsia="Arial" w:hint="default"/>
          <w:spacing w:val="45"/>
        </w:rPr>
        <w:t> </w:t>
      </w:r>
      <w:r>
        <w:rPr/>
        <w:t>确定对被投资单位具有共同控制、重大影响的依据</w:t>
      </w:r>
      <w:r>
        <w:rPr>
          <w:w w:val="100"/>
        </w:rPr>
        <w:t> </w:t>
      </w:r>
      <w:r>
        <w:rPr/>
        <w:t>按照合同约定对某项经济活动所共有的控制，仅在与该项经济活动相关的重要财务和</w:t>
      </w:r>
    </w:p>
    <w:p>
      <w:pPr>
        <w:pStyle w:val="BodyText"/>
        <w:spacing w:line="391" w:lineRule="auto" w:before="61"/>
        <w:ind w:right="215"/>
        <w:jc w:val="both"/>
      </w:pPr>
      <w:r>
        <w:rPr/>
        <w:t>经营决策需要分享控制权的投资方一致同意时存在，则视为与其他方对被投资单位实施共</w:t>
      </w:r>
      <w:r>
        <w:rPr>
          <w:spacing w:val="-57"/>
        </w:rPr>
        <w:t> </w:t>
      </w:r>
      <w:r>
        <w:rPr>
          <w:spacing w:val="-57"/>
        </w:rPr>
      </w:r>
      <w:r>
        <w:rPr/>
        <w:t>同控制；对一个企业的财务和经营决策有参与决策的权力，但并不能够控制或者与其他方</w:t>
      </w:r>
      <w:r>
        <w:rPr>
          <w:spacing w:val="-57"/>
        </w:rPr>
        <w:t> </w:t>
      </w:r>
      <w:r>
        <w:rPr>
          <w:spacing w:val="-57"/>
        </w:rPr>
      </w:r>
      <w:r>
        <w:rPr/>
        <w:t>一起共同控制这些政策的制定，则视为对被投资单位施加重大影响。</w:t>
      </w:r>
    </w:p>
    <w:p>
      <w:pPr>
        <w:pStyle w:val="BodyText"/>
        <w:spacing w:line="369" w:lineRule="auto" w:before="41"/>
        <w:ind w:left="576" w:right="33" w:hanging="440"/>
        <w:jc w:val="left"/>
      </w:pPr>
      <w:r>
        <w:rPr>
          <w:rFonts w:ascii="Arial" w:hAnsi="Arial" w:cs="Arial" w:eastAsia="Arial" w:hint="default"/>
        </w:rPr>
        <w:t>3.10.4</w:t>
      </w:r>
      <w:r>
        <w:rPr>
          <w:rFonts w:ascii="Arial" w:hAnsi="Arial" w:cs="Arial" w:eastAsia="Arial" w:hint="default"/>
          <w:spacing w:val="46"/>
        </w:rPr>
        <w:t> </w:t>
      </w:r>
      <w:r>
        <w:rPr/>
        <w:t>减值测试方法及减值准备计提方法</w:t>
      </w:r>
      <w:r>
        <w:rPr>
          <w:w w:val="100"/>
        </w:rPr>
        <w:t> </w:t>
      </w:r>
      <w:r>
        <w:rPr>
          <w:spacing w:val="-3"/>
        </w:rPr>
        <w:t>采用成本法核算的、在活跃市场中没有报价、公允价值不能可靠计量的长期股权投资，</w:t>
      </w:r>
    </w:p>
    <w:p>
      <w:pPr>
        <w:pStyle w:val="BodyText"/>
        <w:spacing w:line="391" w:lineRule="auto" w:before="61"/>
        <w:ind w:right="215"/>
        <w:jc w:val="both"/>
      </w:pPr>
      <w:r>
        <w:rPr/>
        <w:t>其账面价值高于按照类似投资当时市场收益率对未来现金流量折现确定的现值，确认该项</w:t>
      </w:r>
      <w:r>
        <w:rPr>
          <w:spacing w:val="-57"/>
        </w:rPr>
        <w:t> </w:t>
      </w:r>
      <w:r>
        <w:rPr>
          <w:spacing w:val="-57"/>
        </w:rPr>
      </w:r>
      <w:r>
        <w:rPr/>
        <w:t>投资存在减值。采用权益法核算的联营企业和合营企业以及采用成本法核算的子公司的长</w:t>
      </w:r>
      <w:r>
        <w:rPr>
          <w:spacing w:val="-57"/>
        </w:rPr>
        <w:t> </w:t>
      </w:r>
      <w:r>
        <w:rPr>
          <w:spacing w:val="-57"/>
        </w:rPr>
      </w:r>
      <w:r>
        <w:rPr/>
        <w:t>期股权投资，当长期股权投资的账面价值高于可收回金额时，确认该项投资存在减值。长</w:t>
      </w:r>
      <w:r>
        <w:rPr>
          <w:spacing w:val="-57"/>
        </w:rPr>
        <w:t> </w:t>
      </w:r>
      <w:r>
        <w:rPr>
          <w:spacing w:val="-57"/>
        </w:rPr>
      </w:r>
      <w:r>
        <w:rPr/>
        <w:t>期股权投资存在减值迹象的，其账面价值减记至可收回金额。可收回金额根据长期股权投</w:t>
      </w:r>
      <w:r>
        <w:rPr>
          <w:spacing w:val="-57"/>
        </w:rPr>
        <w:t> </w:t>
      </w:r>
      <w:r>
        <w:rPr>
          <w:spacing w:val="-57"/>
        </w:rPr>
      </w:r>
      <w:r>
        <w:rPr/>
        <w:t>资的公允价值减去处置费用后的净额与长期股权投资预计未来现金流量的现值两者之间较</w:t>
      </w:r>
    </w:p>
    <w:p>
      <w:pPr>
        <w:spacing w:after="0" w:line="391" w:lineRule="auto"/>
        <w:jc w:val="both"/>
        <w:sectPr>
          <w:footerReference w:type="default" r:id="rId58"/>
          <w:pgSz w:w="11900" w:h="16840"/>
          <w:pgMar w:footer="983" w:header="877" w:top="1100" w:bottom="1180" w:left="1660" w:right="1240"/>
          <w:pgNumType w:start="91"/>
        </w:sectPr>
      </w:pPr>
    </w:p>
    <w:p>
      <w:pPr>
        <w:spacing w:line="240" w:lineRule="auto" w:before="4"/>
        <w:rPr>
          <w:rFonts w:ascii="宋体" w:hAnsi="宋体" w:cs="宋体" w:eastAsia="宋体" w:hint="default"/>
          <w:sz w:val="26"/>
          <w:szCs w:val="26"/>
        </w:rPr>
      </w:pPr>
    </w:p>
    <w:p>
      <w:pPr>
        <w:pStyle w:val="BodyText"/>
        <w:spacing w:line="240" w:lineRule="auto"/>
        <w:ind w:left="237" w:right="125"/>
        <w:jc w:val="left"/>
      </w:pPr>
      <w:r>
        <w:rPr/>
        <w:t>高者确定。</w:t>
      </w:r>
    </w:p>
    <w:p>
      <w:pPr>
        <w:pStyle w:val="BodyText"/>
        <w:spacing w:line="240" w:lineRule="auto" w:before="180"/>
        <w:ind w:left="237" w:right="125"/>
        <w:jc w:val="left"/>
      </w:pPr>
      <w:r>
        <w:rPr>
          <w:rFonts w:ascii="Arial" w:hAnsi="Arial" w:cs="Arial" w:eastAsia="Arial" w:hint="default"/>
          <w:spacing w:val="-3"/>
        </w:rPr>
        <w:t>3.11</w:t>
      </w:r>
      <w:r>
        <w:rPr>
          <w:spacing w:val="-3"/>
        </w:rPr>
        <w:t>固定资产</w:t>
      </w:r>
    </w:p>
    <w:p>
      <w:pPr>
        <w:pStyle w:val="BodyText"/>
        <w:spacing w:line="369" w:lineRule="auto" w:before="164"/>
        <w:ind w:left="676" w:right="125" w:hanging="440"/>
        <w:jc w:val="left"/>
      </w:pPr>
      <w:r>
        <w:rPr>
          <w:rFonts w:ascii="Arial" w:hAnsi="Arial" w:cs="Arial" w:eastAsia="Arial" w:hint="default"/>
          <w:spacing w:val="-3"/>
        </w:rPr>
        <w:t>3.11.1</w:t>
      </w:r>
      <w:r>
        <w:rPr>
          <w:rFonts w:ascii="Arial" w:hAnsi="Arial" w:cs="Arial" w:eastAsia="Arial" w:hint="default"/>
          <w:spacing w:val="48"/>
        </w:rPr>
        <w:t> </w:t>
      </w:r>
      <w:r>
        <w:rPr/>
        <w:t>固定资产确认条件</w:t>
      </w:r>
      <w:r>
        <w:rPr>
          <w:w w:val="100"/>
        </w:rPr>
        <w:t> </w:t>
      </w:r>
      <w:r>
        <w:rPr/>
        <w:t>固定资产是指为生产商品、提供劳务、出租或经营管理而持有的，使用寿命超过一个</w:t>
      </w:r>
    </w:p>
    <w:p>
      <w:pPr>
        <w:pStyle w:val="BodyText"/>
        <w:spacing w:line="391" w:lineRule="auto" w:before="61"/>
        <w:ind w:left="676" w:right="324" w:hanging="440"/>
        <w:jc w:val="left"/>
      </w:pPr>
      <w:r>
        <w:rPr>
          <w:spacing w:val="-1"/>
        </w:rPr>
        <w:t>会计年度的有形资产。固定资产同时满足下列条件的，才能予以确认：</w:t>
      </w:r>
      <w:r>
        <w:rPr>
          <w:spacing w:val="-89"/>
        </w:rPr>
        <w:t> </w:t>
      </w:r>
      <w:r>
        <w:rPr>
          <w:spacing w:val="-89"/>
        </w:rPr>
      </w:r>
      <w:r>
        <w:rPr/>
        <w:t>与该固定资产有关的经济利益很可能流入企业；</w:t>
      </w:r>
      <w:r>
        <w:rPr>
          <w:w w:val="100"/>
        </w:rPr>
        <w:t> </w:t>
      </w:r>
      <w:r>
        <w:rPr/>
        <w:t>该固定资产的成本能够可靠地计量。</w:t>
      </w:r>
    </w:p>
    <w:p>
      <w:pPr>
        <w:pStyle w:val="BodyText"/>
        <w:spacing w:line="369" w:lineRule="auto" w:before="41"/>
        <w:ind w:left="676" w:right="125" w:hanging="440"/>
        <w:jc w:val="left"/>
      </w:pPr>
      <w:r>
        <w:rPr>
          <w:rFonts w:ascii="Arial" w:hAnsi="Arial" w:cs="Arial" w:eastAsia="Arial" w:hint="default"/>
          <w:spacing w:val="-3"/>
        </w:rPr>
        <w:t>3.11.2</w:t>
      </w:r>
      <w:r>
        <w:rPr>
          <w:rFonts w:ascii="Arial" w:hAnsi="Arial" w:cs="Arial" w:eastAsia="Arial" w:hint="default"/>
          <w:spacing w:val="48"/>
        </w:rPr>
        <w:t> </w:t>
      </w:r>
      <w:r>
        <w:rPr/>
        <w:t>固定资产初始计量和后续计量</w:t>
      </w:r>
      <w:r>
        <w:rPr>
          <w:w w:val="100"/>
        </w:rPr>
        <w:t> </w:t>
      </w:r>
      <w:r>
        <w:rPr/>
        <w:t>购置或新建的固定资产按取得时的实际成本进行初始计量。本公司在进行公司制改建</w:t>
      </w:r>
    </w:p>
    <w:p>
      <w:pPr>
        <w:pStyle w:val="BodyText"/>
        <w:spacing w:line="391" w:lineRule="auto" w:before="61"/>
        <w:ind w:left="237" w:right="125"/>
        <w:jc w:val="left"/>
      </w:pPr>
      <w:r>
        <w:rPr/>
        <w:t>时，国有股股东投入的固定资产，按国有资产管理部门确认的评估值作为入账价值。与固</w:t>
      </w:r>
      <w:r>
        <w:rPr>
          <w:spacing w:val="-57"/>
        </w:rPr>
        <w:t> </w:t>
      </w:r>
      <w:r>
        <w:rPr>
          <w:spacing w:val="-57"/>
        </w:rPr>
      </w:r>
      <w:r>
        <w:rPr>
          <w:spacing w:val="-3"/>
        </w:rPr>
        <w:t>定资产有关的后续支出，在相关的经济利益很可能流入本公司且其成本能够可靠的计量时，</w:t>
      </w:r>
      <w:r>
        <w:rPr>
          <w:spacing w:val="-50"/>
        </w:rPr>
        <w:t> </w:t>
      </w:r>
      <w:r>
        <w:rPr>
          <w:spacing w:val="-50"/>
        </w:rPr>
      </w:r>
      <w:r>
        <w:rPr/>
        <w:t>计入固定资产成本；对于被替换的部分，终止确认其账面价值；所有其他后续支出于发生</w:t>
      </w:r>
      <w:r>
        <w:rPr>
          <w:spacing w:val="-57"/>
        </w:rPr>
        <w:t> </w:t>
      </w:r>
      <w:r>
        <w:rPr>
          <w:spacing w:val="-57"/>
        </w:rPr>
      </w:r>
      <w:r>
        <w:rPr/>
        <w:t>时计入当期损益。当固定资产被处置、或者预期通过使用或处置不能产生经济利益时，终</w:t>
      </w:r>
      <w:r>
        <w:rPr>
          <w:spacing w:val="-57"/>
        </w:rPr>
        <w:t> </w:t>
      </w:r>
      <w:r>
        <w:rPr>
          <w:spacing w:val="-57"/>
        </w:rPr>
      </w:r>
      <w:r>
        <w:rPr/>
        <w:t>止确认该固定资产。固定资产出售、转让、报废或毁损的处置收入扣除其账面价值和相关</w:t>
      </w:r>
      <w:r>
        <w:rPr>
          <w:spacing w:val="-57"/>
        </w:rPr>
        <w:t> </w:t>
      </w:r>
      <w:r>
        <w:rPr>
          <w:spacing w:val="-57"/>
        </w:rPr>
      </w:r>
      <w:r>
        <w:rPr/>
        <w:t>税费后的金额计入当期损益。</w:t>
      </w:r>
    </w:p>
    <w:p>
      <w:pPr>
        <w:pStyle w:val="BodyText"/>
        <w:spacing w:line="240" w:lineRule="auto" w:before="41"/>
        <w:ind w:left="237" w:right="125"/>
        <w:jc w:val="left"/>
      </w:pPr>
      <w:r>
        <w:rPr>
          <w:rFonts w:ascii="Arial" w:hAnsi="Arial" w:cs="Arial" w:eastAsia="Arial" w:hint="default"/>
          <w:spacing w:val="-3"/>
        </w:rPr>
        <w:t>3.11.3</w:t>
      </w:r>
      <w:r>
        <w:rPr>
          <w:rFonts w:ascii="Arial" w:hAnsi="Arial" w:cs="Arial" w:eastAsia="Arial" w:hint="default"/>
          <w:spacing w:val="48"/>
        </w:rPr>
        <w:t> </w:t>
      </w:r>
      <w:r>
        <w:rPr/>
        <w:t>各类固定资产的折旧方法</w:t>
      </w:r>
    </w:p>
    <w:p>
      <w:pPr>
        <w:spacing w:line="240" w:lineRule="auto" w:before="5"/>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3595"/>
        <w:gridCol w:w="1781"/>
        <w:gridCol w:w="1716"/>
        <w:gridCol w:w="1764"/>
      </w:tblGrid>
      <w:tr>
        <w:trPr>
          <w:trHeight w:val="334" w:hRule="exact"/>
        </w:trPr>
        <w:tc>
          <w:tcPr>
            <w:tcW w:w="3595"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161"/>
              <w:jc w:val="center"/>
              <w:rPr>
                <w:rFonts w:ascii="宋体" w:hAnsi="宋体" w:cs="宋体" w:eastAsia="宋体" w:hint="default"/>
                <w:sz w:val="18"/>
                <w:szCs w:val="18"/>
              </w:rPr>
            </w:pPr>
            <w:r>
              <w:rPr>
                <w:rFonts w:ascii="宋体" w:hAnsi="宋体" w:cs="宋体" w:eastAsia="宋体" w:hint="default"/>
                <w:sz w:val="18"/>
                <w:szCs w:val="18"/>
              </w:rPr>
              <w:t>类别</w:t>
            </w:r>
          </w:p>
        </w:tc>
        <w:tc>
          <w:tcPr>
            <w:tcW w:w="1781"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24"/>
              <w:jc w:val="center"/>
              <w:rPr>
                <w:rFonts w:ascii="宋体" w:hAnsi="宋体" w:cs="宋体" w:eastAsia="宋体" w:hint="default"/>
                <w:sz w:val="18"/>
                <w:szCs w:val="18"/>
              </w:rPr>
            </w:pPr>
            <w:r>
              <w:rPr>
                <w:rFonts w:ascii="宋体" w:hAnsi="宋体" w:cs="宋体" w:eastAsia="宋体" w:hint="default"/>
                <w:sz w:val="18"/>
                <w:szCs w:val="18"/>
              </w:rPr>
              <w:t>折旧年限（年）</w:t>
            </w:r>
          </w:p>
        </w:tc>
        <w:tc>
          <w:tcPr>
            <w:tcW w:w="1716"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764"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334" w:hRule="exact"/>
        </w:trPr>
        <w:tc>
          <w:tcPr>
            <w:tcW w:w="3595"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116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781"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24"/>
              <w:jc w:val="center"/>
              <w:rPr>
                <w:rFonts w:ascii="宋体" w:hAnsi="宋体" w:cs="宋体" w:eastAsia="宋体" w:hint="default"/>
                <w:sz w:val="18"/>
                <w:szCs w:val="18"/>
              </w:rPr>
            </w:pPr>
            <w:r>
              <w:rPr>
                <w:rFonts w:ascii="宋体" w:hAnsi="宋体" w:cs="宋体" w:eastAsia="宋体" w:hint="default"/>
                <w:sz w:val="18"/>
                <w:szCs w:val="18"/>
              </w:rPr>
              <w:t>5-30</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716"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5%</w:t>
            </w:r>
          </w:p>
        </w:tc>
        <w:tc>
          <w:tcPr>
            <w:tcW w:w="1764"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3.17%-19%</w:t>
            </w:r>
          </w:p>
        </w:tc>
      </w:tr>
      <w:tr>
        <w:trPr>
          <w:trHeight w:val="334" w:hRule="exact"/>
        </w:trPr>
        <w:tc>
          <w:tcPr>
            <w:tcW w:w="3595"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781"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26"/>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716"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5%</w:t>
            </w:r>
          </w:p>
        </w:tc>
        <w:tc>
          <w:tcPr>
            <w:tcW w:w="1764"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19%</w:t>
            </w:r>
          </w:p>
        </w:tc>
      </w:tr>
      <w:tr>
        <w:trPr>
          <w:trHeight w:val="334" w:hRule="exact"/>
        </w:trPr>
        <w:tc>
          <w:tcPr>
            <w:tcW w:w="3595"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781"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26"/>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716"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5%</w:t>
            </w:r>
          </w:p>
        </w:tc>
        <w:tc>
          <w:tcPr>
            <w:tcW w:w="1764"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9.5%</w:t>
            </w:r>
          </w:p>
        </w:tc>
      </w:tr>
      <w:tr>
        <w:trPr>
          <w:trHeight w:val="331" w:hRule="exact"/>
        </w:trPr>
        <w:tc>
          <w:tcPr>
            <w:tcW w:w="3595"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1151"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781"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26"/>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716"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5%</w:t>
            </w:r>
          </w:p>
        </w:tc>
        <w:tc>
          <w:tcPr>
            <w:tcW w:w="1764"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19%</w:t>
            </w:r>
          </w:p>
        </w:tc>
      </w:tr>
    </w:tbl>
    <w:p>
      <w:pPr>
        <w:pStyle w:val="BodyText"/>
        <w:spacing w:line="391" w:lineRule="auto" w:before="57"/>
        <w:ind w:left="237" w:right="125" w:firstLine="439"/>
        <w:jc w:val="left"/>
      </w:pPr>
      <w:r>
        <w:rPr/>
        <w:t>于每年年度终了，对固定资产的预计使用寿命、预计净残值和折旧方法进行复核并作</w:t>
      </w:r>
      <w:r>
        <w:rPr>
          <w:w w:val="100"/>
        </w:rPr>
        <w:t> </w:t>
      </w:r>
      <w:r>
        <w:rPr/>
        <w:t>适当调整。</w:t>
      </w:r>
    </w:p>
    <w:p>
      <w:pPr>
        <w:pStyle w:val="BodyText"/>
        <w:spacing w:line="369" w:lineRule="auto" w:before="41"/>
        <w:ind w:left="676" w:right="125" w:hanging="440"/>
        <w:jc w:val="left"/>
      </w:pPr>
      <w:r>
        <w:rPr>
          <w:rFonts w:ascii="Arial" w:hAnsi="Arial" w:cs="Arial" w:eastAsia="Arial" w:hint="default"/>
          <w:spacing w:val="-3"/>
        </w:rPr>
        <w:t>3.11.4</w:t>
      </w:r>
      <w:r>
        <w:rPr>
          <w:rFonts w:ascii="Arial" w:hAnsi="Arial" w:cs="Arial" w:eastAsia="Arial" w:hint="default"/>
          <w:spacing w:val="47"/>
        </w:rPr>
        <w:t> </w:t>
      </w:r>
      <w:r>
        <w:rPr/>
        <w:t>固定资产的减值测试方法、减值准备计提方法</w:t>
      </w:r>
      <w:r>
        <w:rPr>
          <w:w w:val="100"/>
        </w:rPr>
        <w:t> </w:t>
      </w:r>
      <w:r>
        <w:rPr/>
        <w:t>当固定资产的公允价值减去处置费用后的净额和资产预计未来现金流量的现值均低于</w:t>
      </w:r>
    </w:p>
    <w:p>
      <w:pPr>
        <w:pStyle w:val="BodyText"/>
        <w:spacing w:line="391" w:lineRule="auto" w:before="61"/>
        <w:ind w:left="237" w:right="235"/>
        <w:jc w:val="both"/>
      </w:pPr>
      <w:r>
        <w:rPr/>
        <w:t>固定资产账面价值时，确认固定资产存在减值迹象。固定资产存在减值迹象的，其账面价</w:t>
      </w:r>
      <w:r>
        <w:rPr>
          <w:spacing w:val="-57"/>
        </w:rPr>
        <w:t> </w:t>
      </w:r>
      <w:r>
        <w:rPr>
          <w:spacing w:val="-57"/>
        </w:rPr>
      </w:r>
      <w:r>
        <w:rPr/>
        <w:t>值减记至可收回金额。可收回金额根据固定资产的公允价值减去处置费用后的净额与固定</w:t>
      </w:r>
      <w:r>
        <w:rPr>
          <w:spacing w:val="-57"/>
        </w:rPr>
        <w:t> </w:t>
      </w:r>
      <w:r>
        <w:rPr>
          <w:spacing w:val="-57"/>
        </w:rPr>
      </w:r>
      <w:r>
        <w:rPr/>
        <w:t>资产预计未来现金流量的现值两者之间较高者确定。</w:t>
      </w:r>
    </w:p>
    <w:p>
      <w:pPr>
        <w:pStyle w:val="BodyText"/>
        <w:spacing w:line="391" w:lineRule="auto" w:before="41"/>
        <w:ind w:left="237" w:right="125" w:firstLine="439"/>
        <w:jc w:val="left"/>
      </w:pPr>
      <w:r>
        <w:rPr>
          <w:spacing w:val="-3"/>
        </w:rPr>
        <w:t>符合持有待售条件的固定资产，以账面价值与公允价值减去处置费用孰低的金额列示。</w:t>
      </w:r>
      <w:r>
        <w:rPr>
          <w:w w:val="100"/>
        </w:rPr>
        <w:t> </w:t>
      </w:r>
      <w:r>
        <w:rPr/>
        <w:t>公允价值减去处置费用低于原账面价值的金额，确认为资产减值损失。</w:t>
      </w:r>
    </w:p>
    <w:p>
      <w:pPr>
        <w:pStyle w:val="BodyText"/>
        <w:spacing w:line="240" w:lineRule="auto" w:before="41"/>
        <w:ind w:left="237" w:right="0"/>
        <w:jc w:val="both"/>
      </w:pPr>
      <w:r>
        <w:rPr>
          <w:rFonts w:ascii="Arial" w:hAnsi="Arial" w:cs="Arial" w:eastAsia="Arial" w:hint="default"/>
        </w:rPr>
        <w:t>3.12</w:t>
      </w:r>
      <w:r>
        <w:rPr/>
        <w:t>在建工程</w:t>
      </w:r>
    </w:p>
    <w:p>
      <w:pPr>
        <w:spacing w:after="0" w:line="240" w:lineRule="auto"/>
        <w:jc w:val="both"/>
        <w:sectPr>
          <w:footerReference w:type="default" r:id="rId59"/>
          <w:pgSz w:w="11900" w:h="16840"/>
          <w:pgMar w:footer="983" w:header="877" w:top="1100" w:bottom="1180" w:left="1560" w:right="1220"/>
          <w:pgNumType w:start="92"/>
        </w:sectPr>
      </w:pPr>
    </w:p>
    <w:p>
      <w:pPr>
        <w:spacing w:line="240" w:lineRule="auto" w:before="4"/>
        <w:rPr>
          <w:rFonts w:ascii="宋体" w:hAnsi="宋体" w:cs="宋体" w:eastAsia="宋体" w:hint="default"/>
          <w:sz w:val="26"/>
          <w:szCs w:val="26"/>
        </w:rPr>
      </w:pPr>
    </w:p>
    <w:p>
      <w:pPr>
        <w:pStyle w:val="BodyText"/>
        <w:spacing w:line="391" w:lineRule="auto"/>
        <w:ind w:right="135" w:firstLine="439"/>
        <w:jc w:val="both"/>
      </w:pPr>
      <w:r>
        <w:rPr/>
        <w:t>在建工程按实际发生的成本计量。实际成本包括建筑费用、其他为使在建工程达到预</w:t>
      </w:r>
      <w:r>
        <w:rPr>
          <w:w w:val="100"/>
        </w:rPr>
        <w:t> </w:t>
      </w:r>
      <w:r>
        <w:rPr/>
        <w:t>定可使用状态所发生的必要支出以及在资产达到预定可使用状态之前所发生的符合资本化</w:t>
      </w:r>
      <w:r>
        <w:rPr>
          <w:spacing w:val="-57"/>
        </w:rPr>
        <w:t> </w:t>
      </w:r>
      <w:r>
        <w:rPr>
          <w:spacing w:val="-57"/>
        </w:rPr>
      </w:r>
      <w:r>
        <w:rPr/>
        <w:t>条件的借款费用。在建工程在达到预定可使用状态时，转入固定资产并自次月起开始计提</w:t>
      </w:r>
      <w:r>
        <w:rPr>
          <w:spacing w:val="-57"/>
        </w:rPr>
        <w:t> </w:t>
      </w:r>
      <w:r>
        <w:rPr>
          <w:spacing w:val="-57"/>
        </w:rPr>
      </w:r>
      <w:r>
        <w:rPr/>
        <w:t>折旧。</w:t>
      </w:r>
    </w:p>
    <w:p>
      <w:pPr>
        <w:pStyle w:val="BodyText"/>
        <w:spacing w:line="240" w:lineRule="auto" w:before="41"/>
        <w:ind w:left="576" w:right="137"/>
        <w:jc w:val="left"/>
      </w:pPr>
      <w:r>
        <w:rPr/>
        <w:t>当在建工程的可收回金额低于其账面价值时，账面价值减记至可收回金额。</w:t>
      </w:r>
    </w:p>
    <w:p>
      <w:pPr>
        <w:pStyle w:val="BodyText"/>
        <w:spacing w:line="240" w:lineRule="auto" w:before="180"/>
        <w:ind w:right="0"/>
        <w:jc w:val="both"/>
      </w:pPr>
      <w:r>
        <w:rPr>
          <w:rFonts w:ascii="Arial" w:hAnsi="Arial" w:cs="Arial" w:eastAsia="Arial" w:hint="default"/>
        </w:rPr>
        <w:t>3.13</w:t>
      </w:r>
      <w:r>
        <w:rPr/>
        <w:t>借款费用</w:t>
      </w:r>
    </w:p>
    <w:p>
      <w:pPr>
        <w:pStyle w:val="BodyText"/>
        <w:spacing w:line="386" w:lineRule="auto" w:before="164"/>
        <w:ind w:right="135" w:firstLine="439"/>
        <w:jc w:val="both"/>
      </w:pPr>
      <w:r>
        <w:rPr/>
        <w:t>发生的可直接归属于需要经过相当长时间的购建活动才能达到预定可使用状态之固定</w:t>
      </w:r>
      <w:r>
        <w:rPr>
          <w:w w:val="100"/>
        </w:rPr>
        <w:t> </w:t>
      </w:r>
      <w:r>
        <w:rPr/>
        <w:t>资产的购建的借款费用，在资产支出及借款费用已经发生、为使资产达到预定可使用状态</w:t>
      </w:r>
      <w:r>
        <w:rPr>
          <w:spacing w:val="-57"/>
        </w:rPr>
        <w:t> </w:t>
      </w:r>
      <w:r>
        <w:rPr>
          <w:spacing w:val="-57"/>
        </w:rPr>
      </w:r>
      <w:r>
        <w:rPr/>
        <w:t>所必要的购建活动已经开始时，开始资本化并计入该资产的成本。当购建的资产达到预定</w:t>
      </w:r>
      <w:r>
        <w:rPr>
          <w:spacing w:val="-57"/>
        </w:rPr>
        <w:t> </w:t>
      </w:r>
      <w:r>
        <w:rPr>
          <w:spacing w:val="-57"/>
        </w:rPr>
      </w:r>
      <w:r>
        <w:rPr/>
        <w:t>可使用状态时停止资本化，其后发生的借款费用计入当期损益。如果资产的购建活动发生</w:t>
      </w:r>
      <w:r>
        <w:rPr>
          <w:spacing w:val="-57"/>
        </w:rPr>
        <w:t> </w:t>
      </w:r>
      <w:r>
        <w:rPr>
          <w:spacing w:val="-57"/>
        </w:rPr>
      </w:r>
      <w:r>
        <w:rPr>
          <w:spacing w:val="-3"/>
        </w:rPr>
        <w:t>非正常中断，并且中断时间连续超过</w:t>
      </w:r>
      <w:r>
        <w:rPr>
          <w:rFonts w:ascii="Arial" w:hAnsi="Arial" w:cs="Arial" w:eastAsia="Arial" w:hint="default"/>
          <w:spacing w:val="-3"/>
        </w:rPr>
        <w:t>3</w:t>
      </w:r>
      <w:r>
        <w:rPr>
          <w:spacing w:val="-3"/>
        </w:rPr>
        <w:t>个月，暂停借款费用的资本化，直至资产的购建活动</w:t>
      </w:r>
      <w:r>
        <w:rPr>
          <w:spacing w:val="-60"/>
        </w:rPr>
        <w:t> </w:t>
      </w:r>
      <w:r>
        <w:rPr>
          <w:spacing w:val="-60"/>
        </w:rPr>
      </w:r>
      <w:r>
        <w:rPr/>
        <w:t>重新开始。</w:t>
      </w:r>
    </w:p>
    <w:p>
      <w:pPr>
        <w:pStyle w:val="BodyText"/>
        <w:spacing w:line="381" w:lineRule="auto" w:before="46"/>
        <w:ind w:right="135" w:firstLine="439"/>
        <w:jc w:val="right"/>
      </w:pPr>
      <w:r>
        <w:rPr>
          <w:spacing w:val="-2"/>
        </w:rPr>
        <w:t>在资本化期间内，专门借款</w:t>
      </w:r>
      <w:r>
        <w:rPr>
          <w:rFonts w:ascii="Arial" w:hAnsi="Arial" w:cs="Arial" w:eastAsia="Arial" w:hint="default"/>
          <w:spacing w:val="-2"/>
        </w:rPr>
        <w:t>(</w:t>
      </w:r>
      <w:r>
        <w:rPr>
          <w:spacing w:val="-2"/>
        </w:rPr>
        <w:t>指为购建或者生产符合资本化条件的资产而专门借入的款</w:t>
      </w:r>
      <w:r>
        <w:rPr>
          <w:w w:val="100"/>
        </w:rPr>
        <w:t> </w:t>
      </w:r>
      <w:r>
        <w:rPr>
          <w:spacing w:val="-2"/>
        </w:rPr>
        <w:t>项</w:t>
      </w:r>
      <w:r>
        <w:rPr>
          <w:rFonts w:ascii="Arial" w:hAnsi="Arial" w:cs="Arial" w:eastAsia="Arial" w:hint="default"/>
          <w:spacing w:val="-2"/>
        </w:rPr>
        <w:t>)</w:t>
      </w:r>
      <w:r>
        <w:rPr>
          <w:spacing w:val="-2"/>
        </w:rPr>
        <w:t>以专门借款当期实际发生的利息费用，减去将尚未动用的借款资金存入银行取得的利息</w:t>
      </w:r>
      <w:r>
        <w:rPr>
          <w:spacing w:val="-75"/>
        </w:rPr>
        <w:t> </w:t>
      </w:r>
      <w:r>
        <w:rPr>
          <w:spacing w:val="-75"/>
        </w:rPr>
      </w:r>
      <w:r>
        <w:rPr/>
        <w:t>收入或进行暂时性投资取得的投资收益后确定应予资本化的利息金额；一般借款则根据累</w:t>
      </w:r>
      <w:r>
        <w:rPr>
          <w:spacing w:val="-71"/>
        </w:rPr>
        <w:t> </w:t>
      </w:r>
      <w:r>
        <w:rPr>
          <w:spacing w:val="-71"/>
        </w:rPr>
      </w:r>
      <w:r>
        <w:rPr/>
        <w:t>计资产支出超过专门借款部分的资产支出加权平均数乘以所占用一般借款的资本化率，计</w:t>
      </w:r>
      <w:r>
        <w:rPr>
          <w:spacing w:val="-71"/>
        </w:rPr>
        <w:t> </w:t>
      </w:r>
      <w:r>
        <w:rPr>
          <w:spacing w:val="-71"/>
        </w:rPr>
      </w:r>
      <w:r>
        <w:rPr>
          <w:spacing w:val="-1"/>
        </w:rPr>
        <w:t>算确定一般借款应予资本化的利息金额。资本化率根据一般借款加权平均利率计算确定。</w:t>
      </w:r>
      <w:r>
        <w:rPr>
          <w:w w:val="100"/>
        </w:rPr>
        <w:t> </w:t>
      </w:r>
      <w:r>
        <w:rPr/>
        <w:t>借款存在折价或者溢价的，按照实际利率法确定每一会计期间应摊销的折价或者溢价</w:t>
      </w:r>
    </w:p>
    <w:p>
      <w:pPr>
        <w:pStyle w:val="BodyText"/>
        <w:spacing w:line="240" w:lineRule="auto" w:before="50"/>
        <w:ind w:right="0"/>
        <w:jc w:val="both"/>
      </w:pPr>
      <w:r>
        <w:rPr/>
        <w:t>金额，调整每期利息金额。</w:t>
      </w:r>
    </w:p>
    <w:p>
      <w:pPr>
        <w:pStyle w:val="BodyText"/>
        <w:spacing w:line="240" w:lineRule="auto" w:before="180"/>
        <w:ind w:right="0"/>
        <w:jc w:val="both"/>
      </w:pPr>
      <w:r>
        <w:rPr>
          <w:rFonts w:ascii="Arial" w:hAnsi="Arial" w:cs="Arial" w:eastAsia="Arial" w:hint="default"/>
        </w:rPr>
        <w:t>3.14</w:t>
      </w:r>
      <w:r>
        <w:rPr/>
        <w:t>无形资产</w:t>
      </w:r>
    </w:p>
    <w:p>
      <w:pPr>
        <w:pStyle w:val="BodyText"/>
        <w:spacing w:line="391" w:lineRule="auto" w:before="164"/>
        <w:ind w:left="576" w:right="137"/>
        <w:jc w:val="left"/>
      </w:pPr>
      <w:r>
        <w:rPr/>
        <w:t>无形资产为土地使用权等。以公司发生的实际成本计量。</w:t>
      </w:r>
      <w:r>
        <w:rPr>
          <w:w w:val="100"/>
        </w:rPr>
        <w:t> </w:t>
      </w:r>
      <w:r>
        <w:rPr/>
        <w:t>土地使用权按使用年限</w:t>
      </w:r>
      <w:r>
        <w:rPr>
          <w:rFonts w:ascii="Arial" w:hAnsi="Arial" w:cs="Arial" w:eastAsia="Arial" w:hint="default"/>
        </w:rPr>
        <w:t>50</w:t>
      </w:r>
      <w:r>
        <w:rPr/>
        <w:t>年平均摊销。外购土地及建筑物的价款难以在土地使用权与</w:t>
      </w:r>
    </w:p>
    <w:p>
      <w:pPr>
        <w:pStyle w:val="BodyText"/>
        <w:spacing w:line="391" w:lineRule="auto" w:before="9"/>
        <w:ind w:left="576" w:right="137" w:hanging="440"/>
        <w:jc w:val="left"/>
      </w:pPr>
      <w:r>
        <w:rPr/>
        <w:t>建筑物之间合理分配的，全部作为固定资产。</w:t>
      </w:r>
      <w:r>
        <w:rPr>
          <w:w w:val="100"/>
        </w:rPr>
        <w:t> </w:t>
      </w:r>
      <w:r>
        <w:rPr/>
        <w:t>当无形资产的公允价值减去处置费用后的净额和资产预计未来现金流量的现值均低于</w:t>
      </w:r>
    </w:p>
    <w:p>
      <w:pPr>
        <w:pStyle w:val="BodyText"/>
        <w:spacing w:line="391" w:lineRule="auto" w:before="41"/>
        <w:ind w:right="135"/>
        <w:jc w:val="both"/>
      </w:pPr>
      <w:r>
        <w:rPr/>
        <w:t>无形资产账面价值时，确认无形资产存在减值迹象。无形资产存在减值迹象的，其账面价</w:t>
      </w:r>
      <w:r>
        <w:rPr>
          <w:spacing w:val="-57"/>
        </w:rPr>
        <w:t> </w:t>
      </w:r>
      <w:r>
        <w:rPr>
          <w:spacing w:val="-57"/>
        </w:rPr>
      </w:r>
      <w:r>
        <w:rPr/>
        <w:t>值减记至可收回金额。可收回金额根据无形资产的公允价值减去处置费用后的净额与无形</w:t>
      </w:r>
      <w:r>
        <w:rPr>
          <w:spacing w:val="-57"/>
        </w:rPr>
        <w:t> </w:t>
      </w:r>
      <w:r>
        <w:rPr>
          <w:spacing w:val="-57"/>
        </w:rPr>
      </w:r>
      <w:r>
        <w:rPr/>
        <w:t>资产预计未来现金流量的现值两者之间较高者确定。</w:t>
      </w:r>
    </w:p>
    <w:p>
      <w:pPr>
        <w:pStyle w:val="BodyText"/>
        <w:spacing w:line="391" w:lineRule="auto" w:before="41"/>
        <w:ind w:right="138" w:firstLine="439"/>
        <w:jc w:val="both"/>
      </w:pPr>
      <w:r>
        <w:rPr/>
        <w:t>对使用寿命有限的无形资产的预计使用寿命及摊销方法于每年年度终了进行复核并作</w:t>
      </w:r>
      <w:r>
        <w:rPr>
          <w:w w:val="100"/>
        </w:rPr>
        <w:t> </w:t>
      </w:r>
      <w:r>
        <w:rPr/>
        <w:t>适当调整。</w:t>
      </w:r>
    </w:p>
    <w:p>
      <w:pPr>
        <w:pStyle w:val="BodyText"/>
        <w:spacing w:line="240" w:lineRule="auto" w:before="41"/>
        <w:ind w:right="0"/>
        <w:jc w:val="both"/>
      </w:pPr>
      <w:r>
        <w:rPr>
          <w:rFonts w:ascii="Arial" w:hAnsi="Arial" w:cs="Arial" w:eastAsia="Arial" w:hint="default"/>
        </w:rPr>
        <w:t>3.15</w:t>
      </w:r>
      <w:r>
        <w:rPr/>
        <w:t>研究与开发</w:t>
      </w:r>
    </w:p>
    <w:p>
      <w:pPr>
        <w:spacing w:after="0" w:line="240" w:lineRule="auto"/>
        <w:jc w:val="both"/>
        <w:sectPr>
          <w:footerReference w:type="default" r:id="rId60"/>
          <w:pgSz w:w="11900" w:h="16840"/>
          <w:pgMar w:footer="983" w:header="877" w:top="1100" w:bottom="1180" w:left="1660" w:right="1320"/>
          <w:pgNumType w:start="93"/>
        </w:sectPr>
      </w:pPr>
    </w:p>
    <w:p>
      <w:pPr>
        <w:spacing w:line="240" w:lineRule="auto" w:before="4"/>
        <w:rPr>
          <w:rFonts w:ascii="宋体" w:hAnsi="宋体" w:cs="宋体" w:eastAsia="宋体" w:hint="default"/>
          <w:sz w:val="26"/>
          <w:szCs w:val="26"/>
        </w:rPr>
      </w:pPr>
    </w:p>
    <w:p>
      <w:pPr>
        <w:pStyle w:val="BodyText"/>
        <w:spacing w:line="391" w:lineRule="auto"/>
        <w:ind w:right="33" w:firstLine="439"/>
        <w:jc w:val="left"/>
      </w:pPr>
      <w:r>
        <w:rPr/>
        <w:t>根据内部研究开发项目支出的性质以及研发活动最终形成无形资产是否具有较大不确</w:t>
      </w:r>
      <w:r>
        <w:rPr>
          <w:w w:val="100"/>
        </w:rPr>
        <w:t> </w:t>
      </w:r>
      <w:r>
        <w:rPr/>
        <w:t>定性，分为研究阶段支出和开发阶段支出。</w:t>
      </w:r>
    </w:p>
    <w:p>
      <w:pPr>
        <w:pStyle w:val="BodyText"/>
        <w:spacing w:line="391" w:lineRule="auto" w:before="41"/>
        <w:ind w:right="33" w:firstLine="439"/>
        <w:jc w:val="left"/>
      </w:pPr>
      <w:r>
        <w:rPr/>
        <w:t>研究阶段的支出，于发生时计入当期损益；开发阶段的支出，同时满足下列条件的，</w:t>
      </w:r>
      <w:r>
        <w:rPr>
          <w:w w:val="100"/>
        </w:rPr>
        <w:t> </w:t>
      </w:r>
      <w:r>
        <w:rPr/>
        <w:t>确认为无形资产：</w:t>
      </w:r>
    </w:p>
    <w:p>
      <w:pPr>
        <w:pStyle w:val="BodyText"/>
        <w:spacing w:line="369" w:lineRule="auto" w:before="41"/>
        <w:ind w:left="576" w:right="33"/>
        <w:jc w:val="left"/>
      </w:pPr>
      <w:r>
        <w:rPr>
          <w:rFonts w:ascii="Arial" w:hAnsi="Arial" w:cs="Arial" w:eastAsia="Arial" w:hint="default"/>
        </w:rPr>
        <w:t>(1)</w:t>
      </w:r>
      <w:r>
        <w:rPr/>
        <w:t>完成该无形资产以使其能够使用或出售在技术上具有可行性；</w:t>
      </w:r>
      <w:r>
        <w:rPr>
          <w:w w:val="100"/>
        </w:rPr>
        <w:t> </w:t>
      </w:r>
      <w:r>
        <w:rPr>
          <w:rFonts w:ascii="Arial" w:hAnsi="Arial" w:cs="Arial" w:eastAsia="Arial" w:hint="default"/>
        </w:rPr>
        <w:t>(2)</w:t>
      </w:r>
      <w:r>
        <w:rPr/>
        <w:t>管理层具有完成该无形资产并使用或出售的意图；</w:t>
      </w:r>
      <w:r>
        <w:rPr>
          <w:w w:val="100"/>
        </w:rPr>
        <w:t> </w:t>
      </w:r>
      <w:r>
        <w:rPr>
          <w:rFonts w:ascii="Arial" w:hAnsi="Arial" w:cs="Arial" w:eastAsia="Arial" w:hint="default"/>
        </w:rPr>
        <w:t>(3)</w:t>
      </w:r>
      <w:r>
        <w:rPr/>
        <w:t>能够证明该无形资产将如何产生经济利益；</w:t>
      </w:r>
      <w:r>
        <w:rPr>
          <w:w w:val="100"/>
        </w:rPr>
        <w:t> </w:t>
      </w:r>
      <w:r>
        <w:rPr>
          <w:rFonts w:ascii="Arial" w:hAnsi="Arial" w:cs="Arial" w:eastAsia="Arial" w:hint="default"/>
          <w:spacing w:val="-1"/>
        </w:rPr>
        <w:t>(4)</w:t>
      </w:r>
      <w:r>
        <w:rPr>
          <w:spacing w:val="-1"/>
        </w:rPr>
        <w:t>有足够的技术、财务资源和其他资源支持，以完成该无形资产的开发，并有能力使</w:t>
      </w:r>
    </w:p>
    <w:p>
      <w:pPr>
        <w:pStyle w:val="BodyText"/>
        <w:spacing w:line="240" w:lineRule="auto" w:before="31"/>
        <w:ind w:right="33"/>
        <w:jc w:val="left"/>
      </w:pPr>
      <w:r>
        <w:rPr/>
        <w:t>用或出售该无形资产；</w:t>
      </w:r>
    </w:p>
    <w:p>
      <w:pPr>
        <w:pStyle w:val="BodyText"/>
        <w:spacing w:line="369" w:lineRule="auto" w:before="180"/>
        <w:ind w:left="576" w:right="33"/>
        <w:jc w:val="left"/>
      </w:pPr>
      <w:r>
        <w:rPr>
          <w:rFonts w:ascii="Arial" w:hAnsi="Arial" w:cs="Arial" w:eastAsia="Arial" w:hint="default"/>
        </w:rPr>
        <w:t>(5)</w:t>
      </w:r>
      <w:r>
        <w:rPr/>
        <w:t>归属于该无形资产开发阶段的支出能够可靠地计量。</w:t>
      </w:r>
      <w:r>
        <w:rPr>
          <w:w w:val="100"/>
        </w:rPr>
        <w:t> </w:t>
      </w:r>
      <w:r>
        <w:rPr/>
        <w:t>不满足上述条件的开发阶段的支出，于发生时计入当期损益。前期已计入损益的开发</w:t>
      </w:r>
    </w:p>
    <w:p>
      <w:pPr>
        <w:pStyle w:val="BodyText"/>
        <w:spacing w:line="391" w:lineRule="auto" w:before="61"/>
        <w:ind w:right="215"/>
        <w:jc w:val="both"/>
      </w:pPr>
      <w:r>
        <w:rPr/>
        <w:t>支出不在以后期间确认为资产。已资本化的开发阶段的支出在资产负债表上列示为开发支</w:t>
      </w:r>
      <w:r>
        <w:rPr>
          <w:spacing w:val="-57"/>
        </w:rPr>
        <w:t> </w:t>
      </w:r>
      <w:r>
        <w:rPr>
          <w:spacing w:val="-57"/>
        </w:rPr>
      </w:r>
      <w:r>
        <w:rPr/>
        <w:t>出，自该项目达到预定可使用状态之日起转为无形资产。</w:t>
      </w:r>
    </w:p>
    <w:p>
      <w:pPr>
        <w:pStyle w:val="BodyText"/>
        <w:spacing w:line="240" w:lineRule="auto" w:before="41"/>
        <w:ind w:left="576" w:right="33"/>
        <w:jc w:val="left"/>
      </w:pPr>
      <w:r>
        <w:rPr/>
        <w:t>当开发支出的可收回金额低于其账面价值时，账面价值减记至可收回金额。</w:t>
      </w:r>
    </w:p>
    <w:p>
      <w:pPr>
        <w:pStyle w:val="BodyText"/>
        <w:tabs>
          <w:tab w:pos="787" w:val="left" w:leader="none"/>
        </w:tabs>
        <w:spacing w:line="369" w:lineRule="auto" w:before="180"/>
        <w:ind w:left="576" w:right="107" w:hanging="440"/>
        <w:jc w:val="left"/>
      </w:pPr>
      <w:r>
        <w:rPr>
          <w:rFonts w:ascii="Arial" w:hAnsi="Arial" w:cs="Arial" w:eastAsia="Arial" w:hint="default"/>
          <w:spacing w:val="-1"/>
        </w:rPr>
        <w:t>3.16</w:t>
        <w:tab/>
        <w:tab/>
      </w:r>
      <w:r>
        <w:rPr>
          <w:spacing w:val="-1"/>
        </w:rPr>
        <w:t>预计负债</w:t>
      </w:r>
      <w:r>
        <w:rPr>
          <w:spacing w:val="-107"/>
        </w:rPr>
        <w:t> </w:t>
      </w:r>
      <w:r>
        <w:rPr>
          <w:spacing w:val="-107"/>
        </w:rPr>
      </w:r>
      <w:r>
        <w:rPr>
          <w:spacing w:val="-3"/>
        </w:rPr>
        <w:t>对因产品质量保证、亏损合同等形成的现时义务，其履行很可能导致经济利益的流出，</w:t>
      </w:r>
    </w:p>
    <w:p>
      <w:pPr>
        <w:pStyle w:val="BodyText"/>
        <w:spacing w:line="391" w:lineRule="auto" w:before="61"/>
        <w:ind w:left="576" w:right="33" w:hanging="440"/>
        <w:jc w:val="left"/>
      </w:pPr>
      <w:r>
        <w:rPr>
          <w:spacing w:val="-3"/>
        </w:rPr>
        <w:t>在该义务的金额能够可靠计量时，确认为预计负债。对于未来经营亏损，不确认预计负债。</w:t>
      </w:r>
      <w:r>
        <w:rPr>
          <w:spacing w:val="-51"/>
        </w:rPr>
        <w:t> </w:t>
      </w:r>
      <w:r>
        <w:rPr>
          <w:spacing w:val="-51"/>
        </w:rPr>
      </w:r>
      <w:r>
        <w:rPr/>
        <w:t>预计负债按照履行相关现时义务所需支出的最佳估计数进行初始计量，并综合考虑与</w:t>
      </w:r>
    </w:p>
    <w:p>
      <w:pPr>
        <w:pStyle w:val="BodyText"/>
        <w:spacing w:line="391" w:lineRule="auto" w:before="41"/>
        <w:ind w:right="215"/>
        <w:jc w:val="both"/>
      </w:pPr>
      <w:r>
        <w:rPr/>
        <w:t>或有事项有关的风险、不确定性和货币时间价值等因素。货币时间价值影响重大的，通过</w:t>
      </w:r>
      <w:r>
        <w:rPr>
          <w:spacing w:val="-57"/>
        </w:rPr>
        <w:t> </w:t>
      </w:r>
      <w:r>
        <w:rPr>
          <w:spacing w:val="-57"/>
        </w:rPr>
      </w:r>
      <w:r>
        <w:rPr/>
        <w:t>对相关未来现金流出进行折现后确定最佳估计数；因随着时间推移所进行的折现还原而导</w:t>
      </w:r>
      <w:r>
        <w:rPr>
          <w:spacing w:val="-57"/>
        </w:rPr>
        <w:t> </w:t>
      </w:r>
      <w:r>
        <w:rPr>
          <w:spacing w:val="-57"/>
        </w:rPr>
      </w:r>
      <w:r>
        <w:rPr/>
        <w:t>致的预计负债账面价值的增加金额，确认为利息费用。</w:t>
      </w:r>
    </w:p>
    <w:p>
      <w:pPr>
        <w:pStyle w:val="BodyText"/>
        <w:spacing w:line="391" w:lineRule="auto" w:before="41"/>
        <w:ind w:right="33" w:firstLine="439"/>
        <w:jc w:val="left"/>
      </w:pPr>
      <w:r>
        <w:rPr/>
        <w:t>于资产负债表日，对预计负债的账面价值进行复核并作适当调整，以反映当前的最佳</w:t>
      </w:r>
      <w:r>
        <w:rPr>
          <w:w w:val="100"/>
        </w:rPr>
        <w:t> </w:t>
      </w:r>
      <w:r>
        <w:rPr/>
        <w:t>估计数。</w:t>
      </w:r>
    </w:p>
    <w:p>
      <w:pPr>
        <w:pStyle w:val="BodyText"/>
        <w:spacing w:line="240" w:lineRule="auto" w:before="41"/>
        <w:ind w:right="33"/>
        <w:jc w:val="left"/>
      </w:pPr>
      <w:r>
        <w:rPr>
          <w:rFonts w:ascii="Arial" w:hAnsi="Arial" w:cs="Arial" w:eastAsia="Arial" w:hint="default"/>
        </w:rPr>
        <w:t>3.17</w:t>
      </w:r>
      <w:r>
        <w:rPr/>
        <w:t>资产减值</w:t>
      </w:r>
    </w:p>
    <w:p>
      <w:pPr>
        <w:pStyle w:val="BodyText"/>
        <w:spacing w:line="391" w:lineRule="auto" w:before="164"/>
        <w:ind w:right="33" w:firstLine="439"/>
        <w:jc w:val="left"/>
      </w:pPr>
      <w:r>
        <w:rPr>
          <w:spacing w:val="-3"/>
        </w:rPr>
        <w:t>在财务报表中单独列示的商誉和使用寿命不确定的无形资产，无论是否存在减值迹象，</w:t>
      </w:r>
      <w:r>
        <w:rPr>
          <w:w w:val="100"/>
        </w:rPr>
        <w:t> </w:t>
      </w:r>
      <w:r>
        <w:rPr/>
        <w:t>至少每年进行减值测试。固定资产、无形资产、以成本模式计量的投资性房地产及长期股</w:t>
      </w:r>
      <w:r>
        <w:rPr>
          <w:spacing w:val="-57"/>
        </w:rPr>
        <w:t> </w:t>
      </w:r>
      <w:r>
        <w:rPr>
          <w:spacing w:val="-57"/>
        </w:rPr>
      </w:r>
      <w:r>
        <w:rPr/>
        <w:t>权投资等，于资产负债表日存在减值迹象的，进行减值测试。减值测试结果表明资产的可</w:t>
      </w:r>
      <w:r>
        <w:rPr>
          <w:spacing w:val="-57"/>
        </w:rPr>
        <w:t> </w:t>
      </w:r>
      <w:r>
        <w:rPr>
          <w:spacing w:val="-57"/>
        </w:rPr>
      </w:r>
      <w:r>
        <w:rPr/>
        <w:t>收回金额低于其账面价值的，按其差额计提减值准备并计入减值损失。可收回金额为资产</w:t>
      </w:r>
      <w:r>
        <w:rPr>
          <w:spacing w:val="-57"/>
        </w:rPr>
        <w:t> </w:t>
      </w:r>
      <w:r>
        <w:rPr>
          <w:spacing w:val="-57"/>
        </w:rPr>
      </w:r>
      <w:r>
        <w:rPr/>
        <w:t>的公允价值减去处置费用后的净额与资产预计未来现金流量的现值两者之间的较高者。资</w:t>
      </w:r>
      <w:r>
        <w:rPr>
          <w:spacing w:val="-57"/>
        </w:rPr>
        <w:t> </w:t>
      </w:r>
      <w:r>
        <w:rPr>
          <w:spacing w:val="-57"/>
        </w:rPr>
      </w:r>
      <w:r>
        <w:rPr>
          <w:spacing w:val="-3"/>
        </w:rPr>
        <w:t>产减值准备按单项资产为基础计算并确认，如果难以对单项资产的可收回金额进行估计的，</w:t>
      </w:r>
    </w:p>
    <w:p>
      <w:pPr>
        <w:spacing w:after="0" w:line="391" w:lineRule="auto"/>
        <w:jc w:val="left"/>
        <w:sectPr>
          <w:footerReference w:type="default" r:id="rId61"/>
          <w:pgSz w:w="11900" w:h="16840"/>
          <w:pgMar w:footer="983" w:header="877" w:top="1100" w:bottom="1180" w:left="1660" w:right="1240"/>
          <w:pgNumType w:start="94"/>
        </w:sectPr>
      </w:pPr>
    </w:p>
    <w:p>
      <w:pPr>
        <w:spacing w:line="240" w:lineRule="auto" w:before="4"/>
        <w:rPr>
          <w:rFonts w:ascii="宋体" w:hAnsi="宋体" w:cs="宋体" w:eastAsia="宋体" w:hint="default"/>
          <w:sz w:val="26"/>
          <w:szCs w:val="26"/>
        </w:rPr>
      </w:pPr>
    </w:p>
    <w:p>
      <w:pPr>
        <w:pStyle w:val="BodyText"/>
        <w:spacing w:line="391" w:lineRule="auto"/>
        <w:ind w:right="33"/>
        <w:jc w:val="left"/>
      </w:pPr>
      <w:r>
        <w:rPr/>
        <w:t>以该资产所属的资产组确定资产组的可收回金额。资产组是能够独立产生现金流入的最小</w:t>
      </w:r>
      <w:r>
        <w:rPr>
          <w:spacing w:val="-57"/>
        </w:rPr>
        <w:t> </w:t>
      </w:r>
      <w:r>
        <w:rPr>
          <w:spacing w:val="-57"/>
        </w:rPr>
      </w:r>
      <w:r>
        <w:rPr/>
        <w:t>资产组合。</w:t>
      </w:r>
    </w:p>
    <w:p>
      <w:pPr>
        <w:pStyle w:val="BodyText"/>
        <w:spacing w:line="240" w:lineRule="auto" w:before="41"/>
        <w:ind w:left="576" w:right="33"/>
        <w:jc w:val="left"/>
      </w:pPr>
      <w:r>
        <w:rPr/>
        <w:t>上述资产减值损失一经确认，如果在以后期间价值得以恢复，也不予转回。</w:t>
      </w:r>
    </w:p>
    <w:p>
      <w:pPr>
        <w:pStyle w:val="BodyText"/>
        <w:spacing w:line="240" w:lineRule="auto" w:before="180"/>
        <w:ind w:right="33"/>
        <w:jc w:val="left"/>
      </w:pPr>
      <w:r>
        <w:rPr>
          <w:rFonts w:ascii="Arial" w:hAnsi="Arial" w:cs="Arial" w:eastAsia="Arial" w:hint="default"/>
        </w:rPr>
        <w:t>3.18</w:t>
      </w:r>
      <w:r>
        <w:rPr/>
        <w:t>职工薪酬</w:t>
      </w:r>
    </w:p>
    <w:p>
      <w:pPr>
        <w:pStyle w:val="BodyText"/>
        <w:spacing w:line="391" w:lineRule="auto" w:before="164"/>
        <w:ind w:right="33" w:firstLine="439"/>
        <w:jc w:val="left"/>
      </w:pPr>
      <w:r>
        <w:rPr/>
        <w:t>于职工提供服务的期间确认应付的职工薪酬，并根据职工提供服务的受益对象计入相</w:t>
      </w:r>
      <w:r>
        <w:rPr>
          <w:w w:val="100"/>
        </w:rPr>
        <w:t> </w:t>
      </w:r>
      <w:r>
        <w:rPr/>
        <w:t>关资产成本和费用。职工薪酬主要包括工资、奖金、津贴和补贴、职工福利费、社会保险</w:t>
      </w:r>
      <w:r>
        <w:rPr>
          <w:spacing w:val="-57"/>
        </w:rPr>
        <w:t> </w:t>
      </w:r>
      <w:r>
        <w:rPr>
          <w:spacing w:val="-57"/>
        </w:rPr>
      </w:r>
      <w:r>
        <w:rPr/>
        <w:t>费及住房公积金、工会经费和职工教育经费等其他与获得职工提供的服务相关的支出。</w:t>
      </w:r>
      <w:r>
        <w:rPr>
          <w:w w:val="100"/>
        </w:rPr>
        <w:t> </w:t>
      </w:r>
      <w:r>
        <w:rPr>
          <w:rFonts w:ascii="Arial" w:hAnsi="Arial" w:cs="Arial" w:eastAsia="Arial" w:hint="default"/>
        </w:rPr>
        <w:t>3.19</w:t>
      </w:r>
      <w:r>
        <w:rPr/>
        <w:t>收入确认</w:t>
      </w:r>
    </w:p>
    <w:p>
      <w:pPr>
        <w:pStyle w:val="BodyText"/>
        <w:spacing w:line="391" w:lineRule="auto" w:before="9"/>
        <w:ind w:right="215" w:firstLine="439"/>
        <w:jc w:val="both"/>
      </w:pPr>
      <w:r>
        <w:rPr/>
        <w:t>收入的金额按照本公司在日常经营活动中销售商品和提供劳务时，已收或应收合同或</w:t>
      </w:r>
      <w:r>
        <w:rPr>
          <w:w w:val="100"/>
        </w:rPr>
        <w:t> </w:t>
      </w:r>
      <w:r>
        <w:rPr/>
        <w:t>协议价款的公允价值确定。收入按扣除增值税、商业折扣、销售折让及销售退回的净额列</w:t>
      </w:r>
      <w:r>
        <w:rPr>
          <w:spacing w:val="-57"/>
        </w:rPr>
        <w:t> </w:t>
      </w:r>
      <w:r>
        <w:rPr>
          <w:spacing w:val="-57"/>
        </w:rPr>
      </w:r>
      <w:r>
        <w:rPr/>
        <w:t>示。</w:t>
      </w:r>
    </w:p>
    <w:p>
      <w:pPr>
        <w:pStyle w:val="BodyText"/>
        <w:spacing w:line="391" w:lineRule="auto" w:before="41"/>
        <w:ind w:right="33" w:firstLine="439"/>
        <w:jc w:val="left"/>
      </w:pPr>
      <w:r>
        <w:rPr/>
        <w:t>与交易相关的经济利益能够流入本公司，相关的收入能够可靠计量且满足下列各项经</w:t>
      </w:r>
      <w:r>
        <w:rPr>
          <w:w w:val="100"/>
        </w:rPr>
        <w:t> </w:t>
      </w:r>
      <w:r>
        <w:rPr/>
        <w:t>营活动的特定收入确认标准时，确认相关的收入。</w:t>
      </w:r>
    </w:p>
    <w:p>
      <w:pPr>
        <w:pStyle w:val="BodyText"/>
        <w:spacing w:line="369" w:lineRule="auto" w:before="41"/>
        <w:ind w:left="576" w:right="33" w:hanging="440"/>
        <w:jc w:val="left"/>
      </w:pPr>
      <w:r>
        <w:rPr>
          <w:rFonts w:ascii="Arial" w:hAnsi="Arial" w:cs="Arial" w:eastAsia="Arial" w:hint="default"/>
        </w:rPr>
        <w:t>3.19.1</w:t>
      </w:r>
      <w:r>
        <w:rPr>
          <w:rFonts w:ascii="Arial" w:hAnsi="Arial" w:cs="Arial" w:eastAsia="Arial" w:hint="default"/>
          <w:spacing w:val="46"/>
        </w:rPr>
        <w:t> </w:t>
      </w:r>
      <w:r>
        <w:rPr/>
        <w:t>销售商品</w:t>
      </w:r>
      <w:r>
        <w:rPr>
          <w:w w:val="100"/>
        </w:rPr>
        <w:t> </w:t>
      </w:r>
      <w:r>
        <w:rPr/>
        <w:t>商品销售在商品所有权上的主要风险和报酬已转移给买方，本公司不再对该商品实施</w:t>
      </w:r>
    </w:p>
    <w:p>
      <w:pPr>
        <w:pStyle w:val="BodyText"/>
        <w:spacing w:line="391" w:lineRule="auto" w:before="61"/>
        <w:ind w:right="33"/>
        <w:jc w:val="left"/>
      </w:pPr>
      <w:r>
        <w:rPr/>
        <w:t>继续管理权和实际控制权，与交易相关的经济利益很可能流入企业，并且与销售该商品相</w:t>
      </w:r>
      <w:r>
        <w:rPr>
          <w:spacing w:val="-57"/>
        </w:rPr>
        <w:t> </w:t>
      </w:r>
      <w:r>
        <w:rPr>
          <w:spacing w:val="-57"/>
        </w:rPr>
      </w:r>
      <w:r>
        <w:rPr/>
        <w:t>关的收入和成本能够可靠地计量时，确认营业收入的实现。</w:t>
      </w:r>
    </w:p>
    <w:p>
      <w:pPr>
        <w:pStyle w:val="BodyText"/>
        <w:spacing w:line="369" w:lineRule="auto" w:before="41"/>
        <w:ind w:left="576" w:right="33" w:hanging="440"/>
        <w:jc w:val="left"/>
      </w:pPr>
      <w:r>
        <w:rPr>
          <w:rFonts w:ascii="Arial" w:hAnsi="Arial" w:cs="Arial" w:eastAsia="Arial" w:hint="default"/>
        </w:rPr>
        <w:t>3.19.2</w:t>
      </w:r>
      <w:r>
        <w:rPr>
          <w:rFonts w:ascii="Arial" w:hAnsi="Arial" w:cs="Arial" w:eastAsia="Arial" w:hint="default"/>
          <w:spacing w:val="46"/>
        </w:rPr>
        <w:t> </w:t>
      </w:r>
      <w:r>
        <w:rPr/>
        <w:t>提供劳务</w:t>
      </w:r>
      <w:r>
        <w:rPr>
          <w:w w:val="100"/>
        </w:rPr>
        <w:t> </w:t>
      </w:r>
      <w:r>
        <w:rPr/>
        <w:t>提供的劳务在同一会计年度开始并完成的，在劳务已经提供，收到价款或取得收取价</w:t>
      </w:r>
    </w:p>
    <w:p>
      <w:pPr>
        <w:pStyle w:val="BodyText"/>
        <w:spacing w:line="391" w:lineRule="auto" w:before="61"/>
        <w:ind w:right="33"/>
        <w:jc w:val="left"/>
      </w:pPr>
      <w:r>
        <w:rPr/>
        <w:t>款的证据时，确认营业收入的实现；劳务的开始和完成分属不同会计年度的，在劳务合同</w:t>
      </w:r>
      <w:r>
        <w:rPr>
          <w:spacing w:val="-57"/>
        </w:rPr>
        <w:t> </w:t>
      </w:r>
      <w:r>
        <w:rPr>
          <w:spacing w:val="-57"/>
        </w:rPr>
      </w:r>
      <w:r>
        <w:rPr/>
        <w:t>的总收入、劳务的完成程度能够可靠地确定，与交易相关的价款能够流入，已经发生的成</w:t>
      </w:r>
      <w:r>
        <w:rPr>
          <w:spacing w:val="-57"/>
        </w:rPr>
        <w:t> </w:t>
      </w:r>
      <w:r>
        <w:rPr>
          <w:spacing w:val="-57"/>
        </w:rPr>
      </w:r>
      <w:r>
        <w:rPr>
          <w:spacing w:val="-3"/>
        </w:rPr>
        <w:t>本和为完成劳务将要发生的成本能够可靠地计量时，按完工百分比法确认营业收入的实现；</w:t>
      </w:r>
      <w:r>
        <w:rPr>
          <w:spacing w:val="-51"/>
        </w:rPr>
        <w:t> </w:t>
      </w:r>
      <w:r>
        <w:rPr>
          <w:spacing w:val="-51"/>
        </w:rPr>
      </w:r>
      <w:r>
        <w:rPr/>
        <w:t>长期合同工程在合同结果已经能够合理地预见时，按结账时已完成工程进度的百分比法确</w:t>
      </w:r>
      <w:r>
        <w:rPr>
          <w:spacing w:val="-57"/>
        </w:rPr>
        <w:t> </w:t>
      </w:r>
      <w:r>
        <w:rPr>
          <w:spacing w:val="-57"/>
        </w:rPr>
      </w:r>
      <w:r>
        <w:rPr/>
        <w:t>认营业收入的实现。</w:t>
      </w:r>
    </w:p>
    <w:p>
      <w:pPr>
        <w:pStyle w:val="BodyText"/>
        <w:spacing w:line="369" w:lineRule="auto" w:before="41"/>
        <w:ind w:left="576" w:right="33" w:hanging="440"/>
        <w:jc w:val="left"/>
      </w:pPr>
      <w:r>
        <w:rPr>
          <w:rFonts w:ascii="Arial" w:hAnsi="Arial" w:cs="Arial" w:eastAsia="Arial" w:hint="default"/>
        </w:rPr>
        <w:t>3.19.3</w:t>
      </w:r>
      <w:r>
        <w:rPr>
          <w:rFonts w:ascii="Arial" w:hAnsi="Arial" w:cs="Arial" w:eastAsia="Arial" w:hint="default"/>
          <w:spacing w:val="46"/>
        </w:rPr>
        <w:t> </w:t>
      </w:r>
      <w:r>
        <w:rPr/>
        <w:t>让渡资产使用权</w:t>
      </w:r>
      <w:r>
        <w:rPr>
          <w:w w:val="100"/>
        </w:rPr>
        <w:t> </w:t>
      </w:r>
      <w:r>
        <w:rPr/>
        <w:t>让渡资产使用权取得的利息收入和使用费收入，在与交易相关的经济利益能够流入企</w:t>
      </w:r>
    </w:p>
    <w:p>
      <w:pPr>
        <w:pStyle w:val="BodyText"/>
        <w:spacing w:line="240" w:lineRule="auto" w:before="61"/>
        <w:ind w:right="33"/>
        <w:jc w:val="left"/>
      </w:pPr>
      <w:r>
        <w:rPr/>
        <w:t>业，且收入的金额能够可靠地计量时，确认收入的实现。</w:t>
      </w:r>
    </w:p>
    <w:p>
      <w:pPr>
        <w:pStyle w:val="BodyText"/>
        <w:spacing w:line="240" w:lineRule="auto" w:before="180"/>
        <w:ind w:right="33"/>
        <w:jc w:val="left"/>
      </w:pPr>
      <w:r>
        <w:rPr>
          <w:rFonts w:ascii="Arial" w:hAnsi="Arial" w:cs="Arial" w:eastAsia="Arial" w:hint="default"/>
        </w:rPr>
        <w:t>3.20</w:t>
      </w:r>
      <w:r>
        <w:rPr/>
        <w:t>借款</w:t>
      </w:r>
    </w:p>
    <w:p>
      <w:pPr>
        <w:pStyle w:val="BodyText"/>
        <w:spacing w:line="391" w:lineRule="auto" w:before="164"/>
        <w:ind w:right="33" w:firstLine="439"/>
        <w:jc w:val="left"/>
      </w:pPr>
      <w:r>
        <w:rPr/>
        <w:t>借款按公允价值扣除交易成本后的金额进行初始计量，并采用实际利率法按摊余成本</w:t>
      </w:r>
      <w:r>
        <w:rPr>
          <w:w w:val="100"/>
        </w:rPr>
        <w:t> </w:t>
      </w:r>
      <w:r>
        <w:rPr/>
        <w:t>进行后续计量。于资产负债表日起</w:t>
      </w:r>
      <w:r>
        <w:rPr>
          <w:rFonts w:ascii="Arial" w:hAnsi="Arial" w:cs="Arial" w:eastAsia="Arial" w:hint="default"/>
        </w:rPr>
        <w:t>12</w:t>
      </w:r>
      <w:r>
        <w:rPr/>
        <w:t>个月</w:t>
      </w:r>
      <w:r>
        <w:rPr>
          <w:rFonts w:ascii="Arial" w:hAnsi="Arial" w:cs="Arial" w:eastAsia="Arial" w:hint="default"/>
        </w:rPr>
        <w:t>(</w:t>
      </w:r>
      <w:r>
        <w:rPr/>
        <w:t>含</w:t>
      </w:r>
      <w:r>
        <w:rPr>
          <w:rFonts w:ascii="Arial" w:hAnsi="Arial" w:cs="Arial" w:eastAsia="Arial" w:hint="default"/>
        </w:rPr>
        <w:t>12</w:t>
      </w:r>
      <w:r>
        <w:rPr/>
        <w:t>个月</w:t>
      </w:r>
      <w:r>
        <w:rPr>
          <w:rFonts w:ascii="Arial" w:hAnsi="Arial" w:cs="Arial" w:eastAsia="Arial" w:hint="default"/>
        </w:rPr>
        <w:t>)</w:t>
      </w:r>
      <w:r>
        <w:rPr/>
        <w:t>内偿还的借款为短期借款，其余借款</w:t>
      </w:r>
    </w:p>
    <w:p>
      <w:pPr>
        <w:spacing w:after="0" w:line="391" w:lineRule="auto"/>
        <w:jc w:val="left"/>
        <w:sectPr>
          <w:footerReference w:type="default" r:id="rId62"/>
          <w:pgSz w:w="11900" w:h="16840"/>
          <w:pgMar w:footer="983" w:header="877" w:top="1100" w:bottom="1180" w:left="1660" w:right="1240"/>
          <w:pgNumType w:start="95"/>
        </w:sectPr>
      </w:pPr>
    </w:p>
    <w:p>
      <w:pPr>
        <w:spacing w:line="240" w:lineRule="auto" w:before="4"/>
        <w:rPr>
          <w:rFonts w:ascii="宋体" w:hAnsi="宋体" w:cs="宋体" w:eastAsia="宋体" w:hint="default"/>
          <w:sz w:val="26"/>
          <w:szCs w:val="26"/>
        </w:rPr>
      </w:pPr>
    </w:p>
    <w:p>
      <w:pPr>
        <w:pStyle w:val="BodyText"/>
        <w:spacing w:line="240" w:lineRule="auto"/>
        <w:ind w:right="33"/>
        <w:jc w:val="left"/>
      </w:pPr>
      <w:r>
        <w:rPr/>
        <w:t>为长期借款。</w:t>
      </w:r>
    </w:p>
    <w:p>
      <w:pPr>
        <w:pStyle w:val="BodyText"/>
        <w:spacing w:line="240" w:lineRule="auto" w:before="180"/>
        <w:ind w:right="33"/>
        <w:jc w:val="left"/>
      </w:pPr>
      <w:r>
        <w:rPr>
          <w:rFonts w:ascii="Arial" w:hAnsi="Arial" w:cs="Arial" w:eastAsia="Arial" w:hint="default"/>
        </w:rPr>
        <w:t>3.21</w:t>
      </w:r>
      <w:r>
        <w:rPr/>
        <w:t>政府补助</w:t>
      </w:r>
    </w:p>
    <w:p>
      <w:pPr>
        <w:pStyle w:val="BodyText"/>
        <w:spacing w:line="391" w:lineRule="auto" w:before="164"/>
        <w:ind w:right="215" w:firstLine="439"/>
        <w:jc w:val="both"/>
      </w:pPr>
      <w:r>
        <w:rPr/>
        <w:t>政府补助，是指公司从政府无偿取得货币性资产或非货币性资产，但不包括政府作为</w:t>
      </w:r>
      <w:r>
        <w:rPr>
          <w:w w:val="100"/>
        </w:rPr>
        <w:t> </w:t>
      </w:r>
      <w:r>
        <w:rPr/>
        <w:t>公司所有者投入的资本。政府补助分为与资产相关的政府补助和与收益相关的政府补助。</w:t>
      </w:r>
      <w:r>
        <w:rPr>
          <w:spacing w:val="-57"/>
        </w:rPr>
        <w:t> </w:t>
      </w:r>
      <w:r>
        <w:rPr>
          <w:spacing w:val="-57"/>
        </w:rPr>
      </w:r>
      <w:r>
        <w:rPr/>
        <w:t>与资产相关的政府补助，是指公司取得的、用于购建或以其他方式形成长期资产的政府补</w:t>
      </w:r>
      <w:r>
        <w:rPr>
          <w:spacing w:val="-57"/>
        </w:rPr>
        <w:t> </w:t>
      </w:r>
      <w:r>
        <w:rPr>
          <w:spacing w:val="-57"/>
        </w:rPr>
      </w:r>
      <w:r>
        <w:rPr/>
        <w:t>助。与收益相关的政府补助，是指除与资产相关的政府补助之外的政府补助。</w:t>
      </w:r>
    </w:p>
    <w:p>
      <w:pPr>
        <w:pStyle w:val="BodyText"/>
        <w:spacing w:line="391" w:lineRule="auto" w:before="41"/>
        <w:ind w:right="33" w:firstLine="439"/>
        <w:jc w:val="left"/>
      </w:pPr>
      <w:r>
        <w:rPr>
          <w:spacing w:val="-3"/>
        </w:rPr>
        <w:t>政府补助为货币性资产的，按照收到或应收的金额计量。政府补助为非货币性资产的，</w:t>
      </w:r>
      <w:r>
        <w:rPr>
          <w:w w:val="100"/>
        </w:rPr>
        <w:t> </w:t>
      </w:r>
      <w:r>
        <w:rPr/>
        <w:t>按照公允价值计量；公允价值不能可靠取得的，按照名义金额计量。</w:t>
      </w:r>
    </w:p>
    <w:p>
      <w:pPr>
        <w:pStyle w:val="BodyText"/>
        <w:tabs>
          <w:tab w:pos="787" w:val="left" w:leader="none"/>
        </w:tabs>
        <w:spacing w:line="391" w:lineRule="auto" w:before="41"/>
        <w:ind w:right="217" w:firstLine="439"/>
        <w:jc w:val="left"/>
      </w:pPr>
      <w:r>
        <w:rPr/>
        <w:t>与资产相关的政府补助，应当确认为递延收益，并在相关资产使用寿命内平均分配，</w:t>
      </w:r>
      <w:r>
        <w:rPr>
          <w:w w:val="100"/>
        </w:rPr>
        <w:t> </w:t>
      </w:r>
      <w:r>
        <w:rPr/>
        <w:t>计入当期损益。按照名义金额计量的政府补助，直接计入当期损益。与收益相关的政府补</w:t>
      </w:r>
      <w:r>
        <w:rPr>
          <w:spacing w:val="-57"/>
        </w:rPr>
        <w:t> </w:t>
      </w:r>
      <w:r>
        <w:rPr>
          <w:spacing w:val="-57"/>
        </w:rPr>
      </w:r>
      <w:r>
        <w:rPr/>
        <w:t>助，用于补偿公司以后期间的相关费用或损失的，确认为递延收益，并在确认相关费用的</w:t>
      </w:r>
      <w:r>
        <w:rPr>
          <w:spacing w:val="-57"/>
        </w:rPr>
        <w:t> </w:t>
      </w:r>
      <w:r>
        <w:rPr>
          <w:spacing w:val="-57"/>
        </w:rPr>
      </w:r>
      <w:r>
        <w:rPr/>
        <w:t>期间，计入当期损益；用于补偿公司已发生的相关费用或损失的，直接计入当期损益。</w:t>
      </w:r>
      <w:r>
        <w:rPr>
          <w:w w:val="100"/>
        </w:rPr>
        <w:t> </w:t>
      </w:r>
      <w:r>
        <w:rPr>
          <w:rFonts w:ascii="Arial" w:hAnsi="Arial" w:cs="Arial" w:eastAsia="Arial" w:hint="default"/>
          <w:spacing w:val="-1"/>
        </w:rPr>
        <w:t>3.22</w:t>
        <w:tab/>
      </w:r>
      <w:r>
        <w:rPr>
          <w:spacing w:val="-1"/>
        </w:rPr>
        <w:t>递延所得税资产和递延所得税负债</w:t>
      </w:r>
    </w:p>
    <w:p>
      <w:pPr>
        <w:pStyle w:val="BodyText"/>
        <w:spacing w:line="384" w:lineRule="auto" w:before="9"/>
        <w:ind w:right="215" w:firstLine="439"/>
        <w:jc w:val="both"/>
      </w:pPr>
      <w:r>
        <w:rPr>
          <w:spacing w:val="5"/>
        </w:rPr>
        <w:t>递延所得税资产和递延所得税负债根据资产和负债的计税基础与其账面价值的差额</w:t>
      </w:r>
      <w:r>
        <w:rPr>
          <w:w w:val="100"/>
        </w:rPr>
        <w:t> </w:t>
      </w:r>
      <w:r>
        <w:rPr>
          <w:rFonts w:ascii="Arial" w:hAnsi="Arial" w:cs="Arial" w:eastAsia="Arial" w:hint="default"/>
          <w:spacing w:val="-4"/>
          <w:w w:val="100"/>
        </w:rPr>
        <w:t>(</w:t>
      </w:r>
      <w:r>
        <w:rPr>
          <w:spacing w:val="-4"/>
          <w:w w:val="100"/>
        </w:rPr>
        <w:t>包括应纳税暂时性差异和可抵扣暂时性差异</w:t>
      </w:r>
      <w:r>
        <w:rPr>
          <w:rFonts w:ascii="Arial" w:hAnsi="Arial" w:cs="Arial" w:eastAsia="Arial" w:hint="default"/>
          <w:spacing w:val="-4"/>
          <w:w w:val="100"/>
        </w:rPr>
        <w:t>)</w:t>
      </w:r>
      <w:r>
        <w:rPr>
          <w:spacing w:val="-4"/>
          <w:w w:val="100"/>
        </w:rPr>
        <w:t>计算确认。对于按照税法规定能够于以后年度</w:t>
      </w:r>
      <w:r>
        <w:rPr>
          <w:spacing w:val="-74"/>
          <w:w w:val="100"/>
        </w:rPr>
        <w:t> </w:t>
      </w:r>
      <w:r>
        <w:rPr>
          <w:spacing w:val="-74"/>
          <w:w w:val="100"/>
        </w:rPr>
      </w:r>
      <w:r>
        <w:rPr/>
        <w:t>抵减应纳税所得额的可抵扣亏损，视同可抵扣暂时性差异。对于商誉的初始确认产生的暂</w:t>
      </w:r>
      <w:r>
        <w:rPr>
          <w:spacing w:val="-57"/>
        </w:rPr>
        <w:t> </w:t>
      </w:r>
      <w:r>
        <w:rPr>
          <w:spacing w:val="-57"/>
        </w:rPr>
      </w:r>
      <w:r>
        <w:rPr/>
        <w:t>时性差异，不确认相应的递延所得税负债。对于既不影响会计利润也不影响应纳税所得额</w:t>
      </w:r>
      <w:r>
        <w:rPr>
          <w:spacing w:val="-57"/>
        </w:rPr>
        <w:t> </w:t>
      </w:r>
      <w:r>
        <w:rPr>
          <w:spacing w:val="-57"/>
        </w:rPr>
      </w:r>
      <w:r>
        <w:rPr>
          <w:rFonts w:ascii="Arial" w:hAnsi="Arial" w:cs="Arial" w:eastAsia="Arial" w:hint="default"/>
          <w:spacing w:val="-4"/>
        </w:rPr>
        <w:t>(</w:t>
      </w:r>
      <w:r>
        <w:rPr>
          <w:spacing w:val="-4"/>
        </w:rPr>
        <w:t>或可抵扣亏损</w:t>
      </w:r>
      <w:r>
        <w:rPr>
          <w:rFonts w:ascii="Arial" w:hAnsi="Arial" w:cs="Arial" w:eastAsia="Arial" w:hint="default"/>
          <w:spacing w:val="-4"/>
        </w:rPr>
        <w:t>)</w:t>
      </w:r>
      <w:r>
        <w:rPr>
          <w:spacing w:val="-4"/>
        </w:rPr>
        <w:t>的非企业合并的交易中产生的资产或负债的初始确认形成的暂时性差异，不</w:t>
      </w:r>
      <w:r>
        <w:rPr>
          <w:spacing w:val="-46"/>
        </w:rPr>
        <w:t> </w:t>
      </w:r>
      <w:r>
        <w:rPr>
          <w:spacing w:val="-46"/>
        </w:rPr>
      </w:r>
      <w:r>
        <w:rPr/>
        <w:t>确认相应的递延所得税资产和递延所得税负债。于资产负债表日，递延所得税资产和递延</w:t>
      </w:r>
      <w:r>
        <w:rPr>
          <w:spacing w:val="-57"/>
        </w:rPr>
        <w:t> </w:t>
      </w:r>
      <w:r>
        <w:rPr>
          <w:spacing w:val="-57"/>
        </w:rPr>
      </w:r>
      <w:r>
        <w:rPr/>
        <w:t>所得税负债，按照预期收回该资产或清偿该负债期间的适用税率计量。</w:t>
      </w:r>
    </w:p>
    <w:p>
      <w:pPr>
        <w:pStyle w:val="BodyText"/>
        <w:spacing w:line="391" w:lineRule="auto" w:before="48"/>
        <w:ind w:right="218" w:firstLine="439"/>
        <w:jc w:val="both"/>
      </w:pPr>
      <w:r>
        <w:rPr/>
        <w:t>递延所得税资产的确认以本公司很可能取得用来抵扣可抵扣暂时性差异、可抵扣亏损</w:t>
      </w:r>
      <w:r>
        <w:rPr>
          <w:w w:val="100"/>
        </w:rPr>
        <w:t> </w:t>
      </w:r>
      <w:r>
        <w:rPr/>
        <w:t>和税款抵减的应纳税所得额为限。</w:t>
      </w:r>
    </w:p>
    <w:p>
      <w:pPr>
        <w:pStyle w:val="BodyText"/>
        <w:spacing w:line="391" w:lineRule="auto" w:before="41"/>
        <w:ind w:right="215" w:firstLine="439"/>
        <w:jc w:val="both"/>
      </w:pPr>
      <w:r>
        <w:rPr/>
        <w:t>对子公司、联营企业及合营企业投资相关的暂时性差异产生的递延所得税资产和递延</w:t>
      </w:r>
      <w:r>
        <w:rPr>
          <w:w w:val="100"/>
        </w:rPr>
        <w:t> </w:t>
      </w:r>
      <w:r>
        <w:rPr/>
        <w:t>所得税负债，予以确认。但本公司能够控制暂时性差异转回的时间且该暂时性差异在可预</w:t>
      </w:r>
      <w:r>
        <w:rPr>
          <w:spacing w:val="-57"/>
        </w:rPr>
        <w:t> </w:t>
      </w:r>
      <w:r>
        <w:rPr>
          <w:spacing w:val="-57"/>
        </w:rPr>
      </w:r>
      <w:r>
        <w:rPr/>
        <w:t>见的未来很可能不会转回的，不予确认。</w:t>
      </w:r>
    </w:p>
    <w:p>
      <w:pPr>
        <w:pStyle w:val="BodyText"/>
        <w:spacing w:line="369" w:lineRule="auto" w:before="41"/>
        <w:ind w:left="576" w:right="33" w:hanging="440"/>
        <w:jc w:val="left"/>
      </w:pPr>
      <w:r>
        <w:rPr>
          <w:rFonts w:ascii="Arial" w:hAnsi="Arial" w:cs="Arial" w:eastAsia="Arial" w:hint="default"/>
        </w:rPr>
        <w:t>3.23</w:t>
      </w:r>
      <w:r>
        <w:rPr/>
        <w:t>经营租赁、融资租赁</w:t>
      </w:r>
      <w:r>
        <w:rPr>
          <w:w w:val="100"/>
        </w:rPr>
        <w:t> </w:t>
      </w:r>
      <w:r>
        <w:rPr/>
        <w:t>实质上转移了与资产所有权有关的全部风险和报酬的租赁为融资租赁。其他的租赁为</w:t>
      </w:r>
    </w:p>
    <w:p>
      <w:pPr>
        <w:pStyle w:val="BodyText"/>
        <w:spacing w:line="240" w:lineRule="auto" w:before="61"/>
        <w:ind w:right="33"/>
        <w:jc w:val="left"/>
      </w:pPr>
      <w:r>
        <w:rPr/>
        <w:t>经营租赁。</w:t>
      </w:r>
    </w:p>
    <w:p>
      <w:pPr>
        <w:pStyle w:val="BodyText"/>
        <w:spacing w:line="369" w:lineRule="auto" w:before="180"/>
        <w:ind w:left="576" w:right="191" w:hanging="440"/>
        <w:jc w:val="left"/>
      </w:pPr>
      <w:r>
        <w:rPr>
          <w:rFonts w:ascii="Arial" w:hAnsi="Arial" w:cs="Arial" w:eastAsia="Arial" w:hint="default"/>
        </w:rPr>
        <w:t>3.23.1</w:t>
      </w:r>
      <w:r>
        <w:rPr>
          <w:rFonts w:ascii="Arial" w:hAnsi="Arial" w:cs="Arial" w:eastAsia="Arial" w:hint="default"/>
          <w:spacing w:val="46"/>
        </w:rPr>
        <w:t> </w:t>
      </w:r>
      <w:r>
        <w:rPr/>
        <w:t>经营租赁</w:t>
      </w:r>
      <w:r>
        <w:rPr>
          <w:w w:val="100"/>
        </w:rPr>
        <w:t> </w:t>
      </w:r>
      <w:r>
        <w:rPr>
          <w:spacing w:val="-1"/>
        </w:rPr>
        <w:t>经营租赁的租金支出在租赁期内按照直线法计入相关资产成本或当期损益。</w:t>
      </w:r>
    </w:p>
    <w:p>
      <w:pPr>
        <w:spacing w:after="0" w:line="369" w:lineRule="auto"/>
        <w:jc w:val="left"/>
        <w:sectPr>
          <w:pgSz w:w="11900" w:h="16840"/>
          <w:pgMar w:header="877" w:footer="983" w:top="1100" w:bottom="1180" w:left="1660" w:right="1240"/>
        </w:sectPr>
      </w:pPr>
    </w:p>
    <w:p>
      <w:pPr>
        <w:spacing w:line="240" w:lineRule="auto" w:before="4"/>
        <w:rPr>
          <w:rFonts w:ascii="宋体" w:hAnsi="宋体" w:cs="宋体" w:eastAsia="宋体" w:hint="default"/>
          <w:sz w:val="26"/>
          <w:szCs w:val="26"/>
        </w:rPr>
      </w:pPr>
    </w:p>
    <w:p>
      <w:pPr>
        <w:pStyle w:val="BodyText"/>
        <w:spacing w:line="369" w:lineRule="auto"/>
        <w:ind w:left="676" w:right="125" w:hanging="440"/>
        <w:jc w:val="left"/>
      </w:pPr>
      <w:r>
        <w:rPr>
          <w:rFonts w:ascii="Arial" w:hAnsi="Arial" w:cs="Arial" w:eastAsia="Arial" w:hint="default"/>
        </w:rPr>
        <w:t>3.23.2</w:t>
      </w:r>
      <w:r>
        <w:rPr>
          <w:rFonts w:ascii="Arial" w:hAnsi="Arial" w:cs="Arial" w:eastAsia="Arial" w:hint="default"/>
          <w:spacing w:val="46"/>
        </w:rPr>
        <w:t> </w:t>
      </w:r>
      <w:r>
        <w:rPr/>
        <w:t>融资租赁</w:t>
      </w:r>
      <w:r>
        <w:rPr>
          <w:w w:val="100"/>
        </w:rPr>
        <w:t> </w:t>
      </w:r>
      <w:r>
        <w:rPr/>
        <w:t>按租赁资产的公允价值与最低租赁付款额的现值两者中较低者作为租入资产的入账价</w:t>
      </w:r>
    </w:p>
    <w:p>
      <w:pPr>
        <w:pStyle w:val="BodyText"/>
        <w:spacing w:line="391" w:lineRule="auto" w:before="61"/>
        <w:ind w:left="237" w:right="125"/>
        <w:jc w:val="left"/>
      </w:pPr>
      <w:r>
        <w:rPr/>
        <w:t>值，租入资产的入账价值与最低租赁付款额之间的差额为未确认融资费用，在租赁期内按</w:t>
      </w:r>
      <w:r>
        <w:rPr>
          <w:spacing w:val="-57"/>
        </w:rPr>
        <w:t> </w:t>
      </w:r>
      <w:r>
        <w:rPr>
          <w:spacing w:val="-57"/>
        </w:rPr>
      </w:r>
      <w:r>
        <w:rPr/>
        <w:t>实际利率法摊销。最低租赁付款额扣除未确认融资费用后的余额以长期应付款列示。</w:t>
      </w:r>
      <w:r>
        <w:rPr>
          <w:w w:val="100"/>
        </w:rPr>
        <w:t> </w:t>
      </w:r>
      <w:r>
        <w:rPr>
          <w:rFonts w:ascii="Arial" w:hAnsi="Arial" w:cs="Arial" w:eastAsia="Arial" w:hint="default"/>
        </w:rPr>
        <w:t>3.24</w:t>
      </w:r>
      <w:r>
        <w:rPr/>
        <w:t>主要会计政策、会计估计的变更</w:t>
      </w:r>
    </w:p>
    <w:p>
      <w:pPr>
        <w:pStyle w:val="BodyText"/>
        <w:spacing w:line="369" w:lineRule="auto" w:before="9"/>
        <w:ind w:left="676" w:right="3468" w:hanging="440"/>
        <w:jc w:val="left"/>
      </w:pPr>
      <w:r>
        <w:rPr>
          <w:rFonts w:ascii="Arial" w:hAnsi="Arial" w:cs="Arial" w:eastAsia="Arial" w:hint="default"/>
        </w:rPr>
        <w:t>3.24.1</w:t>
      </w:r>
      <w:r>
        <w:rPr>
          <w:rFonts w:ascii="Arial" w:hAnsi="Arial" w:cs="Arial" w:eastAsia="Arial" w:hint="default"/>
          <w:spacing w:val="46"/>
        </w:rPr>
        <w:t> </w:t>
      </w:r>
      <w:r>
        <w:rPr/>
        <w:t>会计政策变更</w:t>
      </w:r>
      <w:r>
        <w:rPr>
          <w:w w:val="100"/>
        </w:rPr>
        <w:t> </w:t>
      </w:r>
      <w:r>
        <w:rPr>
          <w:spacing w:val="-1"/>
        </w:rPr>
        <w:t>本报告期主要会计政策未发生变更。</w:t>
      </w:r>
    </w:p>
    <w:p>
      <w:pPr>
        <w:pStyle w:val="BodyText"/>
        <w:spacing w:line="369" w:lineRule="auto" w:before="61"/>
        <w:ind w:left="676" w:right="3468" w:hanging="440"/>
        <w:jc w:val="left"/>
      </w:pPr>
      <w:r>
        <w:rPr>
          <w:rFonts w:ascii="Arial" w:hAnsi="Arial" w:cs="Arial" w:eastAsia="Arial" w:hint="default"/>
        </w:rPr>
        <w:t>3.24.2</w:t>
      </w:r>
      <w:r>
        <w:rPr/>
        <w:t>会计估计变更</w:t>
      </w:r>
      <w:r>
        <w:rPr>
          <w:w w:val="100"/>
        </w:rPr>
        <w:t> </w:t>
      </w:r>
      <w:r>
        <w:rPr>
          <w:spacing w:val="-1"/>
        </w:rPr>
        <w:t>本报告期主要会计估计未发生变更。</w:t>
      </w:r>
    </w:p>
    <w:p>
      <w:pPr>
        <w:pStyle w:val="BodyText"/>
        <w:spacing w:line="369" w:lineRule="auto" w:before="61"/>
        <w:ind w:left="676" w:right="125" w:hanging="440"/>
        <w:jc w:val="left"/>
      </w:pPr>
      <w:r>
        <w:rPr>
          <w:rFonts w:ascii="Arial" w:hAnsi="Arial" w:cs="Arial" w:eastAsia="Arial" w:hint="default"/>
        </w:rPr>
        <w:t>3.25</w:t>
      </w:r>
      <w:r>
        <w:rPr/>
        <w:t>前期会计差错更正</w:t>
      </w:r>
      <w:r>
        <w:rPr>
          <w:w w:val="100"/>
        </w:rPr>
        <w:t> </w:t>
      </w:r>
      <w:r>
        <w:rPr>
          <w:spacing w:val="5"/>
        </w:rPr>
        <w:t>本报告期未发现采用追溯重述法的前期会计差错以及采用未来适用法的前期会计差</w:t>
      </w:r>
    </w:p>
    <w:p>
      <w:pPr>
        <w:pStyle w:val="BodyText"/>
        <w:spacing w:line="240" w:lineRule="auto" w:before="61"/>
        <w:ind w:left="237" w:right="125"/>
        <w:jc w:val="left"/>
      </w:pPr>
      <w:r>
        <w:rPr/>
        <w:t>错。</w:t>
      </w:r>
    </w:p>
    <w:p>
      <w:pPr>
        <w:spacing w:line="240" w:lineRule="auto" w:before="1"/>
        <w:rPr>
          <w:rFonts w:ascii="宋体" w:hAnsi="宋体" w:cs="宋体" w:eastAsia="宋体" w:hint="default"/>
          <w:sz w:val="16"/>
          <w:szCs w:val="16"/>
        </w:rPr>
      </w:pPr>
    </w:p>
    <w:p>
      <w:pPr>
        <w:spacing w:before="0"/>
        <w:ind w:left="237" w:right="125" w:firstLine="0"/>
        <w:jc w:val="left"/>
        <w:rPr>
          <w:rFonts w:ascii="宋体" w:hAnsi="宋体" w:cs="宋体" w:eastAsia="宋体" w:hint="default"/>
          <w:sz w:val="28"/>
          <w:szCs w:val="28"/>
        </w:rPr>
      </w:pPr>
      <w:r>
        <w:rPr>
          <w:rFonts w:ascii="Arial" w:hAnsi="Arial" w:cs="Arial" w:eastAsia="Arial" w:hint="default"/>
          <w:b/>
          <w:bCs/>
          <w:sz w:val="28"/>
          <w:szCs w:val="28"/>
        </w:rPr>
        <w:t>4.</w:t>
      </w:r>
      <w:r>
        <w:rPr>
          <w:rFonts w:ascii="Arial" w:hAnsi="Arial" w:cs="Arial" w:eastAsia="Arial" w:hint="default"/>
          <w:b/>
          <w:bCs/>
          <w:spacing w:val="62"/>
          <w:sz w:val="28"/>
          <w:szCs w:val="28"/>
        </w:rPr>
        <w:t> </w:t>
      </w:r>
      <w:r>
        <w:rPr>
          <w:rFonts w:ascii="宋体" w:hAnsi="宋体" w:cs="宋体" w:eastAsia="宋体" w:hint="default"/>
          <w:sz w:val="28"/>
          <w:szCs w:val="28"/>
        </w:rPr>
        <w:t>税项</w:t>
      </w:r>
    </w:p>
    <w:p>
      <w:pPr>
        <w:pStyle w:val="BodyText"/>
        <w:spacing w:line="240" w:lineRule="auto" w:before="207"/>
        <w:ind w:left="237" w:right="125"/>
        <w:jc w:val="left"/>
      </w:pPr>
      <w:r>
        <w:rPr>
          <w:rFonts w:ascii="Arial" w:hAnsi="Arial" w:cs="Arial" w:eastAsia="Arial" w:hint="default"/>
        </w:rPr>
        <w:t>4.1</w:t>
      </w:r>
      <w:r>
        <w:rPr>
          <w:rFonts w:ascii="Arial" w:hAnsi="Arial" w:cs="Arial" w:eastAsia="Arial" w:hint="default"/>
          <w:spacing w:val="47"/>
        </w:rPr>
        <w:t> </w:t>
      </w:r>
      <w:r>
        <w:rPr/>
        <w:t>主要税种及税率</w:t>
      </w:r>
    </w:p>
    <w:p>
      <w:pPr>
        <w:spacing w:line="240" w:lineRule="auto" w:before="5"/>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759"/>
        <w:gridCol w:w="5023"/>
        <w:gridCol w:w="2074"/>
      </w:tblGrid>
      <w:tr>
        <w:trPr>
          <w:trHeight w:val="614" w:hRule="exact"/>
        </w:trPr>
        <w:tc>
          <w:tcPr>
            <w:tcW w:w="17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502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0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799" w:hRule="exact"/>
        </w:trPr>
        <w:tc>
          <w:tcPr>
            <w:tcW w:w="17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5023" w:type="dxa"/>
            <w:tcBorders>
              <w:top w:val="single" w:sz="12" w:space="0" w:color="000000"/>
              <w:left w:val="single" w:sz="12" w:space="0" w:color="000000"/>
              <w:bottom w:val="single" w:sz="12" w:space="0" w:color="000000"/>
              <w:right w:val="single" w:sz="12" w:space="0" w:color="000000"/>
            </w:tcBorders>
          </w:tcPr>
          <w:p>
            <w:pPr>
              <w:pStyle w:val="TableParagraph"/>
              <w:spacing w:line="307" w:lineRule="auto" w:before="51"/>
              <w:ind w:left="93" w:right="89"/>
              <w:jc w:val="left"/>
              <w:rPr>
                <w:rFonts w:ascii="宋体" w:hAnsi="宋体" w:cs="宋体" w:eastAsia="宋体" w:hint="default"/>
                <w:sz w:val="18"/>
                <w:szCs w:val="18"/>
              </w:rPr>
            </w:pPr>
            <w:r>
              <w:rPr>
                <w:rFonts w:ascii="宋体" w:hAnsi="宋体" w:cs="宋体" w:eastAsia="宋体" w:hint="default"/>
                <w:sz w:val="18"/>
                <w:szCs w:val="18"/>
              </w:rPr>
              <w:t>应纳税增值额(应纳税额按应纳税销售额乘以适用税率扣除当</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期允计抵扣的进项税后的余额计算)</w:t>
            </w:r>
          </w:p>
        </w:tc>
        <w:tc>
          <w:tcPr>
            <w:tcW w:w="20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17%</w:t>
            </w:r>
          </w:p>
        </w:tc>
      </w:tr>
      <w:tr>
        <w:trPr>
          <w:trHeight w:val="638" w:hRule="exact"/>
        </w:trPr>
        <w:tc>
          <w:tcPr>
            <w:tcW w:w="17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3"/>
              <w:ind w:left="9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502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3"/>
              <w:ind w:left="93" w:right="0"/>
              <w:jc w:val="left"/>
              <w:rPr>
                <w:rFonts w:ascii="宋体" w:hAnsi="宋体" w:cs="宋体" w:eastAsia="宋体" w:hint="default"/>
                <w:sz w:val="18"/>
                <w:szCs w:val="18"/>
              </w:rPr>
            </w:pPr>
            <w:r>
              <w:rPr>
                <w:rFonts w:ascii="宋体" w:hAnsi="宋体" w:cs="宋体" w:eastAsia="宋体" w:hint="default"/>
                <w:sz w:val="18"/>
                <w:szCs w:val="18"/>
              </w:rPr>
              <w:t>应纳营业税</w:t>
            </w:r>
          </w:p>
        </w:tc>
        <w:tc>
          <w:tcPr>
            <w:tcW w:w="20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3"/>
              <w:ind w:right="1"/>
              <w:jc w:val="center"/>
              <w:rPr>
                <w:rFonts w:ascii="宋体" w:hAnsi="宋体" w:cs="宋体" w:eastAsia="宋体" w:hint="default"/>
                <w:sz w:val="18"/>
                <w:szCs w:val="18"/>
              </w:rPr>
            </w:pPr>
            <w:r>
              <w:rPr>
                <w:rFonts w:ascii="宋体"/>
                <w:sz w:val="18"/>
              </w:rPr>
              <w:t>5%</w:t>
            </w:r>
          </w:p>
        </w:tc>
      </w:tr>
      <w:tr>
        <w:trPr>
          <w:trHeight w:val="490" w:hRule="exact"/>
        </w:trPr>
        <w:tc>
          <w:tcPr>
            <w:tcW w:w="17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502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20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见详细说明</w:t>
            </w:r>
          </w:p>
        </w:tc>
      </w:tr>
    </w:tbl>
    <w:p>
      <w:pPr>
        <w:pStyle w:val="BodyText"/>
        <w:spacing w:line="369" w:lineRule="auto" w:before="57"/>
        <w:ind w:left="237" w:right="125" w:firstLine="439"/>
        <w:jc w:val="left"/>
      </w:pPr>
      <w:r>
        <w:rPr>
          <w:spacing w:val="-1"/>
        </w:rPr>
        <w:t>本公司被评定为高新技术企业，按《中华人民共和国企业所得税法》规定，</w:t>
      </w:r>
      <w:r>
        <w:rPr>
          <w:rFonts w:ascii="Arial" w:hAnsi="Arial" w:cs="Arial" w:eastAsia="Arial" w:hint="default"/>
          <w:spacing w:val="-1"/>
        </w:rPr>
        <w:t>2010</w:t>
      </w:r>
      <w:r>
        <w:rPr>
          <w:spacing w:val="-1"/>
        </w:rPr>
        <w:t>年执</w:t>
      </w:r>
      <w:r>
        <w:rPr>
          <w:w w:val="100"/>
        </w:rPr>
        <w:t> </w:t>
      </w:r>
      <w:r>
        <w:rPr/>
        <w:t>行</w:t>
      </w:r>
      <w:r>
        <w:rPr>
          <w:rFonts w:ascii="Arial" w:hAnsi="Arial" w:cs="Arial" w:eastAsia="Arial" w:hint="default"/>
        </w:rPr>
        <w:t>15%</w:t>
      </w:r>
      <w:r>
        <w:rPr/>
        <w:t>的所得税税率。</w:t>
      </w:r>
    </w:p>
    <w:p>
      <w:pPr>
        <w:pStyle w:val="BodyText"/>
        <w:spacing w:line="391" w:lineRule="auto" w:before="31"/>
        <w:ind w:left="237" w:right="125" w:firstLine="439"/>
        <w:jc w:val="left"/>
      </w:pPr>
      <w:r>
        <w:rPr>
          <w:spacing w:val="-6"/>
        </w:rPr>
        <w:t>本公司下属子公司烟台安诺其纺织材料有限公司、东营安诺其纺织材料有限公司按《中</w:t>
      </w:r>
      <w:r>
        <w:rPr>
          <w:w w:val="100"/>
        </w:rPr>
        <w:t> </w:t>
      </w:r>
      <w:r>
        <w:rPr/>
        <w:t>华人民共和国企业所得税法》规定，</w:t>
      </w:r>
      <w:r>
        <w:rPr>
          <w:rFonts w:ascii="Arial" w:hAnsi="Arial" w:cs="Arial" w:eastAsia="Arial" w:hint="default"/>
        </w:rPr>
        <w:t>2010</w:t>
      </w:r>
      <w:r>
        <w:rPr/>
        <w:t>年执行</w:t>
      </w:r>
      <w:r>
        <w:rPr>
          <w:rFonts w:ascii="Arial" w:hAnsi="Arial" w:cs="Arial" w:eastAsia="Arial" w:hint="default"/>
        </w:rPr>
        <w:t>25%</w:t>
      </w:r>
      <w:r>
        <w:rPr/>
        <w:t>的所得税税率。</w:t>
      </w:r>
    </w:p>
    <w:p>
      <w:pPr>
        <w:pStyle w:val="Heading3"/>
        <w:spacing w:line="240" w:lineRule="auto" w:before="40"/>
        <w:ind w:left="237" w:right="125"/>
        <w:jc w:val="left"/>
      </w:pPr>
      <w:r>
        <w:rPr>
          <w:rFonts w:ascii="Arial" w:hAnsi="Arial" w:cs="Arial" w:eastAsia="Arial" w:hint="default"/>
          <w:b/>
          <w:bCs/>
        </w:rPr>
        <w:t>5. </w:t>
      </w:r>
      <w:r>
        <w:rPr>
          <w:rFonts w:ascii="Arial" w:hAnsi="Arial" w:cs="Arial" w:eastAsia="Arial" w:hint="default"/>
          <w:b/>
          <w:bCs/>
          <w:spacing w:val="4"/>
        </w:rPr>
        <w:t> </w:t>
      </w:r>
      <w:r>
        <w:rPr/>
        <w:t>企业合并及合并财务报表（金额单位为人民币万元）</w:t>
      </w:r>
    </w:p>
    <w:p>
      <w:pPr>
        <w:pStyle w:val="BodyText"/>
        <w:spacing w:line="240" w:lineRule="auto" w:before="207"/>
        <w:ind w:left="237" w:right="125"/>
        <w:jc w:val="left"/>
      </w:pPr>
      <w:r>
        <w:rPr>
          <w:rFonts w:ascii="Arial" w:hAnsi="Arial" w:cs="Arial" w:eastAsia="Arial" w:hint="default"/>
        </w:rPr>
        <w:t>5.1</w:t>
      </w:r>
      <w:r>
        <w:rPr/>
        <w:t>子公司情况</w:t>
      </w:r>
    </w:p>
    <w:p>
      <w:pPr>
        <w:pStyle w:val="BodyText"/>
        <w:spacing w:line="240" w:lineRule="auto" w:before="164"/>
        <w:ind w:left="237" w:right="125"/>
        <w:jc w:val="left"/>
      </w:pPr>
      <w:r>
        <w:rPr>
          <w:rFonts w:ascii="Arial" w:hAnsi="Arial" w:cs="Arial" w:eastAsia="Arial" w:hint="default"/>
        </w:rPr>
        <w:t>5.1.1</w:t>
      </w:r>
      <w:r>
        <w:rPr/>
        <w:t>通过设立或投资等方式取得的子公司</w:t>
      </w:r>
    </w:p>
    <w:p>
      <w:pPr>
        <w:spacing w:after="0" w:line="240" w:lineRule="auto"/>
        <w:jc w:val="left"/>
        <w:sectPr>
          <w:pgSz w:w="11900" w:h="16840"/>
          <w:pgMar w:header="877" w:footer="983" w:top="1100" w:bottom="1180" w:left="1560" w:right="1220"/>
        </w:sectPr>
      </w:pPr>
    </w:p>
    <w:p>
      <w:pPr>
        <w:tabs>
          <w:tab w:pos="7673" w:val="left" w:leader="none"/>
        </w:tabs>
        <w:spacing w:before="21"/>
        <w:ind w:left="379" w:right="0" w:firstLine="0"/>
        <w:jc w:val="left"/>
        <w:rPr>
          <w:rFonts w:ascii="宋体" w:hAnsi="宋体" w:cs="宋体" w:eastAsia="宋体" w:hint="default"/>
          <w:sz w:val="18"/>
          <w:szCs w:val="18"/>
        </w:rPr>
      </w:pPr>
      <w:r>
        <w:rPr>
          <w:rFonts w:ascii="宋体" w:hAnsi="宋体" w:cs="宋体" w:eastAsia="宋体" w:hint="default"/>
          <w:spacing w:val="-1"/>
          <w:sz w:val="18"/>
          <w:szCs w:val="18"/>
        </w:rPr>
        <w:t>上海安诺其纺织化工股份有限公司</w:t>
        <w:tab/>
      </w:r>
      <w:r>
        <w:rPr>
          <w:rFonts w:ascii="Times New Roman" w:hAnsi="Times New Roman" w:cs="Times New Roman" w:eastAsia="Times New Roman" w:hint="default"/>
          <w:spacing w:val="-1"/>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年年度报告</w:t>
      </w:r>
    </w:p>
    <w:p>
      <w:pPr>
        <w:spacing w:line="240" w:lineRule="auto" w:before="7"/>
        <w:rPr>
          <w:rFonts w:ascii="宋体" w:hAnsi="宋体" w:cs="宋体" w:eastAsia="宋体" w:hint="default"/>
          <w:sz w:val="2"/>
          <w:szCs w:val="2"/>
        </w:rPr>
      </w:pPr>
    </w:p>
    <w:p>
      <w:pPr>
        <w:spacing w:line="20" w:lineRule="exact"/>
        <w:ind w:left="343" w:right="0" w:firstLine="0"/>
        <w:rPr>
          <w:rFonts w:ascii="宋体" w:hAnsi="宋体" w:cs="宋体" w:eastAsia="宋体" w:hint="default"/>
          <w:sz w:val="2"/>
          <w:szCs w:val="2"/>
        </w:rPr>
      </w:pPr>
      <w:r>
        <w:rPr>
          <w:rFonts w:ascii="宋体" w:hAnsi="宋体" w:cs="宋体" w:eastAsia="宋体" w:hint="default"/>
          <w:sz w:val="2"/>
          <w:szCs w:val="2"/>
        </w:rPr>
        <w:pict>
          <v:group style="width:701.55pt;height:.75pt;mso-position-horizontal-relative:char;mso-position-vertical-relative:line" coordorigin="0,0" coordsize="14031,15">
            <v:group style="position:absolute;left:7;top:7;width:14016;height:2" coordorigin="7,7" coordsize="14016,2">
              <v:shape style="position:absolute;left:7;top:7;width:14016;height:2" coordorigin="7,7" coordsize="14016,0" path="m7,7l1402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1248"/>
        <w:gridCol w:w="1198"/>
        <w:gridCol w:w="593"/>
        <w:gridCol w:w="886"/>
        <w:gridCol w:w="1447"/>
        <w:gridCol w:w="1121"/>
        <w:gridCol w:w="1118"/>
        <w:gridCol w:w="864"/>
        <w:gridCol w:w="770"/>
        <w:gridCol w:w="770"/>
        <w:gridCol w:w="574"/>
        <w:gridCol w:w="612"/>
        <w:gridCol w:w="996"/>
        <w:gridCol w:w="2263"/>
      </w:tblGrid>
      <w:tr>
        <w:trPr>
          <w:trHeight w:val="1850" w:hRule="exact"/>
        </w:trPr>
        <w:tc>
          <w:tcPr>
            <w:tcW w:w="12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1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36"/>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59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09" w:lineRule="auto"/>
              <w:ind w:left="175" w:right="206"/>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w w:val="100"/>
                <w:sz w:val="18"/>
                <w:szCs w:val="18"/>
              </w:rPr>
              <w:t> </w:t>
            </w:r>
            <w:r>
              <w:rPr>
                <w:rFonts w:ascii="宋体" w:hAnsi="宋体" w:cs="宋体" w:eastAsia="宋体" w:hint="default"/>
                <w:sz w:val="18"/>
                <w:szCs w:val="18"/>
              </w:rPr>
              <w:t>册</w:t>
            </w:r>
            <w:r>
              <w:rPr>
                <w:rFonts w:ascii="宋体" w:hAnsi="宋体" w:cs="宋体" w:eastAsia="宋体" w:hint="default"/>
                <w:w w:val="100"/>
                <w:sz w:val="18"/>
                <w:szCs w:val="18"/>
              </w:rPr>
              <w:t> </w:t>
            </w:r>
            <w:r>
              <w:rPr>
                <w:rFonts w:ascii="宋体" w:hAnsi="宋体" w:cs="宋体" w:eastAsia="宋体" w:hint="default"/>
                <w:sz w:val="18"/>
                <w:szCs w:val="18"/>
              </w:rPr>
              <w:t>地</w:t>
            </w:r>
          </w:p>
        </w:tc>
        <w:tc>
          <w:tcPr>
            <w:tcW w:w="8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07" w:lineRule="auto"/>
              <w:ind w:left="321" w:right="173" w:hanging="180"/>
              <w:jc w:val="left"/>
              <w:rPr>
                <w:rFonts w:ascii="宋体" w:hAnsi="宋体" w:cs="宋体" w:eastAsia="宋体" w:hint="default"/>
                <w:sz w:val="18"/>
                <w:szCs w:val="18"/>
              </w:rPr>
            </w:pPr>
            <w:r>
              <w:rPr>
                <w:rFonts w:ascii="宋体" w:hAnsi="宋体" w:cs="宋体" w:eastAsia="宋体" w:hint="default"/>
                <w:sz w:val="18"/>
                <w:szCs w:val="18"/>
              </w:rPr>
              <w:t>业务性</w:t>
            </w:r>
            <w:r>
              <w:rPr>
                <w:rFonts w:ascii="宋体" w:hAnsi="宋体" w:cs="宋体" w:eastAsia="宋体" w:hint="default"/>
                <w:w w:val="100"/>
                <w:sz w:val="18"/>
                <w:szCs w:val="18"/>
              </w:rPr>
              <w:t> </w:t>
            </w:r>
            <w:r>
              <w:rPr>
                <w:rFonts w:ascii="宋体" w:hAnsi="宋体" w:cs="宋体" w:eastAsia="宋体" w:hint="default"/>
                <w:sz w:val="18"/>
                <w:szCs w:val="18"/>
              </w:rPr>
              <w:t>质</w:t>
            </w:r>
          </w:p>
        </w:tc>
        <w:tc>
          <w:tcPr>
            <w:tcW w:w="144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1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1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07" w:lineRule="auto"/>
              <w:ind w:left="364" w:right="93" w:hanging="272"/>
              <w:jc w:val="left"/>
              <w:rPr>
                <w:rFonts w:ascii="宋体" w:hAnsi="宋体" w:cs="宋体" w:eastAsia="宋体" w:hint="default"/>
                <w:sz w:val="18"/>
                <w:szCs w:val="18"/>
              </w:rPr>
            </w:pPr>
            <w:r>
              <w:rPr>
                <w:rFonts w:ascii="宋体" w:hAnsi="宋体" w:cs="宋体" w:eastAsia="宋体" w:hint="default"/>
                <w:sz w:val="18"/>
                <w:szCs w:val="18"/>
              </w:rPr>
              <w:t>期末实际出</w:t>
            </w:r>
            <w:r>
              <w:rPr>
                <w:rFonts w:ascii="宋体" w:hAnsi="宋体" w:cs="宋体" w:eastAsia="宋体" w:hint="default"/>
                <w:w w:val="100"/>
                <w:sz w:val="18"/>
                <w:szCs w:val="18"/>
              </w:rPr>
              <w:t> </w:t>
            </w:r>
            <w:r>
              <w:rPr>
                <w:rFonts w:ascii="宋体" w:hAnsi="宋体" w:cs="宋体" w:eastAsia="宋体" w:hint="default"/>
                <w:sz w:val="18"/>
                <w:szCs w:val="18"/>
              </w:rPr>
              <w:t>资额</w:t>
            </w:r>
          </w:p>
        </w:tc>
        <w:tc>
          <w:tcPr>
            <w:tcW w:w="864"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146" w:right="0"/>
              <w:jc w:val="both"/>
              <w:rPr>
                <w:rFonts w:ascii="宋体" w:hAnsi="宋体" w:cs="宋体" w:eastAsia="宋体" w:hint="default"/>
                <w:sz w:val="18"/>
                <w:szCs w:val="18"/>
              </w:rPr>
            </w:pPr>
            <w:r>
              <w:rPr>
                <w:rFonts w:ascii="宋体" w:hAnsi="宋体" w:cs="宋体" w:eastAsia="宋体" w:hint="default"/>
                <w:sz w:val="18"/>
                <w:szCs w:val="18"/>
              </w:rPr>
              <w:t>实质上</w:t>
            </w:r>
          </w:p>
          <w:p>
            <w:pPr>
              <w:pStyle w:val="TableParagraph"/>
              <w:spacing w:line="309" w:lineRule="auto" w:before="67"/>
              <w:ind w:left="146" w:right="146"/>
              <w:jc w:val="both"/>
              <w:rPr>
                <w:rFonts w:ascii="宋体" w:hAnsi="宋体" w:cs="宋体" w:eastAsia="宋体" w:hint="default"/>
                <w:sz w:val="18"/>
                <w:szCs w:val="18"/>
              </w:rPr>
            </w:pPr>
            <w:r>
              <w:rPr>
                <w:rFonts w:ascii="宋体" w:hAnsi="宋体" w:cs="宋体" w:eastAsia="宋体" w:hint="default"/>
                <w:sz w:val="18"/>
                <w:szCs w:val="18"/>
              </w:rPr>
              <w:t>构成对</w:t>
            </w:r>
            <w:r>
              <w:rPr>
                <w:rFonts w:ascii="宋体" w:hAnsi="宋体" w:cs="宋体" w:eastAsia="宋体" w:hint="default"/>
                <w:w w:val="100"/>
                <w:sz w:val="18"/>
                <w:szCs w:val="18"/>
              </w:rPr>
              <w:t> </w:t>
            </w:r>
            <w:r>
              <w:rPr>
                <w:rFonts w:ascii="宋体" w:hAnsi="宋体" w:cs="宋体" w:eastAsia="宋体" w:hint="default"/>
                <w:sz w:val="18"/>
                <w:szCs w:val="18"/>
              </w:rPr>
              <w:t>子公司</w:t>
            </w:r>
            <w:r>
              <w:rPr>
                <w:rFonts w:ascii="宋体" w:hAnsi="宋体" w:cs="宋体" w:eastAsia="宋体" w:hint="default"/>
                <w:w w:val="100"/>
                <w:sz w:val="18"/>
                <w:szCs w:val="18"/>
              </w:rPr>
              <w:t> </w:t>
            </w:r>
            <w:r>
              <w:rPr>
                <w:rFonts w:ascii="宋体" w:hAnsi="宋体" w:cs="宋体" w:eastAsia="宋体" w:hint="default"/>
                <w:sz w:val="18"/>
                <w:szCs w:val="18"/>
              </w:rPr>
              <w:t>投资的</w:t>
            </w:r>
            <w:r>
              <w:rPr>
                <w:rFonts w:ascii="宋体" w:hAnsi="宋体" w:cs="宋体" w:eastAsia="宋体" w:hint="default"/>
                <w:w w:val="100"/>
                <w:sz w:val="18"/>
                <w:szCs w:val="18"/>
              </w:rPr>
              <w:t> </w:t>
            </w:r>
            <w:r>
              <w:rPr>
                <w:rFonts w:ascii="宋体" w:hAnsi="宋体" w:cs="宋体" w:eastAsia="宋体" w:hint="default"/>
                <w:sz w:val="18"/>
                <w:szCs w:val="18"/>
              </w:rPr>
              <w:t>其他项</w:t>
            </w:r>
            <w:r>
              <w:rPr>
                <w:rFonts w:ascii="宋体" w:hAnsi="宋体" w:cs="宋体" w:eastAsia="宋体" w:hint="default"/>
                <w:w w:val="100"/>
                <w:sz w:val="18"/>
                <w:szCs w:val="18"/>
              </w:rPr>
              <w:t> </w:t>
            </w:r>
            <w:r>
              <w:rPr>
                <w:rFonts w:ascii="宋体" w:hAnsi="宋体" w:cs="宋体" w:eastAsia="宋体" w:hint="default"/>
                <w:sz w:val="18"/>
                <w:szCs w:val="18"/>
              </w:rPr>
              <w:t>目余额</w:t>
            </w:r>
          </w:p>
        </w:tc>
        <w:tc>
          <w:tcPr>
            <w:tcW w:w="7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07" w:lineRule="auto"/>
              <w:ind w:left="172" w:right="206"/>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w w:val="100"/>
                <w:sz w:val="18"/>
                <w:szCs w:val="18"/>
              </w:rPr>
              <w:t> </w:t>
            </w:r>
            <w:r>
              <w:rPr>
                <w:rFonts w:ascii="宋体" w:hAnsi="宋体" w:cs="宋体" w:eastAsia="宋体" w:hint="default"/>
                <w:sz w:val="18"/>
                <w:szCs w:val="18"/>
              </w:rPr>
              <w:t>比例</w:t>
            </w:r>
          </w:p>
          <w:p>
            <w:pPr>
              <w:pStyle w:val="TableParagraph"/>
              <w:spacing w:line="240" w:lineRule="auto" w:before="19"/>
              <w:ind w:left="93"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7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09" w:lineRule="auto"/>
              <w:ind w:left="93" w:right="33" w:hanging="94"/>
              <w:jc w:val="center"/>
              <w:rPr>
                <w:rFonts w:ascii="宋体" w:hAnsi="宋体" w:cs="宋体" w:eastAsia="宋体" w:hint="default"/>
                <w:sz w:val="18"/>
                <w:szCs w:val="18"/>
              </w:rPr>
            </w:pPr>
            <w:r>
              <w:rPr>
                <w:rFonts w:ascii="宋体" w:hAnsi="宋体" w:cs="宋体" w:eastAsia="宋体" w:hint="default"/>
                <w:sz w:val="18"/>
                <w:szCs w:val="18"/>
              </w:rPr>
              <w:t>表决</w:t>
            </w:r>
            <w:r>
              <w:rPr>
                <w:rFonts w:ascii="宋体" w:hAnsi="宋体" w:cs="宋体" w:eastAsia="宋体" w:hint="default"/>
                <w:w w:val="100"/>
                <w:sz w:val="18"/>
                <w:szCs w:val="18"/>
              </w:rPr>
              <w:t> </w:t>
            </w:r>
            <w:r>
              <w:rPr>
                <w:rFonts w:ascii="宋体" w:hAnsi="宋体" w:cs="宋体" w:eastAsia="宋体" w:hint="default"/>
                <w:sz w:val="18"/>
                <w:szCs w:val="18"/>
              </w:rPr>
              <w:t>权比</w:t>
            </w:r>
            <w:r>
              <w:rPr>
                <w:rFonts w:ascii="宋体" w:hAnsi="宋体" w:cs="宋体" w:eastAsia="宋体" w:hint="default"/>
                <w:w w:val="100"/>
                <w:sz w:val="18"/>
                <w:szCs w:val="18"/>
              </w:rPr>
              <w:t> </w:t>
            </w:r>
            <w:r>
              <w:rPr>
                <w:rFonts w:ascii="宋体" w:hAnsi="宋体" w:cs="宋体" w:eastAsia="宋体" w:hint="default"/>
                <w:spacing w:val="-23"/>
                <w:w w:val="100"/>
                <w:sz w:val="18"/>
                <w:szCs w:val="18"/>
              </w:rPr>
              <w:t>例（</w:t>
            </w:r>
            <w:r>
              <w:rPr>
                <w:rFonts w:ascii="Arial" w:hAnsi="Arial" w:cs="Arial" w:eastAsia="Arial" w:hint="default"/>
                <w:spacing w:val="-23"/>
                <w:w w:val="100"/>
                <w:sz w:val="18"/>
                <w:szCs w:val="18"/>
              </w:rPr>
              <w:t>%</w:t>
            </w:r>
            <w:r>
              <w:rPr>
                <w:rFonts w:ascii="宋体" w:hAnsi="宋体" w:cs="宋体" w:eastAsia="宋体" w:hint="default"/>
                <w:spacing w:val="-23"/>
                <w:w w:val="100"/>
                <w:sz w:val="18"/>
                <w:szCs w:val="18"/>
              </w:rPr>
              <w:t>）</w:t>
            </w:r>
          </w:p>
        </w:tc>
        <w:tc>
          <w:tcPr>
            <w:tcW w:w="574"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w w:val="100"/>
                <w:sz w:val="18"/>
                <w:szCs w:val="18"/>
              </w:rPr>
              <w:t>是</w:t>
            </w:r>
          </w:p>
          <w:p>
            <w:pPr>
              <w:pStyle w:val="TableParagraph"/>
              <w:spacing w:line="309" w:lineRule="auto" w:before="67"/>
              <w:ind w:left="182" w:right="180"/>
              <w:jc w:val="both"/>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w w:val="100"/>
                <w:sz w:val="18"/>
                <w:szCs w:val="18"/>
              </w:rPr>
              <w:t> </w:t>
            </w:r>
            <w:r>
              <w:rPr>
                <w:rFonts w:ascii="宋体" w:hAnsi="宋体" w:cs="宋体" w:eastAsia="宋体" w:hint="default"/>
                <w:sz w:val="18"/>
                <w:szCs w:val="18"/>
              </w:rPr>
              <w:t>合</w:t>
            </w:r>
            <w:r>
              <w:rPr>
                <w:rFonts w:ascii="宋体" w:hAnsi="宋体" w:cs="宋体" w:eastAsia="宋体" w:hint="default"/>
                <w:w w:val="100"/>
                <w:sz w:val="18"/>
                <w:szCs w:val="18"/>
              </w:rPr>
              <w:t> </w:t>
            </w:r>
            <w:r>
              <w:rPr>
                <w:rFonts w:ascii="宋体" w:hAnsi="宋体" w:cs="宋体" w:eastAsia="宋体" w:hint="default"/>
                <w:sz w:val="18"/>
                <w:szCs w:val="18"/>
              </w:rPr>
              <w:t>并</w:t>
            </w:r>
            <w:r>
              <w:rPr>
                <w:rFonts w:ascii="宋体" w:hAnsi="宋体" w:cs="宋体" w:eastAsia="宋体" w:hint="default"/>
                <w:w w:val="100"/>
                <w:sz w:val="18"/>
                <w:szCs w:val="18"/>
              </w:rPr>
              <w:t> </w:t>
            </w:r>
            <w:r>
              <w:rPr>
                <w:rFonts w:ascii="宋体" w:hAnsi="宋体" w:cs="宋体" w:eastAsia="宋体" w:hint="default"/>
                <w:sz w:val="18"/>
                <w:szCs w:val="18"/>
              </w:rPr>
              <w:t>报</w:t>
            </w:r>
            <w:r>
              <w:rPr>
                <w:rFonts w:ascii="宋体" w:hAnsi="宋体" w:cs="宋体" w:eastAsia="宋体" w:hint="default"/>
                <w:w w:val="100"/>
                <w:sz w:val="18"/>
                <w:szCs w:val="18"/>
              </w:rPr>
              <w:t> </w:t>
            </w:r>
            <w:r>
              <w:rPr>
                <w:rFonts w:ascii="宋体" w:hAnsi="宋体" w:cs="宋体" w:eastAsia="宋体" w:hint="default"/>
                <w:sz w:val="18"/>
                <w:szCs w:val="18"/>
              </w:rPr>
              <w:t>表</w:t>
            </w:r>
          </w:p>
        </w:tc>
        <w:tc>
          <w:tcPr>
            <w:tcW w:w="6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09" w:lineRule="auto"/>
              <w:ind w:left="110" w:right="110"/>
              <w:jc w:val="both"/>
              <w:rPr>
                <w:rFonts w:ascii="宋体" w:hAnsi="宋体" w:cs="宋体" w:eastAsia="宋体" w:hint="default"/>
                <w:sz w:val="18"/>
                <w:szCs w:val="18"/>
              </w:rPr>
            </w:pPr>
            <w:r>
              <w:rPr>
                <w:rFonts w:ascii="宋体" w:hAnsi="宋体" w:cs="宋体" w:eastAsia="宋体" w:hint="default"/>
                <w:sz w:val="18"/>
                <w:szCs w:val="18"/>
              </w:rPr>
              <w:t>少数</w:t>
            </w:r>
            <w:r>
              <w:rPr>
                <w:rFonts w:ascii="宋体" w:hAnsi="宋体" w:cs="宋体" w:eastAsia="宋体" w:hint="default"/>
                <w:w w:val="100"/>
                <w:sz w:val="18"/>
                <w:szCs w:val="18"/>
              </w:rPr>
              <w:t> </w:t>
            </w:r>
            <w:r>
              <w:rPr>
                <w:rFonts w:ascii="宋体" w:hAnsi="宋体" w:cs="宋体" w:eastAsia="宋体" w:hint="default"/>
                <w:sz w:val="18"/>
                <w:szCs w:val="18"/>
              </w:rPr>
              <w:t>股东</w:t>
            </w:r>
            <w:r>
              <w:rPr>
                <w:rFonts w:ascii="宋体" w:hAnsi="宋体" w:cs="宋体" w:eastAsia="宋体" w:hint="default"/>
                <w:w w:val="100"/>
                <w:sz w:val="18"/>
                <w:szCs w:val="18"/>
              </w:rPr>
              <w:t> </w:t>
            </w:r>
            <w:r>
              <w:rPr>
                <w:rFonts w:ascii="宋体" w:hAnsi="宋体" w:cs="宋体" w:eastAsia="宋体" w:hint="default"/>
                <w:sz w:val="18"/>
                <w:szCs w:val="18"/>
              </w:rPr>
              <w:t>权益</w:t>
            </w:r>
          </w:p>
        </w:tc>
        <w:tc>
          <w:tcPr>
            <w:tcW w:w="996" w:type="dxa"/>
            <w:tcBorders>
              <w:top w:val="single" w:sz="12" w:space="0" w:color="000000"/>
              <w:left w:val="single" w:sz="12" w:space="0" w:color="000000"/>
              <w:bottom w:val="single" w:sz="12" w:space="0" w:color="000000"/>
              <w:right w:val="single" w:sz="12" w:space="0" w:color="000000"/>
            </w:tcBorders>
          </w:tcPr>
          <w:p>
            <w:pPr>
              <w:pStyle w:val="TableParagraph"/>
              <w:spacing w:line="309" w:lineRule="auto" w:before="123"/>
              <w:ind w:left="122" w:right="122"/>
              <w:jc w:val="both"/>
              <w:rPr>
                <w:rFonts w:ascii="宋体" w:hAnsi="宋体" w:cs="宋体" w:eastAsia="宋体" w:hint="default"/>
                <w:sz w:val="18"/>
                <w:szCs w:val="18"/>
              </w:rPr>
            </w:pPr>
            <w:r>
              <w:rPr>
                <w:rFonts w:ascii="宋体" w:hAnsi="宋体" w:cs="宋体" w:eastAsia="宋体" w:hint="default"/>
                <w:sz w:val="18"/>
                <w:szCs w:val="18"/>
              </w:rPr>
              <w:t>少数股东</w:t>
            </w:r>
            <w:r>
              <w:rPr>
                <w:rFonts w:ascii="宋体" w:hAnsi="宋体" w:cs="宋体" w:eastAsia="宋体" w:hint="default"/>
                <w:w w:val="100"/>
                <w:sz w:val="18"/>
                <w:szCs w:val="18"/>
              </w:rPr>
              <w:t> </w:t>
            </w:r>
            <w:r>
              <w:rPr>
                <w:rFonts w:ascii="宋体" w:hAnsi="宋体" w:cs="宋体" w:eastAsia="宋体" w:hint="default"/>
                <w:sz w:val="18"/>
                <w:szCs w:val="18"/>
              </w:rPr>
              <w:t>权益中用</w:t>
            </w:r>
            <w:r>
              <w:rPr>
                <w:rFonts w:ascii="宋体" w:hAnsi="宋体" w:cs="宋体" w:eastAsia="宋体" w:hint="default"/>
                <w:w w:val="100"/>
                <w:sz w:val="18"/>
                <w:szCs w:val="18"/>
              </w:rPr>
              <w:t> </w:t>
            </w:r>
            <w:r>
              <w:rPr>
                <w:rFonts w:ascii="宋体" w:hAnsi="宋体" w:cs="宋体" w:eastAsia="宋体" w:hint="default"/>
                <w:sz w:val="18"/>
                <w:szCs w:val="18"/>
              </w:rPr>
              <w:t>于冲减少</w:t>
            </w:r>
            <w:r>
              <w:rPr>
                <w:rFonts w:ascii="宋体" w:hAnsi="宋体" w:cs="宋体" w:eastAsia="宋体" w:hint="default"/>
                <w:w w:val="100"/>
                <w:sz w:val="18"/>
                <w:szCs w:val="18"/>
              </w:rPr>
              <w:t> </w:t>
            </w:r>
            <w:r>
              <w:rPr>
                <w:rFonts w:ascii="宋体" w:hAnsi="宋体" w:cs="宋体" w:eastAsia="宋体" w:hint="default"/>
                <w:sz w:val="18"/>
                <w:szCs w:val="18"/>
              </w:rPr>
              <w:t>数股东损</w:t>
            </w:r>
            <w:r>
              <w:rPr>
                <w:rFonts w:ascii="宋体" w:hAnsi="宋体" w:cs="宋体" w:eastAsia="宋体" w:hint="default"/>
                <w:w w:val="100"/>
                <w:sz w:val="18"/>
                <w:szCs w:val="18"/>
              </w:rPr>
              <w:t> </w:t>
            </w:r>
            <w:r>
              <w:rPr>
                <w:rFonts w:ascii="宋体" w:hAnsi="宋体" w:cs="宋体" w:eastAsia="宋体" w:hint="default"/>
                <w:sz w:val="18"/>
                <w:szCs w:val="18"/>
              </w:rPr>
              <w:t>益的金额</w:t>
            </w:r>
          </w:p>
        </w:tc>
        <w:tc>
          <w:tcPr>
            <w:tcW w:w="2263" w:type="dxa"/>
            <w:tcBorders>
              <w:top w:val="single" w:sz="12" w:space="0" w:color="000000"/>
              <w:left w:val="single" w:sz="12" w:space="0" w:color="000000"/>
              <w:bottom w:val="single" w:sz="12" w:space="0" w:color="000000"/>
              <w:right w:val="single" w:sz="12" w:space="0" w:color="000000"/>
            </w:tcBorders>
          </w:tcPr>
          <w:p>
            <w:pPr>
              <w:pStyle w:val="TableParagraph"/>
              <w:spacing w:line="309" w:lineRule="auto" w:before="123"/>
              <w:ind w:left="127" w:right="125"/>
              <w:jc w:val="center"/>
              <w:rPr>
                <w:rFonts w:ascii="宋体" w:hAnsi="宋体" w:cs="宋体" w:eastAsia="宋体" w:hint="default"/>
                <w:sz w:val="18"/>
                <w:szCs w:val="18"/>
              </w:rPr>
            </w:pPr>
            <w:r>
              <w:rPr>
                <w:rFonts w:ascii="宋体" w:hAnsi="宋体" w:cs="宋体" w:eastAsia="宋体" w:hint="default"/>
                <w:sz w:val="18"/>
                <w:szCs w:val="18"/>
              </w:rPr>
              <w:t>从母公司所有者权益冲减</w:t>
            </w:r>
            <w:r>
              <w:rPr>
                <w:rFonts w:ascii="宋体" w:hAnsi="宋体" w:cs="宋体" w:eastAsia="宋体" w:hint="default"/>
                <w:w w:val="100"/>
                <w:sz w:val="18"/>
                <w:szCs w:val="18"/>
              </w:rPr>
              <w:t> </w:t>
            </w:r>
            <w:r>
              <w:rPr>
                <w:rFonts w:ascii="宋体" w:hAnsi="宋体" w:cs="宋体" w:eastAsia="宋体" w:hint="default"/>
                <w:sz w:val="18"/>
                <w:szCs w:val="18"/>
              </w:rPr>
              <w:t>子公司少数股东分担的本</w:t>
            </w:r>
            <w:r>
              <w:rPr>
                <w:rFonts w:ascii="宋体" w:hAnsi="宋体" w:cs="宋体" w:eastAsia="宋体" w:hint="default"/>
                <w:w w:val="100"/>
                <w:sz w:val="18"/>
                <w:szCs w:val="18"/>
              </w:rPr>
              <w:t> </w:t>
            </w:r>
            <w:r>
              <w:rPr>
                <w:rFonts w:ascii="宋体" w:hAnsi="宋体" w:cs="宋体" w:eastAsia="宋体" w:hint="default"/>
                <w:sz w:val="18"/>
                <w:szCs w:val="18"/>
              </w:rPr>
              <w:t>期亏损超过少数在该子公</w:t>
            </w:r>
            <w:r>
              <w:rPr>
                <w:rFonts w:ascii="宋体" w:hAnsi="宋体" w:cs="宋体" w:eastAsia="宋体" w:hint="default"/>
                <w:w w:val="100"/>
                <w:sz w:val="18"/>
                <w:szCs w:val="18"/>
              </w:rPr>
              <w:t> </w:t>
            </w:r>
            <w:r>
              <w:rPr>
                <w:rFonts w:ascii="宋体" w:hAnsi="宋体" w:cs="宋体" w:eastAsia="宋体" w:hint="default"/>
                <w:sz w:val="18"/>
                <w:szCs w:val="18"/>
              </w:rPr>
              <w:t>司期初所有者权益中所享</w:t>
            </w:r>
            <w:r>
              <w:rPr>
                <w:rFonts w:ascii="宋体" w:hAnsi="宋体" w:cs="宋体" w:eastAsia="宋体" w:hint="default"/>
                <w:w w:val="100"/>
                <w:sz w:val="18"/>
                <w:szCs w:val="18"/>
              </w:rPr>
              <w:t> </w:t>
            </w:r>
            <w:r>
              <w:rPr>
                <w:rFonts w:ascii="宋体" w:hAnsi="宋体" w:cs="宋体" w:eastAsia="宋体" w:hint="default"/>
                <w:sz w:val="18"/>
                <w:szCs w:val="18"/>
              </w:rPr>
              <w:t>有份额后的余额</w:t>
            </w:r>
          </w:p>
        </w:tc>
      </w:tr>
      <w:tr>
        <w:trPr>
          <w:trHeight w:val="941" w:hRule="exact"/>
        </w:trPr>
        <w:tc>
          <w:tcPr>
            <w:tcW w:w="1248"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158" w:right="0"/>
              <w:jc w:val="left"/>
              <w:rPr>
                <w:rFonts w:ascii="宋体" w:hAnsi="宋体" w:cs="宋体" w:eastAsia="宋体" w:hint="default"/>
                <w:sz w:val="18"/>
                <w:szCs w:val="18"/>
              </w:rPr>
            </w:pPr>
            <w:r>
              <w:rPr>
                <w:rFonts w:ascii="宋体" w:hAnsi="宋体" w:cs="宋体" w:eastAsia="宋体" w:hint="default"/>
                <w:sz w:val="18"/>
                <w:szCs w:val="18"/>
              </w:rPr>
              <w:t>烟台安诺其</w:t>
            </w:r>
          </w:p>
          <w:p>
            <w:pPr>
              <w:pStyle w:val="TableParagraph"/>
              <w:spacing w:line="309" w:lineRule="auto" w:before="67"/>
              <w:ind w:left="338" w:right="158" w:hanging="180"/>
              <w:jc w:val="left"/>
              <w:rPr>
                <w:rFonts w:ascii="宋体" w:hAnsi="宋体" w:cs="宋体" w:eastAsia="宋体" w:hint="default"/>
                <w:sz w:val="18"/>
                <w:szCs w:val="18"/>
              </w:rPr>
            </w:pPr>
            <w:r>
              <w:rPr>
                <w:rFonts w:ascii="宋体" w:hAnsi="宋体" w:cs="宋体" w:eastAsia="宋体" w:hint="default"/>
                <w:sz w:val="18"/>
                <w:szCs w:val="18"/>
              </w:rPr>
              <w:t>纺织材料有</w:t>
            </w:r>
            <w:r>
              <w:rPr>
                <w:rFonts w:ascii="宋体" w:hAnsi="宋体" w:cs="宋体" w:eastAsia="宋体" w:hint="default"/>
                <w:w w:val="100"/>
                <w:sz w:val="18"/>
                <w:szCs w:val="18"/>
              </w:rPr>
              <w:t> </w:t>
            </w:r>
            <w:r>
              <w:rPr>
                <w:rFonts w:ascii="宋体" w:hAnsi="宋体" w:cs="宋体" w:eastAsia="宋体" w:hint="default"/>
                <w:sz w:val="18"/>
                <w:szCs w:val="18"/>
              </w:rPr>
              <w:t>限公司</w:t>
            </w:r>
          </w:p>
        </w:tc>
        <w:tc>
          <w:tcPr>
            <w:tcW w:w="11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593" w:type="dxa"/>
            <w:tcBorders>
              <w:top w:val="single" w:sz="12" w:space="0" w:color="000000"/>
              <w:left w:val="single" w:sz="12" w:space="0" w:color="000000"/>
              <w:bottom w:val="single" w:sz="12" w:space="0" w:color="000000"/>
              <w:right w:val="single" w:sz="12" w:space="0" w:color="000000"/>
            </w:tcBorders>
          </w:tcPr>
          <w:p>
            <w:pPr>
              <w:pStyle w:val="TableParagraph"/>
              <w:spacing w:line="307" w:lineRule="auto" w:before="123"/>
              <w:ind w:left="100" w:right="101"/>
              <w:jc w:val="left"/>
              <w:rPr>
                <w:rFonts w:ascii="宋体" w:hAnsi="宋体" w:cs="宋体" w:eastAsia="宋体" w:hint="default"/>
                <w:sz w:val="18"/>
                <w:szCs w:val="18"/>
              </w:rPr>
            </w:pPr>
            <w:r>
              <w:rPr>
                <w:rFonts w:ascii="宋体" w:hAnsi="宋体" w:cs="宋体" w:eastAsia="宋体" w:hint="default"/>
                <w:sz w:val="18"/>
                <w:szCs w:val="18"/>
              </w:rPr>
              <w:t>山东</w:t>
            </w:r>
            <w:r>
              <w:rPr>
                <w:rFonts w:ascii="宋体" w:hAnsi="宋体" w:cs="宋体" w:eastAsia="宋体" w:hint="default"/>
                <w:w w:val="100"/>
                <w:sz w:val="18"/>
                <w:szCs w:val="18"/>
              </w:rPr>
              <w:t> </w:t>
            </w:r>
            <w:r>
              <w:rPr>
                <w:rFonts w:ascii="宋体" w:hAnsi="宋体" w:cs="宋体" w:eastAsia="宋体" w:hint="default"/>
                <w:sz w:val="18"/>
                <w:szCs w:val="18"/>
              </w:rPr>
              <w:t>蓬莱</w:t>
            </w:r>
          </w:p>
        </w:tc>
        <w:tc>
          <w:tcPr>
            <w:tcW w:w="886" w:type="dxa"/>
            <w:tcBorders>
              <w:top w:val="single" w:sz="12" w:space="0" w:color="000000"/>
              <w:left w:val="single" w:sz="12" w:space="0" w:color="000000"/>
              <w:bottom w:val="single" w:sz="12" w:space="0" w:color="000000"/>
              <w:right w:val="single" w:sz="12" w:space="0" w:color="000000"/>
            </w:tcBorders>
          </w:tcPr>
          <w:p>
            <w:pPr>
              <w:pStyle w:val="TableParagraph"/>
              <w:spacing w:line="307" w:lineRule="auto" w:before="123"/>
              <w:ind w:left="338" w:right="156" w:hanging="180"/>
              <w:jc w:val="left"/>
              <w:rPr>
                <w:rFonts w:ascii="宋体" w:hAnsi="宋体" w:cs="宋体" w:eastAsia="宋体" w:hint="default"/>
                <w:sz w:val="18"/>
                <w:szCs w:val="18"/>
              </w:rPr>
            </w:pPr>
            <w:r>
              <w:rPr>
                <w:rFonts w:ascii="宋体" w:hAnsi="宋体" w:cs="宋体" w:eastAsia="宋体" w:hint="default"/>
                <w:sz w:val="18"/>
                <w:szCs w:val="18"/>
              </w:rPr>
              <w:t>染料产</w:t>
            </w:r>
            <w:r>
              <w:rPr>
                <w:rFonts w:ascii="宋体" w:hAnsi="宋体" w:cs="宋体" w:eastAsia="宋体" w:hint="default"/>
                <w:w w:val="100"/>
                <w:sz w:val="18"/>
                <w:szCs w:val="18"/>
              </w:rPr>
              <w:t> </w:t>
            </w:r>
            <w:r>
              <w:rPr>
                <w:rFonts w:ascii="宋体" w:hAnsi="宋体" w:cs="宋体" w:eastAsia="宋体" w:hint="default"/>
                <w:sz w:val="18"/>
                <w:szCs w:val="18"/>
              </w:rPr>
              <w:t>销</w:t>
            </w:r>
          </w:p>
        </w:tc>
        <w:tc>
          <w:tcPr>
            <w:tcW w:w="144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1"/>
              <w:jc w:val="center"/>
              <w:rPr>
                <w:rFonts w:ascii="宋体" w:hAnsi="宋体" w:cs="宋体" w:eastAsia="宋体" w:hint="default"/>
                <w:sz w:val="18"/>
                <w:szCs w:val="18"/>
              </w:rPr>
            </w:pPr>
            <w:r>
              <w:rPr>
                <w:rFonts w:ascii="Arial" w:hAnsi="Arial" w:cs="Arial" w:eastAsia="Arial" w:hint="default"/>
                <w:sz w:val="18"/>
                <w:szCs w:val="18"/>
              </w:rPr>
              <w:t>12,030.50</w:t>
            </w:r>
            <w:r>
              <w:rPr>
                <w:rFonts w:ascii="Arial" w:hAnsi="Arial" w:cs="Arial" w:eastAsia="Arial" w:hint="default"/>
                <w:spacing w:val="-9"/>
                <w:sz w:val="18"/>
                <w:szCs w:val="18"/>
              </w:rPr>
              <w:t> </w:t>
            </w:r>
            <w:r>
              <w:rPr>
                <w:rFonts w:ascii="宋体" w:hAnsi="宋体" w:cs="宋体" w:eastAsia="宋体" w:hint="default"/>
                <w:sz w:val="18"/>
                <w:szCs w:val="18"/>
              </w:rPr>
              <w:t>万元</w:t>
            </w:r>
          </w:p>
        </w:tc>
        <w:tc>
          <w:tcPr>
            <w:tcW w:w="1121" w:type="dxa"/>
            <w:tcBorders>
              <w:top w:val="single" w:sz="12" w:space="0" w:color="000000"/>
              <w:left w:val="single" w:sz="12" w:space="0" w:color="000000"/>
              <w:bottom w:val="single" w:sz="12" w:space="0" w:color="000000"/>
              <w:right w:val="single" w:sz="12" w:space="0" w:color="000000"/>
            </w:tcBorders>
          </w:tcPr>
          <w:p>
            <w:pPr>
              <w:pStyle w:val="TableParagraph"/>
              <w:spacing w:line="307" w:lineRule="auto" w:before="123"/>
              <w:ind w:left="93" w:right="96"/>
              <w:jc w:val="left"/>
              <w:rPr>
                <w:rFonts w:ascii="宋体" w:hAnsi="宋体" w:cs="宋体" w:eastAsia="宋体" w:hint="default"/>
                <w:sz w:val="18"/>
                <w:szCs w:val="18"/>
              </w:rPr>
            </w:pPr>
            <w:r>
              <w:rPr>
                <w:rFonts w:ascii="宋体" w:hAnsi="宋体" w:cs="宋体" w:eastAsia="宋体" w:hint="default"/>
                <w:sz w:val="18"/>
                <w:szCs w:val="18"/>
              </w:rPr>
              <w:t>染料、助剂</w:t>
            </w:r>
            <w:r>
              <w:rPr>
                <w:rFonts w:ascii="宋体" w:hAnsi="宋体" w:cs="宋体" w:eastAsia="宋体" w:hint="default"/>
                <w:w w:val="100"/>
                <w:sz w:val="18"/>
                <w:szCs w:val="18"/>
              </w:rPr>
              <w:t> </w:t>
            </w:r>
            <w:r>
              <w:rPr>
                <w:rFonts w:ascii="宋体" w:hAnsi="宋体" w:cs="宋体" w:eastAsia="宋体" w:hint="default"/>
                <w:sz w:val="18"/>
                <w:szCs w:val="18"/>
              </w:rPr>
              <w:t>的生产销售</w:t>
            </w:r>
          </w:p>
        </w:tc>
        <w:tc>
          <w:tcPr>
            <w:tcW w:w="11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 w:right="0"/>
              <w:jc w:val="center"/>
              <w:rPr>
                <w:rFonts w:ascii="Arial" w:hAnsi="Arial" w:cs="Arial" w:eastAsia="Arial" w:hint="default"/>
                <w:sz w:val="18"/>
                <w:szCs w:val="18"/>
              </w:rPr>
            </w:pPr>
            <w:r>
              <w:rPr>
                <w:rFonts w:ascii="Arial"/>
                <w:sz w:val="18"/>
              </w:rPr>
              <w:t>5,905.00</w:t>
            </w:r>
          </w:p>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864" w:type="dxa"/>
            <w:tcBorders>
              <w:top w:val="single" w:sz="12" w:space="0" w:color="000000"/>
              <w:left w:val="single" w:sz="12" w:space="0" w:color="000000"/>
              <w:bottom w:val="single" w:sz="12" w:space="0" w:color="000000"/>
              <w:right w:val="single" w:sz="12" w:space="0" w:color="000000"/>
            </w:tcBorders>
          </w:tcPr>
          <w:p>
            <w:pPr/>
          </w:p>
        </w:tc>
        <w:tc>
          <w:tcPr>
            <w:tcW w:w="7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
              <w:jc w:val="center"/>
              <w:rPr>
                <w:rFonts w:ascii="Arial" w:hAnsi="Arial" w:cs="Arial" w:eastAsia="Arial" w:hint="default"/>
                <w:sz w:val="18"/>
                <w:szCs w:val="18"/>
              </w:rPr>
            </w:pPr>
            <w:r>
              <w:rPr>
                <w:rFonts w:ascii="Arial"/>
                <w:sz w:val="18"/>
              </w:rPr>
              <w:t>100</w:t>
            </w:r>
          </w:p>
        </w:tc>
        <w:tc>
          <w:tcPr>
            <w:tcW w:w="7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
              <w:jc w:val="center"/>
              <w:rPr>
                <w:rFonts w:ascii="Arial" w:hAnsi="Arial" w:cs="Arial" w:eastAsia="Arial" w:hint="default"/>
                <w:sz w:val="18"/>
                <w:szCs w:val="18"/>
              </w:rPr>
            </w:pPr>
            <w:r>
              <w:rPr>
                <w:rFonts w:ascii="Arial"/>
                <w:sz w:val="18"/>
              </w:rPr>
              <w:t>100</w:t>
            </w:r>
          </w:p>
        </w:tc>
        <w:tc>
          <w:tcPr>
            <w:tcW w:w="5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0"/>
                <w:sz w:val="18"/>
                <w:szCs w:val="18"/>
              </w:rPr>
              <w:t>是</w:t>
            </w:r>
          </w:p>
        </w:tc>
        <w:tc>
          <w:tcPr>
            <w:tcW w:w="6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70"/>
              <w:jc w:val="right"/>
              <w:rPr>
                <w:rFonts w:ascii="Arial" w:hAnsi="Arial" w:cs="Arial" w:eastAsia="Arial" w:hint="default"/>
                <w:sz w:val="18"/>
                <w:szCs w:val="18"/>
              </w:rPr>
            </w:pPr>
            <w:r>
              <w:rPr>
                <w:rFonts w:ascii="Arial"/>
                <w:w w:val="100"/>
                <w:sz w:val="18"/>
              </w:rPr>
              <w:t>-</w:t>
            </w:r>
          </w:p>
        </w:tc>
        <w:tc>
          <w:tcPr>
            <w:tcW w:w="9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1"/>
              <w:jc w:val="right"/>
              <w:rPr>
                <w:rFonts w:ascii="Arial" w:hAnsi="Arial" w:cs="Arial" w:eastAsia="Arial" w:hint="default"/>
                <w:sz w:val="18"/>
                <w:szCs w:val="18"/>
              </w:rPr>
            </w:pPr>
            <w:r>
              <w:rPr>
                <w:rFonts w:ascii="Arial"/>
                <w:w w:val="100"/>
                <w:sz w:val="18"/>
              </w:rPr>
              <w:t>-</w:t>
            </w:r>
          </w:p>
        </w:tc>
        <w:tc>
          <w:tcPr>
            <w:tcW w:w="226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Arial" w:hAnsi="Arial" w:cs="Arial" w:eastAsia="Arial" w:hint="default"/>
                <w:sz w:val="18"/>
                <w:szCs w:val="18"/>
              </w:rPr>
            </w:pPr>
            <w:r>
              <w:rPr>
                <w:rFonts w:ascii="Arial"/>
                <w:w w:val="100"/>
                <w:sz w:val="18"/>
              </w:rPr>
              <w:t>-</w:t>
            </w:r>
          </w:p>
        </w:tc>
      </w:tr>
      <w:tr>
        <w:trPr>
          <w:trHeight w:val="292" w:hRule="exact"/>
        </w:trPr>
        <w:tc>
          <w:tcPr>
            <w:tcW w:w="1248" w:type="dxa"/>
            <w:tcBorders>
              <w:top w:val="single" w:sz="12" w:space="0" w:color="000000"/>
              <w:left w:val="single" w:sz="12" w:space="0" w:color="000000"/>
              <w:bottom w:val="nil" w:sz="6" w:space="0" w:color="auto"/>
              <w:right w:val="single" w:sz="12"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东营安诺其</w:t>
            </w:r>
          </w:p>
        </w:tc>
        <w:tc>
          <w:tcPr>
            <w:tcW w:w="1198" w:type="dxa"/>
            <w:tcBorders>
              <w:top w:val="single" w:sz="12" w:space="0" w:color="000000"/>
              <w:left w:val="single" w:sz="12" w:space="0" w:color="000000"/>
              <w:bottom w:val="nil" w:sz="6" w:space="0" w:color="auto"/>
              <w:right w:val="single" w:sz="12" w:space="0" w:color="000000"/>
            </w:tcBorders>
          </w:tcPr>
          <w:p>
            <w:pPr/>
          </w:p>
        </w:tc>
        <w:tc>
          <w:tcPr>
            <w:tcW w:w="593" w:type="dxa"/>
            <w:tcBorders>
              <w:top w:val="single" w:sz="12" w:space="0" w:color="000000"/>
              <w:left w:val="single" w:sz="12" w:space="0" w:color="000000"/>
              <w:bottom w:val="nil" w:sz="6" w:space="0" w:color="auto"/>
              <w:right w:val="single" w:sz="12" w:space="0" w:color="000000"/>
            </w:tcBorders>
          </w:tcPr>
          <w:p>
            <w:pPr/>
          </w:p>
        </w:tc>
        <w:tc>
          <w:tcPr>
            <w:tcW w:w="886" w:type="dxa"/>
            <w:tcBorders>
              <w:top w:val="single" w:sz="12" w:space="0" w:color="000000"/>
              <w:left w:val="single" w:sz="12" w:space="0" w:color="000000"/>
              <w:bottom w:val="nil" w:sz="6" w:space="0" w:color="auto"/>
              <w:right w:val="single" w:sz="12" w:space="0" w:color="000000"/>
            </w:tcBorders>
          </w:tcPr>
          <w:p>
            <w:pPr/>
          </w:p>
        </w:tc>
        <w:tc>
          <w:tcPr>
            <w:tcW w:w="1447" w:type="dxa"/>
            <w:tcBorders>
              <w:top w:val="single" w:sz="12" w:space="0" w:color="000000"/>
              <w:left w:val="single" w:sz="12" w:space="0" w:color="000000"/>
              <w:bottom w:val="nil" w:sz="6" w:space="0" w:color="auto"/>
              <w:right w:val="single" w:sz="12" w:space="0" w:color="000000"/>
            </w:tcBorders>
          </w:tcPr>
          <w:p>
            <w:pPr/>
          </w:p>
        </w:tc>
        <w:tc>
          <w:tcPr>
            <w:tcW w:w="1121" w:type="dxa"/>
            <w:tcBorders>
              <w:top w:val="single" w:sz="12" w:space="0" w:color="000000"/>
              <w:left w:val="single" w:sz="12" w:space="0" w:color="000000"/>
              <w:bottom w:val="nil" w:sz="6" w:space="0" w:color="auto"/>
              <w:right w:val="single" w:sz="12"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染料滤饼、</w:t>
            </w:r>
          </w:p>
        </w:tc>
        <w:tc>
          <w:tcPr>
            <w:tcW w:w="1118" w:type="dxa"/>
            <w:tcBorders>
              <w:top w:val="single" w:sz="12" w:space="0" w:color="000000"/>
              <w:left w:val="single" w:sz="12" w:space="0" w:color="000000"/>
              <w:bottom w:val="nil" w:sz="6" w:space="0" w:color="auto"/>
              <w:right w:val="single" w:sz="12" w:space="0" w:color="000000"/>
            </w:tcBorders>
          </w:tcPr>
          <w:p>
            <w:pPr/>
          </w:p>
        </w:tc>
        <w:tc>
          <w:tcPr>
            <w:tcW w:w="864" w:type="dxa"/>
            <w:vMerge w:val="restart"/>
            <w:tcBorders>
              <w:top w:val="single" w:sz="12" w:space="0" w:color="000000"/>
              <w:left w:val="single" w:sz="12" w:space="0" w:color="000000"/>
              <w:right w:val="single" w:sz="12" w:space="0" w:color="000000"/>
            </w:tcBorders>
          </w:tcPr>
          <w:p>
            <w:pPr/>
          </w:p>
        </w:tc>
        <w:tc>
          <w:tcPr>
            <w:tcW w:w="770" w:type="dxa"/>
            <w:tcBorders>
              <w:top w:val="single" w:sz="12" w:space="0" w:color="000000"/>
              <w:left w:val="single" w:sz="12" w:space="0" w:color="000000"/>
              <w:bottom w:val="nil" w:sz="6" w:space="0" w:color="auto"/>
              <w:right w:val="single" w:sz="12" w:space="0" w:color="000000"/>
            </w:tcBorders>
          </w:tcPr>
          <w:p>
            <w:pPr/>
          </w:p>
        </w:tc>
        <w:tc>
          <w:tcPr>
            <w:tcW w:w="770" w:type="dxa"/>
            <w:tcBorders>
              <w:top w:val="single" w:sz="12" w:space="0" w:color="000000"/>
              <w:left w:val="single" w:sz="12" w:space="0" w:color="000000"/>
              <w:bottom w:val="nil" w:sz="6" w:space="0" w:color="auto"/>
              <w:right w:val="single" w:sz="12" w:space="0" w:color="000000"/>
            </w:tcBorders>
          </w:tcPr>
          <w:p>
            <w:pPr/>
          </w:p>
        </w:tc>
        <w:tc>
          <w:tcPr>
            <w:tcW w:w="574" w:type="dxa"/>
            <w:tcBorders>
              <w:top w:val="single" w:sz="12" w:space="0" w:color="000000"/>
              <w:left w:val="single" w:sz="12" w:space="0" w:color="000000"/>
              <w:bottom w:val="nil" w:sz="6" w:space="0" w:color="auto"/>
              <w:right w:val="single" w:sz="12" w:space="0" w:color="000000"/>
            </w:tcBorders>
          </w:tcPr>
          <w:p>
            <w:pPr/>
          </w:p>
        </w:tc>
        <w:tc>
          <w:tcPr>
            <w:tcW w:w="612" w:type="dxa"/>
            <w:tcBorders>
              <w:top w:val="single" w:sz="12" w:space="0" w:color="000000"/>
              <w:left w:val="single" w:sz="12" w:space="0" w:color="000000"/>
              <w:bottom w:val="nil" w:sz="6" w:space="0" w:color="auto"/>
              <w:right w:val="single" w:sz="12" w:space="0" w:color="000000"/>
            </w:tcBorders>
          </w:tcPr>
          <w:p>
            <w:pPr/>
          </w:p>
        </w:tc>
        <w:tc>
          <w:tcPr>
            <w:tcW w:w="996" w:type="dxa"/>
            <w:tcBorders>
              <w:top w:val="single" w:sz="12" w:space="0" w:color="000000"/>
              <w:left w:val="single" w:sz="12" w:space="0" w:color="000000"/>
              <w:bottom w:val="nil" w:sz="6" w:space="0" w:color="auto"/>
              <w:right w:val="single" w:sz="12" w:space="0" w:color="000000"/>
            </w:tcBorders>
          </w:tcPr>
          <w:p>
            <w:pPr/>
          </w:p>
        </w:tc>
        <w:tc>
          <w:tcPr>
            <w:tcW w:w="2263" w:type="dxa"/>
            <w:tcBorders>
              <w:top w:val="single" w:sz="12" w:space="0" w:color="000000"/>
              <w:left w:val="single" w:sz="12" w:space="0" w:color="000000"/>
              <w:bottom w:val="nil" w:sz="6" w:space="0" w:color="auto"/>
              <w:right w:val="single" w:sz="12" w:space="0" w:color="000000"/>
            </w:tcBorders>
          </w:tcPr>
          <w:p>
            <w:pPr/>
          </w:p>
        </w:tc>
      </w:tr>
      <w:tr>
        <w:trPr>
          <w:trHeight w:val="607" w:hRule="exact"/>
        </w:trPr>
        <w:tc>
          <w:tcPr>
            <w:tcW w:w="1248" w:type="dxa"/>
            <w:tcBorders>
              <w:top w:val="nil" w:sz="6" w:space="0" w:color="auto"/>
              <w:left w:val="single" w:sz="12" w:space="0" w:color="000000"/>
              <w:bottom w:val="nil" w:sz="6" w:space="0" w:color="auto"/>
              <w:right w:val="single" w:sz="12" w:space="0" w:color="000000"/>
            </w:tcBorders>
          </w:tcPr>
          <w:p>
            <w:pPr>
              <w:pStyle w:val="TableParagraph"/>
              <w:spacing w:line="309" w:lineRule="auto" w:before="14"/>
              <w:ind w:left="338" w:right="158" w:hanging="180"/>
              <w:jc w:val="left"/>
              <w:rPr>
                <w:rFonts w:ascii="宋体" w:hAnsi="宋体" w:cs="宋体" w:eastAsia="宋体" w:hint="default"/>
                <w:sz w:val="18"/>
                <w:szCs w:val="18"/>
              </w:rPr>
            </w:pPr>
            <w:r>
              <w:rPr>
                <w:rFonts w:ascii="宋体" w:hAnsi="宋体" w:cs="宋体" w:eastAsia="宋体" w:hint="default"/>
                <w:sz w:val="18"/>
                <w:szCs w:val="18"/>
              </w:rPr>
              <w:t>纺织材料有</w:t>
            </w:r>
            <w:r>
              <w:rPr>
                <w:rFonts w:ascii="宋体" w:hAnsi="宋体" w:cs="宋体" w:eastAsia="宋体" w:hint="default"/>
                <w:w w:val="100"/>
                <w:sz w:val="18"/>
                <w:szCs w:val="18"/>
              </w:rPr>
              <w:t> </w:t>
            </w:r>
            <w:r>
              <w:rPr>
                <w:rFonts w:ascii="宋体" w:hAnsi="宋体" w:cs="宋体" w:eastAsia="宋体" w:hint="default"/>
                <w:sz w:val="18"/>
                <w:szCs w:val="18"/>
              </w:rPr>
              <w:t>限公司</w:t>
            </w:r>
          </w:p>
        </w:tc>
        <w:tc>
          <w:tcPr>
            <w:tcW w:w="1198" w:type="dxa"/>
            <w:tcBorders>
              <w:top w:val="nil" w:sz="6" w:space="0" w:color="auto"/>
              <w:left w:val="single" w:sz="12" w:space="0" w:color="000000"/>
              <w:bottom w:val="nil" w:sz="6" w:space="0" w:color="auto"/>
              <w:right w:val="single" w:sz="12" w:space="0" w:color="000000"/>
            </w:tcBorders>
          </w:tcPr>
          <w:p>
            <w:pPr>
              <w:pStyle w:val="TableParagraph"/>
              <w:spacing w:line="240" w:lineRule="auto" w:before="148"/>
              <w:ind w:right="2"/>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593" w:type="dxa"/>
            <w:tcBorders>
              <w:top w:val="nil" w:sz="6" w:space="0" w:color="auto"/>
              <w:left w:val="single" w:sz="12" w:space="0" w:color="000000"/>
              <w:bottom w:val="nil" w:sz="6" w:space="0" w:color="auto"/>
              <w:right w:val="single" w:sz="12" w:space="0" w:color="000000"/>
            </w:tcBorders>
          </w:tcPr>
          <w:p>
            <w:pPr>
              <w:pStyle w:val="TableParagraph"/>
              <w:spacing w:line="307" w:lineRule="auto"/>
              <w:ind w:left="100" w:right="101"/>
              <w:jc w:val="left"/>
              <w:rPr>
                <w:rFonts w:ascii="宋体" w:hAnsi="宋体" w:cs="宋体" w:eastAsia="宋体" w:hint="default"/>
                <w:sz w:val="18"/>
                <w:szCs w:val="18"/>
              </w:rPr>
            </w:pPr>
            <w:r>
              <w:rPr>
                <w:rFonts w:ascii="宋体" w:hAnsi="宋体" w:cs="宋体" w:eastAsia="宋体" w:hint="default"/>
                <w:sz w:val="18"/>
                <w:szCs w:val="18"/>
              </w:rPr>
              <w:t>山东</w:t>
            </w:r>
            <w:r>
              <w:rPr>
                <w:rFonts w:ascii="宋体" w:hAnsi="宋体" w:cs="宋体" w:eastAsia="宋体" w:hint="default"/>
                <w:w w:val="100"/>
                <w:sz w:val="18"/>
                <w:szCs w:val="18"/>
              </w:rPr>
              <w:t> </w:t>
            </w:r>
            <w:r>
              <w:rPr>
                <w:rFonts w:ascii="宋体" w:hAnsi="宋体" w:cs="宋体" w:eastAsia="宋体" w:hint="default"/>
                <w:sz w:val="18"/>
                <w:szCs w:val="18"/>
              </w:rPr>
              <w:t>东营</w:t>
            </w:r>
          </w:p>
        </w:tc>
        <w:tc>
          <w:tcPr>
            <w:tcW w:w="886" w:type="dxa"/>
            <w:tcBorders>
              <w:top w:val="nil" w:sz="6" w:space="0" w:color="auto"/>
              <w:left w:val="single" w:sz="12" w:space="0" w:color="000000"/>
              <w:bottom w:val="nil" w:sz="6" w:space="0" w:color="auto"/>
              <w:right w:val="single" w:sz="12" w:space="0" w:color="000000"/>
            </w:tcBorders>
          </w:tcPr>
          <w:p>
            <w:pPr>
              <w:pStyle w:val="TableParagraph"/>
              <w:spacing w:line="307" w:lineRule="auto"/>
              <w:ind w:left="338" w:right="156" w:hanging="180"/>
              <w:jc w:val="left"/>
              <w:rPr>
                <w:rFonts w:ascii="宋体" w:hAnsi="宋体" w:cs="宋体" w:eastAsia="宋体" w:hint="default"/>
                <w:sz w:val="18"/>
                <w:szCs w:val="18"/>
              </w:rPr>
            </w:pPr>
            <w:r>
              <w:rPr>
                <w:rFonts w:ascii="宋体" w:hAnsi="宋体" w:cs="宋体" w:eastAsia="宋体" w:hint="default"/>
                <w:sz w:val="18"/>
                <w:szCs w:val="18"/>
              </w:rPr>
              <w:t>染料产</w:t>
            </w:r>
            <w:r>
              <w:rPr>
                <w:rFonts w:ascii="宋体" w:hAnsi="宋体" w:cs="宋体" w:eastAsia="宋体" w:hint="default"/>
                <w:w w:val="100"/>
                <w:sz w:val="18"/>
                <w:szCs w:val="18"/>
              </w:rPr>
              <w:t> </w:t>
            </w:r>
            <w:r>
              <w:rPr>
                <w:rFonts w:ascii="宋体" w:hAnsi="宋体" w:cs="宋体" w:eastAsia="宋体" w:hint="default"/>
                <w:sz w:val="18"/>
                <w:szCs w:val="18"/>
              </w:rPr>
              <w:t>销</w:t>
            </w:r>
          </w:p>
        </w:tc>
        <w:tc>
          <w:tcPr>
            <w:tcW w:w="1447" w:type="dxa"/>
            <w:tcBorders>
              <w:top w:val="nil" w:sz="6" w:space="0" w:color="auto"/>
              <w:left w:val="single" w:sz="12" w:space="0" w:color="000000"/>
              <w:bottom w:val="nil" w:sz="6" w:space="0" w:color="auto"/>
              <w:right w:val="single" w:sz="12" w:space="0" w:color="000000"/>
            </w:tcBorders>
          </w:tcPr>
          <w:p>
            <w:pPr>
              <w:pStyle w:val="TableParagraph"/>
              <w:spacing w:line="240" w:lineRule="auto" w:before="148"/>
              <w:ind w:right="21"/>
              <w:jc w:val="center"/>
              <w:rPr>
                <w:rFonts w:ascii="宋体" w:hAnsi="宋体" w:cs="宋体" w:eastAsia="宋体" w:hint="default"/>
                <w:sz w:val="18"/>
                <w:szCs w:val="18"/>
              </w:rPr>
            </w:pPr>
            <w:r>
              <w:rPr>
                <w:rFonts w:ascii="Arial" w:hAnsi="Arial" w:cs="Arial" w:eastAsia="Arial" w:hint="default"/>
                <w:sz w:val="18"/>
                <w:szCs w:val="18"/>
              </w:rPr>
              <w:t>16,453.98</w:t>
            </w:r>
            <w:r>
              <w:rPr>
                <w:rFonts w:ascii="Arial" w:hAnsi="Arial" w:cs="Arial" w:eastAsia="Arial" w:hint="default"/>
                <w:spacing w:val="-9"/>
                <w:sz w:val="18"/>
                <w:szCs w:val="18"/>
              </w:rPr>
              <w:t> </w:t>
            </w:r>
            <w:r>
              <w:rPr>
                <w:rFonts w:ascii="宋体" w:hAnsi="宋体" w:cs="宋体" w:eastAsia="宋体" w:hint="default"/>
                <w:sz w:val="18"/>
                <w:szCs w:val="18"/>
              </w:rPr>
              <w:t>万元</w:t>
            </w:r>
          </w:p>
        </w:tc>
        <w:tc>
          <w:tcPr>
            <w:tcW w:w="1121" w:type="dxa"/>
            <w:tcBorders>
              <w:top w:val="nil" w:sz="6" w:space="0" w:color="auto"/>
              <w:left w:val="single" w:sz="12" w:space="0" w:color="000000"/>
              <w:bottom w:val="nil" w:sz="6" w:space="0" w:color="auto"/>
              <w:right w:val="single" w:sz="12" w:space="0" w:color="000000"/>
            </w:tcBorders>
          </w:tcPr>
          <w:p>
            <w:pPr>
              <w:pStyle w:val="TableParagraph"/>
              <w:spacing w:line="309" w:lineRule="auto"/>
              <w:ind w:left="93" w:right="96"/>
              <w:jc w:val="left"/>
              <w:rPr>
                <w:rFonts w:ascii="宋体" w:hAnsi="宋体" w:cs="宋体" w:eastAsia="宋体" w:hint="default"/>
                <w:sz w:val="18"/>
                <w:szCs w:val="18"/>
              </w:rPr>
            </w:pPr>
            <w:r>
              <w:rPr>
                <w:rFonts w:ascii="宋体" w:hAnsi="宋体" w:cs="宋体" w:eastAsia="宋体" w:hint="default"/>
                <w:sz w:val="18"/>
                <w:szCs w:val="18"/>
              </w:rPr>
              <w:t>中间体及助</w:t>
            </w:r>
            <w:r>
              <w:rPr>
                <w:rFonts w:ascii="宋体" w:hAnsi="宋体" w:cs="宋体" w:eastAsia="宋体" w:hint="default"/>
                <w:w w:val="100"/>
                <w:sz w:val="18"/>
                <w:szCs w:val="18"/>
              </w:rPr>
              <w:t> </w:t>
            </w:r>
            <w:r>
              <w:rPr>
                <w:rFonts w:ascii="宋体" w:hAnsi="宋体" w:cs="宋体" w:eastAsia="宋体" w:hint="default"/>
                <w:sz w:val="18"/>
                <w:szCs w:val="18"/>
              </w:rPr>
              <w:t>剂的生产销</w:t>
            </w:r>
          </w:p>
        </w:tc>
        <w:tc>
          <w:tcPr>
            <w:tcW w:w="1118" w:type="dxa"/>
            <w:tcBorders>
              <w:top w:val="nil" w:sz="6" w:space="0" w:color="auto"/>
              <w:left w:val="single" w:sz="12" w:space="0" w:color="000000"/>
              <w:bottom w:val="nil" w:sz="6" w:space="0" w:color="auto"/>
              <w:right w:val="single" w:sz="12" w:space="0" w:color="000000"/>
            </w:tcBorders>
          </w:tcPr>
          <w:p>
            <w:pPr>
              <w:pStyle w:val="TableParagraph"/>
              <w:spacing w:line="240" w:lineRule="auto" w:before="43"/>
              <w:ind w:left="1" w:right="0"/>
              <w:jc w:val="center"/>
              <w:rPr>
                <w:rFonts w:ascii="Arial" w:hAnsi="Arial" w:cs="Arial" w:eastAsia="Arial" w:hint="default"/>
                <w:sz w:val="18"/>
                <w:szCs w:val="18"/>
              </w:rPr>
            </w:pPr>
            <w:r>
              <w:rPr>
                <w:rFonts w:ascii="Arial"/>
                <w:sz w:val="18"/>
              </w:rPr>
              <w:t>16,453.98</w:t>
            </w:r>
          </w:p>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864" w:type="dxa"/>
            <w:vMerge/>
            <w:tcBorders>
              <w:left w:val="single" w:sz="12" w:space="0" w:color="000000"/>
              <w:right w:val="single" w:sz="12" w:space="0" w:color="000000"/>
            </w:tcBorders>
          </w:tcPr>
          <w:p>
            <w:pPr/>
          </w:p>
        </w:tc>
        <w:tc>
          <w:tcPr>
            <w:tcW w:w="770" w:type="dxa"/>
            <w:tcBorders>
              <w:top w:val="nil" w:sz="6" w:space="0" w:color="auto"/>
              <w:left w:val="single" w:sz="12" w:space="0" w:color="000000"/>
              <w:bottom w:val="nil" w:sz="6" w:space="0" w:color="auto"/>
              <w:right w:val="single" w:sz="1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Arial" w:hAnsi="Arial" w:cs="Arial" w:eastAsia="Arial" w:hint="default"/>
                <w:sz w:val="18"/>
                <w:szCs w:val="18"/>
              </w:rPr>
            </w:pPr>
            <w:r>
              <w:rPr>
                <w:rFonts w:ascii="Arial"/>
                <w:sz w:val="18"/>
              </w:rPr>
              <w:t>100</w:t>
            </w:r>
          </w:p>
        </w:tc>
        <w:tc>
          <w:tcPr>
            <w:tcW w:w="770" w:type="dxa"/>
            <w:tcBorders>
              <w:top w:val="nil" w:sz="6" w:space="0" w:color="auto"/>
              <w:left w:val="single" w:sz="12" w:space="0" w:color="000000"/>
              <w:bottom w:val="nil" w:sz="6" w:space="0" w:color="auto"/>
              <w:right w:val="single" w:sz="1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Arial" w:hAnsi="Arial" w:cs="Arial" w:eastAsia="Arial" w:hint="default"/>
                <w:sz w:val="18"/>
                <w:szCs w:val="18"/>
              </w:rPr>
            </w:pPr>
            <w:r>
              <w:rPr>
                <w:rFonts w:ascii="Arial"/>
                <w:sz w:val="18"/>
              </w:rPr>
              <w:t>100</w:t>
            </w:r>
          </w:p>
        </w:tc>
        <w:tc>
          <w:tcPr>
            <w:tcW w:w="574" w:type="dxa"/>
            <w:tcBorders>
              <w:top w:val="nil" w:sz="6" w:space="0" w:color="auto"/>
              <w:left w:val="single" w:sz="12" w:space="0" w:color="000000"/>
              <w:bottom w:val="nil" w:sz="6" w:space="0" w:color="auto"/>
              <w:right w:val="single" w:sz="12"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w w:val="100"/>
                <w:sz w:val="18"/>
                <w:szCs w:val="18"/>
              </w:rPr>
              <w:t>是</w:t>
            </w:r>
          </w:p>
        </w:tc>
        <w:tc>
          <w:tcPr>
            <w:tcW w:w="612" w:type="dxa"/>
            <w:tcBorders>
              <w:top w:val="nil" w:sz="6" w:space="0" w:color="auto"/>
              <w:left w:val="single" w:sz="12" w:space="0" w:color="000000"/>
              <w:bottom w:val="nil" w:sz="6" w:space="0" w:color="auto"/>
              <w:right w:val="single" w:sz="1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70"/>
              <w:jc w:val="right"/>
              <w:rPr>
                <w:rFonts w:ascii="Arial" w:hAnsi="Arial" w:cs="Arial" w:eastAsia="Arial" w:hint="default"/>
                <w:sz w:val="18"/>
                <w:szCs w:val="18"/>
              </w:rPr>
            </w:pPr>
            <w:r>
              <w:rPr>
                <w:rFonts w:ascii="Arial"/>
                <w:w w:val="100"/>
                <w:sz w:val="18"/>
              </w:rPr>
              <w:t>-</w:t>
            </w:r>
          </w:p>
        </w:tc>
        <w:tc>
          <w:tcPr>
            <w:tcW w:w="996" w:type="dxa"/>
            <w:tcBorders>
              <w:top w:val="nil" w:sz="6" w:space="0" w:color="auto"/>
              <w:left w:val="single" w:sz="12" w:space="0" w:color="000000"/>
              <w:bottom w:val="nil" w:sz="6" w:space="0" w:color="auto"/>
              <w:right w:val="single" w:sz="1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1"/>
              <w:jc w:val="right"/>
              <w:rPr>
                <w:rFonts w:ascii="Arial" w:hAnsi="Arial" w:cs="Arial" w:eastAsia="Arial" w:hint="default"/>
                <w:sz w:val="18"/>
                <w:szCs w:val="18"/>
              </w:rPr>
            </w:pPr>
            <w:r>
              <w:rPr>
                <w:rFonts w:ascii="Arial"/>
                <w:w w:val="100"/>
                <w:sz w:val="18"/>
              </w:rPr>
              <w:t>-</w:t>
            </w:r>
          </w:p>
        </w:tc>
        <w:tc>
          <w:tcPr>
            <w:tcW w:w="2263" w:type="dxa"/>
            <w:tcBorders>
              <w:top w:val="nil" w:sz="6" w:space="0" w:color="auto"/>
              <w:left w:val="single" w:sz="12" w:space="0" w:color="000000"/>
              <w:bottom w:val="nil" w:sz="6" w:space="0" w:color="auto"/>
              <w:right w:val="single" w:sz="1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18"/>
                <w:szCs w:val="18"/>
              </w:rPr>
            </w:pPr>
            <w:r>
              <w:rPr>
                <w:rFonts w:ascii="Arial"/>
                <w:w w:val="100"/>
                <w:sz w:val="18"/>
              </w:rPr>
              <w:t>-</w:t>
            </w:r>
          </w:p>
        </w:tc>
      </w:tr>
      <w:tr>
        <w:trPr>
          <w:trHeight w:val="344" w:hRule="exact"/>
        </w:trPr>
        <w:tc>
          <w:tcPr>
            <w:tcW w:w="1248" w:type="dxa"/>
            <w:tcBorders>
              <w:top w:val="nil" w:sz="6" w:space="0" w:color="auto"/>
              <w:left w:val="single" w:sz="12" w:space="0" w:color="000000"/>
              <w:bottom w:val="single" w:sz="12" w:space="0" w:color="000000"/>
              <w:right w:val="single" w:sz="12" w:space="0" w:color="000000"/>
            </w:tcBorders>
          </w:tcPr>
          <w:p>
            <w:pPr/>
          </w:p>
        </w:tc>
        <w:tc>
          <w:tcPr>
            <w:tcW w:w="1198" w:type="dxa"/>
            <w:tcBorders>
              <w:top w:val="nil" w:sz="6" w:space="0" w:color="auto"/>
              <w:left w:val="single" w:sz="12" w:space="0" w:color="000000"/>
              <w:bottom w:val="single" w:sz="12" w:space="0" w:color="000000"/>
              <w:right w:val="single" w:sz="12" w:space="0" w:color="000000"/>
            </w:tcBorders>
          </w:tcPr>
          <w:p>
            <w:pPr/>
          </w:p>
        </w:tc>
        <w:tc>
          <w:tcPr>
            <w:tcW w:w="593" w:type="dxa"/>
            <w:tcBorders>
              <w:top w:val="nil" w:sz="6" w:space="0" w:color="auto"/>
              <w:left w:val="single" w:sz="12" w:space="0" w:color="000000"/>
              <w:bottom w:val="single" w:sz="12" w:space="0" w:color="000000"/>
              <w:right w:val="single" w:sz="12" w:space="0" w:color="000000"/>
            </w:tcBorders>
          </w:tcPr>
          <w:p>
            <w:pPr/>
          </w:p>
        </w:tc>
        <w:tc>
          <w:tcPr>
            <w:tcW w:w="886" w:type="dxa"/>
            <w:tcBorders>
              <w:top w:val="nil" w:sz="6" w:space="0" w:color="auto"/>
              <w:left w:val="single" w:sz="12" w:space="0" w:color="000000"/>
              <w:bottom w:val="single" w:sz="12" w:space="0" w:color="000000"/>
              <w:right w:val="single" w:sz="12" w:space="0" w:color="000000"/>
            </w:tcBorders>
          </w:tcPr>
          <w:p>
            <w:pPr/>
          </w:p>
        </w:tc>
        <w:tc>
          <w:tcPr>
            <w:tcW w:w="1447" w:type="dxa"/>
            <w:tcBorders>
              <w:top w:val="nil" w:sz="6" w:space="0" w:color="auto"/>
              <w:left w:val="single" w:sz="12" w:space="0" w:color="000000"/>
              <w:bottom w:val="single" w:sz="12" w:space="0" w:color="000000"/>
              <w:right w:val="single" w:sz="12" w:space="0" w:color="000000"/>
            </w:tcBorders>
          </w:tcPr>
          <w:p>
            <w:pPr/>
          </w:p>
        </w:tc>
        <w:tc>
          <w:tcPr>
            <w:tcW w:w="1121" w:type="dxa"/>
            <w:tcBorders>
              <w:top w:val="nil" w:sz="6" w:space="0" w:color="auto"/>
              <w:left w:val="single" w:sz="12" w:space="0" w:color="000000"/>
              <w:bottom w:val="single" w:sz="12" w:space="0" w:color="000000"/>
              <w:right w:val="single" w:sz="12" w:space="0" w:color="000000"/>
            </w:tcBorders>
          </w:tcPr>
          <w:p>
            <w:pPr>
              <w:pStyle w:val="TableParagraph"/>
              <w:spacing w:line="233" w:lineRule="exact"/>
              <w:ind w:right="2"/>
              <w:jc w:val="center"/>
              <w:rPr>
                <w:rFonts w:ascii="宋体" w:hAnsi="宋体" w:cs="宋体" w:eastAsia="宋体" w:hint="default"/>
                <w:sz w:val="18"/>
                <w:szCs w:val="18"/>
              </w:rPr>
            </w:pPr>
            <w:r>
              <w:rPr>
                <w:rFonts w:ascii="宋体" w:hAnsi="宋体" w:cs="宋体" w:eastAsia="宋体" w:hint="default"/>
                <w:w w:val="100"/>
                <w:sz w:val="18"/>
                <w:szCs w:val="18"/>
              </w:rPr>
              <w:t>售</w:t>
            </w:r>
          </w:p>
        </w:tc>
        <w:tc>
          <w:tcPr>
            <w:tcW w:w="1118" w:type="dxa"/>
            <w:tcBorders>
              <w:top w:val="nil" w:sz="6" w:space="0" w:color="auto"/>
              <w:left w:val="single" w:sz="12" w:space="0" w:color="000000"/>
              <w:bottom w:val="single" w:sz="12" w:space="0" w:color="000000"/>
              <w:right w:val="single" w:sz="12" w:space="0" w:color="000000"/>
            </w:tcBorders>
          </w:tcPr>
          <w:p>
            <w:pPr/>
          </w:p>
        </w:tc>
        <w:tc>
          <w:tcPr>
            <w:tcW w:w="864" w:type="dxa"/>
            <w:vMerge/>
            <w:tcBorders>
              <w:left w:val="single" w:sz="12" w:space="0" w:color="000000"/>
              <w:bottom w:val="single" w:sz="12" w:space="0" w:color="000000"/>
              <w:right w:val="single" w:sz="12" w:space="0" w:color="000000"/>
            </w:tcBorders>
          </w:tcPr>
          <w:p>
            <w:pPr/>
          </w:p>
        </w:tc>
        <w:tc>
          <w:tcPr>
            <w:tcW w:w="770" w:type="dxa"/>
            <w:tcBorders>
              <w:top w:val="nil" w:sz="6" w:space="0" w:color="auto"/>
              <w:left w:val="single" w:sz="12" w:space="0" w:color="000000"/>
              <w:bottom w:val="single" w:sz="12" w:space="0" w:color="000000"/>
              <w:right w:val="single" w:sz="12" w:space="0" w:color="000000"/>
            </w:tcBorders>
          </w:tcPr>
          <w:p>
            <w:pPr/>
          </w:p>
        </w:tc>
        <w:tc>
          <w:tcPr>
            <w:tcW w:w="770" w:type="dxa"/>
            <w:tcBorders>
              <w:top w:val="nil" w:sz="6" w:space="0" w:color="auto"/>
              <w:left w:val="single" w:sz="12" w:space="0" w:color="000000"/>
              <w:bottom w:val="single" w:sz="12" w:space="0" w:color="000000"/>
              <w:right w:val="single" w:sz="12" w:space="0" w:color="000000"/>
            </w:tcBorders>
          </w:tcPr>
          <w:p>
            <w:pPr/>
          </w:p>
        </w:tc>
        <w:tc>
          <w:tcPr>
            <w:tcW w:w="574" w:type="dxa"/>
            <w:tcBorders>
              <w:top w:val="nil" w:sz="6" w:space="0" w:color="auto"/>
              <w:left w:val="single" w:sz="12" w:space="0" w:color="000000"/>
              <w:bottom w:val="single" w:sz="12" w:space="0" w:color="000000"/>
              <w:right w:val="single" w:sz="12" w:space="0" w:color="000000"/>
            </w:tcBorders>
          </w:tcPr>
          <w:p>
            <w:pPr/>
          </w:p>
        </w:tc>
        <w:tc>
          <w:tcPr>
            <w:tcW w:w="612" w:type="dxa"/>
            <w:tcBorders>
              <w:top w:val="nil" w:sz="6" w:space="0" w:color="auto"/>
              <w:left w:val="single" w:sz="12" w:space="0" w:color="000000"/>
              <w:bottom w:val="single" w:sz="12" w:space="0" w:color="000000"/>
              <w:right w:val="single" w:sz="12" w:space="0" w:color="000000"/>
            </w:tcBorders>
          </w:tcPr>
          <w:p>
            <w:pPr/>
          </w:p>
        </w:tc>
        <w:tc>
          <w:tcPr>
            <w:tcW w:w="996" w:type="dxa"/>
            <w:tcBorders>
              <w:top w:val="nil" w:sz="6" w:space="0" w:color="auto"/>
              <w:left w:val="single" w:sz="12" w:space="0" w:color="000000"/>
              <w:bottom w:val="single" w:sz="12" w:space="0" w:color="000000"/>
              <w:right w:val="single" w:sz="12" w:space="0" w:color="000000"/>
            </w:tcBorders>
          </w:tcPr>
          <w:p>
            <w:pPr/>
          </w:p>
        </w:tc>
        <w:tc>
          <w:tcPr>
            <w:tcW w:w="2263" w:type="dxa"/>
            <w:tcBorders>
              <w:top w:val="nil" w:sz="6" w:space="0" w:color="auto"/>
              <w:left w:val="single" w:sz="12" w:space="0" w:color="000000"/>
              <w:bottom w:val="single" w:sz="12" w:space="0" w:color="000000"/>
              <w:right w:val="single" w:sz="12"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spacing w:before="76"/>
        <w:ind w:left="0" w:right="380" w:firstLine="0"/>
        <w:jc w:val="right"/>
        <w:rPr>
          <w:rFonts w:ascii="Times New Roman" w:hAnsi="Times New Roman" w:cs="Times New Roman" w:eastAsia="Times New Roman" w:hint="default"/>
          <w:sz w:val="18"/>
          <w:szCs w:val="18"/>
        </w:rPr>
      </w:pPr>
      <w:r>
        <w:rPr>
          <w:rFonts w:ascii="Times New Roman"/>
          <w:sz w:val="18"/>
        </w:rPr>
        <w:t>98</w:t>
      </w:r>
    </w:p>
    <w:p>
      <w:pPr>
        <w:spacing w:after="0"/>
        <w:jc w:val="right"/>
        <w:rPr>
          <w:rFonts w:ascii="Times New Roman" w:hAnsi="Times New Roman" w:cs="Times New Roman" w:eastAsia="Times New Roman" w:hint="default"/>
          <w:sz w:val="18"/>
          <w:szCs w:val="18"/>
        </w:rPr>
        <w:sectPr>
          <w:headerReference w:type="default" r:id="rId63"/>
          <w:footerReference w:type="default" r:id="rId64"/>
          <w:pgSz w:w="16840" w:h="11900" w:orient="landscape"/>
          <w:pgMar w:header="0" w:footer="0" w:top="800" w:bottom="280" w:left="1060" w:right="1060"/>
        </w:sectPr>
      </w:pPr>
    </w:p>
    <w:p>
      <w:pPr>
        <w:spacing w:line="240" w:lineRule="auto" w:before="0"/>
        <w:rPr>
          <w:rFonts w:ascii="Times New Roman" w:hAnsi="Times New Roman" w:cs="Times New Roman" w:eastAsia="Times New Roman" w:hint="default"/>
          <w:sz w:val="20"/>
          <w:szCs w:val="20"/>
        </w:rPr>
      </w:pPr>
    </w:p>
    <w:p>
      <w:pPr>
        <w:spacing w:before="177"/>
        <w:ind w:left="257" w:right="286" w:firstLine="0"/>
        <w:jc w:val="left"/>
        <w:rPr>
          <w:rFonts w:ascii="宋体" w:hAnsi="宋体" w:cs="宋体" w:eastAsia="宋体" w:hint="default"/>
          <w:sz w:val="28"/>
          <w:szCs w:val="28"/>
        </w:rPr>
      </w:pPr>
      <w:r>
        <w:rPr>
          <w:rFonts w:ascii="Arial" w:hAnsi="Arial" w:cs="Arial" w:eastAsia="Arial" w:hint="default"/>
          <w:b/>
          <w:bCs/>
          <w:sz w:val="28"/>
          <w:szCs w:val="28"/>
        </w:rPr>
        <w:t>6.</w:t>
      </w:r>
      <w:r>
        <w:rPr>
          <w:rFonts w:ascii="Arial" w:hAnsi="Arial" w:cs="Arial" w:eastAsia="Arial" w:hint="default"/>
          <w:b/>
          <w:bCs/>
          <w:spacing w:val="69"/>
          <w:sz w:val="28"/>
          <w:szCs w:val="28"/>
        </w:rPr>
        <w:t> </w:t>
      </w:r>
      <w:r>
        <w:rPr>
          <w:rFonts w:ascii="宋体" w:hAnsi="宋体" w:cs="宋体" w:eastAsia="宋体" w:hint="default"/>
          <w:sz w:val="28"/>
          <w:szCs w:val="28"/>
        </w:rPr>
        <w:t>合并财务报表项目附注</w:t>
      </w:r>
    </w:p>
    <w:p>
      <w:pPr>
        <w:pStyle w:val="BodyText"/>
        <w:spacing w:line="240" w:lineRule="auto" w:before="207"/>
        <w:ind w:left="257" w:right="286"/>
        <w:jc w:val="left"/>
      </w:pPr>
      <w:r>
        <w:rPr>
          <w:rFonts w:ascii="Arial" w:hAnsi="Arial" w:cs="Arial" w:eastAsia="Arial" w:hint="default"/>
        </w:rPr>
        <w:t>6.1</w:t>
      </w:r>
      <w:r>
        <w:rPr>
          <w:rFonts w:ascii="Arial" w:hAnsi="Arial" w:cs="Arial" w:eastAsia="Arial" w:hint="default"/>
          <w:spacing w:val="54"/>
        </w:rPr>
        <w:t> </w:t>
      </w:r>
      <w:r>
        <w:rPr/>
        <w:t>货币资金</w:t>
      </w:r>
    </w:p>
    <w:p>
      <w:pPr>
        <w:spacing w:line="240" w:lineRule="auto" w:before="5"/>
        <w:rPr>
          <w:rFonts w:ascii="宋体" w:hAnsi="宋体" w:cs="宋体" w:eastAsia="宋体" w:hint="default"/>
          <w:sz w:val="8"/>
          <w:szCs w:val="8"/>
        </w:rPr>
      </w:pPr>
    </w:p>
    <w:tbl>
      <w:tblPr>
        <w:tblW w:w="0" w:type="auto"/>
        <w:jc w:val="left"/>
        <w:tblInd w:w="430" w:type="dxa"/>
        <w:tblLayout w:type="fixed"/>
        <w:tblCellMar>
          <w:top w:w="0" w:type="dxa"/>
          <w:left w:w="0" w:type="dxa"/>
          <w:bottom w:w="0" w:type="dxa"/>
          <w:right w:w="0" w:type="dxa"/>
        </w:tblCellMar>
        <w:tblLook w:val="01E0"/>
      </w:tblPr>
      <w:tblGrid>
        <w:gridCol w:w="1073"/>
        <w:gridCol w:w="1018"/>
        <w:gridCol w:w="790"/>
        <w:gridCol w:w="1474"/>
        <w:gridCol w:w="1015"/>
        <w:gridCol w:w="979"/>
        <w:gridCol w:w="1918"/>
      </w:tblGrid>
      <w:tr>
        <w:trPr>
          <w:trHeight w:val="468" w:hRule="exact"/>
        </w:trPr>
        <w:tc>
          <w:tcPr>
            <w:tcW w:w="10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1" w:type="dxa"/>
            <w:gridSpan w:val="3"/>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9"/>
              <w:ind w:left="839"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3912" w:type="dxa"/>
            <w:gridSpan w:val="3"/>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9"/>
              <w:ind w:left="1156"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334" w:hRule="exact"/>
        </w:trPr>
        <w:tc>
          <w:tcPr>
            <w:tcW w:w="1073"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1018"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790"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折算率</w:t>
            </w:r>
          </w:p>
        </w:tc>
        <w:tc>
          <w:tcPr>
            <w:tcW w:w="1474"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人民币金额</w:t>
            </w:r>
          </w:p>
        </w:tc>
        <w:tc>
          <w:tcPr>
            <w:tcW w:w="1015"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979"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折算率</w:t>
            </w:r>
          </w:p>
        </w:tc>
        <w:tc>
          <w:tcPr>
            <w:tcW w:w="1918"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334" w:hRule="exact"/>
        </w:trPr>
        <w:tc>
          <w:tcPr>
            <w:tcW w:w="1073"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0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w w:val="99"/>
                <w:sz w:val="18"/>
              </w:rPr>
              <w:t>-</w:t>
            </w:r>
            <w:r>
              <w:rPr>
                <w:rFonts w:ascii="Arial"/>
                <w:sz w:val="18"/>
              </w:rPr>
            </w:r>
          </w:p>
        </w:tc>
        <w:tc>
          <w:tcPr>
            <w:tcW w:w="7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2"/>
              <w:jc w:val="center"/>
              <w:rPr>
                <w:rFonts w:ascii="Arial" w:hAnsi="Arial" w:cs="Arial" w:eastAsia="Arial" w:hint="default"/>
                <w:sz w:val="18"/>
                <w:szCs w:val="18"/>
              </w:rPr>
            </w:pPr>
            <w:r>
              <w:rPr>
                <w:rFonts w:ascii="Arial"/>
                <w:w w:val="99"/>
                <w:sz w:val="18"/>
              </w:rPr>
              <w:t>-</w:t>
            </w:r>
            <w:r>
              <w:rPr>
                <w:rFonts w:ascii="Arial"/>
                <w:sz w:val="18"/>
              </w:rPr>
            </w:r>
          </w:p>
        </w:tc>
        <w:tc>
          <w:tcPr>
            <w:tcW w:w="14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1"/>
              <w:jc w:val="center"/>
              <w:rPr>
                <w:rFonts w:ascii="Arial" w:hAnsi="Arial" w:cs="Arial" w:eastAsia="Arial" w:hint="default"/>
                <w:sz w:val="18"/>
                <w:szCs w:val="18"/>
              </w:rPr>
            </w:pPr>
            <w:r>
              <w:rPr>
                <w:rFonts w:ascii="Arial"/>
                <w:sz w:val="18"/>
              </w:rPr>
              <w:t>15,527.38</w:t>
            </w:r>
          </w:p>
        </w:tc>
        <w:tc>
          <w:tcPr>
            <w:tcW w:w="101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w w:val="99"/>
                <w:sz w:val="18"/>
              </w:rPr>
              <w:t>-</w:t>
            </w:r>
            <w:r>
              <w:rPr>
                <w:rFonts w:ascii="Arial"/>
                <w:sz w:val="18"/>
              </w:rPr>
            </w:r>
          </w:p>
        </w:tc>
        <w:tc>
          <w:tcPr>
            <w:tcW w:w="9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w w:val="99"/>
                <w:sz w:val="18"/>
              </w:rPr>
              <w:t>-</w:t>
            </w:r>
            <w:r>
              <w:rPr>
                <w:rFonts w:ascii="Arial"/>
                <w:sz w:val="18"/>
              </w:rPr>
            </w:r>
          </w:p>
        </w:tc>
        <w:tc>
          <w:tcPr>
            <w:tcW w:w="19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sz w:val="18"/>
              </w:rPr>
              <w:t>25,843.64</w:t>
            </w:r>
          </w:p>
        </w:tc>
      </w:tr>
      <w:tr>
        <w:trPr>
          <w:trHeight w:val="334" w:hRule="exact"/>
        </w:trPr>
        <w:tc>
          <w:tcPr>
            <w:tcW w:w="1073"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w w:val="99"/>
                <w:sz w:val="18"/>
              </w:rPr>
              <w:t>-</w:t>
            </w:r>
            <w:r>
              <w:rPr>
                <w:rFonts w:ascii="Arial"/>
                <w:sz w:val="18"/>
              </w:rPr>
            </w:r>
          </w:p>
        </w:tc>
        <w:tc>
          <w:tcPr>
            <w:tcW w:w="7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2"/>
              <w:jc w:val="center"/>
              <w:rPr>
                <w:rFonts w:ascii="Arial" w:hAnsi="Arial" w:cs="Arial" w:eastAsia="Arial" w:hint="default"/>
                <w:sz w:val="18"/>
                <w:szCs w:val="18"/>
              </w:rPr>
            </w:pPr>
            <w:r>
              <w:rPr>
                <w:rFonts w:ascii="Arial"/>
                <w:w w:val="99"/>
                <w:sz w:val="18"/>
              </w:rPr>
              <w:t>-</w:t>
            </w:r>
            <w:r>
              <w:rPr>
                <w:rFonts w:ascii="Arial"/>
                <w:sz w:val="18"/>
              </w:rPr>
            </w:r>
          </w:p>
        </w:tc>
        <w:tc>
          <w:tcPr>
            <w:tcW w:w="14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1"/>
              <w:jc w:val="center"/>
              <w:rPr>
                <w:rFonts w:ascii="Arial" w:hAnsi="Arial" w:cs="Arial" w:eastAsia="Arial" w:hint="default"/>
                <w:sz w:val="18"/>
                <w:szCs w:val="18"/>
              </w:rPr>
            </w:pPr>
            <w:r>
              <w:rPr>
                <w:rFonts w:ascii="Arial"/>
                <w:sz w:val="18"/>
              </w:rPr>
              <w:t>15,527.38</w:t>
            </w:r>
          </w:p>
        </w:tc>
        <w:tc>
          <w:tcPr>
            <w:tcW w:w="101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w w:val="99"/>
                <w:sz w:val="18"/>
              </w:rPr>
              <w:t>-</w:t>
            </w:r>
            <w:r>
              <w:rPr>
                <w:rFonts w:ascii="Arial"/>
                <w:sz w:val="18"/>
              </w:rPr>
            </w:r>
          </w:p>
        </w:tc>
        <w:tc>
          <w:tcPr>
            <w:tcW w:w="9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w w:val="99"/>
                <w:sz w:val="18"/>
              </w:rPr>
              <w:t>-</w:t>
            </w:r>
            <w:r>
              <w:rPr>
                <w:rFonts w:ascii="Arial"/>
                <w:sz w:val="18"/>
              </w:rPr>
            </w:r>
          </w:p>
        </w:tc>
        <w:tc>
          <w:tcPr>
            <w:tcW w:w="19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sz w:val="18"/>
              </w:rPr>
              <w:t>25,843.64</w:t>
            </w:r>
          </w:p>
        </w:tc>
      </w:tr>
      <w:tr>
        <w:trPr>
          <w:trHeight w:val="334" w:hRule="exact"/>
        </w:trPr>
        <w:tc>
          <w:tcPr>
            <w:tcW w:w="1073"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银行存款</w:t>
            </w:r>
          </w:p>
        </w:tc>
        <w:tc>
          <w:tcPr>
            <w:tcW w:w="10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w w:val="99"/>
                <w:sz w:val="18"/>
              </w:rPr>
              <w:t>-</w:t>
            </w:r>
            <w:r>
              <w:rPr>
                <w:rFonts w:ascii="Arial"/>
                <w:sz w:val="18"/>
              </w:rPr>
            </w:r>
          </w:p>
        </w:tc>
        <w:tc>
          <w:tcPr>
            <w:tcW w:w="7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2"/>
              <w:jc w:val="center"/>
              <w:rPr>
                <w:rFonts w:ascii="Arial" w:hAnsi="Arial" w:cs="Arial" w:eastAsia="Arial" w:hint="default"/>
                <w:sz w:val="18"/>
                <w:szCs w:val="18"/>
              </w:rPr>
            </w:pPr>
            <w:r>
              <w:rPr>
                <w:rFonts w:ascii="Arial"/>
                <w:w w:val="99"/>
                <w:sz w:val="18"/>
              </w:rPr>
              <w:t>-</w:t>
            </w:r>
            <w:r>
              <w:rPr>
                <w:rFonts w:ascii="Arial"/>
                <w:sz w:val="18"/>
              </w:rPr>
            </w:r>
          </w:p>
        </w:tc>
        <w:tc>
          <w:tcPr>
            <w:tcW w:w="1474" w:type="dxa"/>
            <w:tcBorders>
              <w:top w:val="single" w:sz="12" w:space="0" w:color="000000"/>
              <w:left w:val="single" w:sz="12" w:space="0" w:color="000000"/>
              <w:bottom w:val="single" w:sz="12" w:space="0" w:color="000000"/>
              <w:right w:val="single" w:sz="12" w:space="0" w:color="000000"/>
            </w:tcBorders>
          </w:tcPr>
          <w:p>
            <w:pPr/>
          </w:p>
        </w:tc>
        <w:tc>
          <w:tcPr>
            <w:tcW w:w="101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w w:val="99"/>
                <w:sz w:val="18"/>
              </w:rPr>
              <w:t>-</w:t>
            </w:r>
            <w:r>
              <w:rPr>
                <w:rFonts w:ascii="Arial"/>
                <w:sz w:val="18"/>
              </w:rPr>
            </w:r>
          </w:p>
        </w:tc>
        <w:tc>
          <w:tcPr>
            <w:tcW w:w="9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w w:val="99"/>
                <w:sz w:val="18"/>
              </w:rPr>
              <w:t>-</w:t>
            </w:r>
            <w:r>
              <w:rPr>
                <w:rFonts w:ascii="Arial"/>
                <w:sz w:val="18"/>
              </w:rPr>
            </w:r>
          </w:p>
        </w:tc>
        <w:tc>
          <w:tcPr>
            <w:tcW w:w="19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34" w:hRule="exact"/>
        </w:trPr>
        <w:tc>
          <w:tcPr>
            <w:tcW w:w="1073"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0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w w:val="99"/>
                <w:sz w:val="18"/>
              </w:rPr>
              <w:t>-</w:t>
            </w:r>
            <w:r>
              <w:rPr>
                <w:rFonts w:ascii="Arial"/>
                <w:sz w:val="18"/>
              </w:rPr>
            </w:r>
          </w:p>
        </w:tc>
        <w:tc>
          <w:tcPr>
            <w:tcW w:w="7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2"/>
              <w:jc w:val="center"/>
              <w:rPr>
                <w:rFonts w:ascii="Arial" w:hAnsi="Arial" w:cs="Arial" w:eastAsia="Arial" w:hint="default"/>
                <w:sz w:val="18"/>
                <w:szCs w:val="18"/>
              </w:rPr>
            </w:pPr>
            <w:r>
              <w:rPr>
                <w:rFonts w:ascii="Arial"/>
                <w:w w:val="99"/>
                <w:sz w:val="18"/>
              </w:rPr>
              <w:t>-</w:t>
            </w:r>
            <w:r>
              <w:rPr>
                <w:rFonts w:ascii="Arial"/>
                <w:sz w:val="18"/>
              </w:rPr>
            </w:r>
          </w:p>
        </w:tc>
        <w:tc>
          <w:tcPr>
            <w:tcW w:w="14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sz w:val="18"/>
              </w:rPr>
              <w:t>430,046,046.04</w:t>
            </w:r>
          </w:p>
        </w:tc>
        <w:tc>
          <w:tcPr>
            <w:tcW w:w="101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w w:val="99"/>
                <w:sz w:val="18"/>
              </w:rPr>
              <w:t>-</w:t>
            </w:r>
            <w:r>
              <w:rPr>
                <w:rFonts w:ascii="Arial"/>
                <w:sz w:val="18"/>
              </w:rPr>
            </w:r>
          </w:p>
        </w:tc>
        <w:tc>
          <w:tcPr>
            <w:tcW w:w="9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w w:val="99"/>
                <w:sz w:val="18"/>
              </w:rPr>
              <w:t>-</w:t>
            </w:r>
            <w:r>
              <w:rPr>
                <w:rFonts w:ascii="Arial"/>
                <w:sz w:val="18"/>
              </w:rPr>
            </w:r>
          </w:p>
        </w:tc>
        <w:tc>
          <w:tcPr>
            <w:tcW w:w="19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sz w:val="18"/>
              </w:rPr>
              <w:t>25,824,434.34</w:t>
            </w:r>
          </w:p>
        </w:tc>
      </w:tr>
      <w:tr>
        <w:trPr>
          <w:trHeight w:val="334" w:hRule="exact"/>
        </w:trPr>
        <w:tc>
          <w:tcPr>
            <w:tcW w:w="1073"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0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left="1" w:right="0"/>
              <w:jc w:val="center"/>
              <w:rPr>
                <w:rFonts w:ascii="Arial" w:hAnsi="Arial" w:cs="Arial" w:eastAsia="Arial" w:hint="default"/>
                <w:sz w:val="18"/>
                <w:szCs w:val="18"/>
              </w:rPr>
            </w:pPr>
            <w:r>
              <w:rPr>
                <w:rFonts w:ascii="Arial"/>
                <w:sz w:val="18"/>
              </w:rPr>
              <w:t>67,355.03</w:t>
            </w:r>
          </w:p>
        </w:tc>
        <w:tc>
          <w:tcPr>
            <w:tcW w:w="7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1"/>
              <w:jc w:val="center"/>
              <w:rPr>
                <w:rFonts w:ascii="Arial" w:hAnsi="Arial" w:cs="Arial" w:eastAsia="Arial" w:hint="default"/>
                <w:sz w:val="18"/>
                <w:szCs w:val="18"/>
              </w:rPr>
            </w:pPr>
            <w:r>
              <w:rPr>
                <w:rFonts w:ascii="Arial"/>
                <w:sz w:val="18"/>
              </w:rPr>
              <w:t>6.6227</w:t>
            </w:r>
          </w:p>
        </w:tc>
        <w:tc>
          <w:tcPr>
            <w:tcW w:w="14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sz w:val="18"/>
              </w:rPr>
              <w:t>446,072.16</w:t>
            </w:r>
          </w:p>
        </w:tc>
        <w:tc>
          <w:tcPr>
            <w:tcW w:w="101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left="4" w:right="0"/>
              <w:jc w:val="center"/>
              <w:rPr>
                <w:rFonts w:ascii="Arial" w:hAnsi="Arial" w:cs="Arial" w:eastAsia="Arial" w:hint="default"/>
                <w:sz w:val="18"/>
                <w:szCs w:val="18"/>
              </w:rPr>
            </w:pPr>
            <w:r>
              <w:rPr>
                <w:rFonts w:ascii="Arial"/>
                <w:sz w:val="18"/>
              </w:rPr>
              <w:t>87,546.73</w:t>
            </w:r>
          </w:p>
        </w:tc>
        <w:tc>
          <w:tcPr>
            <w:tcW w:w="9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sz w:val="18"/>
              </w:rPr>
              <w:t>6.8229</w:t>
            </w:r>
          </w:p>
        </w:tc>
        <w:tc>
          <w:tcPr>
            <w:tcW w:w="19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1"/>
              <w:jc w:val="center"/>
              <w:rPr>
                <w:rFonts w:ascii="Arial" w:hAnsi="Arial" w:cs="Arial" w:eastAsia="Arial" w:hint="default"/>
                <w:sz w:val="18"/>
                <w:szCs w:val="18"/>
              </w:rPr>
            </w:pPr>
            <w:r>
              <w:rPr>
                <w:rFonts w:ascii="Arial"/>
                <w:sz w:val="18"/>
              </w:rPr>
              <w:t>597,323.36</w:t>
            </w:r>
          </w:p>
        </w:tc>
      </w:tr>
      <w:tr>
        <w:trPr>
          <w:trHeight w:val="334" w:hRule="exact"/>
        </w:trPr>
        <w:tc>
          <w:tcPr>
            <w:tcW w:w="1073"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w w:val="99"/>
                <w:sz w:val="18"/>
              </w:rPr>
              <w:t>-</w:t>
            </w:r>
            <w:r>
              <w:rPr>
                <w:rFonts w:ascii="Arial"/>
                <w:sz w:val="18"/>
              </w:rPr>
            </w:r>
          </w:p>
        </w:tc>
        <w:tc>
          <w:tcPr>
            <w:tcW w:w="7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2"/>
              <w:jc w:val="center"/>
              <w:rPr>
                <w:rFonts w:ascii="Arial" w:hAnsi="Arial" w:cs="Arial" w:eastAsia="Arial" w:hint="default"/>
                <w:sz w:val="18"/>
                <w:szCs w:val="18"/>
              </w:rPr>
            </w:pPr>
            <w:r>
              <w:rPr>
                <w:rFonts w:ascii="Arial"/>
                <w:w w:val="99"/>
                <w:sz w:val="18"/>
              </w:rPr>
              <w:t>-</w:t>
            </w:r>
            <w:r>
              <w:rPr>
                <w:rFonts w:ascii="Arial"/>
                <w:sz w:val="18"/>
              </w:rPr>
            </w:r>
          </w:p>
        </w:tc>
        <w:tc>
          <w:tcPr>
            <w:tcW w:w="14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1"/>
              <w:jc w:val="center"/>
              <w:rPr>
                <w:rFonts w:ascii="Arial" w:hAnsi="Arial" w:cs="Arial" w:eastAsia="Arial" w:hint="default"/>
                <w:sz w:val="18"/>
                <w:szCs w:val="18"/>
              </w:rPr>
            </w:pPr>
            <w:r>
              <w:rPr>
                <w:rFonts w:ascii="Arial"/>
                <w:sz w:val="18"/>
              </w:rPr>
              <w:t>430,492,118.20</w:t>
            </w:r>
          </w:p>
        </w:tc>
        <w:tc>
          <w:tcPr>
            <w:tcW w:w="101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w w:val="99"/>
                <w:sz w:val="18"/>
              </w:rPr>
              <w:t>-</w:t>
            </w:r>
            <w:r>
              <w:rPr>
                <w:rFonts w:ascii="Arial"/>
                <w:sz w:val="18"/>
              </w:rPr>
            </w:r>
          </w:p>
        </w:tc>
        <w:tc>
          <w:tcPr>
            <w:tcW w:w="9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w w:val="99"/>
                <w:sz w:val="18"/>
              </w:rPr>
              <w:t>-</w:t>
            </w:r>
            <w:r>
              <w:rPr>
                <w:rFonts w:ascii="Arial"/>
                <w:sz w:val="18"/>
              </w:rPr>
            </w:r>
          </w:p>
        </w:tc>
        <w:tc>
          <w:tcPr>
            <w:tcW w:w="19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sz w:val="18"/>
              </w:rPr>
              <w:t>26,421,757.70</w:t>
            </w:r>
          </w:p>
        </w:tc>
      </w:tr>
      <w:tr>
        <w:trPr>
          <w:trHeight w:val="636" w:hRule="exact"/>
        </w:trPr>
        <w:tc>
          <w:tcPr>
            <w:tcW w:w="1073"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其他货币</w:t>
            </w:r>
          </w:p>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资金</w:t>
            </w:r>
          </w:p>
        </w:tc>
        <w:tc>
          <w:tcPr>
            <w:tcW w:w="10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7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
              <w:jc w:val="center"/>
              <w:rPr>
                <w:rFonts w:ascii="Arial" w:hAnsi="Arial" w:cs="Arial" w:eastAsia="Arial" w:hint="default"/>
                <w:sz w:val="18"/>
                <w:szCs w:val="18"/>
              </w:rPr>
            </w:pPr>
            <w:r>
              <w:rPr>
                <w:rFonts w:ascii="Arial"/>
                <w:w w:val="99"/>
                <w:sz w:val="18"/>
              </w:rPr>
              <w:t>-</w:t>
            </w:r>
            <w:r>
              <w:rPr>
                <w:rFonts w:ascii="Arial"/>
                <w:sz w:val="18"/>
              </w:rPr>
            </w:r>
          </w:p>
        </w:tc>
        <w:tc>
          <w:tcPr>
            <w:tcW w:w="14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101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9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19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34" w:hRule="exact"/>
        </w:trPr>
        <w:tc>
          <w:tcPr>
            <w:tcW w:w="1073"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0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w w:val="99"/>
                <w:sz w:val="18"/>
              </w:rPr>
              <w:t>-</w:t>
            </w:r>
            <w:r>
              <w:rPr>
                <w:rFonts w:ascii="Arial"/>
                <w:sz w:val="18"/>
              </w:rPr>
            </w:r>
          </w:p>
        </w:tc>
        <w:tc>
          <w:tcPr>
            <w:tcW w:w="7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2"/>
              <w:jc w:val="center"/>
              <w:rPr>
                <w:rFonts w:ascii="Arial" w:hAnsi="Arial" w:cs="Arial" w:eastAsia="Arial" w:hint="default"/>
                <w:sz w:val="18"/>
                <w:szCs w:val="18"/>
              </w:rPr>
            </w:pPr>
            <w:r>
              <w:rPr>
                <w:rFonts w:ascii="Arial"/>
                <w:w w:val="99"/>
                <w:sz w:val="18"/>
              </w:rPr>
              <w:t>-</w:t>
            </w:r>
            <w:r>
              <w:rPr>
                <w:rFonts w:ascii="Arial"/>
                <w:sz w:val="18"/>
              </w:rPr>
            </w:r>
          </w:p>
        </w:tc>
        <w:tc>
          <w:tcPr>
            <w:tcW w:w="14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w w:val="99"/>
                <w:sz w:val="18"/>
              </w:rPr>
              <w:t>-</w:t>
            </w:r>
            <w:r>
              <w:rPr>
                <w:rFonts w:ascii="Arial"/>
                <w:sz w:val="18"/>
              </w:rPr>
            </w:r>
          </w:p>
        </w:tc>
        <w:tc>
          <w:tcPr>
            <w:tcW w:w="101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w w:val="99"/>
                <w:sz w:val="18"/>
              </w:rPr>
              <w:t>-</w:t>
            </w:r>
            <w:r>
              <w:rPr>
                <w:rFonts w:ascii="Arial"/>
                <w:sz w:val="18"/>
              </w:rPr>
            </w:r>
          </w:p>
        </w:tc>
        <w:tc>
          <w:tcPr>
            <w:tcW w:w="9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w w:val="99"/>
                <w:sz w:val="18"/>
              </w:rPr>
              <w:t>-</w:t>
            </w:r>
            <w:r>
              <w:rPr>
                <w:rFonts w:ascii="Arial"/>
                <w:sz w:val="18"/>
              </w:rPr>
            </w:r>
          </w:p>
        </w:tc>
        <w:tc>
          <w:tcPr>
            <w:tcW w:w="19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sz w:val="18"/>
              </w:rPr>
              <w:t>2,900,000.00</w:t>
            </w:r>
          </w:p>
        </w:tc>
      </w:tr>
      <w:tr>
        <w:trPr>
          <w:trHeight w:val="334" w:hRule="exact"/>
        </w:trPr>
        <w:tc>
          <w:tcPr>
            <w:tcW w:w="1073"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w w:val="99"/>
                <w:sz w:val="18"/>
              </w:rPr>
              <w:t>-</w:t>
            </w:r>
            <w:r>
              <w:rPr>
                <w:rFonts w:ascii="Arial"/>
                <w:sz w:val="18"/>
              </w:rPr>
            </w:r>
          </w:p>
        </w:tc>
        <w:tc>
          <w:tcPr>
            <w:tcW w:w="7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2"/>
              <w:jc w:val="center"/>
              <w:rPr>
                <w:rFonts w:ascii="Arial" w:hAnsi="Arial" w:cs="Arial" w:eastAsia="Arial" w:hint="default"/>
                <w:sz w:val="18"/>
                <w:szCs w:val="18"/>
              </w:rPr>
            </w:pPr>
            <w:r>
              <w:rPr>
                <w:rFonts w:ascii="Arial"/>
                <w:w w:val="99"/>
                <w:sz w:val="18"/>
              </w:rPr>
              <w:t>-</w:t>
            </w:r>
            <w:r>
              <w:rPr>
                <w:rFonts w:ascii="Arial"/>
                <w:sz w:val="18"/>
              </w:rPr>
            </w:r>
          </w:p>
        </w:tc>
        <w:tc>
          <w:tcPr>
            <w:tcW w:w="14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w w:val="99"/>
                <w:sz w:val="18"/>
              </w:rPr>
              <w:t>-</w:t>
            </w:r>
            <w:r>
              <w:rPr>
                <w:rFonts w:ascii="Arial"/>
                <w:sz w:val="18"/>
              </w:rPr>
            </w:r>
          </w:p>
        </w:tc>
        <w:tc>
          <w:tcPr>
            <w:tcW w:w="101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w w:val="99"/>
                <w:sz w:val="18"/>
              </w:rPr>
              <w:t>-</w:t>
            </w:r>
            <w:r>
              <w:rPr>
                <w:rFonts w:ascii="Arial"/>
                <w:sz w:val="18"/>
              </w:rPr>
            </w:r>
          </w:p>
        </w:tc>
        <w:tc>
          <w:tcPr>
            <w:tcW w:w="9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w w:val="99"/>
                <w:sz w:val="18"/>
              </w:rPr>
              <w:t>-</w:t>
            </w:r>
            <w:r>
              <w:rPr>
                <w:rFonts w:ascii="Arial"/>
                <w:sz w:val="18"/>
              </w:rPr>
            </w:r>
          </w:p>
        </w:tc>
        <w:tc>
          <w:tcPr>
            <w:tcW w:w="19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sz w:val="18"/>
              </w:rPr>
              <w:t>2,900,000.00</w:t>
            </w:r>
          </w:p>
        </w:tc>
      </w:tr>
      <w:tr>
        <w:trPr>
          <w:trHeight w:val="334" w:hRule="exact"/>
        </w:trPr>
        <w:tc>
          <w:tcPr>
            <w:tcW w:w="1073"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07" w:type="dxa"/>
            <w:gridSpan w:val="2"/>
            <w:tcBorders>
              <w:top w:val="single" w:sz="12" w:space="0" w:color="000000"/>
              <w:left w:val="single" w:sz="12" w:space="0" w:color="000000"/>
              <w:bottom w:val="single" w:sz="12" w:space="0" w:color="000000"/>
              <w:right w:val="single" w:sz="12" w:space="0" w:color="000000"/>
            </w:tcBorders>
          </w:tcPr>
          <w:p>
            <w:pPr/>
          </w:p>
        </w:tc>
        <w:tc>
          <w:tcPr>
            <w:tcW w:w="14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sz w:val="18"/>
              </w:rPr>
              <w:t>430,507,645.58</w:t>
            </w:r>
          </w:p>
        </w:tc>
        <w:tc>
          <w:tcPr>
            <w:tcW w:w="1994" w:type="dxa"/>
            <w:gridSpan w:val="2"/>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sz w:val="18"/>
              </w:rPr>
              <w:t>29,347,601.34</w:t>
            </w:r>
          </w:p>
        </w:tc>
      </w:tr>
    </w:tbl>
    <w:p>
      <w:pPr>
        <w:spacing w:line="240" w:lineRule="auto" w:before="9"/>
        <w:rPr>
          <w:rFonts w:ascii="宋体" w:hAnsi="宋体" w:cs="宋体" w:eastAsia="宋体" w:hint="default"/>
          <w:sz w:val="23"/>
          <w:szCs w:val="23"/>
        </w:rPr>
      </w:pPr>
    </w:p>
    <w:p>
      <w:pPr>
        <w:pStyle w:val="BodyText"/>
        <w:spacing w:line="340" w:lineRule="auto"/>
        <w:ind w:left="257" w:right="286" w:firstLine="439"/>
        <w:jc w:val="left"/>
      </w:pPr>
      <w:r>
        <w:rPr/>
        <w:t>货币资金期末数比年初数增加</w:t>
      </w:r>
      <w:r>
        <w:rPr>
          <w:spacing w:val="-65"/>
        </w:rPr>
        <w:t> </w:t>
      </w:r>
      <w:r>
        <w:rPr>
          <w:rFonts w:ascii="Arial" w:hAnsi="Arial" w:cs="Arial" w:eastAsia="Arial" w:hint="default"/>
        </w:rPr>
        <w:t>401,160,044.24</w:t>
      </w:r>
      <w:r>
        <w:rPr>
          <w:rFonts w:ascii="Arial" w:hAnsi="Arial" w:cs="Arial" w:eastAsia="Arial" w:hint="default"/>
          <w:spacing w:val="-17"/>
        </w:rPr>
        <w:t> </w:t>
      </w:r>
      <w:r>
        <w:rPr/>
        <w:t>元，增加比例为</w:t>
      </w:r>
      <w:r>
        <w:rPr>
          <w:spacing w:val="-65"/>
        </w:rPr>
        <w:t> </w:t>
      </w:r>
      <w:r>
        <w:rPr>
          <w:rFonts w:ascii="Arial" w:hAnsi="Arial" w:cs="Arial" w:eastAsia="Arial" w:hint="default"/>
        </w:rPr>
        <w:t>1366.93%</w:t>
      </w:r>
      <w:r>
        <w:rPr/>
        <w:t>，增加原因</w:t>
      </w:r>
      <w:r>
        <w:rPr>
          <w:w w:val="100"/>
        </w:rPr>
        <w:t> </w:t>
      </w:r>
      <w:r>
        <w:rPr/>
        <w:t>为：本公司本年于创业板上市收到募集资金所致。</w:t>
      </w:r>
    </w:p>
    <w:p>
      <w:pPr>
        <w:pStyle w:val="BodyText"/>
        <w:spacing w:line="240" w:lineRule="auto" w:before="47"/>
        <w:ind w:left="257" w:right="286"/>
        <w:jc w:val="left"/>
      </w:pPr>
      <w:r>
        <w:rPr>
          <w:rFonts w:ascii="Arial" w:hAnsi="Arial" w:cs="Arial" w:eastAsia="Arial" w:hint="default"/>
        </w:rPr>
        <w:t>6.2</w:t>
      </w:r>
      <w:r>
        <w:rPr>
          <w:rFonts w:ascii="Arial" w:hAnsi="Arial" w:cs="Arial" w:eastAsia="Arial" w:hint="default"/>
          <w:spacing w:val="-8"/>
        </w:rPr>
        <w:t> </w:t>
      </w:r>
      <w:r>
        <w:rPr/>
        <w:t>交易性金融资产</w:t>
      </w:r>
    </w:p>
    <w:p>
      <w:pPr>
        <w:spacing w:line="240" w:lineRule="auto" w:before="3"/>
        <w:rPr>
          <w:rFonts w:ascii="宋体" w:hAnsi="宋体" w:cs="宋体" w:eastAsia="宋体" w:hint="default"/>
          <w:sz w:val="12"/>
          <w:szCs w:val="12"/>
        </w:rPr>
      </w:pPr>
    </w:p>
    <w:tbl>
      <w:tblPr>
        <w:tblW w:w="0" w:type="auto"/>
        <w:jc w:val="left"/>
        <w:tblInd w:w="135" w:type="dxa"/>
        <w:tblLayout w:type="fixed"/>
        <w:tblCellMar>
          <w:top w:w="0" w:type="dxa"/>
          <w:left w:w="0" w:type="dxa"/>
          <w:bottom w:w="0" w:type="dxa"/>
          <w:right w:w="0" w:type="dxa"/>
        </w:tblCellMar>
        <w:tblLook w:val="01E0"/>
      </w:tblPr>
      <w:tblGrid>
        <w:gridCol w:w="2611"/>
        <w:gridCol w:w="3125"/>
        <w:gridCol w:w="3120"/>
      </w:tblGrid>
      <w:tr>
        <w:trPr>
          <w:trHeight w:val="684" w:hRule="exact"/>
        </w:trPr>
        <w:tc>
          <w:tcPr>
            <w:tcW w:w="26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25"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公允价值</w:t>
            </w:r>
          </w:p>
        </w:tc>
        <w:tc>
          <w:tcPr>
            <w:tcW w:w="3120"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公允价值</w:t>
            </w:r>
          </w:p>
        </w:tc>
      </w:tr>
      <w:tr>
        <w:trPr>
          <w:trHeight w:val="533" w:hRule="exact"/>
        </w:trPr>
        <w:tc>
          <w:tcPr>
            <w:tcW w:w="26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0"/>
              <w:ind w:right="17"/>
              <w:jc w:val="center"/>
              <w:rPr>
                <w:rFonts w:ascii="宋体" w:hAnsi="宋体" w:cs="宋体" w:eastAsia="宋体" w:hint="default"/>
                <w:sz w:val="18"/>
                <w:szCs w:val="18"/>
              </w:rPr>
            </w:pPr>
            <w:r>
              <w:rPr>
                <w:rFonts w:ascii="宋体" w:hAnsi="宋体" w:cs="宋体" w:eastAsia="宋体" w:hint="default"/>
                <w:sz w:val="18"/>
                <w:szCs w:val="18"/>
              </w:rPr>
              <w:t>其他</w:t>
            </w:r>
          </w:p>
        </w:tc>
        <w:tc>
          <w:tcPr>
            <w:tcW w:w="31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4"/>
              <w:ind w:left="960" w:right="0"/>
              <w:jc w:val="left"/>
              <w:rPr>
                <w:rFonts w:ascii="宋体" w:hAnsi="宋体" w:cs="宋体" w:eastAsia="宋体" w:hint="default"/>
                <w:sz w:val="18"/>
                <w:szCs w:val="18"/>
              </w:rPr>
            </w:pPr>
            <w:r>
              <w:rPr>
                <w:rFonts w:ascii="宋体"/>
                <w:sz w:val="18"/>
              </w:rPr>
              <w:t>20,025,583.34</w:t>
            </w:r>
          </w:p>
        </w:tc>
        <w:tc>
          <w:tcPr>
            <w:tcW w:w="3120" w:type="dxa"/>
            <w:tcBorders>
              <w:top w:val="single" w:sz="12" w:space="0" w:color="000000"/>
              <w:left w:val="single" w:sz="12" w:space="0" w:color="000000"/>
              <w:bottom w:val="single" w:sz="12" w:space="0" w:color="000000"/>
              <w:right w:val="single" w:sz="12" w:space="0" w:color="000000"/>
            </w:tcBorders>
          </w:tcPr>
          <w:p>
            <w:pPr/>
          </w:p>
        </w:tc>
      </w:tr>
    </w:tbl>
    <w:p>
      <w:pPr>
        <w:spacing w:line="240" w:lineRule="auto" w:before="12"/>
        <w:rPr>
          <w:rFonts w:ascii="宋体" w:hAnsi="宋体" w:cs="宋体" w:eastAsia="宋体" w:hint="default"/>
          <w:sz w:val="23"/>
          <w:szCs w:val="23"/>
        </w:rPr>
      </w:pPr>
    </w:p>
    <w:p>
      <w:pPr>
        <w:pStyle w:val="BodyText"/>
        <w:spacing w:line="338" w:lineRule="auto"/>
        <w:ind w:left="257" w:right="286" w:firstLine="439"/>
        <w:jc w:val="left"/>
      </w:pPr>
      <w:r>
        <w:rPr/>
        <w:t>交易性金融资产年末数比年初数增加 </w:t>
      </w:r>
      <w:r>
        <w:rPr>
          <w:rFonts w:ascii="Arial" w:hAnsi="Arial" w:cs="Arial" w:eastAsia="Arial" w:hint="default"/>
        </w:rPr>
        <w:t>20,025,583.34</w:t>
      </w:r>
      <w:r>
        <w:rPr>
          <w:rFonts w:ascii="Arial" w:hAnsi="Arial" w:cs="Arial" w:eastAsia="Arial" w:hint="default"/>
          <w:spacing w:val="-21"/>
        </w:rPr>
        <w:t> </w:t>
      </w:r>
      <w:r>
        <w:rPr/>
        <w:t>元，增加原因主要为：公司本年</w:t>
      </w:r>
      <w:r>
        <w:rPr>
          <w:w w:val="100"/>
        </w:rPr>
        <w:t> </w:t>
      </w:r>
      <w:r>
        <w:rPr/>
        <w:t>末购买银行理财产品所致。</w:t>
      </w:r>
    </w:p>
    <w:p>
      <w:pPr>
        <w:pStyle w:val="BodyText"/>
        <w:spacing w:line="240" w:lineRule="auto" w:before="51"/>
        <w:ind w:left="257" w:right="286"/>
        <w:jc w:val="left"/>
      </w:pPr>
      <w:r>
        <w:rPr>
          <w:rFonts w:ascii="Arial" w:hAnsi="Arial" w:cs="Arial" w:eastAsia="Arial" w:hint="default"/>
        </w:rPr>
        <w:t>6.3</w:t>
      </w:r>
      <w:r>
        <w:rPr>
          <w:rFonts w:ascii="Arial" w:hAnsi="Arial" w:cs="Arial" w:eastAsia="Arial" w:hint="default"/>
          <w:spacing w:val="-7"/>
        </w:rPr>
        <w:t> </w:t>
      </w:r>
      <w:r>
        <w:rPr/>
        <w:t>应收票据</w:t>
      </w:r>
    </w:p>
    <w:p>
      <w:pPr>
        <w:pStyle w:val="BodyText"/>
        <w:spacing w:line="240" w:lineRule="auto" w:before="123"/>
        <w:ind w:left="257" w:right="286"/>
        <w:jc w:val="left"/>
      </w:pPr>
      <w:r>
        <w:rPr>
          <w:rFonts w:ascii="Arial" w:hAnsi="Arial" w:cs="Arial" w:eastAsia="Arial" w:hint="default"/>
        </w:rPr>
        <w:t>6.3.1</w:t>
      </w:r>
      <w:r>
        <w:rPr>
          <w:rFonts w:ascii="Arial" w:hAnsi="Arial" w:cs="Arial" w:eastAsia="Arial" w:hint="default"/>
          <w:spacing w:val="48"/>
        </w:rPr>
        <w:t> </w:t>
      </w:r>
      <w:r>
        <w:rPr/>
        <w:t>应收票据分类</w:t>
      </w:r>
    </w:p>
    <w:p>
      <w:pPr>
        <w:spacing w:line="240" w:lineRule="auto" w:before="3"/>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2878"/>
        <w:gridCol w:w="3326"/>
        <w:gridCol w:w="2700"/>
      </w:tblGrid>
      <w:tr>
        <w:trPr>
          <w:trHeight w:val="492" w:hRule="exact"/>
        </w:trPr>
        <w:tc>
          <w:tcPr>
            <w:tcW w:w="28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3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7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622" w:hRule="exact"/>
        </w:trPr>
        <w:tc>
          <w:tcPr>
            <w:tcW w:w="28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银行承兑汇票</w:t>
            </w:r>
          </w:p>
        </w:tc>
        <w:tc>
          <w:tcPr>
            <w:tcW w:w="33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6"/>
              <w:ind w:right="1"/>
              <w:jc w:val="center"/>
              <w:rPr>
                <w:rFonts w:ascii="宋体" w:hAnsi="宋体" w:cs="宋体" w:eastAsia="宋体" w:hint="default"/>
                <w:sz w:val="18"/>
                <w:szCs w:val="18"/>
              </w:rPr>
            </w:pPr>
            <w:r>
              <w:rPr>
                <w:rFonts w:ascii="宋体"/>
                <w:sz w:val="18"/>
              </w:rPr>
              <w:t>17,589,199.50</w:t>
            </w:r>
          </w:p>
        </w:tc>
        <w:tc>
          <w:tcPr>
            <w:tcW w:w="27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6"/>
              <w:ind w:right="1"/>
              <w:jc w:val="center"/>
              <w:rPr>
                <w:rFonts w:ascii="宋体" w:hAnsi="宋体" w:cs="宋体" w:eastAsia="宋体" w:hint="default"/>
                <w:sz w:val="18"/>
                <w:szCs w:val="18"/>
              </w:rPr>
            </w:pPr>
            <w:r>
              <w:rPr>
                <w:rFonts w:ascii="宋体"/>
                <w:sz w:val="18"/>
              </w:rPr>
              <w:t>35,017,134.61</w:t>
            </w:r>
          </w:p>
        </w:tc>
      </w:tr>
    </w:tbl>
    <w:p>
      <w:pPr>
        <w:spacing w:line="240" w:lineRule="auto" w:before="12"/>
        <w:rPr>
          <w:rFonts w:ascii="宋体" w:hAnsi="宋体" w:cs="宋体" w:eastAsia="宋体" w:hint="default"/>
          <w:sz w:val="23"/>
          <w:szCs w:val="23"/>
        </w:rPr>
      </w:pPr>
    </w:p>
    <w:p>
      <w:pPr>
        <w:pStyle w:val="BodyText"/>
        <w:spacing w:line="340" w:lineRule="auto"/>
        <w:ind w:left="257" w:right="2571"/>
        <w:jc w:val="left"/>
      </w:pPr>
      <w:r>
        <w:rPr>
          <w:rFonts w:ascii="Arial" w:hAnsi="Arial" w:cs="Arial" w:eastAsia="Arial" w:hint="default"/>
        </w:rPr>
        <w:t>6.3.2</w:t>
      </w:r>
      <w:r>
        <w:rPr>
          <w:rFonts w:ascii="Arial" w:hAnsi="Arial" w:cs="Arial" w:eastAsia="Arial" w:hint="default"/>
          <w:spacing w:val="41"/>
        </w:rPr>
        <w:t> </w:t>
      </w:r>
      <w:r>
        <w:rPr/>
        <w:t>期末公司已经背书给他方但尚未到期的金额前五名票据情况</w:t>
      </w:r>
      <w:r>
        <w:rPr>
          <w:w w:val="100"/>
        </w:rPr>
        <w:t> </w:t>
      </w:r>
      <w:r>
        <w:rPr/>
        <w:t>公司已经背书给其他方但尚未到期的金额前五名票据</w:t>
      </w:r>
    </w:p>
    <w:p>
      <w:pPr>
        <w:spacing w:line="240" w:lineRule="auto" w:before="5"/>
        <w:rPr>
          <w:rFonts w:ascii="宋体" w:hAnsi="宋体" w:cs="宋体" w:eastAsia="宋体" w:hint="default"/>
          <w:sz w:val="6"/>
          <w:szCs w:val="6"/>
        </w:rPr>
      </w:pPr>
    </w:p>
    <w:tbl>
      <w:tblPr>
        <w:tblW w:w="0" w:type="auto"/>
        <w:jc w:val="left"/>
        <w:tblInd w:w="343" w:type="dxa"/>
        <w:tblLayout w:type="fixed"/>
        <w:tblCellMar>
          <w:top w:w="0" w:type="dxa"/>
          <w:left w:w="0" w:type="dxa"/>
          <w:bottom w:w="0" w:type="dxa"/>
          <w:right w:w="0" w:type="dxa"/>
        </w:tblCellMar>
        <w:tblLook w:val="01E0"/>
      </w:tblPr>
      <w:tblGrid>
        <w:gridCol w:w="2729"/>
        <w:gridCol w:w="1399"/>
        <w:gridCol w:w="1339"/>
        <w:gridCol w:w="1476"/>
        <w:gridCol w:w="1495"/>
      </w:tblGrid>
      <w:tr>
        <w:trPr>
          <w:trHeight w:val="334" w:hRule="exact"/>
        </w:trPr>
        <w:tc>
          <w:tcPr>
            <w:tcW w:w="2729"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出票单位</w:t>
            </w:r>
          </w:p>
        </w:tc>
        <w:tc>
          <w:tcPr>
            <w:tcW w:w="1399"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出票日期</w:t>
            </w:r>
          </w:p>
        </w:tc>
        <w:tc>
          <w:tcPr>
            <w:tcW w:w="1339"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476"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95"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31" w:hRule="exact"/>
        </w:trPr>
        <w:tc>
          <w:tcPr>
            <w:tcW w:w="2729"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sz w:val="18"/>
                <w:szCs w:val="18"/>
              </w:rPr>
              <w:t>海宁路宝经编有限公司</w:t>
            </w:r>
          </w:p>
        </w:tc>
        <w:tc>
          <w:tcPr>
            <w:tcW w:w="1399"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2010.11.05</w:t>
            </w:r>
          </w:p>
        </w:tc>
        <w:tc>
          <w:tcPr>
            <w:tcW w:w="1339"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2011.05.05</w:t>
            </w:r>
          </w:p>
        </w:tc>
        <w:tc>
          <w:tcPr>
            <w:tcW w:w="1476"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1,685,000.00</w:t>
            </w:r>
          </w:p>
        </w:tc>
        <w:tc>
          <w:tcPr>
            <w:tcW w:w="1495"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支付采购货款</w:t>
            </w:r>
          </w:p>
        </w:tc>
      </w:tr>
    </w:tbl>
    <w:p>
      <w:pPr>
        <w:spacing w:after="0" w:line="208" w:lineRule="exact"/>
        <w:jc w:val="center"/>
        <w:rPr>
          <w:rFonts w:ascii="宋体" w:hAnsi="宋体" w:cs="宋体" w:eastAsia="宋体" w:hint="default"/>
          <w:sz w:val="18"/>
          <w:szCs w:val="18"/>
        </w:rPr>
        <w:sectPr>
          <w:footerReference w:type="default" r:id="rId65"/>
          <w:pgSz w:w="11900" w:h="16840"/>
          <w:pgMar w:footer="983" w:header="0" w:top="1100" w:bottom="1180" w:left="1540" w:right="1200"/>
          <w:pgNumType w:start="99"/>
        </w:sectPr>
      </w:pPr>
    </w:p>
    <w:p>
      <w:pPr>
        <w:spacing w:line="240" w:lineRule="auto" w:before="8"/>
        <w:rPr>
          <w:rFonts w:ascii="宋体" w:hAnsi="宋体" w:cs="宋体" w:eastAsia="宋体" w:hint="default"/>
          <w:sz w:val="24"/>
          <w:szCs w:val="24"/>
        </w:rPr>
      </w:pPr>
    </w:p>
    <w:tbl>
      <w:tblPr>
        <w:tblW w:w="0" w:type="auto"/>
        <w:jc w:val="left"/>
        <w:tblInd w:w="323" w:type="dxa"/>
        <w:tblLayout w:type="fixed"/>
        <w:tblCellMar>
          <w:top w:w="0" w:type="dxa"/>
          <w:left w:w="0" w:type="dxa"/>
          <w:bottom w:w="0" w:type="dxa"/>
          <w:right w:w="0" w:type="dxa"/>
        </w:tblCellMar>
        <w:tblLook w:val="01E0"/>
      </w:tblPr>
      <w:tblGrid>
        <w:gridCol w:w="2729"/>
        <w:gridCol w:w="1399"/>
        <w:gridCol w:w="1339"/>
        <w:gridCol w:w="1476"/>
        <w:gridCol w:w="1495"/>
      </w:tblGrid>
      <w:tr>
        <w:trPr>
          <w:trHeight w:val="334" w:hRule="exact"/>
        </w:trPr>
        <w:tc>
          <w:tcPr>
            <w:tcW w:w="2729"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sz w:val="18"/>
                <w:szCs w:val="18"/>
              </w:rPr>
              <w:t>福建合盛革业有限公司</w:t>
            </w:r>
          </w:p>
        </w:tc>
        <w:tc>
          <w:tcPr>
            <w:tcW w:w="1399"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2010.10.25</w:t>
            </w:r>
          </w:p>
        </w:tc>
        <w:tc>
          <w:tcPr>
            <w:tcW w:w="1339"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2011.04.25</w:t>
            </w:r>
          </w:p>
        </w:tc>
        <w:tc>
          <w:tcPr>
            <w:tcW w:w="1476"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1,100,000.00</w:t>
            </w:r>
          </w:p>
        </w:tc>
        <w:tc>
          <w:tcPr>
            <w:tcW w:w="1495"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支付采购货款</w:t>
            </w:r>
          </w:p>
        </w:tc>
      </w:tr>
      <w:tr>
        <w:trPr>
          <w:trHeight w:val="334" w:hRule="exact"/>
        </w:trPr>
        <w:tc>
          <w:tcPr>
            <w:tcW w:w="2729"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sz w:val="18"/>
                <w:szCs w:val="18"/>
              </w:rPr>
              <w:t>温州市豹子头制衣有限公司</w:t>
            </w:r>
          </w:p>
        </w:tc>
        <w:tc>
          <w:tcPr>
            <w:tcW w:w="1399"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2010.07.27</w:t>
            </w:r>
          </w:p>
        </w:tc>
        <w:tc>
          <w:tcPr>
            <w:tcW w:w="1339"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2011.01.22</w:t>
            </w:r>
          </w:p>
        </w:tc>
        <w:tc>
          <w:tcPr>
            <w:tcW w:w="1476"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1,000,000.00</w:t>
            </w:r>
          </w:p>
        </w:tc>
        <w:tc>
          <w:tcPr>
            <w:tcW w:w="1495"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支付采购货款</w:t>
            </w:r>
          </w:p>
        </w:tc>
      </w:tr>
      <w:tr>
        <w:trPr>
          <w:trHeight w:val="334" w:hRule="exact"/>
        </w:trPr>
        <w:tc>
          <w:tcPr>
            <w:tcW w:w="2729"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sz w:val="18"/>
                <w:szCs w:val="18"/>
              </w:rPr>
              <w:t>温岭市民安皮革有限公司</w:t>
            </w:r>
          </w:p>
        </w:tc>
        <w:tc>
          <w:tcPr>
            <w:tcW w:w="1399"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2010.08.20</w:t>
            </w:r>
          </w:p>
        </w:tc>
        <w:tc>
          <w:tcPr>
            <w:tcW w:w="1339"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2011.02.12</w:t>
            </w:r>
          </w:p>
        </w:tc>
        <w:tc>
          <w:tcPr>
            <w:tcW w:w="1476"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1,000,000.00</w:t>
            </w:r>
          </w:p>
        </w:tc>
        <w:tc>
          <w:tcPr>
            <w:tcW w:w="1495"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支付采购货款</w:t>
            </w:r>
          </w:p>
        </w:tc>
      </w:tr>
      <w:tr>
        <w:trPr>
          <w:trHeight w:val="334" w:hRule="exact"/>
        </w:trPr>
        <w:tc>
          <w:tcPr>
            <w:tcW w:w="2729"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sz w:val="18"/>
                <w:szCs w:val="18"/>
              </w:rPr>
              <w:t>温州市华康合成革有限公司</w:t>
            </w:r>
          </w:p>
        </w:tc>
        <w:tc>
          <w:tcPr>
            <w:tcW w:w="1399"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2010.09.28</w:t>
            </w:r>
          </w:p>
        </w:tc>
        <w:tc>
          <w:tcPr>
            <w:tcW w:w="1339"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2011.03.25</w:t>
            </w:r>
          </w:p>
        </w:tc>
        <w:tc>
          <w:tcPr>
            <w:tcW w:w="1476"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1,000,000.00</w:t>
            </w:r>
          </w:p>
        </w:tc>
        <w:tc>
          <w:tcPr>
            <w:tcW w:w="1495"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支付采购货款</w:t>
            </w:r>
          </w:p>
        </w:tc>
      </w:tr>
      <w:tr>
        <w:trPr>
          <w:trHeight w:val="331" w:hRule="exact"/>
        </w:trPr>
        <w:tc>
          <w:tcPr>
            <w:tcW w:w="2729"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99" w:type="dxa"/>
            <w:tcBorders>
              <w:top w:val="single" w:sz="12" w:space="0" w:color="000000"/>
              <w:left w:val="single" w:sz="12" w:space="0" w:color="000000"/>
              <w:bottom w:val="single" w:sz="12" w:space="0" w:color="000000"/>
              <w:right w:val="single" w:sz="12" w:space="0" w:color="000000"/>
            </w:tcBorders>
          </w:tcPr>
          <w:p>
            <w:pPr/>
          </w:p>
        </w:tc>
        <w:tc>
          <w:tcPr>
            <w:tcW w:w="1339" w:type="dxa"/>
            <w:tcBorders>
              <w:top w:val="single" w:sz="12" w:space="0" w:color="000000"/>
              <w:left w:val="single" w:sz="12" w:space="0" w:color="000000"/>
              <w:bottom w:val="single" w:sz="12" w:space="0" w:color="000000"/>
              <w:right w:val="single" w:sz="12" w:space="0" w:color="000000"/>
            </w:tcBorders>
          </w:tcPr>
          <w:p>
            <w:pPr/>
          </w:p>
        </w:tc>
        <w:tc>
          <w:tcPr>
            <w:tcW w:w="1476"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5,785,000.00</w:t>
            </w:r>
          </w:p>
        </w:tc>
        <w:tc>
          <w:tcPr>
            <w:tcW w:w="1495" w:type="dxa"/>
            <w:tcBorders>
              <w:top w:val="single" w:sz="12" w:space="0" w:color="000000"/>
              <w:left w:val="single" w:sz="12" w:space="0" w:color="000000"/>
              <w:bottom w:val="single" w:sz="12" w:space="0" w:color="000000"/>
              <w:right w:val="single" w:sz="12" w:space="0" w:color="000000"/>
            </w:tcBorders>
          </w:tcPr>
          <w:p>
            <w:pPr/>
          </w:p>
        </w:tc>
      </w:tr>
    </w:tbl>
    <w:p>
      <w:pPr>
        <w:spacing w:line="240" w:lineRule="auto" w:before="12"/>
        <w:rPr>
          <w:rFonts w:ascii="宋体" w:hAnsi="宋体" w:cs="宋体" w:eastAsia="宋体" w:hint="default"/>
          <w:sz w:val="23"/>
          <w:szCs w:val="23"/>
        </w:rPr>
      </w:pPr>
    </w:p>
    <w:p>
      <w:pPr>
        <w:pStyle w:val="BodyText"/>
        <w:spacing w:line="340" w:lineRule="auto"/>
        <w:ind w:left="237" w:right="0"/>
        <w:jc w:val="left"/>
      </w:pPr>
      <w:r>
        <w:rPr>
          <w:rFonts w:ascii="Arial" w:hAnsi="Arial" w:cs="Arial" w:eastAsia="Arial" w:hint="default"/>
        </w:rPr>
        <w:t>6.3.3</w:t>
      </w:r>
      <w:r>
        <w:rPr>
          <w:rFonts w:ascii="Arial" w:hAnsi="Arial" w:cs="Arial" w:eastAsia="Arial" w:hint="default"/>
          <w:spacing w:val="57"/>
        </w:rPr>
        <w:t> </w:t>
      </w:r>
      <w:r>
        <w:rPr/>
        <w:t>应收票据年末数比年初数减少</w:t>
      </w:r>
      <w:r>
        <w:rPr>
          <w:spacing w:val="-50"/>
        </w:rPr>
        <w:t> </w:t>
      </w:r>
      <w:r>
        <w:rPr>
          <w:rFonts w:ascii="Arial" w:hAnsi="Arial" w:cs="Arial" w:eastAsia="Arial" w:hint="default"/>
          <w:spacing w:val="-3"/>
        </w:rPr>
        <w:t>17,427,935.11</w:t>
      </w:r>
      <w:r>
        <w:rPr>
          <w:rFonts w:ascii="Arial" w:hAnsi="Arial" w:cs="Arial" w:eastAsia="Arial" w:hint="default"/>
          <w:spacing w:val="-2"/>
        </w:rPr>
        <w:t> </w:t>
      </w:r>
      <w:r>
        <w:rPr>
          <w:spacing w:val="-9"/>
        </w:rPr>
        <w:t>元，减少比例为</w:t>
      </w:r>
      <w:r>
        <w:rPr>
          <w:spacing w:val="-50"/>
        </w:rPr>
        <w:t> </w:t>
      </w:r>
      <w:r>
        <w:rPr>
          <w:rFonts w:ascii="Arial" w:hAnsi="Arial" w:cs="Arial" w:eastAsia="Arial" w:hint="default"/>
          <w:spacing w:val="-6"/>
        </w:rPr>
        <w:t>49.77%</w:t>
      </w:r>
      <w:r>
        <w:rPr>
          <w:spacing w:val="-6"/>
        </w:rPr>
        <w:t>，减少原因为：</w:t>
      </w:r>
      <w:r>
        <w:rPr>
          <w:spacing w:val="-108"/>
        </w:rPr>
        <w:t> </w:t>
      </w:r>
      <w:r>
        <w:rPr>
          <w:spacing w:val="-108"/>
        </w:rPr>
      </w:r>
      <w:r>
        <w:rPr/>
        <w:t>本公司年末采购业务中以票据背书结算的比列增加所致。</w:t>
      </w:r>
    </w:p>
    <w:p>
      <w:pPr>
        <w:pStyle w:val="BodyText"/>
        <w:spacing w:line="240" w:lineRule="auto" w:before="47"/>
        <w:ind w:left="237" w:right="0"/>
        <w:jc w:val="left"/>
      </w:pPr>
      <w:r>
        <w:rPr>
          <w:rFonts w:ascii="Arial" w:hAnsi="Arial" w:cs="Arial" w:eastAsia="Arial" w:hint="default"/>
        </w:rPr>
        <w:t>6.4</w:t>
      </w:r>
      <w:r>
        <w:rPr>
          <w:rFonts w:ascii="Arial" w:hAnsi="Arial" w:cs="Arial" w:eastAsia="Arial" w:hint="default"/>
          <w:spacing w:val="-7"/>
        </w:rPr>
        <w:t> </w:t>
      </w:r>
      <w:r>
        <w:rPr/>
        <w:t>应收利息</w:t>
      </w:r>
    </w:p>
    <w:p>
      <w:pPr>
        <w:spacing w:line="240" w:lineRule="auto" w:before="3"/>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2472"/>
        <w:gridCol w:w="1862"/>
        <w:gridCol w:w="1522"/>
        <w:gridCol w:w="1090"/>
        <w:gridCol w:w="1699"/>
      </w:tblGrid>
      <w:tr>
        <w:trPr>
          <w:trHeight w:val="334" w:hRule="exact"/>
        </w:trPr>
        <w:tc>
          <w:tcPr>
            <w:tcW w:w="2472"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2"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22"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本年增加</w:t>
            </w:r>
          </w:p>
        </w:tc>
        <w:tc>
          <w:tcPr>
            <w:tcW w:w="1090"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本年减少</w:t>
            </w:r>
          </w:p>
        </w:tc>
        <w:tc>
          <w:tcPr>
            <w:tcW w:w="1699"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34" w:hRule="exact"/>
        </w:trPr>
        <w:tc>
          <w:tcPr>
            <w:tcW w:w="2472"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账龄一年以内的应收利息</w:t>
            </w:r>
          </w:p>
        </w:tc>
        <w:tc>
          <w:tcPr>
            <w:tcW w:w="1862"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4"/>
              <w:jc w:val="center"/>
              <w:rPr>
                <w:rFonts w:ascii="宋体" w:hAnsi="宋体" w:cs="宋体" w:eastAsia="宋体" w:hint="default"/>
                <w:sz w:val="18"/>
                <w:szCs w:val="18"/>
              </w:rPr>
            </w:pPr>
            <w:r>
              <w:rPr>
                <w:rFonts w:ascii="宋体"/>
                <w:w w:val="99"/>
                <w:sz w:val="18"/>
              </w:rPr>
              <w:t>-</w:t>
            </w:r>
            <w:r>
              <w:rPr>
                <w:rFonts w:ascii="宋体"/>
                <w:sz w:val="18"/>
              </w:rPr>
            </w:r>
          </w:p>
        </w:tc>
        <w:tc>
          <w:tcPr>
            <w:tcW w:w="1522"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413,519.44</w:t>
            </w:r>
          </w:p>
        </w:tc>
        <w:tc>
          <w:tcPr>
            <w:tcW w:w="1090"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4"/>
              <w:jc w:val="center"/>
              <w:rPr>
                <w:rFonts w:ascii="宋体" w:hAnsi="宋体" w:cs="宋体" w:eastAsia="宋体" w:hint="default"/>
                <w:sz w:val="18"/>
                <w:szCs w:val="18"/>
              </w:rPr>
            </w:pPr>
            <w:r>
              <w:rPr>
                <w:rFonts w:ascii="宋体"/>
                <w:w w:val="99"/>
                <w:sz w:val="18"/>
              </w:rPr>
              <w:t>-</w:t>
            </w:r>
            <w:r>
              <w:rPr>
                <w:rFonts w:ascii="宋体"/>
                <w:sz w:val="18"/>
              </w:rPr>
            </w:r>
          </w:p>
        </w:tc>
        <w:tc>
          <w:tcPr>
            <w:tcW w:w="1699"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413,519.44</w:t>
            </w:r>
          </w:p>
        </w:tc>
      </w:tr>
      <w:tr>
        <w:trPr>
          <w:trHeight w:val="334" w:hRule="exact"/>
        </w:trPr>
        <w:tc>
          <w:tcPr>
            <w:tcW w:w="2472"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其中：1.定期存款利息</w:t>
            </w:r>
          </w:p>
        </w:tc>
        <w:tc>
          <w:tcPr>
            <w:tcW w:w="1862"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4"/>
              <w:jc w:val="center"/>
              <w:rPr>
                <w:rFonts w:ascii="宋体" w:hAnsi="宋体" w:cs="宋体" w:eastAsia="宋体" w:hint="default"/>
                <w:sz w:val="18"/>
                <w:szCs w:val="18"/>
              </w:rPr>
            </w:pPr>
            <w:r>
              <w:rPr>
                <w:rFonts w:ascii="宋体"/>
                <w:w w:val="99"/>
                <w:sz w:val="18"/>
              </w:rPr>
              <w:t>-</w:t>
            </w:r>
            <w:r>
              <w:rPr>
                <w:rFonts w:ascii="宋体"/>
                <w:sz w:val="18"/>
              </w:rPr>
            </w:r>
          </w:p>
        </w:tc>
        <w:tc>
          <w:tcPr>
            <w:tcW w:w="1522"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413,519.44</w:t>
            </w:r>
          </w:p>
        </w:tc>
        <w:tc>
          <w:tcPr>
            <w:tcW w:w="1090"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4"/>
              <w:jc w:val="center"/>
              <w:rPr>
                <w:rFonts w:ascii="宋体" w:hAnsi="宋体" w:cs="宋体" w:eastAsia="宋体" w:hint="default"/>
                <w:sz w:val="18"/>
                <w:szCs w:val="18"/>
              </w:rPr>
            </w:pPr>
            <w:r>
              <w:rPr>
                <w:rFonts w:ascii="宋体"/>
                <w:w w:val="99"/>
                <w:sz w:val="18"/>
              </w:rPr>
              <w:t>-</w:t>
            </w:r>
            <w:r>
              <w:rPr>
                <w:rFonts w:ascii="宋体"/>
                <w:sz w:val="18"/>
              </w:rPr>
            </w:r>
          </w:p>
        </w:tc>
        <w:tc>
          <w:tcPr>
            <w:tcW w:w="1699"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413,519.44</w:t>
            </w:r>
          </w:p>
        </w:tc>
      </w:tr>
    </w:tbl>
    <w:p>
      <w:pPr>
        <w:spacing w:line="240" w:lineRule="auto" w:before="12"/>
        <w:rPr>
          <w:rFonts w:ascii="宋体" w:hAnsi="宋体" w:cs="宋体" w:eastAsia="宋体" w:hint="default"/>
          <w:sz w:val="23"/>
          <w:szCs w:val="23"/>
        </w:rPr>
      </w:pPr>
    </w:p>
    <w:p>
      <w:pPr>
        <w:pStyle w:val="BodyText"/>
        <w:spacing w:line="338" w:lineRule="auto"/>
        <w:ind w:left="237" w:right="0" w:firstLine="439"/>
        <w:jc w:val="left"/>
      </w:pPr>
      <w:r>
        <w:rPr/>
        <w:t>应收利息年末数比年初数增加</w:t>
      </w:r>
      <w:r>
        <w:rPr>
          <w:spacing w:val="-47"/>
        </w:rPr>
        <w:t> </w:t>
      </w:r>
      <w:r>
        <w:rPr>
          <w:rFonts w:ascii="Arial" w:hAnsi="Arial" w:cs="Arial" w:eastAsia="Arial" w:hint="default"/>
        </w:rPr>
        <w:t>413,519.44</w:t>
      </w:r>
      <w:r>
        <w:rPr>
          <w:rFonts w:ascii="Arial" w:hAnsi="Arial" w:cs="Arial" w:eastAsia="Arial" w:hint="default"/>
          <w:spacing w:val="1"/>
        </w:rPr>
        <w:t> </w:t>
      </w:r>
      <w:r>
        <w:rPr>
          <w:spacing w:val="-6"/>
        </w:rPr>
        <w:t>元，增加原因为：本公司增加定期存款的应</w:t>
      </w:r>
      <w:r>
        <w:rPr>
          <w:w w:val="100"/>
        </w:rPr>
        <w:t> </w:t>
      </w:r>
      <w:r>
        <w:rPr/>
        <w:t>收利息所致。</w:t>
      </w:r>
    </w:p>
    <w:p>
      <w:pPr>
        <w:pStyle w:val="BodyText"/>
        <w:spacing w:line="240" w:lineRule="auto" w:before="49"/>
        <w:ind w:left="237" w:right="0"/>
        <w:jc w:val="left"/>
      </w:pPr>
      <w:r>
        <w:rPr>
          <w:rFonts w:ascii="Arial" w:hAnsi="Arial" w:cs="Arial" w:eastAsia="Arial" w:hint="default"/>
        </w:rPr>
        <w:t>6.5</w:t>
      </w:r>
      <w:r>
        <w:rPr>
          <w:rFonts w:ascii="Arial" w:hAnsi="Arial" w:cs="Arial" w:eastAsia="Arial" w:hint="default"/>
          <w:spacing w:val="-7"/>
        </w:rPr>
        <w:t> </w:t>
      </w:r>
      <w:r>
        <w:rPr/>
        <w:t>应收账款</w:t>
      </w:r>
    </w:p>
    <w:p>
      <w:pPr>
        <w:pStyle w:val="BodyText"/>
        <w:spacing w:line="240" w:lineRule="auto" w:before="126"/>
        <w:ind w:left="237" w:right="0"/>
        <w:jc w:val="left"/>
      </w:pPr>
      <w:r>
        <w:rPr>
          <w:rFonts w:ascii="Arial" w:hAnsi="Arial" w:cs="Arial" w:eastAsia="Arial" w:hint="default"/>
        </w:rPr>
        <w:t>6.5.1</w:t>
      </w:r>
      <w:r>
        <w:rPr>
          <w:rFonts w:ascii="Arial" w:hAnsi="Arial" w:cs="Arial" w:eastAsia="Arial" w:hint="default"/>
          <w:spacing w:val="-9"/>
        </w:rPr>
        <w:t> </w:t>
      </w:r>
      <w:r>
        <w:rPr/>
        <w:t>应收账款按种类分析如下：</w:t>
      </w:r>
    </w:p>
    <w:p>
      <w:pPr>
        <w:spacing w:line="240" w:lineRule="auto" w:before="3"/>
        <w:rPr>
          <w:rFonts w:ascii="宋体" w:hAnsi="宋体" w:cs="宋体" w:eastAsia="宋体" w:hint="default"/>
          <w:sz w:val="12"/>
          <w:szCs w:val="12"/>
        </w:rPr>
      </w:pPr>
    </w:p>
    <w:tbl>
      <w:tblPr>
        <w:tblW w:w="0" w:type="auto"/>
        <w:jc w:val="left"/>
        <w:tblInd w:w="247" w:type="dxa"/>
        <w:tblLayout w:type="fixed"/>
        <w:tblCellMar>
          <w:top w:w="0" w:type="dxa"/>
          <w:left w:w="0" w:type="dxa"/>
          <w:bottom w:w="0" w:type="dxa"/>
          <w:right w:w="0" w:type="dxa"/>
        </w:tblCellMar>
        <w:tblLook w:val="01E0"/>
      </w:tblPr>
      <w:tblGrid>
        <w:gridCol w:w="2914"/>
        <w:gridCol w:w="1718"/>
        <w:gridCol w:w="958"/>
        <w:gridCol w:w="1954"/>
        <w:gridCol w:w="1049"/>
      </w:tblGrid>
      <w:tr>
        <w:trPr>
          <w:trHeight w:val="406" w:hRule="exact"/>
        </w:trPr>
        <w:tc>
          <w:tcPr>
            <w:tcW w:w="2914" w:type="dxa"/>
            <w:vMerge w:val="restart"/>
            <w:tcBorders>
              <w:top w:val="single" w:sz="12" w:space="0" w:color="000000"/>
              <w:left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678" w:type="dxa"/>
            <w:gridSpan w:val="4"/>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1"/>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403" w:hRule="exact"/>
        </w:trPr>
        <w:tc>
          <w:tcPr>
            <w:tcW w:w="2914" w:type="dxa"/>
            <w:vMerge/>
            <w:tcBorders>
              <w:left w:val="single" w:sz="12" w:space="0" w:color="000000"/>
              <w:right w:val="single" w:sz="12" w:space="0" w:color="000000"/>
            </w:tcBorders>
          </w:tcPr>
          <w:p>
            <w:pPr/>
          </w:p>
        </w:tc>
        <w:tc>
          <w:tcPr>
            <w:tcW w:w="2676"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002"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6" w:hRule="exact"/>
        </w:trPr>
        <w:tc>
          <w:tcPr>
            <w:tcW w:w="2914" w:type="dxa"/>
            <w:vMerge/>
            <w:tcBorders>
              <w:left w:val="single" w:sz="12" w:space="0" w:color="000000"/>
              <w:bottom w:val="single" w:sz="12" w:space="0" w:color="000000"/>
              <w:right w:val="single" w:sz="12" w:space="0" w:color="000000"/>
            </w:tcBorders>
          </w:tcPr>
          <w:p>
            <w:pPr/>
          </w:p>
        </w:tc>
        <w:tc>
          <w:tcPr>
            <w:tcW w:w="17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1"/>
              <w:ind w:left="91" w:right="0"/>
              <w:jc w:val="center"/>
              <w:rPr>
                <w:rFonts w:ascii="宋体" w:hAnsi="宋体" w:cs="宋体" w:eastAsia="宋体" w:hint="default"/>
                <w:sz w:val="18"/>
                <w:szCs w:val="18"/>
              </w:rPr>
            </w:pPr>
            <w:r>
              <w:rPr>
                <w:rFonts w:ascii="宋体" w:hAnsi="宋体" w:cs="宋体" w:eastAsia="宋体" w:hint="default"/>
                <w:spacing w:val="-10"/>
                <w:sz w:val="18"/>
                <w:szCs w:val="18"/>
              </w:rPr>
              <w:t>比例（</w:t>
            </w:r>
            <w:r>
              <w:rPr>
                <w:rFonts w:ascii="Arial" w:hAnsi="Arial" w:cs="Arial" w:eastAsia="Arial" w:hint="default"/>
                <w:spacing w:val="-10"/>
                <w:sz w:val="18"/>
                <w:szCs w:val="18"/>
              </w:rPr>
              <w:t>%</w:t>
            </w:r>
            <w:r>
              <w:rPr>
                <w:rFonts w:ascii="宋体" w:hAnsi="宋体" w:cs="宋体" w:eastAsia="宋体" w:hint="default"/>
                <w:spacing w:val="-10"/>
                <w:sz w:val="18"/>
                <w:szCs w:val="18"/>
              </w:rPr>
              <w:t>）</w:t>
            </w:r>
          </w:p>
        </w:tc>
        <w:tc>
          <w:tcPr>
            <w:tcW w:w="19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0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1"/>
              <w:ind w:left="47"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r>
      <w:tr>
        <w:trPr>
          <w:trHeight w:val="778" w:hRule="exact"/>
        </w:trPr>
        <w:tc>
          <w:tcPr>
            <w:tcW w:w="2914" w:type="dxa"/>
            <w:tcBorders>
              <w:top w:val="single" w:sz="12" w:space="0" w:color="000000"/>
              <w:left w:val="single" w:sz="12" w:space="0" w:color="000000"/>
              <w:bottom w:val="single" w:sz="12" w:space="0" w:color="000000"/>
              <w:right w:val="single" w:sz="12" w:space="0" w:color="000000"/>
            </w:tcBorders>
          </w:tcPr>
          <w:p>
            <w:pPr>
              <w:pStyle w:val="TableParagraph"/>
              <w:spacing w:line="381" w:lineRule="auto" w:before="41"/>
              <w:ind w:left="902" w:right="180" w:hanging="72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w:t>
            </w:r>
            <w:r>
              <w:rPr>
                <w:rFonts w:ascii="宋体" w:hAnsi="宋体" w:cs="宋体" w:eastAsia="宋体" w:hint="default"/>
                <w:w w:val="99"/>
                <w:sz w:val="18"/>
                <w:szCs w:val="18"/>
              </w:rPr>
              <w:t> </w:t>
            </w:r>
            <w:r>
              <w:rPr>
                <w:rFonts w:ascii="宋体" w:hAnsi="宋体" w:cs="宋体" w:eastAsia="宋体" w:hint="default"/>
                <w:sz w:val="18"/>
                <w:szCs w:val="18"/>
              </w:rPr>
              <w:t>备的应收账款</w:t>
            </w:r>
          </w:p>
        </w:tc>
        <w:tc>
          <w:tcPr>
            <w:tcW w:w="17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Arial" w:hAnsi="Arial" w:cs="Arial" w:eastAsia="Arial" w:hint="default"/>
                <w:sz w:val="18"/>
                <w:szCs w:val="18"/>
              </w:rPr>
            </w:pPr>
            <w:r>
              <w:rPr>
                <w:rFonts w:ascii="Arial"/>
                <w:w w:val="99"/>
                <w:sz w:val="18"/>
              </w:rPr>
              <w:t>-</w:t>
            </w:r>
            <w:r>
              <w:rPr>
                <w:rFonts w:ascii="Arial"/>
                <w:sz w:val="18"/>
              </w:rPr>
            </w:r>
          </w:p>
        </w:tc>
        <w:tc>
          <w:tcPr>
            <w:tcW w:w="9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19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10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06" w:hRule="exact"/>
        </w:trPr>
        <w:tc>
          <w:tcPr>
            <w:tcW w:w="29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718" w:type="dxa"/>
            <w:tcBorders>
              <w:top w:val="single" w:sz="12" w:space="0" w:color="000000"/>
              <w:left w:val="single" w:sz="12" w:space="0" w:color="000000"/>
              <w:bottom w:val="single" w:sz="12" w:space="0" w:color="000000"/>
              <w:right w:val="single" w:sz="12" w:space="0" w:color="000000"/>
            </w:tcBorders>
          </w:tcPr>
          <w:p>
            <w:pPr/>
          </w:p>
        </w:tc>
        <w:tc>
          <w:tcPr>
            <w:tcW w:w="958" w:type="dxa"/>
            <w:tcBorders>
              <w:top w:val="single" w:sz="12" w:space="0" w:color="000000"/>
              <w:left w:val="single" w:sz="12" w:space="0" w:color="000000"/>
              <w:bottom w:val="single" w:sz="12" w:space="0" w:color="000000"/>
              <w:right w:val="single" w:sz="12" w:space="0" w:color="000000"/>
            </w:tcBorders>
          </w:tcPr>
          <w:p>
            <w:pPr/>
          </w:p>
        </w:tc>
        <w:tc>
          <w:tcPr>
            <w:tcW w:w="1954" w:type="dxa"/>
            <w:tcBorders>
              <w:top w:val="single" w:sz="12" w:space="0" w:color="000000"/>
              <w:left w:val="single" w:sz="12" w:space="0" w:color="000000"/>
              <w:bottom w:val="single" w:sz="12" w:space="0" w:color="000000"/>
              <w:right w:val="single" w:sz="12" w:space="0" w:color="000000"/>
            </w:tcBorders>
          </w:tcPr>
          <w:p>
            <w:pPr/>
          </w:p>
        </w:tc>
        <w:tc>
          <w:tcPr>
            <w:tcW w:w="1049" w:type="dxa"/>
            <w:tcBorders>
              <w:top w:val="single" w:sz="12" w:space="0" w:color="000000"/>
              <w:left w:val="single" w:sz="12" w:space="0" w:color="000000"/>
              <w:bottom w:val="single" w:sz="12" w:space="0" w:color="000000"/>
              <w:right w:val="single" w:sz="12" w:space="0" w:color="000000"/>
            </w:tcBorders>
          </w:tcPr>
          <w:p>
            <w:pPr/>
          </w:p>
        </w:tc>
      </w:tr>
      <w:tr>
        <w:trPr>
          <w:trHeight w:val="403" w:hRule="exact"/>
        </w:trPr>
        <w:tc>
          <w:tcPr>
            <w:tcW w:w="29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）按款项账龄的组合</w:t>
            </w:r>
          </w:p>
        </w:tc>
        <w:tc>
          <w:tcPr>
            <w:tcW w:w="17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3"/>
              <w:ind w:left="1" w:right="0"/>
              <w:jc w:val="center"/>
              <w:rPr>
                <w:rFonts w:ascii="Arial" w:hAnsi="Arial" w:cs="Arial" w:eastAsia="Arial" w:hint="default"/>
                <w:sz w:val="18"/>
                <w:szCs w:val="18"/>
              </w:rPr>
            </w:pPr>
            <w:r>
              <w:rPr>
                <w:rFonts w:ascii="Arial"/>
                <w:sz w:val="18"/>
              </w:rPr>
              <w:t>45,155,987.94</w:t>
            </w:r>
          </w:p>
        </w:tc>
        <w:tc>
          <w:tcPr>
            <w:tcW w:w="9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3"/>
              <w:ind w:right="0"/>
              <w:jc w:val="center"/>
              <w:rPr>
                <w:rFonts w:ascii="Arial" w:hAnsi="Arial" w:cs="Arial" w:eastAsia="Arial" w:hint="default"/>
                <w:sz w:val="18"/>
                <w:szCs w:val="18"/>
              </w:rPr>
            </w:pPr>
            <w:r>
              <w:rPr>
                <w:rFonts w:ascii="Arial"/>
                <w:sz w:val="18"/>
              </w:rPr>
              <w:t>98.67</w:t>
            </w:r>
          </w:p>
        </w:tc>
        <w:tc>
          <w:tcPr>
            <w:tcW w:w="19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3"/>
              <w:ind w:right="1"/>
              <w:jc w:val="center"/>
              <w:rPr>
                <w:rFonts w:ascii="Arial" w:hAnsi="Arial" w:cs="Arial" w:eastAsia="Arial" w:hint="default"/>
                <w:sz w:val="18"/>
                <w:szCs w:val="18"/>
              </w:rPr>
            </w:pPr>
            <w:r>
              <w:rPr>
                <w:rFonts w:ascii="Arial"/>
                <w:sz w:val="18"/>
              </w:rPr>
              <w:t>2,511,777.42</w:t>
            </w:r>
          </w:p>
        </w:tc>
        <w:tc>
          <w:tcPr>
            <w:tcW w:w="10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3"/>
              <w:ind w:right="0"/>
              <w:jc w:val="center"/>
              <w:rPr>
                <w:rFonts w:ascii="Arial" w:hAnsi="Arial" w:cs="Arial" w:eastAsia="Arial" w:hint="default"/>
                <w:sz w:val="18"/>
                <w:szCs w:val="18"/>
              </w:rPr>
            </w:pPr>
            <w:r>
              <w:rPr>
                <w:rFonts w:ascii="Arial"/>
                <w:sz w:val="18"/>
              </w:rPr>
              <w:t>5.56</w:t>
            </w:r>
          </w:p>
        </w:tc>
      </w:tr>
      <w:tr>
        <w:trPr>
          <w:trHeight w:val="406" w:hRule="exact"/>
        </w:trPr>
        <w:tc>
          <w:tcPr>
            <w:tcW w:w="29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2</w:t>
            </w:r>
            <w:r>
              <w:rPr>
                <w:rFonts w:ascii="宋体" w:hAnsi="宋体" w:cs="宋体" w:eastAsia="宋体" w:hint="default"/>
                <w:sz w:val="18"/>
                <w:szCs w:val="18"/>
              </w:rPr>
              <w:t>）按款项性质的组合</w:t>
            </w:r>
          </w:p>
        </w:tc>
        <w:tc>
          <w:tcPr>
            <w:tcW w:w="17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4"/>
              <w:ind w:left="2" w:right="0"/>
              <w:jc w:val="center"/>
              <w:rPr>
                <w:rFonts w:ascii="Arial" w:hAnsi="Arial" w:cs="Arial" w:eastAsia="Arial" w:hint="default"/>
                <w:sz w:val="18"/>
                <w:szCs w:val="18"/>
              </w:rPr>
            </w:pPr>
            <w:r>
              <w:rPr>
                <w:rFonts w:ascii="Arial"/>
                <w:w w:val="99"/>
                <w:sz w:val="18"/>
              </w:rPr>
              <w:t>-</w:t>
            </w:r>
            <w:r>
              <w:rPr>
                <w:rFonts w:ascii="Arial"/>
                <w:sz w:val="18"/>
              </w:rPr>
            </w:r>
          </w:p>
        </w:tc>
        <w:tc>
          <w:tcPr>
            <w:tcW w:w="9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4"/>
              <w:ind w:right="0"/>
              <w:jc w:val="center"/>
              <w:rPr>
                <w:rFonts w:ascii="Arial" w:hAnsi="Arial" w:cs="Arial" w:eastAsia="Arial" w:hint="default"/>
                <w:sz w:val="18"/>
                <w:szCs w:val="18"/>
              </w:rPr>
            </w:pPr>
            <w:r>
              <w:rPr>
                <w:rFonts w:ascii="Arial"/>
                <w:w w:val="99"/>
                <w:sz w:val="18"/>
              </w:rPr>
              <w:t>-</w:t>
            </w:r>
            <w:r>
              <w:rPr>
                <w:rFonts w:ascii="Arial"/>
                <w:sz w:val="18"/>
              </w:rPr>
            </w:r>
          </w:p>
        </w:tc>
        <w:tc>
          <w:tcPr>
            <w:tcW w:w="19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4"/>
              <w:ind w:right="0"/>
              <w:jc w:val="center"/>
              <w:rPr>
                <w:rFonts w:ascii="Arial" w:hAnsi="Arial" w:cs="Arial" w:eastAsia="Arial" w:hint="default"/>
                <w:sz w:val="18"/>
                <w:szCs w:val="18"/>
              </w:rPr>
            </w:pPr>
            <w:r>
              <w:rPr>
                <w:rFonts w:ascii="Arial"/>
                <w:w w:val="99"/>
                <w:sz w:val="18"/>
              </w:rPr>
              <w:t>-</w:t>
            </w:r>
            <w:r>
              <w:rPr>
                <w:rFonts w:ascii="Arial"/>
                <w:sz w:val="18"/>
              </w:rPr>
            </w:r>
          </w:p>
        </w:tc>
        <w:tc>
          <w:tcPr>
            <w:tcW w:w="10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4"/>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778" w:hRule="exact"/>
        </w:trPr>
        <w:tc>
          <w:tcPr>
            <w:tcW w:w="2914" w:type="dxa"/>
            <w:tcBorders>
              <w:top w:val="single" w:sz="12" w:space="0" w:color="000000"/>
              <w:left w:val="single" w:sz="12" w:space="0" w:color="000000"/>
              <w:bottom w:val="single" w:sz="12" w:space="0" w:color="000000"/>
              <w:right w:val="single" w:sz="12" w:space="0" w:color="000000"/>
            </w:tcBorders>
          </w:tcPr>
          <w:p>
            <w:pPr>
              <w:pStyle w:val="TableParagraph"/>
              <w:spacing w:line="381" w:lineRule="auto" w:before="41"/>
              <w:ind w:left="722" w:right="180" w:hanging="54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w:t>
            </w:r>
            <w:r>
              <w:rPr>
                <w:rFonts w:ascii="宋体" w:hAnsi="宋体" w:cs="宋体" w:eastAsia="宋体" w:hint="default"/>
                <w:w w:val="99"/>
                <w:sz w:val="18"/>
                <w:szCs w:val="18"/>
              </w:rPr>
              <w:t> </w:t>
            </w:r>
            <w:r>
              <w:rPr>
                <w:rFonts w:ascii="宋体" w:hAnsi="宋体" w:cs="宋体" w:eastAsia="宋体" w:hint="default"/>
                <w:sz w:val="18"/>
                <w:szCs w:val="18"/>
              </w:rPr>
              <w:t>账准备的应收账款</w:t>
            </w:r>
          </w:p>
        </w:tc>
        <w:tc>
          <w:tcPr>
            <w:tcW w:w="17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Arial" w:hAnsi="Arial" w:cs="Arial" w:eastAsia="Arial" w:hint="default"/>
                <w:sz w:val="18"/>
                <w:szCs w:val="18"/>
              </w:rPr>
            </w:pPr>
            <w:r>
              <w:rPr>
                <w:rFonts w:ascii="Arial"/>
                <w:sz w:val="18"/>
              </w:rPr>
              <w:t>606,554.51</w:t>
            </w:r>
          </w:p>
        </w:tc>
        <w:tc>
          <w:tcPr>
            <w:tcW w:w="9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Arial" w:hAnsi="Arial" w:cs="Arial" w:eastAsia="Arial" w:hint="default"/>
                <w:sz w:val="18"/>
                <w:szCs w:val="18"/>
              </w:rPr>
            </w:pPr>
            <w:r>
              <w:rPr>
                <w:rFonts w:ascii="Arial"/>
                <w:sz w:val="18"/>
              </w:rPr>
              <w:t>1.33</w:t>
            </w:r>
          </w:p>
        </w:tc>
        <w:tc>
          <w:tcPr>
            <w:tcW w:w="19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3"/>
              <w:jc w:val="center"/>
              <w:rPr>
                <w:rFonts w:ascii="Arial" w:hAnsi="Arial" w:cs="Arial" w:eastAsia="Arial" w:hint="default"/>
                <w:sz w:val="18"/>
                <w:szCs w:val="18"/>
              </w:rPr>
            </w:pPr>
            <w:r>
              <w:rPr>
                <w:rFonts w:ascii="Arial"/>
                <w:sz w:val="18"/>
              </w:rPr>
              <w:t>606,554.51</w:t>
            </w:r>
          </w:p>
        </w:tc>
        <w:tc>
          <w:tcPr>
            <w:tcW w:w="10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
              <w:jc w:val="center"/>
              <w:rPr>
                <w:rFonts w:ascii="Arial" w:hAnsi="Arial" w:cs="Arial" w:eastAsia="Arial" w:hint="default"/>
                <w:sz w:val="18"/>
                <w:szCs w:val="18"/>
              </w:rPr>
            </w:pPr>
            <w:r>
              <w:rPr>
                <w:rFonts w:ascii="Arial"/>
                <w:sz w:val="18"/>
              </w:rPr>
              <w:t>100.00</w:t>
            </w:r>
          </w:p>
        </w:tc>
      </w:tr>
      <w:tr>
        <w:trPr>
          <w:trHeight w:val="403" w:hRule="exact"/>
        </w:trPr>
        <w:tc>
          <w:tcPr>
            <w:tcW w:w="2914" w:type="dxa"/>
            <w:tcBorders>
              <w:top w:val="single" w:sz="12" w:space="0" w:color="000000"/>
              <w:left w:val="single" w:sz="12" w:space="0" w:color="000000"/>
              <w:bottom w:val="single" w:sz="12" w:space="0" w:color="000000"/>
              <w:right w:val="single" w:sz="12" w:space="0" w:color="000000"/>
            </w:tcBorders>
          </w:tcPr>
          <w:p>
            <w:pPr/>
          </w:p>
        </w:tc>
        <w:tc>
          <w:tcPr>
            <w:tcW w:w="17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3"/>
              <w:ind w:left="1" w:right="0"/>
              <w:jc w:val="center"/>
              <w:rPr>
                <w:rFonts w:ascii="Arial" w:hAnsi="Arial" w:cs="Arial" w:eastAsia="Arial" w:hint="default"/>
                <w:sz w:val="18"/>
                <w:szCs w:val="18"/>
              </w:rPr>
            </w:pPr>
            <w:r>
              <w:rPr>
                <w:rFonts w:ascii="Arial"/>
                <w:sz w:val="18"/>
              </w:rPr>
              <w:t>45,762,542.45</w:t>
            </w:r>
          </w:p>
        </w:tc>
        <w:tc>
          <w:tcPr>
            <w:tcW w:w="9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3"/>
              <w:ind w:right="1"/>
              <w:jc w:val="center"/>
              <w:rPr>
                <w:rFonts w:ascii="Arial" w:hAnsi="Arial" w:cs="Arial" w:eastAsia="Arial" w:hint="default"/>
                <w:sz w:val="18"/>
                <w:szCs w:val="18"/>
              </w:rPr>
            </w:pPr>
            <w:r>
              <w:rPr>
                <w:rFonts w:ascii="Arial"/>
                <w:sz w:val="18"/>
              </w:rPr>
              <w:t>100.00</w:t>
            </w:r>
          </w:p>
        </w:tc>
        <w:tc>
          <w:tcPr>
            <w:tcW w:w="19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3"/>
              <w:ind w:right="1"/>
              <w:jc w:val="center"/>
              <w:rPr>
                <w:rFonts w:ascii="Arial" w:hAnsi="Arial" w:cs="Arial" w:eastAsia="Arial" w:hint="default"/>
                <w:sz w:val="18"/>
                <w:szCs w:val="18"/>
              </w:rPr>
            </w:pPr>
            <w:r>
              <w:rPr>
                <w:rFonts w:ascii="Arial"/>
                <w:sz w:val="18"/>
              </w:rPr>
              <w:t>3,118,331.93</w:t>
            </w:r>
          </w:p>
        </w:tc>
        <w:tc>
          <w:tcPr>
            <w:tcW w:w="10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3"/>
              <w:ind w:right="0"/>
              <w:jc w:val="center"/>
              <w:rPr>
                <w:rFonts w:ascii="Arial" w:hAnsi="Arial" w:cs="Arial" w:eastAsia="Arial" w:hint="default"/>
                <w:sz w:val="18"/>
                <w:szCs w:val="18"/>
              </w:rPr>
            </w:pPr>
            <w:r>
              <w:rPr>
                <w:rFonts w:ascii="Arial"/>
                <w:sz w:val="18"/>
              </w:rPr>
              <w:t>6.81</w:t>
            </w:r>
          </w:p>
        </w:tc>
      </w:tr>
    </w:tbl>
    <w:p>
      <w:pPr>
        <w:spacing w:line="240" w:lineRule="auto" w:before="2"/>
        <w:rPr>
          <w:rFonts w:ascii="宋体" w:hAnsi="宋体" w:cs="宋体" w:eastAsia="宋体" w:hint="default"/>
          <w:sz w:val="29"/>
          <w:szCs w:val="29"/>
        </w:rPr>
      </w:pPr>
    </w:p>
    <w:tbl>
      <w:tblPr>
        <w:tblW w:w="0" w:type="auto"/>
        <w:jc w:val="left"/>
        <w:tblInd w:w="247" w:type="dxa"/>
        <w:tblLayout w:type="fixed"/>
        <w:tblCellMar>
          <w:top w:w="0" w:type="dxa"/>
          <w:left w:w="0" w:type="dxa"/>
          <w:bottom w:w="0" w:type="dxa"/>
          <w:right w:w="0" w:type="dxa"/>
        </w:tblCellMar>
        <w:tblLook w:val="01E0"/>
      </w:tblPr>
      <w:tblGrid>
        <w:gridCol w:w="2911"/>
        <w:gridCol w:w="1721"/>
        <w:gridCol w:w="1058"/>
        <w:gridCol w:w="1850"/>
        <w:gridCol w:w="1051"/>
      </w:tblGrid>
      <w:tr>
        <w:trPr>
          <w:trHeight w:val="406" w:hRule="exact"/>
        </w:trPr>
        <w:tc>
          <w:tcPr>
            <w:tcW w:w="2911" w:type="dxa"/>
            <w:vMerge w:val="restart"/>
            <w:tcBorders>
              <w:top w:val="single" w:sz="12" w:space="0" w:color="000000"/>
              <w:left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681" w:type="dxa"/>
            <w:gridSpan w:val="4"/>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1"/>
              <w:ind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403" w:hRule="exact"/>
        </w:trPr>
        <w:tc>
          <w:tcPr>
            <w:tcW w:w="2911" w:type="dxa"/>
            <w:vMerge/>
            <w:tcBorders>
              <w:left w:val="single" w:sz="12" w:space="0" w:color="000000"/>
              <w:right w:val="single" w:sz="12" w:space="0" w:color="000000"/>
            </w:tcBorders>
          </w:tcPr>
          <w:p>
            <w:pPr/>
          </w:p>
        </w:tc>
        <w:tc>
          <w:tcPr>
            <w:tcW w:w="2779"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902"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6" w:hRule="exact"/>
        </w:trPr>
        <w:tc>
          <w:tcPr>
            <w:tcW w:w="2911" w:type="dxa"/>
            <w:vMerge/>
            <w:tcBorders>
              <w:left w:val="single" w:sz="12" w:space="0" w:color="000000"/>
              <w:bottom w:val="single" w:sz="12" w:space="0" w:color="000000"/>
              <w:right w:val="single" w:sz="12" w:space="0" w:color="000000"/>
            </w:tcBorders>
          </w:tcPr>
          <w:p>
            <w:pPr/>
          </w:p>
        </w:tc>
        <w:tc>
          <w:tcPr>
            <w:tcW w:w="17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1"/>
              <w:ind w:left="38"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c>
          <w:tcPr>
            <w:tcW w:w="18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1"/>
              <w:ind w:left="45"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r>
      <w:tr>
        <w:trPr>
          <w:trHeight w:val="778" w:hRule="exact"/>
        </w:trPr>
        <w:tc>
          <w:tcPr>
            <w:tcW w:w="2911" w:type="dxa"/>
            <w:tcBorders>
              <w:top w:val="single" w:sz="12" w:space="0" w:color="000000"/>
              <w:left w:val="single" w:sz="12" w:space="0" w:color="000000"/>
              <w:bottom w:val="single" w:sz="12" w:space="0" w:color="000000"/>
              <w:right w:val="single" w:sz="12" w:space="0" w:color="000000"/>
            </w:tcBorders>
          </w:tcPr>
          <w:p>
            <w:pPr>
              <w:pStyle w:val="TableParagraph"/>
              <w:spacing w:line="381" w:lineRule="auto" w:before="41"/>
              <w:ind w:left="899" w:right="180" w:hanging="72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w:t>
            </w:r>
            <w:r>
              <w:rPr>
                <w:rFonts w:ascii="宋体" w:hAnsi="宋体" w:cs="宋体" w:eastAsia="宋体" w:hint="default"/>
                <w:w w:val="99"/>
                <w:sz w:val="18"/>
                <w:szCs w:val="18"/>
              </w:rPr>
              <w:t> </w:t>
            </w:r>
            <w:r>
              <w:rPr>
                <w:rFonts w:ascii="宋体" w:hAnsi="宋体" w:cs="宋体" w:eastAsia="宋体" w:hint="default"/>
                <w:sz w:val="18"/>
                <w:szCs w:val="18"/>
              </w:rPr>
              <w:t>备的应收账款</w:t>
            </w:r>
          </w:p>
        </w:tc>
        <w:tc>
          <w:tcPr>
            <w:tcW w:w="17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1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18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
              <w:jc w:val="center"/>
              <w:rPr>
                <w:rFonts w:ascii="Arial" w:hAnsi="Arial" w:cs="Arial" w:eastAsia="Arial" w:hint="default"/>
                <w:sz w:val="18"/>
                <w:szCs w:val="18"/>
              </w:rPr>
            </w:pPr>
            <w:r>
              <w:rPr>
                <w:rFonts w:ascii="Arial"/>
                <w:w w:val="99"/>
                <w:sz w:val="18"/>
              </w:rPr>
              <w:t>-</w:t>
            </w:r>
            <w:r>
              <w:rPr>
                <w:rFonts w:ascii="Arial"/>
                <w:sz w:val="18"/>
              </w:rPr>
            </w:r>
          </w:p>
        </w:tc>
        <w:tc>
          <w:tcPr>
            <w:tcW w:w="10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03" w:hRule="exact"/>
        </w:trPr>
        <w:tc>
          <w:tcPr>
            <w:tcW w:w="29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1"/>
              <w:ind w:left="93"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721" w:type="dxa"/>
            <w:tcBorders>
              <w:top w:val="single" w:sz="12" w:space="0" w:color="000000"/>
              <w:left w:val="single" w:sz="12" w:space="0" w:color="000000"/>
              <w:bottom w:val="single" w:sz="12" w:space="0" w:color="000000"/>
              <w:right w:val="single" w:sz="12" w:space="0" w:color="000000"/>
            </w:tcBorders>
          </w:tcPr>
          <w:p>
            <w:pPr/>
          </w:p>
        </w:tc>
        <w:tc>
          <w:tcPr>
            <w:tcW w:w="1058" w:type="dxa"/>
            <w:tcBorders>
              <w:top w:val="single" w:sz="12" w:space="0" w:color="000000"/>
              <w:left w:val="single" w:sz="12" w:space="0" w:color="000000"/>
              <w:bottom w:val="single" w:sz="12" w:space="0" w:color="000000"/>
              <w:right w:val="single" w:sz="12" w:space="0" w:color="000000"/>
            </w:tcBorders>
          </w:tcPr>
          <w:p>
            <w:pPr/>
          </w:p>
        </w:tc>
        <w:tc>
          <w:tcPr>
            <w:tcW w:w="1850" w:type="dxa"/>
            <w:tcBorders>
              <w:top w:val="single" w:sz="12" w:space="0" w:color="000000"/>
              <w:left w:val="single" w:sz="12" w:space="0" w:color="000000"/>
              <w:bottom w:val="single" w:sz="12" w:space="0" w:color="000000"/>
              <w:right w:val="single" w:sz="12" w:space="0" w:color="000000"/>
            </w:tcBorders>
          </w:tcPr>
          <w:p>
            <w:pPr/>
          </w:p>
        </w:tc>
        <w:tc>
          <w:tcPr>
            <w:tcW w:w="1051" w:type="dxa"/>
            <w:tcBorders>
              <w:top w:val="single" w:sz="12" w:space="0" w:color="000000"/>
              <w:left w:val="single" w:sz="12" w:space="0" w:color="000000"/>
              <w:bottom w:val="single" w:sz="12" w:space="0" w:color="000000"/>
              <w:right w:val="single" w:sz="12" w:space="0" w:color="000000"/>
            </w:tcBorders>
          </w:tcPr>
          <w:p>
            <w:pPr/>
          </w:p>
        </w:tc>
      </w:tr>
    </w:tbl>
    <w:p>
      <w:pPr>
        <w:spacing w:after="0"/>
        <w:sectPr>
          <w:footerReference w:type="default" r:id="rId66"/>
          <w:pgSz w:w="11900" w:h="16840"/>
          <w:pgMar w:footer="983" w:header="0" w:top="1100" w:bottom="1180" w:left="1560" w:right="1260"/>
          <w:pgNumType w:start="100"/>
        </w:sectPr>
      </w:pPr>
    </w:p>
    <w:p>
      <w:pPr>
        <w:spacing w:line="240" w:lineRule="auto" w:before="8"/>
        <w:rPr>
          <w:rFonts w:ascii="宋体" w:hAnsi="宋体" w:cs="宋体" w:eastAsia="宋体" w:hint="default"/>
          <w:sz w:val="24"/>
          <w:szCs w:val="24"/>
        </w:rPr>
      </w:pPr>
    </w:p>
    <w:tbl>
      <w:tblPr>
        <w:tblW w:w="0" w:type="auto"/>
        <w:jc w:val="left"/>
        <w:tblInd w:w="147" w:type="dxa"/>
        <w:tblLayout w:type="fixed"/>
        <w:tblCellMar>
          <w:top w:w="0" w:type="dxa"/>
          <w:left w:w="0" w:type="dxa"/>
          <w:bottom w:w="0" w:type="dxa"/>
          <w:right w:w="0" w:type="dxa"/>
        </w:tblCellMar>
        <w:tblLook w:val="01E0"/>
      </w:tblPr>
      <w:tblGrid>
        <w:gridCol w:w="2911"/>
        <w:gridCol w:w="1721"/>
        <w:gridCol w:w="1058"/>
        <w:gridCol w:w="1850"/>
        <w:gridCol w:w="1051"/>
      </w:tblGrid>
      <w:tr>
        <w:trPr>
          <w:trHeight w:val="403" w:hRule="exact"/>
        </w:trPr>
        <w:tc>
          <w:tcPr>
            <w:tcW w:w="29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）按款项账龄的组合</w:t>
            </w:r>
          </w:p>
        </w:tc>
        <w:tc>
          <w:tcPr>
            <w:tcW w:w="17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3"/>
              <w:ind w:right="0"/>
              <w:jc w:val="center"/>
              <w:rPr>
                <w:rFonts w:ascii="Arial" w:hAnsi="Arial" w:cs="Arial" w:eastAsia="Arial" w:hint="default"/>
                <w:sz w:val="18"/>
                <w:szCs w:val="18"/>
              </w:rPr>
            </w:pPr>
            <w:r>
              <w:rPr>
                <w:rFonts w:ascii="Arial"/>
                <w:sz w:val="18"/>
              </w:rPr>
              <w:t>44,376,846.92</w:t>
            </w:r>
          </w:p>
        </w:tc>
        <w:tc>
          <w:tcPr>
            <w:tcW w:w="1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3"/>
              <w:ind w:right="0"/>
              <w:jc w:val="center"/>
              <w:rPr>
                <w:rFonts w:ascii="Arial" w:hAnsi="Arial" w:cs="Arial" w:eastAsia="Arial" w:hint="default"/>
                <w:sz w:val="18"/>
                <w:szCs w:val="18"/>
              </w:rPr>
            </w:pPr>
            <w:r>
              <w:rPr>
                <w:rFonts w:ascii="Arial"/>
                <w:sz w:val="18"/>
              </w:rPr>
              <w:t>99.00</w:t>
            </w:r>
          </w:p>
        </w:tc>
        <w:tc>
          <w:tcPr>
            <w:tcW w:w="18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3"/>
              <w:ind w:right="3"/>
              <w:jc w:val="center"/>
              <w:rPr>
                <w:rFonts w:ascii="Arial" w:hAnsi="Arial" w:cs="Arial" w:eastAsia="Arial" w:hint="default"/>
                <w:sz w:val="18"/>
                <w:szCs w:val="18"/>
              </w:rPr>
            </w:pPr>
            <w:r>
              <w:rPr>
                <w:rFonts w:ascii="Arial"/>
                <w:sz w:val="18"/>
              </w:rPr>
              <w:t>2,220,983.38</w:t>
            </w:r>
          </w:p>
        </w:tc>
        <w:tc>
          <w:tcPr>
            <w:tcW w:w="10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3"/>
              <w:ind w:right="1"/>
              <w:jc w:val="center"/>
              <w:rPr>
                <w:rFonts w:ascii="Arial" w:hAnsi="Arial" w:cs="Arial" w:eastAsia="Arial" w:hint="default"/>
                <w:sz w:val="18"/>
                <w:szCs w:val="18"/>
              </w:rPr>
            </w:pPr>
            <w:r>
              <w:rPr>
                <w:rFonts w:ascii="Arial"/>
                <w:sz w:val="18"/>
              </w:rPr>
              <w:t>5.00</w:t>
            </w:r>
          </w:p>
        </w:tc>
      </w:tr>
      <w:tr>
        <w:trPr>
          <w:trHeight w:val="406" w:hRule="exact"/>
        </w:trPr>
        <w:tc>
          <w:tcPr>
            <w:tcW w:w="29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2</w:t>
            </w:r>
            <w:r>
              <w:rPr>
                <w:rFonts w:ascii="宋体" w:hAnsi="宋体" w:cs="宋体" w:eastAsia="宋体" w:hint="default"/>
                <w:sz w:val="18"/>
                <w:szCs w:val="18"/>
              </w:rPr>
              <w:t>）按款项性质的组合</w:t>
            </w:r>
          </w:p>
        </w:tc>
        <w:tc>
          <w:tcPr>
            <w:tcW w:w="17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3"/>
              <w:ind w:right="0"/>
              <w:jc w:val="center"/>
              <w:rPr>
                <w:rFonts w:ascii="Arial" w:hAnsi="Arial" w:cs="Arial" w:eastAsia="Arial" w:hint="default"/>
                <w:sz w:val="18"/>
                <w:szCs w:val="18"/>
              </w:rPr>
            </w:pPr>
            <w:r>
              <w:rPr>
                <w:rFonts w:ascii="Arial"/>
                <w:w w:val="99"/>
                <w:sz w:val="18"/>
              </w:rPr>
              <w:t>-</w:t>
            </w:r>
            <w:r>
              <w:rPr>
                <w:rFonts w:ascii="Arial"/>
                <w:sz w:val="18"/>
              </w:rPr>
            </w:r>
          </w:p>
        </w:tc>
        <w:tc>
          <w:tcPr>
            <w:tcW w:w="1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3"/>
              <w:ind w:right="0"/>
              <w:jc w:val="center"/>
              <w:rPr>
                <w:rFonts w:ascii="Arial" w:hAnsi="Arial" w:cs="Arial" w:eastAsia="Arial" w:hint="default"/>
                <w:sz w:val="18"/>
                <w:szCs w:val="18"/>
              </w:rPr>
            </w:pPr>
            <w:r>
              <w:rPr>
                <w:rFonts w:ascii="Arial"/>
                <w:w w:val="99"/>
                <w:sz w:val="18"/>
              </w:rPr>
              <w:t>-</w:t>
            </w:r>
            <w:r>
              <w:rPr>
                <w:rFonts w:ascii="Arial"/>
                <w:sz w:val="18"/>
              </w:rPr>
            </w:r>
          </w:p>
        </w:tc>
        <w:tc>
          <w:tcPr>
            <w:tcW w:w="18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3"/>
              <w:ind w:right="2"/>
              <w:jc w:val="center"/>
              <w:rPr>
                <w:rFonts w:ascii="Arial" w:hAnsi="Arial" w:cs="Arial" w:eastAsia="Arial" w:hint="default"/>
                <w:sz w:val="18"/>
                <w:szCs w:val="18"/>
              </w:rPr>
            </w:pPr>
            <w:r>
              <w:rPr>
                <w:rFonts w:ascii="Arial"/>
                <w:w w:val="99"/>
                <w:sz w:val="18"/>
              </w:rPr>
              <w:t>-</w:t>
            </w:r>
            <w:r>
              <w:rPr>
                <w:rFonts w:ascii="Arial"/>
                <w:sz w:val="18"/>
              </w:rPr>
            </w:r>
          </w:p>
        </w:tc>
        <w:tc>
          <w:tcPr>
            <w:tcW w:w="10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3"/>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778" w:hRule="exact"/>
        </w:trPr>
        <w:tc>
          <w:tcPr>
            <w:tcW w:w="2911" w:type="dxa"/>
            <w:tcBorders>
              <w:top w:val="single" w:sz="12" w:space="0" w:color="000000"/>
              <w:left w:val="single" w:sz="12" w:space="0" w:color="000000"/>
              <w:bottom w:val="single" w:sz="12" w:space="0" w:color="000000"/>
              <w:right w:val="single" w:sz="12" w:space="0" w:color="000000"/>
            </w:tcBorders>
          </w:tcPr>
          <w:p>
            <w:pPr>
              <w:pStyle w:val="TableParagraph"/>
              <w:spacing w:line="381" w:lineRule="auto" w:before="41"/>
              <w:ind w:left="719" w:right="180" w:hanging="54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w:t>
            </w:r>
            <w:r>
              <w:rPr>
                <w:rFonts w:ascii="宋体" w:hAnsi="宋体" w:cs="宋体" w:eastAsia="宋体" w:hint="default"/>
                <w:w w:val="99"/>
                <w:sz w:val="18"/>
                <w:szCs w:val="18"/>
              </w:rPr>
              <w:t> </w:t>
            </w:r>
            <w:r>
              <w:rPr>
                <w:rFonts w:ascii="宋体" w:hAnsi="宋体" w:cs="宋体" w:eastAsia="宋体" w:hint="default"/>
                <w:sz w:val="18"/>
                <w:szCs w:val="18"/>
              </w:rPr>
              <w:t>账准备的应收账款</w:t>
            </w:r>
          </w:p>
        </w:tc>
        <w:tc>
          <w:tcPr>
            <w:tcW w:w="17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
              <w:jc w:val="center"/>
              <w:rPr>
                <w:rFonts w:ascii="Arial" w:hAnsi="Arial" w:cs="Arial" w:eastAsia="Arial" w:hint="default"/>
                <w:sz w:val="18"/>
                <w:szCs w:val="18"/>
              </w:rPr>
            </w:pPr>
            <w:r>
              <w:rPr>
                <w:rFonts w:ascii="Arial"/>
                <w:sz w:val="18"/>
              </w:rPr>
              <w:t>447,781.51</w:t>
            </w:r>
          </w:p>
        </w:tc>
        <w:tc>
          <w:tcPr>
            <w:tcW w:w="1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Arial" w:hAnsi="Arial" w:cs="Arial" w:eastAsia="Arial" w:hint="default"/>
                <w:sz w:val="18"/>
                <w:szCs w:val="18"/>
              </w:rPr>
            </w:pPr>
            <w:r>
              <w:rPr>
                <w:rFonts w:ascii="Arial"/>
                <w:sz w:val="18"/>
              </w:rPr>
              <w:t>1.00</w:t>
            </w:r>
          </w:p>
        </w:tc>
        <w:tc>
          <w:tcPr>
            <w:tcW w:w="18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
              <w:jc w:val="center"/>
              <w:rPr>
                <w:rFonts w:ascii="Arial" w:hAnsi="Arial" w:cs="Arial" w:eastAsia="Arial" w:hint="default"/>
                <w:sz w:val="18"/>
                <w:szCs w:val="18"/>
              </w:rPr>
            </w:pPr>
            <w:r>
              <w:rPr>
                <w:rFonts w:ascii="Arial"/>
                <w:sz w:val="18"/>
              </w:rPr>
              <w:t>447,781.51</w:t>
            </w:r>
          </w:p>
        </w:tc>
        <w:tc>
          <w:tcPr>
            <w:tcW w:w="10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Arial" w:hAnsi="Arial" w:cs="Arial" w:eastAsia="Arial" w:hint="default"/>
                <w:sz w:val="18"/>
                <w:szCs w:val="18"/>
              </w:rPr>
            </w:pPr>
            <w:r>
              <w:rPr>
                <w:rFonts w:ascii="Arial"/>
                <w:sz w:val="18"/>
              </w:rPr>
              <w:t>100.00</w:t>
            </w:r>
          </w:p>
        </w:tc>
      </w:tr>
      <w:tr>
        <w:trPr>
          <w:trHeight w:val="403" w:hRule="exact"/>
        </w:trPr>
        <w:tc>
          <w:tcPr>
            <w:tcW w:w="2911" w:type="dxa"/>
            <w:tcBorders>
              <w:top w:val="single" w:sz="12" w:space="0" w:color="000000"/>
              <w:left w:val="single" w:sz="12" w:space="0" w:color="000000"/>
              <w:bottom w:val="single" w:sz="12" w:space="0" w:color="000000"/>
              <w:right w:val="single" w:sz="12" w:space="0" w:color="000000"/>
            </w:tcBorders>
          </w:tcPr>
          <w:p>
            <w:pPr/>
          </w:p>
        </w:tc>
        <w:tc>
          <w:tcPr>
            <w:tcW w:w="17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3"/>
              <w:ind w:right="0"/>
              <w:jc w:val="center"/>
              <w:rPr>
                <w:rFonts w:ascii="Arial" w:hAnsi="Arial" w:cs="Arial" w:eastAsia="Arial" w:hint="default"/>
                <w:sz w:val="18"/>
                <w:szCs w:val="18"/>
              </w:rPr>
            </w:pPr>
            <w:r>
              <w:rPr>
                <w:rFonts w:ascii="Arial"/>
                <w:sz w:val="18"/>
              </w:rPr>
              <w:t>44,824,628.43</w:t>
            </w:r>
          </w:p>
        </w:tc>
        <w:tc>
          <w:tcPr>
            <w:tcW w:w="1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3"/>
              <w:ind w:right="1"/>
              <w:jc w:val="center"/>
              <w:rPr>
                <w:rFonts w:ascii="Arial" w:hAnsi="Arial" w:cs="Arial" w:eastAsia="Arial" w:hint="default"/>
                <w:sz w:val="18"/>
                <w:szCs w:val="18"/>
              </w:rPr>
            </w:pPr>
            <w:r>
              <w:rPr>
                <w:rFonts w:ascii="Arial"/>
                <w:sz w:val="18"/>
              </w:rPr>
              <w:t>100.00</w:t>
            </w:r>
          </w:p>
        </w:tc>
        <w:tc>
          <w:tcPr>
            <w:tcW w:w="18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3"/>
              <w:ind w:right="3"/>
              <w:jc w:val="center"/>
              <w:rPr>
                <w:rFonts w:ascii="Arial" w:hAnsi="Arial" w:cs="Arial" w:eastAsia="Arial" w:hint="default"/>
                <w:sz w:val="18"/>
                <w:szCs w:val="18"/>
              </w:rPr>
            </w:pPr>
            <w:r>
              <w:rPr>
                <w:rFonts w:ascii="Arial"/>
                <w:sz w:val="18"/>
              </w:rPr>
              <w:t>2,668,764.89</w:t>
            </w:r>
          </w:p>
        </w:tc>
        <w:tc>
          <w:tcPr>
            <w:tcW w:w="10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3"/>
              <w:ind w:right="1"/>
              <w:jc w:val="center"/>
              <w:rPr>
                <w:rFonts w:ascii="Arial" w:hAnsi="Arial" w:cs="Arial" w:eastAsia="Arial" w:hint="default"/>
                <w:sz w:val="18"/>
                <w:szCs w:val="18"/>
              </w:rPr>
            </w:pPr>
            <w:r>
              <w:rPr>
                <w:rFonts w:ascii="Arial"/>
                <w:sz w:val="18"/>
              </w:rPr>
              <w:t>5.95</w:t>
            </w:r>
          </w:p>
        </w:tc>
      </w:tr>
    </w:tbl>
    <w:p>
      <w:pPr>
        <w:spacing w:line="240" w:lineRule="auto" w:before="1"/>
        <w:rPr>
          <w:rFonts w:ascii="宋体" w:hAnsi="宋体" w:cs="宋体" w:eastAsia="宋体" w:hint="default"/>
          <w:sz w:val="24"/>
          <w:szCs w:val="24"/>
        </w:rPr>
      </w:pPr>
    </w:p>
    <w:p>
      <w:pPr>
        <w:pStyle w:val="BodyText"/>
        <w:spacing w:line="240" w:lineRule="auto"/>
        <w:ind w:left="576" w:right="0"/>
        <w:jc w:val="left"/>
      </w:pPr>
      <w:r>
        <w:rPr/>
        <w:t>应收账款种类的说明：</w:t>
      </w:r>
    </w:p>
    <w:p>
      <w:pPr>
        <w:pStyle w:val="BodyText"/>
        <w:spacing w:line="240" w:lineRule="auto" w:before="139"/>
        <w:ind w:left="576" w:right="0"/>
        <w:jc w:val="left"/>
      </w:pPr>
      <w:r>
        <w:rPr/>
        <w:t>（</w:t>
      </w:r>
      <w:r>
        <w:rPr>
          <w:rFonts w:ascii="Arial" w:hAnsi="Arial" w:cs="Arial" w:eastAsia="Arial" w:hint="default"/>
        </w:rPr>
        <w:t>1</w:t>
      </w:r>
      <w:r>
        <w:rPr/>
        <w:t>）单项金额重大并单项计提坏账准备的应收账款确定依据为余额单项金额</w:t>
      </w:r>
      <w:r>
        <w:rPr>
          <w:spacing w:val="-65"/>
        </w:rPr>
        <w:t> </w:t>
      </w:r>
      <w:r>
        <w:rPr>
          <w:rFonts w:ascii="Arial" w:hAnsi="Arial" w:cs="Arial" w:eastAsia="Arial" w:hint="default"/>
        </w:rPr>
        <w:t>70</w:t>
      </w:r>
      <w:r>
        <w:rPr>
          <w:rFonts w:ascii="Arial" w:hAnsi="Arial" w:cs="Arial" w:eastAsia="Arial" w:hint="default"/>
          <w:spacing w:val="-17"/>
        </w:rPr>
        <w:t> </w:t>
      </w:r>
      <w:r>
        <w:rPr/>
        <w:t>万元</w:t>
      </w:r>
    </w:p>
    <w:p>
      <w:pPr>
        <w:pStyle w:val="BodyText"/>
        <w:spacing w:line="240" w:lineRule="auto" w:before="123"/>
        <w:ind w:right="0"/>
        <w:jc w:val="both"/>
        <w:rPr>
          <w:rFonts w:ascii="Arial" w:hAnsi="Arial" w:cs="Arial" w:eastAsia="Arial" w:hint="default"/>
        </w:rPr>
      </w:pPr>
      <w:r>
        <w:rPr>
          <w:rFonts w:ascii="Arial" w:hAnsi="Arial" w:cs="Arial" w:eastAsia="Arial" w:hint="default"/>
        </w:rPr>
        <w:t>(</w:t>
      </w:r>
      <w:r>
        <w:rPr/>
        <w:t>含</w:t>
      </w:r>
      <w:r>
        <w:rPr>
          <w:spacing w:val="-56"/>
        </w:rPr>
        <w:t> </w:t>
      </w:r>
      <w:r>
        <w:rPr>
          <w:rFonts w:ascii="Arial" w:hAnsi="Arial" w:cs="Arial" w:eastAsia="Arial" w:hint="default"/>
        </w:rPr>
        <w:t>70</w:t>
      </w:r>
      <w:r>
        <w:rPr>
          <w:rFonts w:ascii="Arial" w:hAnsi="Arial" w:cs="Arial" w:eastAsia="Arial" w:hint="default"/>
          <w:spacing w:val="-8"/>
        </w:rPr>
        <w:t> </w:t>
      </w:r>
      <w:r>
        <w:rPr/>
        <w:t>万元</w:t>
      </w:r>
      <w:r>
        <w:rPr>
          <w:rFonts w:ascii="Arial" w:hAnsi="Arial" w:cs="Arial" w:eastAsia="Arial" w:hint="default"/>
        </w:rPr>
        <w:t>)</w:t>
      </w:r>
    </w:p>
    <w:p>
      <w:pPr>
        <w:pStyle w:val="BodyText"/>
        <w:spacing w:line="240" w:lineRule="auto" w:before="126"/>
        <w:ind w:left="576" w:right="0"/>
        <w:jc w:val="left"/>
      </w:pPr>
      <w:r>
        <w:rPr/>
        <w:t>以上单项计提坏账准备的应收账款；</w:t>
      </w:r>
    </w:p>
    <w:p>
      <w:pPr>
        <w:pStyle w:val="BodyText"/>
        <w:spacing w:line="338" w:lineRule="auto" w:before="139"/>
        <w:ind w:left="576" w:right="0"/>
        <w:jc w:val="left"/>
      </w:pPr>
      <w:r>
        <w:rPr/>
        <w:t>（</w:t>
      </w:r>
      <w:r>
        <w:rPr>
          <w:rFonts w:ascii="Arial" w:hAnsi="Arial" w:cs="Arial" w:eastAsia="Arial" w:hint="default"/>
        </w:rPr>
        <w:t>2</w:t>
      </w:r>
      <w:r>
        <w:rPr/>
        <w:t>）按组合计提坏账准备的应收账款</w:t>
      </w:r>
      <w:r>
        <w:rPr>
          <w:w w:val="100"/>
        </w:rPr>
        <w:t> </w:t>
      </w:r>
      <w:r>
        <w:rPr/>
        <w:t>按账龄组合计提坏账准备的应收账款确定依据未单项计提坏账准备的应收款项按账龄</w:t>
      </w:r>
    </w:p>
    <w:p>
      <w:pPr>
        <w:pStyle w:val="BodyText"/>
        <w:spacing w:line="355" w:lineRule="auto" w:before="51"/>
        <w:ind w:right="209"/>
        <w:jc w:val="both"/>
      </w:pPr>
      <w:r>
        <w:rPr/>
        <w:t>划分为若干组合，根据以前年度与之相同或相类似的、具有类似信用风险特征的应收账款</w:t>
      </w:r>
      <w:r>
        <w:rPr>
          <w:spacing w:val="-85"/>
        </w:rPr>
        <w:t> </w:t>
      </w:r>
      <w:r>
        <w:rPr/>
        <w:t>组合的实际损失率为基础，结合现时情况确定各项组合计提坏账准备的比例，据此计算应</w:t>
      </w:r>
      <w:r>
        <w:rPr>
          <w:spacing w:val="-85"/>
        </w:rPr>
        <w:t> </w:t>
      </w:r>
      <w:r>
        <w:rPr>
          <w:spacing w:val="-7"/>
          <w:w w:val="100"/>
        </w:rPr>
        <w:t>计提的坏账准备。（含单项金额重大、单独进行减值测试未发生减值的应收账款）；</w:t>
      </w:r>
    </w:p>
    <w:p>
      <w:pPr>
        <w:pStyle w:val="BodyText"/>
        <w:spacing w:line="357" w:lineRule="auto" w:before="33"/>
        <w:ind w:right="0" w:firstLine="439"/>
        <w:jc w:val="left"/>
      </w:pPr>
      <w:r>
        <w:rPr>
          <w:spacing w:val="-4"/>
        </w:rPr>
        <w:t>按款项性质的组合：未单项计提坏账准备的应收账款按款项性质特征划分为若干组合，</w:t>
      </w:r>
      <w:r>
        <w:rPr>
          <w:w w:val="100"/>
        </w:rPr>
        <w:t> </w:t>
      </w:r>
      <w:r>
        <w:rPr/>
        <w:t>根据以前年度与之相同或相类似的、具有类似信用风险特征的应收账款组合的实际损失率</w:t>
      </w:r>
      <w:r>
        <w:rPr>
          <w:spacing w:val="-85"/>
        </w:rPr>
        <w:t> </w:t>
      </w:r>
      <w:r>
        <w:rPr/>
        <w:t>为基础，结合现时情况确定各项组合计提坏账准备的比例，据此计算应计提的坏账准备。</w:t>
      </w:r>
    </w:p>
    <w:p>
      <w:pPr>
        <w:pStyle w:val="BodyText"/>
        <w:spacing w:line="357" w:lineRule="auto" w:before="31"/>
        <w:ind w:right="209"/>
        <w:jc w:val="both"/>
      </w:pPr>
      <w:r>
        <w:rPr/>
        <w:t>（含单项金额重大、单独进行减值测试未发生减值，包含在具有类似信用风险特征的应收</w:t>
      </w:r>
      <w:r>
        <w:rPr>
          <w:spacing w:val="-85"/>
        </w:rPr>
        <w:t> </w:t>
      </w:r>
      <w:r>
        <w:rPr>
          <w:spacing w:val="-7"/>
          <w:w w:val="100"/>
        </w:rPr>
        <w:t>款项组合中进行减值测试的应收账款）；</w:t>
      </w:r>
    </w:p>
    <w:p>
      <w:pPr>
        <w:pStyle w:val="BodyText"/>
        <w:spacing w:line="338" w:lineRule="auto" w:before="31"/>
        <w:ind w:right="0" w:firstLine="439"/>
        <w:jc w:val="left"/>
      </w:pPr>
      <w:r>
        <w:rPr>
          <w:spacing w:val="-4"/>
          <w:w w:val="100"/>
        </w:rPr>
        <w:t>（</w:t>
      </w:r>
      <w:r>
        <w:rPr>
          <w:rFonts w:ascii="Arial" w:hAnsi="Arial" w:cs="Arial" w:eastAsia="Arial" w:hint="default"/>
          <w:spacing w:val="-4"/>
          <w:w w:val="100"/>
        </w:rPr>
        <w:t>3</w:t>
      </w:r>
      <w:r>
        <w:rPr>
          <w:spacing w:val="-4"/>
          <w:w w:val="100"/>
        </w:rPr>
        <w:t>）单项金额虽不重大但单项计提坏账准备的应收账款确定依据为除单项金额重大并</w:t>
      </w:r>
      <w:r>
        <w:rPr>
          <w:w w:val="100"/>
        </w:rPr>
        <w:t> </w:t>
      </w:r>
      <w:r>
        <w:rPr/>
        <w:t>单项计提坏账准备外单项认定进行减值测试计提坏账准备的应收账款；</w:t>
      </w:r>
    </w:p>
    <w:p>
      <w:pPr>
        <w:pStyle w:val="BodyText"/>
        <w:spacing w:line="338" w:lineRule="auto" w:before="51"/>
        <w:ind w:left="576" w:right="405" w:hanging="440"/>
        <w:jc w:val="left"/>
      </w:pPr>
      <w:r>
        <w:rPr>
          <w:rFonts w:ascii="Arial" w:hAnsi="Arial" w:cs="Arial" w:eastAsia="Arial" w:hint="default"/>
        </w:rPr>
        <w:t>6.5.2</w:t>
      </w:r>
      <w:r>
        <w:rPr>
          <w:rFonts w:ascii="Arial" w:hAnsi="Arial" w:cs="Arial" w:eastAsia="Arial" w:hint="default"/>
          <w:spacing w:val="-10"/>
        </w:rPr>
        <w:t> </w:t>
      </w:r>
      <w:r>
        <w:rPr/>
        <w:t>按组合计提坏账准备的应收账款</w:t>
      </w:r>
      <w:r>
        <w:rPr>
          <w:w w:val="100"/>
        </w:rPr>
        <w:t> </w:t>
      </w:r>
      <w:r>
        <w:rPr>
          <w:spacing w:val="-1"/>
        </w:rPr>
        <w:t>组合中，按账龄分析法计提坏账准备的应收账款：</w:t>
      </w:r>
    </w:p>
    <w:p>
      <w:pPr>
        <w:spacing w:line="240" w:lineRule="auto" w:before="7"/>
        <w:rPr>
          <w:rFonts w:ascii="宋体" w:hAnsi="宋体" w:cs="宋体" w:eastAsia="宋体" w:hint="default"/>
          <w:sz w:val="6"/>
          <w:szCs w:val="6"/>
        </w:rPr>
      </w:pPr>
    </w:p>
    <w:tbl>
      <w:tblPr>
        <w:tblW w:w="0" w:type="auto"/>
        <w:jc w:val="left"/>
        <w:tblInd w:w="307" w:type="dxa"/>
        <w:tblLayout w:type="fixed"/>
        <w:tblCellMar>
          <w:top w:w="0" w:type="dxa"/>
          <w:left w:w="0" w:type="dxa"/>
          <w:bottom w:w="0" w:type="dxa"/>
          <w:right w:w="0" w:type="dxa"/>
        </w:tblCellMar>
        <w:tblLook w:val="01E0"/>
      </w:tblPr>
      <w:tblGrid>
        <w:gridCol w:w="3211"/>
        <w:gridCol w:w="1572"/>
        <w:gridCol w:w="768"/>
        <w:gridCol w:w="1536"/>
        <w:gridCol w:w="1183"/>
      </w:tblGrid>
      <w:tr>
        <w:trPr>
          <w:trHeight w:val="406" w:hRule="exact"/>
        </w:trPr>
        <w:tc>
          <w:tcPr>
            <w:tcW w:w="3211" w:type="dxa"/>
            <w:vMerge w:val="restart"/>
            <w:tcBorders>
              <w:top w:val="single" w:sz="12" w:space="0" w:color="000000"/>
              <w:left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5059" w:type="dxa"/>
            <w:gridSpan w:val="4"/>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1"/>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403" w:hRule="exact"/>
        </w:trPr>
        <w:tc>
          <w:tcPr>
            <w:tcW w:w="3211" w:type="dxa"/>
            <w:vMerge/>
            <w:tcBorders>
              <w:left w:val="single" w:sz="12" w:space="0" w:color="000000"/>
              <w:right w:val="single" w:sz="12" w:space="0" w:color="000000"/>
            </w:tcBorders>
          </w:tcPr>
          <w:p>
            <w:pPr/>
          </w:p>
        </w:tc>
        <w:tc>
          <w:tcPr>
            <w:tcW w:w="2340"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19"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780" w:hRule="exact"/>
        </w:trPr>
        <w:tc>
          <w:tcPr>
            <w:tcW w:w="3211" w:type="dxa"/>
            <w:vMerge/>
            <w:tcBorders>
              <w:left w:val="single" w:sz="12" w:space="0" w:color="000000"/>
              <w:bottom w:val="single" w:sz="12" w:space="0" w:color="000000"/>
              <w:right w:val="single" w:sz="12" w:space="0" w:color="000000"/>
            </w:tcBorders>
          </w:tcPr>
          <w:p>
            <w:pPr/>
          </w:p>
        </w:tc>
        <w:tc>
          <w:tcPr>
            <w:tcW w:w="15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1"/>
              <w:ind w:left="18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39"/>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5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r>
      <w:tr>
        <w:trPr>
          <w:trHeight w:val="403" w:hRule="exact"/>
        </w:trPr>
        <w:tc>
          <w:tcPr>
            <w:tcW w:w="32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1"/>
              <w:ind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年以内</w:t>
            </w:r>
          </w:p>
        </w:tc>
        <w:tc>
          <w:tcPr>
            <w:tcW w:w="15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3"/>
              <w:ind w:right="0"/>
              <w:jc w:val="center"/>
              <w:rPr>
                <w:rFonts w:ascii="Arial" w:hAnsi="Arial" w:cs="Arial" w:eastAsia="Arial" w:hint="default"/>
                <w:sz w:val="18"/>
                <w:szCs w:val="18"/>
              </w:rPr>
            </w:pPr>
            <w:r>
              <w:rPr>
                <w:rFonts w:ascii="Arial"/>
                <w:sz w:val="18"/>
              </w:rPr>
              <w:t>43,301,620.63</w:t>
            </w:r>
          </w:p>
        </w:tc>
        <w:tc>
          <w:tcPr>
            <w:tcW w:w="7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3"/>
              <w:ind w:right="142"/>
              <w:jc w:val="right"/>
              <w:rPr>
                <w:rFonts w:ascii="Arial" w:hAnsi="Arial" w:cs="Arial" w:eastAsia="Arial" w:hint="default"/>
                <w:sz w:val="18"/>
                <w:szCs w:val="18"/>
              </w:rPr>
            </w:pPr>
            <w:r>
              <w:rPr>
                <w:rFonts w:ascii="Arial"/>
                <w:w w:val="95"/>
                <w:sz w:val="18"/>
              </w:rPr>
              <w:t>95.89</w:t>
            </w:r>
            <w:r>
              <w:rPr>
                <w:rFonts w:ascii="Arial"/>
                <w:sz w:val="18"/>
              </w:rPr>
            </w:r>
          </w:p>
        </w:tc>
        <w:tc>
          <w:tcPr>
            <w:tcW w:w="15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3"/>
              <w:ind w:right="1"/>
              <w:jc w:val="center"/>
              <w:rPr>
                <w:rFonts w:ascii="Arial" w:hAnsi="Arial" w:cs="Arial" w:eastAsia="Arial" w:hint="default"/>
                <w:sz w:val="18"/>
                <w:szCs w:val="18"/>
              </w:rPr>
            </w:pPr>
            <w:r>
              <w:rPr>
                <w:rFonts w:ascii="Arial"/>
                <w:sz w:val="18"/>
              </w:rPr>
              <w:t>2,168,665.84</w:t>
            </w:r>
          </w:p>
        </w:tc>
        <w:tc>
          <w:tcPr>
            <w:tcW w:w="11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3"/>
              <w:ind w:right="0"/>
              <w:jc w:val="center"/>
              <w:rPr>
                <w:rFonts w:ascii="Arial" w:hAnsi="Arial" w:cs="Arial" w:eastAsia="Arial" w:hint="default"/>
                <w:sz w:val="18"/>
                <w:szCs w:val="18"/>
              </w:rPr>
            </w:pPr>
            <w:r>
              <w:rPr>
                <w:rFonts w:ascii="Arial"/>
                <w:sz w:val="18"/>
              </w:rPr>
              <w:t>5.01</w:t>
            </w:r>
          </w:p>
        </w:tc>
      </w:tr>
      <w:tr>
        <w:trPr>
          <w:trHeight w:val="406" w:hRule="exact"/>
        </w:trPr>
        <w:tc>
          <w:tcPr>
            <w:tcW w:w="32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1"/>
              <w:ind w:right="0"/>
              <w:jc w:val="center"/>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5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3"/>
              <w:ind w:right="0"/>
              <w:jc w:val="center"/>
              <w:rPr>
                <w:rFonts w:ascii="Arial" w:hAnsi="Arial" w:cs="Arial" w:eastAsia="Arial" w:hint="default"/>
                <w:sz w:val="18"/>
                <w:szCs w:val="18"/>
              </w:rPr>
            </w:pPr>
            <w:r>
              <w:rPr>
                <w:rFonts w:ascii="Arial"/>
                <w:sz w:val="18"/>
              </w:rPr>
              <w:t>1,512,412.97</w:t>
            </w:r>
          </w:p>
        </w:tc>
        <w:tc>
          <w:tcPr>
            <w:tcW w:w="7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3"/>
              <w:ind w:right="193"/>
              <w:jc w:val="right"/>
              <w:rPr>
                <w:rFonts w:ascii="Arial" w:hAnsi="Arial" w:cs="Arial" w:eastAsia="Arial" w:hint="default"/>
                <w:sz w:val="18"/>
                <w:szCs w:val="18"/>
              </w:rPr>
            </w:pPr>
            <w:r>
              <w:rPr>
                <w:rFonts w:ascii="Arial"/>
                <w:w w:val="95"/>
                <w:sz w:val="18"/>
              </w:rPr>
              <w:t>3.35</w:t>
            </w:r>
            <w:r>
              <w:rPr>
                <w:rFonts w:ascii="Arial"/>
                <w:sz w:val="18"/>
              </w:rPr>
            </w:r>
          </w:p>
        </w:tc>
        <w:tc>
          <w:tcPr>
            <w:tcW w:w="15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3"/>
              <w:ind w:right="0"/>
              <w:jc w:val="center"/>
              <w:rPr>
                <w:rFonts w:ascii="Arial" w:hAnsi="Arial" w:cs="Arial" w:eastAsia="Arial" w:hint="default"/>
                <w:sz w:val="18"/>
                <w:szCs w:val="18"/>
              </w:rPr>
            </w:pPr>
            <w:r>
              <w:rPr>
                <w:rFonts w:ascii="Arial"/>
                <w:sz w:val="18"/>
              </w:rPr>
              <w:t>190,483.41</w:t>
            </w:r>
          </w:p>
        </w:tc>
        <w:tc>
          <w:tcPr>
            <w:tcW w:w="11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3"/>
              <w:ind w:right="0"/>
              <w:jc w:val="center"/>
              <w:rPr>
                <w:rFonts w:ascii="Arial" w:hAnsi="Arial" w:cs="Arial" w:eastAsia="Arial" w:hint="default"/>
                <w:sz w:val="18"/>
                <w:szCs w:val="18"/>
              </w:rPr>
            </w:pPr>
            <w:r>
              <w:rPr>
                <w:rFonts w:ascii="Arial"/>
                <w:sz w:val="18"/>
              </w:rPr>
              <w:t>12.59</w:t>
            </w:r>
          </w:p>
        </w:tc>
      </w:tr>
      <w:tr>
        <w:trPr>
          <w:trHeight w:val="403" w:hRule="exact"/>
        </w:trPr>
        <w:tc>
          <w:tcPr>
            <w:tcW w:w="32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1"/>
              <w:ind w:right="0"/>
              <w:jc w:val="center"/>
              <w:rPr>
                <w:rFonts w:ascii="宋体" w:hAnsi="宋体" w:cs="宋体" w:eastAsia="宋体" w:hint="default"/>
                <w:sz w:val="18"/>
                <w:szCs w:val="18"/>
              </w:rPr>
            </w:pPr>
            <w:r>
              <w:rPr>
                <w:rFonts w:ascii="Arial" w:hAnsi="Arial" w:cs="Arial" w:eastAsia="Arial" w:hint="default"/>
                <w:sz w:val="18"/>
                <w:szCs w:val="18"/>
              </w:rPr>
              <w:t>2~3</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5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3"/>
              <w:ind w:right="1"/>
              <w:jc w:val="center"/>
              <w:rPr>
                <w:rFonts w:ascii="Arial" w:hAnsi="Arial" w:cs="Arial" w:eastAsia="Arial" w:hint="default"/>
                <w:sz w:val="18"/>
                <w:szCs w:val="18"/>
              </w:rPr>
            </w:pPr>
            <w:r>
              <w:rPr>
                <w:rFonts w:ascii="Arial"/>
                <w:sz w:val="18"/>
              </w:rPr>
              <w:t>341,954.34</w:t>
            </w:r>
          </w:p>
        </w:tc>
        <w:tc>
          <w:tcPr>
            <w:tcW w:w="7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3"/>
              <w:ind w:right="193"/>
              <w:jc w:val="right"/>
              <w:rPr>
                <w:rFonts w:ascii="Arial" w:hAnsi="Arial" w:cs="Arial" w:eastAsia="Arial" w:hint="default"/>
                <w:sz w:val="18"/>
                <w:szCs w:val="18"/>
              </w:rPr>
            </w:pPr>
            <w:r>
              <w:rPr>
                <w:rFonts w:ascii="Arial"/>
                <w:w w:val="95"/>
                <w:sz w:val="18"/>
              </w:rPr>
              <w:t>0.76</w:t>
            </w:r>
            <w:r>
              <w:rPr>
                <w:rFonts w:ascii="Arial"/>
                <w:sz w:val="18"/>
              </w:rPr>
            </w:r>
          </w:p>
        </w:tc>
        <w:tc>
          <w:tcPr>
            <w:tcW w:w="15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3"/>
              <w:ind w:right="0"/>
              <w:jc w:val="center"/>
              <w:rPr>
                <w:rFonts w:ascii="Arial" w:hAnsi="Arial" w:cs="Arial" w:eastAsia="Arial" w:hint="default"/>
                <w:sz w:val="18"/>
                <w:szCs w:val="18"/>
              </w:rPr>
            </w:pPr>
            <w:r>
              <w:rPr>
                <w:rFonts w:ascii="Arial"/>
                <w:sz w:val="18"/>
              </w:rPr>
              <w:t>152,628.17</w:t>
            </w:r>
          </w:p>
        </w:tc>
        <w:tc>
          <w:tcPr>
            <w:tcW w:w="11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3"/>
              <w:ind w:right="0"/>
              <w:jc w:val="center"/>
              <w:rPr>
                <w:rFonts w:ascii="Arial" w:hAnsi="Arial" w:cs="Arial" w:eastAsia="Arial" w:hint="default"/>
                <w:sz w:val="18"/>
                <w:szCs w:val="18"/>
              </w:rPr>
            </w:pPr>
            <w:r>
              <w:rPr>
                <w:rFonts w:ascii="Arial"/>
                <w:sz w:val="18"/>
              </w:rPr>
              <w:t>44.63</w:t>
            </w:r>
          </w:p>
        </w:tc>
      </w:tr>
      <w:tr>
        <w:trPr>
          <w:trHeight w:val="406" w:hRule="exact"/>
        </w:trPr>
        <w:tc>
          <w:tcPr>
            <w:tcW w:w="32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1"/>
              <w:ind w:right="0"/>
              <w:jc w:val="center"/>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5"/>
                <w:sz w:val="18"/>
                <w:szCs w:val="18"/>
              </w:rPr>
              <w:t> </w:t>
            </w:r>
            <w:r>
              <w:rPr>
                <w:rFonts w:ascii="宋体" w:hAnsi="宋体" w:cs="宋体" w:eastAsia="宋体" w:hint="default"/>
                <w:sz w:val="18"/>
                <w:szCs w:val="18"/>
              </w:rPr>
              <w:t>年以上</w:t>
            </w:r>
          </w:p>
        </w:tc>
        <w:tc>
          <w:tcPr>
            <w:tcW w:w="15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3"/>
              <w:ind w:right="0"/>
              <w:jc w:val="center"/>
              <w:rPr>
                <w:rFonts w:ascii="Arial" w:hAnsi="Arial" w:cs="Arial" w:eastAsia="Arial" w:hint="default"/>
                <w:sz w:val="18"/>
                <w:szCs w:val="18"/>
              </w:rPr>
            </w:pPr>
            <w:r>
              <w:rPr>
                <w:rFonts w:ascii="Arial"/>
                <w:w w:val="99"/>
                <w:sz w:val="18"/>
              </w:rPr>
              <w:t>-</w:t>
            </w:r>
            <w:r>
              <w:rPr>
                <w:rFonts w:ascii="Arial"/>
                <w:sz w:val="18"/>
              </w:rPr>
            </w:r>
          </w:p>
        </w:tc>
        <w:tc>
          <w:tcPr>
            <w:tcW w:w="7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3"/>
              <w:ind w:right="0"/>
              <w:jc w:val="center"/>
              <w:rPr>
                <w:rFonts w:ascii="Arial" w:hAnsi="Arial" w:cs="Arial" w:eastAsia="Arial" w:hint="default"/>
                <w:sz w:val="18"/>
                <w:szCs w:val="18"/>
              </w:rPr>
            </w:pPr>
            <w:r>
              <w:rPr>
                <w:rFonts w:ascii="Arial"/>
                <w:w w:val="99"/>
                <w:sz w:val="18"/>
              </w:rPr>
              <w:t>-</w:t>
            </w:r>
            <w:r>
              <w:rPr>
                <w:rFonts w:ascii="Arial"/>
                <w:sz w:val="18"/>
              </w:rPr>
            </w:r>
          </w:p>
        </w:tc>
        <w:tc>
          <w:tcPr>
            <w:tcW w:w="15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3"/>
              <w:ind w:right="0"/>
              <w:jc w:val="center"/>
              <w:rPr>
                <w:rFonts w:ascii="Arial" w:hAnsi="Arial" w:cs="Arial" w:eastAsia="Arial" w:hint="default"/>
                <w:sz w:val="18"/>
                <w:szCs w:val="18"/>
              </w:rPr>
            </w:pPr>
            <w:r>
              <w:rPr>
                <w:rFonts w:ascii="Arial"/>
                <w:w w:val="99"/>
                <w:sz w:val="18"/>
              </w:rPr>
              <w:t>-</w:t>
            </w:r>
            <w:r>
              <w:rPr>
                <w:rFonts w:ascii="Arial"/>
                <w:sz w:val="18"/>
              </w:rPr>
            </w:r>
          </w:p>
        </w:tc>
        <w:tc>
          <w:tcPr>
            <w:tcW w:w="11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3"/>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03" w:hRule="exact"/>
        </w:trPr>
        <w:tc>
          <w:tcPr>
            <w:tcW w:w="32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3"/>
              <w:ind w:right="0"/>
              <w:jc w:val="center"/>
              <w:rPr>
                <w:rFonts w:ascii="Arial" w:hAnsi="Arial" w:cs="Arial" w:eastAsia="Arial" w:hint="default"/>
                <w:sz w:val="18"/>
                <w:szCs w:val="18"/>
              </w:rPr>
            </w:pPr>
            <w:r>
              <w:rPr>
                <w:rFonts w:ascii="Arial"/>
                <w:sz w:val="18"/>
              </w:rPr>
              <w:t>45,155,987.94</w:t>
            </w:r>
          </w:p>
        </w:tc>
        <w:tc>
          <w:tcPr>
            <w:tcW w:w="7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3"/>
              <w:ind w:right="92"/>
              <w:jc w:val="right"/>
              <w:rPr>
                <w:rFonts w:ascii="Arial" w:hAnsi="Arial" w:cs="Arial" w:eastAsia="Arial" w:hint="default"/>
                <w:sz w:val="18"/>
                <w:szCs w:val="18"/>
              </w:rPr>
            </w:pPr>
            <w:r>
              <w:rPr>
                <w:rFonts w:ascii="Arial"/>
                <w:spacing w:val="-1"/>
                <w:sz w:val="18"/>
              </w:rPr>
              <w:t>100.00</w:t>
            </w:r>
          </w:p>
        </w:tc>
        <w:tc>
          <w:tcPr>
            <w:tcW w:w="15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3"/>
              <w:ind w:right="1"/>
              <w:jc w:val="center"/>
              <w:rPr>
                <w:rFonts w:ascii="Arial" w:hAnsi="Arial" w:cs="Arial" w:eastAsia="Arial" w:hint="default"/>
                <w:sz w:val="18"/>
                <w:szCs w:val="18"/>
              </w:rPr>
            </w:pPr>
            <w:r>
              <w:rPr>
                <w:rFonts w:ascii="Arial"/>
                <w:sz w:val="18"/>
              </w:rPr>
              <w:t>2,511,777.42</w:t>
            </w:r>
          </w:p>
        </w:tc>
        <w:tc>
          <w:tcPr>
            <w:tcW w:w="11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3"/>
              <w:ind w:right="0"/>
              <w:jc w:val="center"/>
              <w:rPr>
                <w:rFonts w:ascii="Arial" w:hAnsi="Arial" w:cs="Arial" w:eastAsia="Arial" w:hint="default"/>
                <w:sz w:val="18"/>
                <w:szCs w:val="18"/>
              </w:rPr>
            </w:pPr>
            <w:r>
              <w:rPr>
                <w:rFonts w:ascii="Arial"/>
                <w:sz w:val="18"/>
              </w:rPr>
              <w:t>5.56</w:t>
            </w:r>
          </w:p>
        </w:tc>
      </w:tr>
    </w:tbl>
    <w:p>
      <w:pPr>
        <w:spacing w:after="0" w:line="240" w:lineRule="auto"/>
        <w:jc w:val="center"/>
        <w:rPr>
          <w:rFonts w:ascii="Arial" w:hAnsi="Arial" w:cs="Arial" w:eastAsia="Arial" w:hint="default"/>
          <w:sz w:val="18"/>
          <w:szCs w:val="18"/>
        </w:rPr>
        <w:sectPr>
          <w:pgSz w:w="11900" w:h="16840"/>
          <w:pgMar w:header="0" w:footer="983" w:top="1100" w:bottom="1180" w:left="1660" w:right="1280"/>
        </w:sectPr>
      </w:pPr>
    </w:p>
    <w:p>
      <w:pPr>
        <w:spacing w:line="240" w:lineRule="auto" w:before="8"/>
        <w:rPr>
          <w:rFonts w:ascii="宋体" w:hAnsi="宋体" w:cs="宋体" w:eastAsia="宋体" w:hint="default"/>
          <w:sz w:val="24"/>
          <w:szCs w:val="24"/>
        </w:rPr>
      </w:pPr>
    </w:p>
    <w:tbl>
      <w:tblPr>
        <w:tblW w:w="0" w:type="auto"/>
        <w:jc w:val="left"/>
        <w:tblInd w:w="307" w:type="dxa"/>
        <w:tblLayout w:type="fixed"/>
        <w:tblCellMar>
          <w:top w:w="0" w:type="dxa"/>
          <w:left w:w="0" w:type="dxa"/>
          <w:bottom w:w="0" w:type="dxa"/>
          <w:right w:w="0" w:type="dxa"/>
        </w:tblCellMar>
        <w:tblLook w:val="01E0"/>
      </w:tblPr>
      <w:tblGrid>
        <w:gridCol w:w="1673"/>
        <w:gridCol w:w="1538"/>
        <w:gridCol w:w="2268"/>
        <w:gridCol w:w="1608"/>
        <w:gridCol w:w="1183"/>
      </w:tblGrid>
      <w:tr>
        <w:trPr>
          <w:trHeight w:val="434" w:hRule="exact"/>
        </w:trPr>
        <w:tc>
          <w:tcPr>
            <w:tcW w:w="1673" w:type="dxa"/>
            <w:vMerge w:val="restart"/>
            <w:tcBorders>
              <w:top w:val="single" w:sz="12" w:space="0" w:color="000000"/>
              <w:left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6598" w:type="dxa"/>
            <w:gridSpan w:val="4"/>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437" w:hRule="exact"/>
        </w:trPr>
        <w:tc>
          <w:tcPr>
            <w:tcW w:w="1673" w:type="dxa"/>
            <w:vMerge/>
            <w:tcBorders>
              <w:left w:val="single" w:sz="12" w:space="0" w:color="000000"/>
              <w:right w:val="single" w:sz="12" w:space="0" w:color="000000"/>
            </w:tcBorders>
          </w:tcPr>
          <w:p>
            <w:pPr/>
          </w:p>
        </w:tc>
        <w:tc>
          <w:tcPr>
            <w:tcW w:w="3806"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91"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34" w:hRule="exact"/>
        </w:trPr>
        <w:tc>
          <w:tcPr>
            <w:tcW w:w="1673" w:type="dxa"/>
            <w:vMerge/>
            <w:tcBorders>
              <w:left w:val="single" w:sz="12" w:space="0" w:color="000000"/>
              <w:bottom w:val="single" w:sz="12" w:space="0" w:color="000000"/>
              <w:right w:val="single" w:sz="12" w:space="0" w:color="000000"/>
            </w:tcBorders>
          </w:tcPr>
          <w:p>
            <w:pPr/>
          </w:p>
        </w:tc>
        <w:tc>
          <w:tcPr>
            <w:tcW w:w="15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2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c>
          <w:tcPr>
            <w:tcW w:w="16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r>
      <w:tr>
        <w:trPr>
          <w:trHeight w:val="437" w:hRule="exact"/>
        </w:trPr>
        <w:tc>
          <w:tcPr>
            <w:tcW w:w="16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年以内</w:t>
            </w:r>
          </w:p>
        </w:tc>
        <w:tc>
          <w:tcPr>
            <w:tcW w:w="15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42,307,273.18</w:t>
            </w:r>
          </w:p>
        </w:tc>
        <w:tc>
          <w:tcPr>
            <w:tcW w:w="22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95.34</w:t>
            </w:r>
          </w:p>
        </w:tc>
        <w:tc>
          <w:tcPr>
            <w:tcW w:w="16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sz w:val="18"/>
              </w:rPr>
              <w:t>1,807,068.63</w:t>
            </w:r>
          </w:p>
        </w:tc>
        <w:tc>
          <w:tcPr>
            <w:tcW w:w="11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4.00</w:t>
            </w:r>
          </w:p>
        </w:tc>
      </w:tr>
      <w:tr>
        <w:trPr>
          <w:trHeight w:val="434" w:hRule="exact"/>
        </w:trPr>
        <w:tc>
          <w:tcPr>
            <w:tcW w:w="16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5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2,069,573.74</w:t>
            </w:r>
          </w:p>
        </w:tc>
        <w:tc>
          <w:tcPr>
            <w:tcW w:w="22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4.66</w:t>
            </w:r>
          </w:p>
        </w:tc>
        <w:tc>
          <w:tcPr>
            <w:tcW w:w="16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413,914.75</w:t>
            </w:r>
          </w:p>
        </w:tc>
        <w:tc>
          <w:tcPr>
            <w:tcW w:w="11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20.00</w:t>
            </w:r>
          </w:p>
        </w:tc>
      </w:tr>
      <w:tr>
        <w:trPr>
          <w:trHeight w:val="437" w:hRule="exact"/>
        </w:trPr>
        <w:tc>
          <w:tcPr>
            <w:tcW w:w="16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Arial" w:hAnsi="Arial" w:cs="Arial" w:eastAsia="Arial" w:hint="default"/>
                <w:sz w:val="18"/>
                <w:szCs w:val="18"/>
              </w:rPr>
              <w:t>2~3</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5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22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16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11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34" w:hRule="exact"/>
        </w:trPr>
        <w:tc>
          <w:tcPr>
            <w:tcW w:w="16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5"/>
                <w:sz w:val="18"/>
                <w:szCs w:val="18"/>
              </w:rPr>
              <w:t> </w:t>
            </w:r>
            <w:r>
              <w:rPr>
                <w:rFonts w:ascii="宋体" w:hAnsi="宋体" w:cs="宋体" w:eastAsia="宋体" w:hint="default"/>
                <w:sz w:val="18"/>
                <w:szCs w:val="18"/>
              </w:rPr>
              <w:t>年以上</w:t>
            </w:r>
          </w:p>
        </w:tc>
        <w:tc>
          <w:tcPr>
            <w:tcW w:w="15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22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16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11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34" w:hRule="exact"/>
        </w:trPr>
        <w:tc>
          <w:tcPr>
            <w:tcW w:w="16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44,376,846.92</w:t>
            </w:r>
          </w:p>
        </w:tc>
        <w:tc>
          <w:tcPr>
            <w:tcW w:w="22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sz w:val="18"/>
              </w:rPr>
              <w:t>100.00</w:t>
            </w:r>
          </w:p>
        </w:tc>
        <w:tc>
          <w:tcPr>
            <w:tcW w:w="16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sz w:val="18"/>
              </w:rPr>
              <w:t>2,220,983.38</w:t>
            </w:r>
          </w:p>
        </w:tc>
        <w:tc>
          <w:tcPr>
            <w:tcW w:w="11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5.00</w:t>
            </w:r>
          </w:p>
        </w:tc>
      </w:tr>
    </w:tbl>
    <w:p>
      <w:pPr>
        <w:spacing w:line="240" w:lineRule="auto" w:before="1"/>
        <w:rPr>
          <w:rFonts w:ascii="宋体" w:hAnsi="宋体" w:cs="宋体" w:eastAsia="宋体" w:hint="default"/>
          <w:sz w:val="24"/>
          <w:szCs w:val="24"/>
        </w:rPr>
      </w:pPr>
    </w:p>
    <w:p>
      <w:pPr>
        <w:pStyle w:val="BodyText"/>
        <w:spacing w:line="240" w:lineRule="auto"/>
        <w:ind w:right="137"/>
        <w:jc w:val="left"/>
      </w:pPr>
      <w:r>
        <w:rPr>
          <w:rFonts w:ascii="Arial" w:hAnsi="Arial" w:cs="Arial" w:eastAsia="Arial" w:hint="default"/>
        </w:rPr>
        <w:t>6.5.3</w:t>
      </w:r>
      <w:r>
        <w:rPr>
          <w:rFonts w:ascii="Arial" w:hAnsi="Arial" w:cs="Arial" w:eastAsia="Arial" w:hint="default"/>
          <w:spacing w:val="-14"/>
        </w:rPr>
        <w:t> </w:t>
      </w:r>
      <w:r>
        <w:rPr/>
        <w:t>单项金额虽不重大但单项计提坏账准备的应收账款</w:t>
      </w:r>
    </w:p>
    <w:p>
      <w:pPr>
        <w:spacing w:line="240" w:lineRule="auto" w:before="3"/>
        <w:rPr>
          <w:rFonts w:ascii="宋体" w:hAnsi="宋体" w:cs="宋体" w:eastAsia="宋体" w:hint="default"/>
          <w:sz w:val="12"/>
          <w:szCs w:val="12"/>
        </w:rPr>
      </w:pPr>
    </w:p>
    <w:tbl>
      <w:tblPr>
        <w:tblW w:w="0" w:type="auto"/>
        <w:jc w:val="left"/>
        <w:tblInd w:w="283" w:type="dxa"/>
        <w:tblLayout w:type="fixed"/>
        <w:tblCellMar>
          <w:top w:w="0" w:type="dxa"/>
          <w:left w:w="0" w:type="dxa"/>
          <w:bottom w:w="0" w:type="dxa"/>
          <w:right w:w="0" w:type="dxa"/>
        </w:tblCellMar>
        <w:tblLook w:val="01E0"/>
      </w:tblPr>
      <w:tblGrid>
        <w:gridCol w:w="3014"/>
        <w:gridCol w:w="1162"/>
        <w:gridCol w:w="1152"/>
        <w:gridCol w:w="1375"/>
        <w:gridCol w:w="1615"/>
      </w:tblGrid>
      <w:tr>
        <w:trPr>
          <w:trHeight w:val="509" w:hRule="exact"/>
        </w:trPr>
        <w:tc>
          <w:tcPr>
            <w:tcW w:w="30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应收账款内容</w:t>
            </w:r>
          </w:p>
        </w:tc>
        <w:tc>
          <w:tcPr>
            <w:tcW w:w="11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left="81"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Arial" w:hAnsi="Arial" w:cs="Arial" w:eastAsia="Arial" w:hint="default"/>
                <w:sz w:val="18"/>
                <w:szCs w:val="18"/>
              </w:rPr>
              <w:t>%</w:t>
            </w:r>
            <w:r>
              <w:rPr>
                <w:rFonts w:ascii="宋体" w:hAnsi="宋体" w:cs="宋体" w:eastAsia="宋体" w:hint="default"/>
                <w:sz w:val="18"/>
                <w:szCs w:val="18"/>
              </w:rPr>
              <w:t>）</w:t>
            </w:r>
          </w:p>
        </w:tc>
        <w:tc>
          <w:tcPr>
            <w:tcW w:w="161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58" w:hRule="exact"/>
        </w:trPr>
        <w:tc>
          <w:tcPr>
            <w:tcW w:w="30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2"/>
              <w:jc w:val="center"/>
              <w:rPr>
                <w:rFonts w:ascii="宋体" w:hAnsi="宋体" w:cs="宋体" w:eastAsia="宋体" w:hint="default"/>
                <w:sz w:val="18"/>
                <w:szCs w:val="18"/>
              </w:rPr>
            </w:pPr>
            <w:r>
              <w:rPr>
                <w:rFonts w:ascii="宋体" w:hAnsi="宋体" w:cs="宋体" w:eastAsia="宋体" w:hint="default"/>
                <w:sz w:val="18"/>
                <w:szCs w:val="18"/>
              </w:rPr>
              <w:t>浙江南方科技有限公司</w:t>
            </w:r>
          </w:p>
        </w:tc>
        <w:tc>
          <w:tcPr>
            <w:tcW w:w="11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0"/>
              <w:ind w:right="0"/>
              <w:jc w:val="center"/>
              <w:rPr>
                <w:rFonts w:ascii="Arial" w:hAnsi="Arial" w:cs="Arial" w:eastAsia="Arial" w:hint="default"/>
                <w:sz w:val="18"/>
                <w:szCs w:val="18"/>
              </w:rPr>
            </w:pPr>
            <w:r>
              <w:rPr>
                <w:rFonts w:ascii="Arial"/>
                <w:sz w:val="18"/>
              </w:rPr>
              <w:t>447,781.51</w:t>
            </w:r>
          </w:p>
        </w:tc>
        <w:tc>
          <w:tcPr>
            <w:tcW w:w="11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0"/>
              <w:ind w:right="0"/>
              <w:jc w:val="center"/>
              <w:rPr>
                <w:rFonts w:ascii="Arial" w:hAnsi="Arial" w:cs="Arial" w:eastAsia="Arial" w:hint="default"/>
                <w:sz w:val="18"/>
                <w:szCs w:val="18"/>
              </w:rPr>
            </w:pPr>
            <w:r>
              <w:rPr>
                <w:rFonts w:ascii="Arial"/>
                <w:sz w:val="18"/>
              </w:rPr>
              <w:t>447,781.51</w:t>
            </w:r>
          </w:p>
        </w:tc>
        <w:tc>
          <w:tcPr>
            <w:tcW w:w="13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0"/>
              <w:ind w:left="1" w:right="0"/>
              <w:jc w:val="center"/>
              <w:rPr>
                <w:rFonts w:ascii="Arial" w:hAnsi="Arial" w:cs="Arial" w:eastAsia="Arial" w:hint="default"/>
                <w:sz w:val="18"/>
                <w:szCs w:val="18"/>
              </w:rPr>
            </w:pPr>
            <w:r>
              <w:rPr>
                <w:rFonts w:ascii="Arial"/>
                <w:sz w:val="18"/>
              </w:rPr>
              <w:t>100.00</w:t>
            </w:r>
          </w:p>
        </w:tc>
        <w:tc>
          <w:tcPr>
            <w:tcW w:w="161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客户破产</w:t>
            </w:r>
          </w:p>
        </w:tc>
      </w:tr>
      <w:tr>
        <w:trPr>
          <w:trHeight w:val="463" w:hRule="exact"/>
        </w:trPr>
        <w:tc>
          <w:tcPr>
            <w:tcW w:w="30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7"/>
              <w:ind w:right="2"/>
              <w:jc w:val="center"/>
              <w:rPr>
                <w:rFonts w:ascii="宋体" w:hAnsi="宋体" w:cs="宋体" w:eastAsia="宋体" w:hint="default"/>
                <w:sz w:val="18"/>
                <w:szCs w:val="18"/>
              </w:rPr>
            </w:pPr>
            <w:r>
              <w:rPr>
                <w:rFonts w:ascii="宋体" w:hAnsi="宋体" w:cs="宋体" w:eastAsia="宋体" w:hint="default"/>
                <w:sz w:val="18"/>
                <w:szCs w:val="18"/>
              </w:rPr>
              <w:t>福建晋江富盛织造漂染有限公司</w:t>
            </w:r>
          </w:p>
        </w:tc>
        <w:tc>
          <w:tcPr>
            <w:tcW w:w="11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3"/>
              <w:ind w:left="1" w:right="0"/>
              <w:jc w:val="center"/>
              <w:rPr>
                <w:rFonts w:ascii="Arial" w:hAnsi="Arial" w:cs="Arial" w:eastAsia="Arial" w:hint="default"/>
                <w:sz w:val="18"/>
                <w:szCs w:val="18"/>
              </w:rPr>
            </w:pPr>
            <w:r>
              <w:rPr>
                <w:rFonts w:ascii="Arial"/>
                <w:sz w:val="18"/>
              </w:rPr>
              <w:t>114,125.00</w:t>
            </w:r>
          </w:p>
        </w:tc>
        <w:tc>
          <w:tcPr>
            <w:tcW w:w="11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3"/>
              <w:ind w:right="1"/>
              <w:jc w:val="center"/>
              <w:rPr>
                <w:rFonts w:ascii="Arial" w:hAnsi="Arial" w:cs="Arial" w:eastAsia="Arial" w:hint="default"/>
                <w:sz w:val="18"/>
                <w:szCs w:val="18"/>
              </w:rPr>
            </w:pPr>
            <w:r>
              <w:rPr>
                <w:rFonts w:ascii="Arial"/>
                <w:sz w:val="18"/>
              </w:rPr>
              <w:t>114,125.00</w:t>
            </w:r>
          </w:p>
        </w:tc>
        <w:tc>
          <w:tcPr>
            <w:tcW w:w="13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3"/>
              <w:ind w:left="1" w:right="0"/>
              <w:jc w:val="center"/>
              <w:rPr>
                <w:rFonts w:ascii="Arial" w:hAnsi="Arial" w:cs="Arial" w:eastAsia="Arial" w:hint="default"/>
                <w:sz w:val="18"/>
                <w:szCs w:val="18"/>
              </w:rPr>
            </w:pPr>
            <w:r>
              <w:rPr>
                <w:rFonts w:ascii="Arial"/>
                <w:sz w:val="18"/>
              </w:rPr>
              <w:t>100.00</w:t>
            </w:r>
          </w:p>
        </w:tc>
        <w:tc>
          <w:tcPr>
            <w:tcW w:w="161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诉讼索赔结束</w:t>
            </w:r>
          </w:p>
        </w:tc>
      </w:tr>
      <w:tr>
        <w:trPr>
          <w:trHeight w:val="470" w:hRule="exact"/>
        </w:trPr>
        <w:tc>
          <w:tcPr>
            <w:tcW w:w="30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苏州市帆顺织染有限公司</w:t>
            </w:r>
          </w:p>
        </w:tc>
        <w:tc>
          <w:tcPr>
            <w:tcW w:w="11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5"/>
              <w:ind w:left="1" w:right="0"/>
              <w:jc w:val="center"/>
              <w:rPr>
                <w:rFonts w:ascii="Arial" w:hAnsi="Arial" w:cs="Arial" w:eastAsia="Arial" w:hint="default"/>
                <w:sz w:val="18"/>
                <w:szCs w:val="18"/>
              </w:rPr>
            </w:pPr>
            <w:r>
              <w:rPr>
                <w:rFonts w:ascii="Arial"/>
                <w:sz w:val="18"/>
              </w:rPr>
              <w:t>44,648.00</w:t>
            </w:r>
          </w:p>
        </w:tc>
        <w:tc>
          <w:tcPr>
            <w:tcW w:w="11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5"/>
              <w:ind w:right="1"/>
              <w:jc w:val="center"/>
              <w:rPr>
                <w:rFonts w:ascii="Arial" w:hAnsi="Arial" w:cs="Arial" w:eastAsia="Arial" w:hint="default"/>
                <w:sz w:val="18"/>
                <w:szCs w:val="18"/>
              </w:rPr>
            </w:pPr>
            <w:r>
              <w:rPr>
                <w:rFonts w:ascii="Arial"/>
                <w:sz w:val="18"/>
              </w:rPr>
              <w:t>44,648.00</w:t>
            </w:r>
          </w:p>
        </w:tc>
        <w:tc>
          <w:tcPr>
            <w:tcW w:w="13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5"/>
              <w:ind w:left="1" w:right="0"/>
              <w:jc w:val="center"/>
              <w:rPr>
                <w:rFonts w:ascii="Arial" w:hAnsi="Arial" w:cs="Arial" w:eastAsia="Arial" w:hint="default"/>
                <w:sz w:val="18"/>
                <w:szCs w:val="18"/>
              </w:rPr>
            </w:pPr>
            <w:r>
              <w:rPr>
                <w:rFonts w:ascii="Arial"/>
                <w:sz w:val="18"/>
              </w:rPr>
              <w:t>100.00</w:t>
            </w:r>
          </w:p>
        </w:tc>
        <w:tc>
          <w:tcPr>
            <w:tcW w:w="161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诉讼索赔结束</w:t>
            </w:r>
          </w:p>
        </w:tc>
      </w:tr>
      <w:tr>
        <w:trPr>
          <w:trHeight w:val="475" w:hRule="exact"/>
        </w:trPr>
        <w:tc>
          <w:tcPr>
            <w:tcW w:w="30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4"/>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1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606,554.51</w:t>
            </w:r>
          </w:p>
        </w:tc>
        <w:tc>
          <w:tcPr>
            <w:tcW w:w="11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606,554.51</w:t>
            </w:r>
          </w:p>
        </w:tc>
        <w:tc>
          <w:tcPr>
            <w:tcW w:w="1375" w:type="dxa"/>
            <w:tcBorders>
              <w:top w:val="single" w:sz="12" w:space="0" w:color="000000"/>
              <w:left w:val="single" w:sz="12" w:space="0" w:color="000000"/>
              <w:bottom w:val="single" w:sz="12" w:space="0" w:color="000000"/>
              <w:right w:val="single" w:sz="12" w:space="0" w:color="000000"/>
            </w:tcBorders>
          </w:tcPr>
          <w:p>
            <w:pPr/>
          </w:p>
        </w:tc>
        <w:tc>
          <w:tcPr>
            <w:tcW w:w="1615" w:type="dxa"/>
            <w:tcBorders>
              <w:top w:val="single" w:sz="12" w:space="0" w:color="000000"/>
              <w:left w:val="single" w:sz="12" w:space="0" w:color="000000"/>
              <w:bottom w:val="single" w:sz="12" w:space="0" w:color="000000"/>
              <w:right w:val="single" w:sz="12" w:space="0" w:color="000000"/>
            </w:tcBorders>
          </w:tcPr>
          <w:p>
            <w:pPr/>
          </w:p>
        </w:tc>
      </w:tr>
    </w:tbl>
    <w:p>
      <w:pPr>
        <w:spacing w:line="240" w:lineRule="auto" w:before="12"/>
        <w:rPr>
          <w:rFonts w:ascii="宋体" w:hAnsi="宋体" w:cs="宋体" w:eastAsia="宋体" w:hint="default"/>
          <w:sz w:val="23"/>
          <w:szCs w:val="23"/>
        </w:rPr>
      </w:pPr>
    </w:p>
    <w:p>
      <w:pPr>
        <w:pStyle w:val="BodyText"/>
        <w:spacing w:line="240" w:lineRule="auto"/>
        <w:ind w:right="137"/>
        <w:jc w:val="left"/>
      </w:pPr>
      <w:r>
        <w:rPr>
          <w:rFonts w:ascii="Arial" w:hAnsi="Arial" w:cs="Arial" w:eastAsia="Arial" w:hint="default"/>
        </w:rPr>
        <w:t>6.5.4</w:t>
      </w:r>
      <w:r>
        <w:rPr>
          <w:rFonts w:ascii="Arial" w:hAnsi="Arial" w:cs="Arial" w:eastAsia="Arial" w:hint="default"/>
          <w:spacing w:val="-12"/>
        </w:rPr>
        <w:t> </w:t>
      </w:r>
      <w:r>
        <w:rPr/>
        <w:t>本报告期应收账款中无持有公司</w:t>
      </w:r>
      <w:r>
        <w:rPr>
          <w:spacing w:val="-58"/>
        </w:rPr>
        <w:t> </w:t>
      </w:r>
      <w:r>
        <w:rPr>
          <w:rFonts w:ascii="Arial" w:hAnsi="Arial" w:cs="Arial" w:eastAsia="Arial" w:hint="default"/>
        </w:rPr>
        <w:t>5</w:t>
      </w:r>
      <w:r>
        <w:rPr/>
        <w:t>％以上（含</w:t>
      </w:r>
      <w:r>
        <w:rPr>
          <w:spacing w:val="-58"/>
        </w:rPr>
        <w:t> </w:t>
      </w:r>
      <w:r>
        <w:rPr>
          <w:rFonts w:ascii="Arial" w:hAnsi="Arial" w:cs="Arial" w:eastAsia="Arial" w:hint="default"/>
        </w:rPr>
        <w:t>5</w:t>
      </w:r>
      <w:r>
        <w:rPr/>
        <w:t>％）表决权股份的股东单位欠款。</w:t>
      </w:r>
    </w:p>
    <w:p>
      <w:pPr>
        <w:pStyle w:val="BodyText"/>
        <w:spacing w:line="240" w:lineRule="auto" w:before="126"/>
        <w:ind w:right="137"/>
        <w:jc w:val="left"/>
      </w:pPr>
      <w:r>
        <w:rPr>
          <w:rFonts w:ascii="Arial" w:hAnsi="Arial" w:cs="Arial" w:eastAsia="Arial" w:hint="default"/>
        </w:rPr>
        <w:t>6.5.5</w:t>
      </w:r>
      <w:r>
        <w:rPr>
          <w:rFonts w:ascii="Arial" w:hAnsi="Arial" w:cs="Arial" w:eastAsia="Arial" w:hint="default"/>
          <w:spacing w:val="44"/>
        </w:rPr>
        <w:t> </w:t>
      </w:r>
      <w:r>
        <w:rPr/>
        <w:t>应收账款余额前五名单位情况</w:t>
      </w:r>
    </w:p>
    <w:p>
      <w:pPr>
        <w:spacing w:line="240" w:lineRule="auto" w:before="3"/>
        <w:rPr>
          <w:rFonts w:ascii="宋体" w:hAnsi="宋体" w:cs="宋体" w:eastAsia="宋体" w:hint="default"/>
          <w:sz w:val="12"/>
          <w:szCs w:val="12"/>
        </w:rPr>
      </w:pPr>
    </w:p>
    <w:tbl>
      <w:tblPr>
        <w:tblW w:w="0" w:type="auto"/>
        <w:jc w:val="left"/>
        <w:tblInd w:w="255" w:type="dxa"/>
        <w:tblLayout w:type="fixed"/>
        <w:tblCellMar>
          <w:top w:w="0" w:type="dxa"/>
          <w:left w:w="0" w:type="dxa"/>
          <w:bottom w:w="0" w:type="dxa"/>
          <w:right w:w="0" w:type="dxa"/>
        </w:tblCellMar>
        <w:tblLook w:val="01E0"/>
      </w:tblPr>
      <w:tblGrid>
        <w:gridCol w:w="2815"/>
        <w:gridCol w:w="1517"/>
        <w:gridCol w:w="1577"/>
        <w:gridCol w:w="1135"/>
        <w:gridCol w:w="1332"/>
      </w:tblGrid>
      <w:tr>
        <w:trPr>
          <w:trHeight w:val="636" w:hRule="exact"/>
        </w:trPr>
        <w:tc>
          <w:tcPr>
            <w:tcW w:w="281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1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5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3"/>
              <w:ind w:right="101"/>
              <w:jc w:val="center"/>
              <w:rPr>
                <w:rFonts w:ascii="宋体" w:hAnsi="宋体" w:cs="宋体" w:eastAsia="宋体" w:hint="default"/>
                <w:sz w:val="18"/>
                <w:szCs w:val="18"/>
              </w:rPr>
            </w:pPr>
            <w:r>
              <w:rPr>
                <w:rFonts w:ascii="宋体" w:hAnsi="宋体" w:cs="宋体" w:eastAsia="宋体" w:hint="default"/>
                <w:sz w:val="18"/>
                <w:szCs w:val="18"/>
              </w:rPr>
              <w:t>金额</w:t>
            </w:r>
          </w:p>
        </w:tc>
        <w:tc>
          <w:tcPr>
            <w:tcW w:w="11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332"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占应收账款总</w:t>
            </w:r>
          </w:p>
          <w:p>
            <w:pPr>
              <w:pStyle w:val="TableParagraph"/>
              <w:spacing w:line="240" w:lineRule="auto" w:before="67"/>
              <w:ind w:right="0"/>
              <w:jc w:val="center"/>
              <w:rPr>
                <w:rFonts w:ascii="Arial" w:hAnsi="Arial" w:cs="Arial" w:eastAsia="Arial" w:hint="default"/>
                <w:sz w:val="18"/>
                <w:szCs w:val="18"/>
              </w:rPr>
            </w:pPr>
            <w:r>
              <w:rPr>
                <w:rFonts w:ascii="宋体" w:hAnsi="宋体" w:cs="宋体" w:eastAsia="宋体" w:hint="default"/>
                <w:sz w:val="18"/>
                <w:szCs w:val="18"/>
              </w:rPr>
              <w:t>额比例</w:t>
            </w:r>
            <w:r>
              <w:rPr>
                <w:rFonts w:ascii="Arial" w:hAnsi="Arial" w:cs="Arial" w:eastAsia="Arial" w:hint="default"/>
                <w:sz w:val="18"/>
                <w:szCs w:val="18"/>
              </w:rPr>
              <w:t>(%)</w:t>
            </w:r>
          </w:p>
        </w:tc>
      </w:tr>
      <w:tr>
        <w:trPr>
          <w:trHeight w:val="334" w:hRule="exact"/>
        </w:trPr>
        <w:tc>
          <w:tcPr>
            <w:tcW w:w="2815"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汕头市龙凤印染有限公司</w:t>
            </w:r>
          </w:p>
        </w:tc>
        <w:tc>
          <w:tcPr>
            <w:tcW w:w="1517"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5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245"/>
              <w:jc w:val="right"/>
              <w:rPr>
                <w:rFonts w:ascii="Arial" w:hAnsi="Arial" w:cs="Arial" w:eastAsia="Arial" w:hint="default"/>
                <w:sz w:val="18"/>
                <w:szCs w:val="18"/>
              </w:rPr>
            </w:pPr>
            <w:r>
              <w:rPr>
                <w:rFonts w:ascii="Arial"/>
                <w:spacing w:val="-1"/>
                <w:sz w:val="18"/>
              </w:rPr>
              <w:t>3,188,200.00</w:t>
            </w:r>
          </w:p>
        </w:tc>
        <w:tc>
          <w:tcPr>
            <w:tcW w:w="1135" w:type="dxa"/>
            <w:tcBorders>
              <w:top w:val="single" w:sz="12" w:space="0" w:color="000000"/>
              <w:left w:val="single" w:sz="12" w:space="0" w:color="000000"/>
              <w:bottom w:val="single" w:sz="12" w:space="0" w:color="000000"/>
              <w:right w:val="single" w:sz="12" w:space="0" w:color="000000"/>
            </w:tcBorders>
          </w:tcPr>
          <w:p>
            <w:pPr>
              <w:pStyle w:val="TableParagraph"/>
              <w:spacing w:line="221" w:lineRule="exact"/>
              <w:ind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年以内</w:t>
            </w:r>
          </w:p>
        </w:tc>
        <w:tc>
          <w:tcPr>
            <w:tcW w:w="133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3"/>
              <w:jc w:val="center"/>
              <w:rPr>
                <w:rFonts w:ascii="Arial" w:hAnsi="Arial" w:cs="Arial" w:eastAsia="Arial" w:hint="default"/>
                <w:sz w:val="18"/>
                <w:szCs w:val="18"/>
              </w:rPr>
            </w:pPr>
            <w:r>
              <w:rPr>
                <w:rFonts w:ascii="Arial"/>
                <w:sz w:val="18"/>
              </w:rPr>
              <w:t>6.97</w:t>
            </w:r>
          </w:p>
        </w:tc>
      </w:tr>
      <w:tr>
        <w:trPr>
          <w:trHeight w:val="334" w:hRule="exact"/>
        </w:trPr>
        <w:tc>
          <w:tcPr>
            <w:tcW w:w="2815"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绍兴县建利印染有限公司</w:t>
            </w:r>
          </w:p>
        </w:tc>
        <w:tc>
          <w:tcPr>
            <w:tcW w:w="1517"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5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245"/>
              <w:jc w:val="right"/>
              <w:rPr>
                <w:rFonts w:ascii="Arial" w:hAnsi="Arial" w:cs="Arial" w:eastAsia="Arial" w:hint="default"/>
                <w:sz w:val="18"/>
                <w:szCs w:val="18"/>
              </w:rPr>
            </w:pPr>
            <w:r>
              <w:rPr>
                <w:rFonts w:ascii="Arial"/>
                <w:spacing w:val="-1"/>
                <w:sz w:val="18"/>
              </w:rPr>
              <w:t>2,420,575.00</w:t>
            </w:r>
          </w:p>
        </w:tc>
        <w:tc>
          <w:tcPr>
            <w:tcW w:w="1135" w:type="dxa"/>
            <w:tcBorders>
              <w:top w:val="single" w:sz="12" w:space="0" w:color="000000"/>
              <w:left w:val="single" w:sz="12" w:space="0" w:color="000000"/>
              <w:bottom w:val="single" w:sz="12" w:space="0" w:color="000000"/>
              <w:right w:val="single" w:sz="12" w:space="0" w:color="000000"/>
            </w:tcBorders>
          </w:tcPr>
          <w:p>
            <w:pPr>
              <w:pStyle w:val="TableParagraph"/>
              <w:spacing w:line="221" w:lineRule="exact"/>
              <w:ind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年以内</w:t>
            </w:r>
          </w:p>
        </w:tc>
        <w:tc>
          <w:tcPr>
            <w:tcW w:w="133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3"/>
              <w:jc w:val="center"/>
              <w:rPr>
                <w:rFonts w:ascii="Arial" w:hAnsi="Arial" w:cs="Arial" w:eastAsia="Arial" w:hint="default"/>
                <w:sz w:val="18"/>
                <w:szCs w:val="18"/>
              </w:rPr>
            </w:pPr>
            <w:r>
              <w:rPr>
                <w:rFonts w:ascii="Arial"/>
                <w:sz w:val="18"/>
              </w:rPr>
              <w:t>5.29</w:t>
            </w:r>
          </w:p>
        </w:tc>
      </w:tr>
      <w:tr>
        <w:trPr>
          <w:trHeight w:val="334" w:hRule="exact"/>
        </w:trPr>
        <w:tc>
          <w:tcPr>
            <w:tcW w:w="2815"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浙江稽山特宽幅印花有限公司</w:t>
            </w:r>
          </w:p>
        </w:tc>
        <w:tc>
          <w:tcPr>
            <w:tcW w:w="1517"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5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245"/>
              <w:jc w:val="right"/>
              <w:rPr>
                <w:rFonts w:ascii="Arial" w:hAnsi="Arial" w:cs="Arial" w:eastAsia="Arial" w:hint="default"/>
                <w:sz w:val="18"/>
                <w:szCs w:val="18"/>
              </w:rPr>
            </w:pPr>
            <w:r>
              <w:rPr>
                <w:rFonts w:ascii="Arial"/>
                <w:spacing w:val="-1"/>
                <w:sz w:val="18"/>
              </w:rPr>
              <w:t>1,658,760.00</w:t>
            </w:r>
          </w:p>
        </w:tc>
        <w:tc>
          <w:tcPr>
            <w:tcW w:w="1135" w:type="dxa"/>
            <w:tcBorders>
              <w:top w:val="single" w:sz="12" w:space="0" w:color="000000"/>
              <w:left w:val="single" w:sz="12" w:space="0" w:color="000000"/>
              <w:bottom w:val="single" w:sz="12" w:space="0" w:color="000000"/>
              <w:right w:val="single" w:sz="12" w:space="0" w:color="000000"/>
            </w:tcBorders>
          </w:tcPr>
          <w:p>
            <w:pPr>
              <w:pStyle w:val="TableParagraph"/>
              <w:spacing w:line="221" w:lineRule="exact"/>
              <w:ind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年以内</w:t>
            </w:r>
          </w:p>
        </w:tc>
        <w:tc>
          <w:tcPr>
            <w:tcW w:w="133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3"/>
              <w:jc w:val="center"/>
              <w:rPr>
                <w:rFonts w:ascii="Arial" w:hAnsi="Arial" w:cs="Arial" w:eastAsia="Arial" w:hint="default"/>
                <w:sz w:val="18"/>
                <w:szCs w:val="18"/>
              </w:rPr>
            </w:pPr>
            <w:r>
              <w:rPr>
                <w:rFonts w:ascii="Arial"/>
                <w:sz w:val="18"/>
              </w:rPr>
              <w:t>3.62</w:t>
            </w:r>
          </w:p>
        </w:tc>
      </w:tr>
      <w:tr>
        <w:trPr>
          <w:trHeight w:val="334" w:hRule="exact"/>
        </w:trPr>
        <w:tc>
          <w:tcPr>
            <w:tcW w:w="2815"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嘉兴富胜达染整有限公司</w:t>
            </w:r>
          </w:p>
        </w:tc>
        <w:tc>
          <w:tcPr>
            <w:tcW w:w="1517"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5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245"/>
              <w:jc w:val="right"/>
              <w:rPr>
                <w:rFonts w:ascii="Arial" w:hAnsi="Arial" w:cs="Arial" w:eastAsia="Arial" w:hint="default"/>
                <w:sz w:val="18"/>
                <w:szCs w:val="18"/>
              </w:rPr>
            </w:pPr>
            <w:r>
              <w:rPr>
                <w:rFonts w:ascii="Arial"/>
                <w:spacing w:val="-1"/>
                <w:sz w:val="18"/>
              </w:rPr>
              <w:t>1,260,627.33</w:t>
            </w:r>
          </w:p>
        </w:tc>
        <w:tc>
          <w:tcPr>
            <w:tcW w:w="1135" w:type="dxa"/>
            <w:tcBorders>
              <w:top w:val="single" w:sz="12" w:space="0" w:color="000000"/>
              <w:left w:val="single" w:sz="12" w:space="0" w:color="000000"/>
              <w:bottom w:val="single" w:sz="12" w:space="0" w:color="000000"/>
              <w:right w:val="single" w:sz="12" w:space="0" w:color="000000"/>
            </w:tcBorders>
          </w:tcPr>
          <w:p>
            <w:pPr>
              <w:pStyle w:val="TableParagraph"/>
              <w:spacing w:line="221" w:lineRule="exact"/>
              <w:ind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年以内</w:t>
            </w:r>
          </w:p>
        </w:tc>
        <w:tc>
          <w:tcPr>
            <w:tcW w:w="133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3"/>
              <w:jc w:val="center"/>
              <w:rPr>
                <w:rFonts w:ascii="Arial" w:hAnsi="Arial" w:cs="Arial" w:eastAsia="Arial" w:hint="default"/>
                <w:sz w:val="18"/>
                <w:szCs w:val="18"/>
              </w:rPr>
            </w:pPr>
            <w:r>
              <w:rPr>
                <w:rFonts w:ascii="Arial"/>
                <w:sz w:val="18"/>
              </w:rPr>
              <w:t>2.75</w:t>
            </w:r>
          </w:p>
        </w:tc>
      </w:tr>
      <w:tr>
        <w:trPr>
          <w:trHeight w:val="334" w:hRule="exact"/>
        </w:trPr>
        <w:tc>
          <w:tcPr>
            <w:tcW w:w="2815"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苏州金震纺织有限公司</w:t>
            </w:r>
          </w:p>
        </w:tc>
        <w:tc>
          <w:tcPr>
            <w:tcW w:w="1517"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5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245"/>
              <w:jc w:val="right"/>
              <w:rPr>
                <w:rFonts w:ascii="Arial" w:hAnsi="Arial" w:cs="Arial" w:eastAsia="Arial" w:hint="default"/>
                <w:sz w:val="18"/>
                <w:szCs w:val="18"/>
              </w:rPr>
            </w:pPr>
            <w:r>
              <w:rPr>
                <w:rFonts w:ascii="Arial"/>
                <w:spacing w:val="-1"/>
                <w:sz w:val="18"/>
              </w:rPr>
              <w:t>1,015,415.00</w:t>
            </w:r>
          </w:p>
        </w:tc>
        <w:tc>
          <w:tcPr>
            <w:tcW w:w="1135" w:type="dxa"/>
            <w:tcBorders>
              <w:top w:val="single" w:sz="12" w:space="0" w:color="000000"/>
              <w:left w:val="single" w:sz="12" w:space="0" w:color="000000"/>
              <w:bottom w:val="single" w:sz="12" w:space="0" w:color="000000"/>
              <w:right w:val="single" w:sz="12" w:space="0" w:color="000000"/>
            </w:tcBorders>
          </w:tcPr>
          <w:p>
            <w:pPr>
              <w:pStyle w:val="TableParagraph"/>
              <w:spacing w:line="221" w:lineRule="exact"/>
              <w:ind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年以内</w:t>
            </w:r>
          </w:p>
        </w:tc>
        <w:tc>
          <w:tcPr>
            <w:tcW w:w="133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3"/>
              <w:jc w:val="center"/>
              <w:rPr>
                <w:rFonts w:ascii="Arial" w:hAnsi="Arial" w:cs="Arial" w:eastAsia="Arial" w:hint="default"/>
                <w:sz w:val="18"/>
                <w:szCs w:val="18"/>
              </w:rPr>
            </w:pPr>
            <w:r>
              <w:rPr>
                <w:rFonts w:ascii="Arial"/>
                <w:sz w:val="18"/>
              </w:rPr>
              <w:t>2.22</w:t>
            </w:r>
          </w:p>
        </w:tc>
      </w:tr>
      <w:tr>
        <w:trPr>
          <w:trHeight w:val="334" w:hRule="exact"/>
        </w:trPr>
        <w:tc>
          <w:tcPr>
            <w:tcW w:w="2815"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17" w:type="dxa"/>
            <w:tcBorders>
              <w:top w:val="single" w:sz="12" w:space="0" w:color="000000"/>
              <w:left w:val="single" w:sz="12" w:space="0" w:color="000000"/>
              <w:bottom w:val="single" w:sz="12" w:space="0" w:color="000000"/>
              <w:right w:val="single" w:sz="12" w:space="0" w:color="000000"/>
            </w:tcBorders>
          </w:tcPr>
          <w:p>
            <w:pPr/>
          </w:p>
        </w:tc>
        <w:tc>
          <w:tcPr>
            <w:tcW w:w="15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245"/>
              <w:jc w:val="right"/>
              <w:rPr>
                <w:rFonts w:ascii="Arial" w:hAnsi="Arial" w:cs="Arial" w:eastAsia="Arial" w:hint="default"/>
                <w:sz w:val="18"/>
                <w:szCs w:val="18"/>
              </w:rPr>
            </w:pPr>
            <w:r>
              <w:rPr>
                <w:rFonts w:ascii="Arial"/>
                <w:spacing w:val="-1"/>
                <w:sz w:val="18"/>
              </w:rPr>
              <w:t>9,543,577.33</w:t>
            </w:r>
          </w:p>
        </w:tc>
        <w:tc>
          <w:tcPr>
            <w:tcW w:w="1135" w:type="dxa"/>
            <w:tcBorders>
              <w:top w:val="single" w:sz="12" w:space="0" w:color="000000"/>
              <w:left w:val="single" w:sz="12" w:space="0" w:color="000000"/>
              <w:bottom w:val="single" w:sz="12" w:space="0" w:color="000000"/>
              <w:right w:val="single" w:sz="12" w:space="0" w:color="000000"/>
            </w:tcBorders>
          </w:tcPr>
          <w:p>
            <w:pPr/>
          </w:p>
        </w:tc>
        <w:tc>
          <w:tcPr>
            <w:tcW w:w="133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3"/>
              <w:jc w:val="center"/>
              <w:rPr>
                <w:rFonts w:ascii="Arial" w:hAnsi="Arial" w:cs="Arial" w:eastAsia="Arial" w:hint="default"/>
                <w:sz w:val="18"/>
                <w:szCs w:val="18"/>
              </w:rPr>
            </w:pPr>
            <w:r>
              <w:rPr>
                <w:rFonts w:ascii="Arial"/>
                <w:sz w:val="18"/>
              </w:rPr>
              <w:t>20.85</w:t>
            </w:r>
          </w:p>
        </w:tc>
      </w:tr>
    </w:tbl>
    <w:p>
      <w:pPr>
        <w:spacing w:line="240" w:lineRule="auto" w:before="12"/>
        <w:rPr>
          <w:rFonts w:ascii="宋体" w:hAnsi="宋体" w:cs="宋体" w:eastAsia="宋体" w:hint="default"/>
          <w:sz w:val="23"/>
          <w:szCs w:val="23"/>
        </w:rPr>
      </w:pPr>
    </w:p>
    <w:p>
      <w:pPr>
        <w:pStyle w:val="BodyText"/>
        <w:spacing w:line="240" w:lineRule="auto"/>
        <w:ind w:right="137"/>
        <w:jc w:val="left"/>
      </w:pPr>
      <w:r>
        <w:rPr>
          <w:rFonts w:ascii="Arial" w:hAnsi="Arial" w:cs="Arial" w:eastAsia="Arial" w:hint="default"/>
        </w:rPr>
        <w:t>6.6</w:t>
      </w:r>
      <w:r>
        <w:rPr>
          <w:rFonts w:ascii="Arial" w:hAnsi="Arial" w:cs="Arial" w:eastAsia="Arial" w:hint="default"/>
          <w:spacing w:val="-6"/>
        </w:rPr>
        <w:t> </w:t>
      </w:r>
      <w:r>
        <w:rPr/>
        <w:t>其他应收款</w:t>
      </w:r>
    </w:p>
    <w:p>
      <w:pPr>
        <w:pStyle w:val="BodyText"/>
        <w:spacing w:line="240" w:lineRule="auto" w:before="123"/>
        <w:ind w:right="137"/>
        <w:jc w:val="left"/>
      </w:pPr>
      <w:r>
        <w:rPr>
          <w:rFonts w:ascii="Arial" w:hAnsi="Arial" w:cs="Arial" w:eastAsia="Arial" w:hint="default"/>
        </w:rPr>
        <w:t>6.6.1</w:t>
      </w:r>
      <w:r>
        <w:rPr>
          <w:rFonts w:ascii="Arial" w:hAnsi="Arial" w:cs="Arial" w:eastAsia="Arial" w:hint="default"/>
          <w:spacing w:val="44"/>
        </w:rPr>
        <w:t> </w:t>
      </w:r>
      <w:r>
        <w:rPr/>
        <w:t>其他应收款按种类分析如下：</w:t>
      </w:r>
    </w:p>
    <w:p>
      <w:pPr>
        <w:spacing w:line="240" w:lineRule="auto" w:before="3"/>
        <w:rPr>
          <w:rFonts w:ascii="宋体" w:hAnsi="宋体" w:cs="宋体" w:eastAsia="宋体" w:hint="default"/>
          <w:sz w:val="12"/>
          <w:szCs w:val="12"/>
        </w:rPr>
      </w:pPr>
    </w:p>
    <w:tbl>
      <w:tblPr>
        <w:tblW w:w="0" w:type="auto"/>
        <w:jc w:val="left"/>
        <w:tblInd w:w="154" w:type="dxa"/>
        <w:tblLayout w:type="fixed"/>
        <w:tblCellMar>
          <w:top w:w="0" w:type="dxa"/>
          <w:left w:w="0" w:type="dxa"/>
          <w:bottom w:w="0" w:type="dxa"/>
          <w:right w:w="0" w:type="dxa"/>
        </w:tblCellMar>
        <w:tblLook w:val="01E0"/>
      </w:tblPr>
      <w:tblGrid>
        <w:gridCol w:w="3324"/>
        <w:gridCol w:w="1658"/>
        <w:gridCol w:w="970"/>
        <w:gridCol w:w="1654"/>
        <w:gridCol w:w="974"/>
      </w:tblGrid>
      <w:tr>
        <w:trPr>
          <w:trHeight w:val="389" w:hRule="exact"/>
        </w:trPr>
        <w:tc>
          <w:tcPr>
            <w:tcW w:w="3324" w:type="dxa"/>
            <w:vMerge w:val="restart"/>
            <w:tcBorders>
              <w:top w:val="single" w:sz="12" w:space="0" w:color="000000"/>
              <w:left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256" w:type="dxa"/>
            <w:gridSpan w:val="4"/>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89" w:hRule="exact"/>
        </w:trPr>
        <w:tc>
          <w:tcPr>
            <w:tcW w:w="3324" w:type="dxa"/>
            <w:vMerge/>
            <w:tcBorders>
              <w:left w:val="single" w:sz="12" w:space="0" w:color="000000"/>
              <w:right w:val="single" w:sz="12" w:space="0" w:color="000000"/>
            </w:tcBorders>
          </w:tcPr>
          <w:p>
            <w:pPr/>
          </w:p>
        </w:tc>
        <w:tc>
          <w:tcPr>
            <w:tcW w:w="2628"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28"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89" w:hRule="exact"/>
        </w:trPr>
        <w:tc>
          <w:tcPr>
            <w:tcW w:w="3324" w:type="dxa"/>
            <w:vMerge/>
            <w:tcBorders>
              <w:left w:val="single" w:sz="12" w:space="0" w:color="000000"/>
              <w:bottom w:val="single" w:sz="12" w:space="0" w:color="000000"/>
              <w:right w:val="single" w:sz="12" w:space="0" w:color="000000"/>
            </w:tcBorders>
          </w:tcPr>
          <w:p>
            <w:pPr/>
          </w:p>
        </w:tc>
        <w:tc>
          <w:tcPr>
            <w:tcW w:w="16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left="57"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6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left="52"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746" w:hRule="exact"/>
        </w:trPr>
        <w:tc>
          <w:tcPr>
            <w:tcW w:w="3324" w:type="dxa"/>
            <w:tcBorders>
              <w:top w:val="single" w:sz="12" w:space="0" w:color="000000"/>
              <w:left w:val="single" w:sz="12" w:space="0" w:color="000000"/>
              <w:bottom w:val="single" w:sz="12" w:space="0" w:color="000000"/>
              <w:right w:val="single" w:sz="12" w:space="0" w:color="000000"/>
            </w:tcBorders>
          </w:tcPr>
          <w:p>
            <w:pPr>
              <w:pStyle w:val="TableParagraph"/>
              <w:spacing w:line="367" w:lineRule="auto" w:before="34"/>
              <w:ind w:left="93" w:right="94"/>
              <w:jc w:val="left"/>
              <w:rPr>
                <w:rFonts w:ascii="宋体" w:hAnsi="宋体" w:cs="宋体" w:eastAsia="宋体" w:hint="default"/>
                <w:sz w:val="18"/>
                <w:szCs w:val="18"/>
              </w:rPr>
            </w:pPr>
            <w:r>
              <w:rPr>
                <w:rFonts w:ascii="宋体" w:hAnsi="宋体" w:cs="宋体" w:eastAsia="宋体" w:hint="default"/>
                <w:spacing w:val="2"/>
                <w:sz w:val="18"/>
                <w:szCs w:val="18"/>
              </w:rPr>
              <w:t>单项金额重大并单项计提坏账准备的其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他应收款</w:t>
            </w:r>
          </w:p>
        </w:tc>
        <w:tc>
          <w:tcPr>
            <w:tcW w:w="16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w w:val="99"/>
                <w:sz w:val="18"/>
              </w:rPr>
              <w:t>-</w:t>
            </w:r>
            <w:r>
              <w:rPr>
                <w:rFonts w:ascii="宋体"/>
                <w:sz w:val="18"/>
              </w:rPr>
            </w:r>
          </w:p>
        </w:tc>
        <w:tc>
          <w:tcPr>
            <w:tcW w:w="9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w w:val="99"/>
                <w:sz w:val="18"/>
              </w:rPr>
              <w:t>-</w:t>
            </w:r>
            <w:r>
              <w:rPr>
                <w:rFonts w:ascii="宋体"/>
                <w:sz w:val="18"/>
              </w:rPr>
            </w:r>
          </w:p>
        </w:tc>
        <w:tc>
          <w:tcPr>
            <w:tcW w:w="16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w w:val="99"/>
                <w:sz w:val="18"/>
              </w:rPr>
              <w:t>-</w:t>
            </w:r>
            <w:r>
              <w:rPr>
                <w:rFonts w:ascii="宋体"/>
                <w:sz w:val="18"/>
              </w:rPr>
            </w:r>
          </w:p>
        </w:tc>
        <w:tc>
          <w:tcPr>
            <w:tcW w:w="9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4"/>
              <w:jc w:val="center"/>
              <w:rPr>
                <w:rFonts w:ascii="宋体" w:hAnsi="宋体" w:cs="宋体" w:eastAsia="宋体" w:hint="default"/>
                <w:sz w:val="18"/>
                <w:szCs w:val="18"/>
              </w:rPr>
            </w:pPr>
            <w:r>
              <w:rPr>
                <w:rFonts w:ascii="宋体"/>
                <w:w w:val="99"/>
                <w:sz w:val="18"/>
              </w:rPr>
              <w:t>-</w:t>
            </w:r>
            <w:r>
              <w:rPr>
                <w:rFonts w:ascii="宋体"/>
                <w:sz w:val="18"/>
              </w:rPr>
            </w:r>
          </w:p>
        </w:tc>
      </w:tr>
    </w:tbl>
    <w:p>
      <w:pPr>
        <w:spacing w:after="0" w:line="240" w:lineRule="auto"/>
        <w:jc w:val="center"/>
        <w:rPr>
          <w:rFonts w:ascii="宋体" w:hAnsi="宋体" w:cs="宋体" w:eastAsia="宋体" w:hint="default"/>
          <w:sz w:val="18"/>
          <w:szCs w:val="18"/>
        </w:rPr>
        <w:sectPr>
          <w:pgSz w:w="11900" w:h="16840"/>
          <w:pgMar w:header="0" w:footer="983" w:top="1100" w:bottom="1180" w:left="1660" w:right="1320"/>
        </w:sectPr>
      </w:pPr>
    </w:p>
    <w:p>
      <w:pPr>
        <w:spacing w:line="240" w:lineRule="auto" w:before="8"/>
        <w:rPr>
          <w:rFonts w:ascii="宋体" w:hAnsi="宋体" w:cs="宋体" w:eastAsia="宋体" w:hint="default"/>
          <w:sz w:val="24"/>
          <w:szCs w:val="24"/>
        </w:rPr>
      </w:pPr>
    </w:p>
    <w:tbl>
      <w:tblPr>
        <w:tblW w:w="0" w:type="auto"/>
        <w:jc w:val="left"/>
        <w:tblInd w:w="154" w:type="dxa"/>
        <w:tblLayout w:type="fixed"/>
        <w:tblCellMar>
          <w:top w:w="0" w:type="dxa"/>
          <w:left w:w="0" w:type="dxa"/>
          <w:bottom w:w="0" w:type="dxa"/>
          <w:right w:w="0" w:type="dxa"/>
        </w:tblCellMar>
        <w:tblLook w:val="01E0"/>
      </w:tblPr>
      <w:tblGrid>
        <w:gridCol w:w="3324"/>
        <w:gridCol w:w="1658"/>
        <w:gridCol w:w="970"/>
        <w:gridCol w:w="1654"/>
        <w:gridCol w:w="974"/>
      </w:tblGrid>
      <w:tr>
        <w:trPr>
          <w:trHeight w:val="389" w:hRule="exact"/>
        </w:trPr>
        <w:tc>
          <w:tcPr>
            <w:tcW w:w="332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left="93"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1658" w:type="dxa"/>
            <w:tcBorders>
              <w:top w:val="single" w:sz="12" w:space="0" w:color="000000"/>
              <w:left w:val="single" w:sz="12" w:space="0" w:color="000000"/>
              <w:bottom w:val="single" w:sz="12" w:space="0" w:color="000000"/>
              <w:right w:val="single" w:sz="12" w:space="0" w:color="000000"/>
            </w:tcBorders>
          </w:tcPr>
          <w:p>
            <w:pPr/>
          </w:p>
        </w:tc>
        <w:tc>
          <w:tcPr>
            <w:tcW w:w="970" w:type="dxa"/>
            <w:tcBorders>
              <w:top w:val="single" w:sz="12" w:space="0" w:color="000000"/>
              <w:left w:val="single" w:sz="12" w:space="0" w:color="000000"/>
              <w:bottom w:val="single" w:sz="12" w:space="0" w:color="000000"/>
              <w:right w:val="single" w:sz="12" w:space="0" w:color="000000"/>
            </w:tcBorders>
          </w:tcPr>
          <w:p>
            <w:pPr/>
          </w:p>
        </w:tc>
        <w:tc>
          <w:tcPr>
            <w:tcW w:w="1654" w:type="dxa"/>
            <w:tcBorders>
              <w:top w:val="single" w:sz="12" w:space="0" w:color="000000"/>
              <w:left w:val="single" w:sz="12" w:space="0" w:color="000000"/>
              <w:bottom w:val="single" w:sz="12" w:space="0" w:color="000000"/>
              <w:right w:val="single" w:sz="12" w:space="0" w:color="000000"/>
            </w:tcBorders>
          </w:tcPr>
          <w:p>
            <w:pPr/>
          </w:p>
        </w:tc>
        <w:tc>
          <w:tcPr>
            <w:tcW w:w="974" w:type="dxa"/>
            <w:tcBorders>
              <w:top w:val="single" w:sz="12" w:space="0" w:color="000000"/>
              <w:left w:val="single" w:sz="12" w:space="0" w:color="000000"/>
              <w:bottom w:val="single" w:sz="12" w:space="0" w:color="000000"/>
              <w:right w:val="single" w:sz="12" w:space="0" w:color="000000"/>
            </w:tcBorders>
          </w:tcPr>
          <w:p>
            <w:pPr/>
          </w:p>
        </w:tc>
      </w:tr>
      <w:tr>
        <w:trPr>
          <w:trHeight w:val="389" w:hRule="exact"/>
        </w:trPr>
        <w:tc>
          <w:tcPr>
            <w:tcW w:w="332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left="93" w:right="0"/>
              <w:jc w:val="left"/>
              <w:rPr>
                <w:rFonts w:ascii="宋体" w:hAnsi="宋体" w:cs="宋体" w:eastAsia="宋体" w:hint="default"/>
                <w:sz w:val="18"/>
                <w:szCs w:val="18"/>
              </w:rPr>
            </w:pPr>
            <w:r>
              <w:rPr>
                <w:rFonts w:ascii="宋体" w:hAnsi="宋体" w:cs="宋体" w:eastAsia="宋体" w:hint="default"/>
                <w:sz w:val="18"/>
                <w:szCs w:val="18"/>
              </w:rPr>
              <w:t>（1）按款项账龄的组合</w:t>
            </w:r>
          </w:p>
        </w:tc>
        <w:tc>
          <w:tcPr>
            <w:tcW w:w="16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sz w:val="18"/>
              </w:rPr>
              <w:t>1,304,524.01</w:t>
            </w:r>
          </w:p>
        </w:tc>
        <w:tc>
          <w:tcPr>
            <w:tcW w:w="9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sz w:val="18"/>
              </w:rPr>
              <w:t>100.00</w:t>
            </w:r>
          </w:p>
        </w:tc>
        <w:tc>
          <w:tcPr>
            <w:tcW w:w="16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sz w:val="18"/>
              </w:rPr>
              <w:t>47,019.49</w:t>
            </w:r>
          </w:p>
        </w:tc>
        <w:tc>
          <w:tcPr>
            <w:tcW w:w="9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sz w:val="18"/>
              </w:rPr>
              <w:t>3.60</w:t>
            </w:r>
          </w:p>
        </w:tc>
      </w:tr>
      <w:tr>
        <w:trPr>
          <w:trHeight w:val="389" w:hRule="exact"/>
        </w:trPr>
        <w:tc>
          <w:tcPr>
            <w:tcW w:w="332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left="93" w:right="0"/>
              <w:jc w:val="left"/>
              <w:rPr>
                <w:rFonts w:ascii="宋体" w:hAnsi="宋体" w:cs="宋体" w:eastAsia="宋体" w:hint="default"/>
                <w:sz w:val="18"/>
                <w:szCs w:val="18"/>
              </w:rPr>
            </w:pPr>
            <w:r>
              <w:rPr>
                <w:rFonts w:ascii="宋体" w:hAnsi="宋体" w:cs="宋体" w:eastAsia="宋体" w:hint="default"/>
                <w:sz w:val="18"/>
                <w:szCs w:val="18"/>
              </w:rPr>
              <w:t>（2）按款项性质的组合</w:t>
            </w:r>
          </w:p>
        </w:tc>
        <w:tc>
          <w:tcPr>
            <w:tcW w:w="16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w w:val="99"/>
                <w:sz w:val="18"/>
              </w:rPr>
              <w:t>-</w:t>
            </w:r>
            <w:r>
              <w:rPr>
                <w:rFonts w:ascii="宋体"/>
                <w:sz w:val="18"/>
              </w:rPr>
            </w:r>
          </w:p>
        </w:tc>
        <w:tc>
          <w:tcPr>
            <w:tcW w:w="9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w w:val="99"/>
                <w:sz w:val="18"/>
              </w:rPr>
              <w:t>-</w:t>
            </w:r>
            <w:r>
              <w:rPr>
                <w:rFonts w:ascii="宋体"/>
                <w:sz w:val="18"/>
              </w:rPr>
            </w:r>
          </w:p>
        </w:tc>
        <w:tc>
          <w:tcPr>
            <w:tcW w:w="16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w w:val="99"/>
                <w:sz w:val="18"/>
              </w:rPr>
              <w:t>-</w:t>
            </w:r>
            <w:r>
              <w:rPr>
                <w:rFonts w:ascii="宋体"/>
                <w:sz w:val="18"/>
              </w:rPr>
            </w:r>
          </w:p>
        </w:tc>
        <w:tc>
          <w:tcPr>
            <w:tcW w:w="9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4"/>
              <w:jc w:val="center"/>
              <w:rPr>
                <w:rFonts w:ascii="宋体" w:hAnsi="宋体" w:cs="宋体" w:eastAsia="宋体" w:hint="default"/>
                <w:sz w:val="18"/>
                <w:szCs w:val="18"/>
              </w:rPr>
            </w:pPr>
            <w:r>
              <w:rPr>
                <w:rFonts w:ascii="宋体"/>
                <w:w w:val="99"/>
                <w:sz w:val="18"/>
              </w:rPr>
              <w:t>-</w:t>
            </w:r>
            <w:r>
              <w:rPr>
                <w:rFonts w:ascii="宋体"/>
                <w:sz w:val="18"/>
              </w:rPr>
            </w:r>
          </w:p>
        </w:tc>
      </w:tr>
      <w:tr>
        <w:trPr>
          <w:trHeight w:val="746" w:hRule="exact"/>
        </w:trPr>
        <w:tc>
          <w:tcPr>
            <w:tcW w:w="3324" w:type="dxa"/>
            <w:tcBorders>
              <w:top w:val="single" w:sz="12" w:space="0" w:color="000000"/>
              <w:left w:val="single" w:sz="12" w:space="0" w:color="000000"/>
              <w:bottom w:val="single" w:sz="12" w:space="0" w:color="000000"/>
              <w:right w:val="single" w:sz="12" w:space="0" w:color="000000"/>
            </w:tcBorders>
          </w:tcPr>
          <w:p>
            <w:pPr>
              <w:pStyle w:val="TableParagraph"/>
              <w:spacing w:line="364" w:lineRule="auto" w:before="34"/>
              <w:ind w:left="93" w:right="94"/>
              <w:jc w:val="left"/>
              <w:rPr>
                <w:rFonts w:ascii="宋体" w:hAnsi="宋体" w:cs="宋体" w:eastAsia="宋体" w:hint="default"/>
                <w:sz w:val="18"/>
                <w:szCs w:val="18"/>
              </w:rPr>
            </w:pPr>
            <w:r>
              <w:rPr>
                <w:rFonts w:ascii="宋体" w:hAnsi="宋体" w:cs="宋体" w:eastAsia="宋体" w:hint="default"/>
                <w:spacing w:val="2"/>
                <w:sz w:val="18"/>
                <w:szCs w:val="18"/>
              </w:rPr>
              <w:t>单项金额虽不重大但单项计提坏账准备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的其他应收款</w:t>
            </w:r>
          </w:p>
        </w:tc>
        <w:tc>
          <w:tcPr>
            <w:tcW w:w="16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w w:val="99"/>
                <w:sz w:val="18"/>
              </w:rPr>
              <w:t>-</w:t>
            </w:r>
            <w:r>
              <w:rPr>
                <w:rFonts w:ascii="宋体"/>
                <w:sz w:val="18"/>
              </w:rPr>
            </w:r>
          </w:p>
        </w:tc>
        <w:tc>
          <w:tcPr>
            <w:tcW w:w="9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w w:val="99"/>
                <w:sz w:val="18"/>
              </w:rPr>
              <w:t>-</w:t>
            </w:r>
            <w:r>
              <w:rPr>
                <w:rFonts w:ascii="宋体"/>
                <w:sz w:val="18"/>
              </w:rPr>
            </w:r>
          </w:p>
        </w:tc>
        <w:tc>
          <w:tcPr>
            <w:tcW w:w="16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w w:val="99"/>
                <w:sz w:val="18"/>
              </w:rPr>
              <w:t>-</w:t>
            </w:r>
            <w:r>
              <w:rPr>
                <w:rFonts w:ascii="宋体"/>
                <w:sz w:val="18"/>
              </w:rPr>
            </w:r>
          </w:p>
        </w:tc>
        <w:tc>
          <w:tcPr>
            <w:tcW w:w="9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4"/>
              <w:jc w:val="center"/>
              <w:rPr>
                <w:rFonts w:ascii="宋体" w:hAnsi="宋体" w:cs="宋体" w:eastAsia="宋体" w:hint="default"/>
                <w:sz w:val="18"/>
                <w:szCs w:val="18"/>
              </w:rPr>
            </w:pPr>
            <w:r>
              <w:rPr>
                <w:rFonts w:ascii="宋体"/>
                <w:w w:val="99"/>
                <w:sz w:val="18"/>
              </w:rPr>
              <w:t>-</w:t>
            </w:r>
            <w:r>
              <w:rPr>
                <w:rFonts w:ascii="宋体"/>
                <w:sz w:val="18"/>
              </w:rPr>
            </w:r>
          </w:p>
        </w:tc>
      </w:tr>
      <w:tr>
        <w:trPr>
          <w:trHeight w:val="389" w:hRule="exact"/>
        </w:trPr>
        <w:tc>
          <w:tcPr>
            <w:tcW w:w="332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sz w:val="18"/>
              </w:rPr>
              <w:t>1,304,524.01</w:t>
            </w:r>
          </w:p>
        </w:tc>
        <w:tc>
          <w:tcPr>
            <w:tcW w:w="9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sz w:val="18"/>
              </w:rPr>
              <w:t>100.00</w:t>
            </w:r>
          </w:p>
        </w:tc>
        <w:tc>
          <w:tcPr>
            <w:tcW w:w="16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sz w:val="18"/>
              </w:rPr>
              <w:t>47,019.49</w:t>
            </w:r>
          </w:p>
        </w:tc>
        <w:tc>
          <w:tcPr>
            <w:tcW w:w="9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sz w:val="18"/>
              </w:rPr>
              <w:t>3.60</w:t>
            </w:r>
          </w:p>
        </w:tc>
      </w:tr>
    </w:tbl>
    <w:p>
      <w:pPr>
        <w:spacing w:line="240" w:lineRule="auto" w:before="2"/>
        <w:rPr>
          <w:rFonts w:ascii="宋体" w:hAnsi="宋体" w:cs="宋体" w:eastAsia="宋体" w:hint="default"/>
          <w:sz w:val="29"/>
          <w:szCs w:val="29"/>
        </w:rPr>
      </w:pPr>
    </w:p>
    <w:tbl>
      <w:tblPr>
        <w:tblW w:w="0" w:type="auto"/>
        <w:jc w:val="left"/>
        <w:tblInd w:w="154" w:type="dxa"/>
        <w:tblLayout w:type="fixed"/>
        <w:tblCellMar>
          <w:top w:w="0" w:type="dxa"/>
          <w:left w:w="0" w:type="dxa"/>
          <w:bottom w:w="0" w:type="dxa"/>
          <w:right w:w="0" w:type="dxa"/>
        </w:tblCellMar>
        <w:tblLook w:val="01E0"/>
      </w:tblPr>
      <w:tblGrid>
        <w:gridCol w:w="3317"/>
        <w:gridCol w:w="1658"/>
        <w:gridCol w:w="970"/>
        <w:gridCol w:w="1658"/>
        <w:gridCol w:w="977"/>
      </w:tblGrid>
      <w:tr>
        <w:trPr>
          <w:trHeight w:val="437" w:hRule="exact"/>
        </w:trPr>
        <w:tc>
          <w:tcPr>
            <w:tcW w:w="3317" w:type="dxa"/>
            <w:tcBorders>
              <w:top w:val="single" w:sz="12" w:space="0" w:color="000000"/>
              <w:left w:val="single" w:sz="12" w:space="0" w:color="000000"/>
              <w:bottom w:val="single" w:sz="12" w:space="0" w:color="000000"/>
              <w:right w:val="single" w:sz="12" w:space="0" w:color="000000"/>
            </w:tcBorders>
          </w:tcPr>
          <w:p>
            <w:pPr/>
          </w:p>
        </w:tc>
        <w:tc>
          <w:tcPr>
            <w:tcW w:w="5263" w:type="dxa"/>
            <w:gridSpan w:val="4"/>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434" w:hRule="exact"/>
        </w:trPr>
        <w:tc>
          <w:tcPr>
            <w:tcW w:w="331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628"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35"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37" w:hRule="exact"/>
        </w:trPr>
        <w:tc>
          <w:tcPr>
            <w:tcW w:w="3317" w:type="dxa"/>
            <w:tcBorders>
              <w:top w:val="single" w:sz="12" w:space="0" w:color="000000"/>
              <w:left w:val="single" w:sz="12" w:space="0" w:color="000000"/>
              <w:bottom w:val="single" w:sz="12" w:space="0" w:color="000000"/>
              <w:right w:val="single" w:sz="12" w:space="0" w:color="000000"/>
            </w:tcBorders>
          </w:tcPr>
          <w:p>
            <w:pPr/>
          </w:p>
        </w:tc>
        <w:tc>
          <w:tcPr>
            <w:tcW w:w="16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left="91" w:right="0"/>
              <w:jc w:val="center"/>
              <w:rPr>
                <w:rFonts w:ascii="宋体" w:hAnsi="宋体" w:cs="宋体" w:eastAsia="宋体" w:hint="default"/>
                <w:sz w:val="18"/>
                <w:szCs w:val="18"/>
              </w:rPr>
            </w:pPr>
            <w:r>
              <w:rPr>
                <w:rFonts w:ascii="宋体" w:hAnsi="宋体" w:cs="宋体" w:eastAsia="宋体" w:hint="default"/>
                <w:spacing w:val="-8"/>
                <w:sz w:val="18"/>
                <w:szCs w:val="18"/>
              </w:rPr>
              <w:t>比例（</w:t>
            </w:r>
            <w:r>
              <w:rPr>
                <w:rFonts w:ascii="Arial" w:hAnsi="Arial" w:cs="Arial" w:eastAsia="Arial" w:hint="default"/>
                <w:spacing w:val="-8"/>
                <w:sz w:val="18"/>
                <w:szCs w:val="18"/>
              </w:rPr>
              <w:t>%</w:t>
            </w:r>
            <w:r>
              <w:rPr>
                <w:rFonts w:ascii="宋体" w:hAnsi="宋体" w:cs="宋体" w:eastAsia="宋体" w:hint="default"/>
                <w:spacing w:val="-8"/>
                <w:sz w:val="18"/>
                <w:szCs w:val="18"/>
              </w:rPr>
              <w:t>）</w:t>
            </w:r>
          </w:p>
        </w:tc>
        <w:tc>
          <w:tcPr>
            <w:tcW w:w="16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left="93" w:right="0"/>
              <w:jc w:val="left"/>
              <w:rPr>
                <w:rFonts w:ascii="宋体" w:hAnsi="宋体" w:cs="宋体" w:eastAsia="宋体" w:hint="default"/>
                <w:sz w:val="18"/>
                <w:szCs w:val="18"/>
              </w:rPr>
            </w:pPr>
            <w:r>
              <w:rPr>
                <w:rFonts w:ascii="宋体" w:hAnsi="宋体" w:cs="宋体" w:eastAsia="宋体" w:hint="default"/>
                <w:spacing w:val="-7"/>
                <w:sz w:val="18"/>
                <w:szCs w:val="18"/>
              </w:rPr>
              <w:t>比例（</w:t>
            </w:r>
            <w:r>
              <w:rPr>
                <w:rFonts w:ascii="Arial" w:hAnsi="Arial" w:cs="Arial" w:eastAsia="Arial" w:hint="default"/>
                <w:spacing w:val="-7"/>
                <w:sz w:val="18"/>
                <w:szCs w:val="18"/>
              </w:rPr>
              <w:t>%</w:t>
            </w:r>
            <w:r>
              <w:rPr>
                <w:rFonts w:ascii="宋体" w:hAnsi="宋体" w:cs="宋体" w:eastAsia="宋体" w:hint="default"/>
                <w:spacing w:val="-7"/>
                <w:sz w:val="18"/>
                <w:szCs w:val="18"/>
              </w:rPr>
              <w:t>）</w:t>
            </w:r>
          </w:p>
        </w:tc>
      </w:tr>
      <w:tr>
        <w:trPr>
          <w:trHeight w:val="840" w:hRule="exact"/>
        </w:trPr>
        <w:tc>
          <w:tcPr>
            <w:tcW w:w="3317" w:type="dxa"/>
            <w:tcBorders>
              <w:top w:val="single" w:sz="12" w:space="0" w:color="000000"/>
              <w:left w:val="single" w:sz="12" w:space="0" w:color="000000"/>
              <w:bottom w:val="single" w:sz="12" w:space="0" w:color="000000"/>
              <w:right w:val="single" w:sz="12" w:space="0" w:color="000000"/>
            </w:tcBorders>
          </w:tcPr>
          <w:p>
            <w:pPr>
              <w:pStyle w:val="TableParagraph"/>
              <w:spacing w:line="412" w:lineRule="auto" w:before="58"/>
              <w:ind w:left="93" w:right="91"/>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他应收款</w:t>
            </w:r>
          </w:p>
        </w:tc>
        <w:tc>
          <w:tcPr>
            <w:tcW w:w="16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9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16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9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
              <w:jc w:val="center"/>
              <w:rPr>
                <w:rFonts w:ascii="Arial" w:hAnsi="Arial" w:cs="Arial" w:eastAsia="Arial" w:hint="default"/>
                <w:sz w:val="18"/>
                <w:szCs w:val="18"/>
              </w:rPr>
            </w:pPr>
            <w:r>
              <w:rPr>
                <w:rFonts w:ascii="Arial"/>
                <w:w w:val="99"/>
                <w:sz w:val="18"/>
              </w:rPr>
              <w:t>-</w:t>
            </w:r>
            <w:r>
              <w:rPr>
                <w:rFonts w:ascii="Arial"/>
                <w:sz w:val="18"/>
              </w:rPr>
            </w:r>
          </w:p>
        </w:tc>
      </w:tr>
      <w:tr>
        <w:trPr>
          <w:trHeight w:val="437" w:hRule="exact"/>
        </w:trPr>
        <w:tc>
          <w:tcPr>
            <w:tcW w:w="331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left="93"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1658" w:type="dxa"/>
            <w:tcBorders>
              <w:top w:val="single" w:sz="12" w:space="0" w:color="000000"/>
              <w:left w:val="single" w:sz="12" w:space="0" w:color="000000"/>
              <w:bottom w:val="single" w:sz="12" w:space="0" w:color="000000"/>
              <w:right w:val="single" w:sz="12" w:space="0" w:color="000000"/>
            </w:tcBorders>
          </w:tcPr>
          <w:p>
            <w:pPr/>
          </w:p>
        </w:tc>
        <w:tc>
          <w:tcPr>
            <w:tcW w:w="970" w:type="dxa"/>
            <w:tcBorders>
              <w:top w:val="single" w:sz="12" w:space="0" w:color="000000"/>
              <w:left w:val="single" w:sz="12" w:space="0" w:color="000000"/>
              <w:bottom w:val="single" w:sz="12" w:space="0" w:color="000000"/>
              <w:right w:val="single" w:sz="12" w:space="0" w:color="000000"/>
            </w:tcBorders>
          </w:tcPr>
          <w:p>
            <w:pPr/>
          </w:p>
        </w:tc>
        <w:tc>
          <w:tcPr>
            <w:tcW w:w="1658" w:type="dxa"/>
            <w:tcBorders>
              <w:top w:val="single" w:sz="12" w:space="0" w:color="000000"/>
              <w:left w:val="single" w:sz="12" w:space="0" w:color="000000"/>
              <w:bottom w:val="single" w:sz="12" w:space="0" w:color="000000"/>
              <w:right w:val="single" w:sz="12" w:space="0" w:color="000000"/>
            </w:tcBorders>
          </w:tcPr>
          <w:p>
            <w:pPr/>
          </w:p>
        </w:tc>
        <w:tc>
          <w:tcPr>
            <w:tcW w:w="977" w:type="dxa"/>
            <w:tcBorders>
              <w:top w:val="single" w:sz="12" w:space="0" w:color="000000"/>
              <w:left w:val="single" w:sz="12" w:space="0" w:color="000000"/>
              <w:bottom w:val="single" w:sz="12" w:space="0" w:color="000000"/>
              <w:right w:val="single" w:sz="12" w:space="0" w:color="000000"/>
            </w:tcBorders>
          </w:tcPr>
          <w:p>
            <w:pPr/>
          </w:p>
        </w:tc>
      </w:tr>
      <w:tr>
        <w:trPr>
          <w:trHeight w:val="434" w:hRule="exact"/>
        </w:trPr>
        <w:tc>
          <w:tcPr>
            <w:tcW w:w="331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left="93"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）按款项账龄的组合</w:t>
            </w:r>
          </w:p>
        </w:tc>
        <w:tc>
          <w:tcPr>
            <w:tcW w:w="16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sz w:val="18"/>
              </w:rPr>
              <w:t>751,984.53</w:t>
            </w:r>
          </w:p>
        </w:tc>
        <w:tc>
          <w:tcPr>
            <w:tcW w:w="9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sz w:val="18"/>
              </w:rPr>
              <w:t>29.70</w:t>
            </w:r>
          </w:p>
        </w:tc>
        <w:tc>
          <w:tcPr>
            <w:tcW w:w="16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33,471.05</w:t>
            </w:r>
          </w:p>
        </w:tc>
        <w:tc>
          <w:tcPr>
            <w:tcW w:w="9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left="295" w:right="0"/>
              <w:jc w:val="left"/>
              <w:rPr>
                <w:rFonts w:ascii="Arial" w:hAnsi="Arial" w:cs="Arial" w:eastAsia="Arial" w:hint="default"/>
                <w:sz w:val="18"/>
                <w:szCs w:val="18"/>
              </w:rPr>
            </w:pPr>
            <w:r>
              <w:rPr>
                <w:rFonts w:ascii="Arial"/>
                <w:sz w:val="18"/>
              </w:rPr>
              <w:t>4.45</w:t>
            </w:r>
          </w:p>
        </w:tc>
      </w:tr>
      <w:tr>
        <w:trPr>
          <w:trHeight w:val="437" w:hRule="exact"/>
        </w:trPr>
        <w:tc>
          <w:tcPr>
            <w:tcW w:w="331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left="93"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2</w:t>
            </w:r>
            <w:r>
              <w:rPr>
                <w:rFonts w:ascii="宋体" w:hAnsi="宋体" w:cs="宋体" w:eastAsia="宋体" w:hint="default"/>
                <w:sz w:val="18"/>
                <w:szCs w:val="18"/>
              </w:rPr>
              <w:t>）按款项性质的组合</w:t>
            </w:r>
          </w:p>
        </w:tc>
        <w:tc>
          <w:tcPr>
            <w:tcW w:w="16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1,780,000.00</w:t>
            </w:r>
          </w:p>
        </w:tc>
        <w:tc>
          <w:tcPr>
            <w:tcW w:w="9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sz w:val="18"/>
              </w:rPr>
              <w:t>70.30</w:t>
            </w:r>
          </w:p>
        </w:tc>
        <w:tc>
          <w:tcPr>
            <w:tcW w:w="16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9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2"/>
              <w:jc w:val="center"/>
              <w:rPr>
                <w:rFonts w:ascii="Arial" w:hAnsi="Arial" w:cs="Arial" w:eastAsia="Arial" w:hint="default"/>
                <w:sz w:val="18"/>
                <w:szCs w:val="18"/>
              </w:rPr>
            </w:pPr>
            <w:r>
              <w:rPr>
                <w:rFonts w:ascii="Arial"/>
                <w:w w:val="99"/>
                <w:sz w:val="18"/>
              </w:rPr>
              <w:t>-</w:t>
            </w:r>
            <w:r>
              <w:rPr>
                <w:rFonts w:ascii="Arial"/>
                <w:sz w:val="18"/>
              </w:rPr>
            </w:r>
          </w:p>
        </w:tc>
      </w:tr>
      <w:tr>
        <w:trPr>
          <w:trHeight w:val="840" w:hRule="exact"/>
        </w:trPr>
        <w:tc>
          <w:tcPr>
            <w:tcW w:w="3317" w:type="dxa"/>
            <w:tcBorders>
              <w:top w:val="single" w:sz="12" w:space="0" w:color="000000"/>
              <w:left w:val="single" w:sz="12" w:space="0" w:color="000000"/>
              <w:bottom w:val="single" w:sz="12" w:space="0" w:color="000000"/>
              <w:right w:val="single" w:sz="12" w:space="0" w:color="000000"/>
            </w:tcBorders>
          </w:tcPr>
          <w:p>
            <w:pPr>
              <w:pStyle w:val="TableParagraph"/>
              <w:spacing w:line="412" w:lineRule="auto" w:before="58"/>
              <w:ind w:left="93" w:right="91"/>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的其他应收款</w:t>
            </w:r>
          </w:p>
        </w:tc>
        <w:tc>
          <w:tcPr>
            <w:tcW w:w="16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9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16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9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
              <w:jc w:val="center"/>
              <w:rPr>
                <w:rFonts w:ascii="Arial" w:hAnsi="Arial" w:cs="Arial" w:eastAsia="Arial" w:hint="default"/>
                <w:sz w:val="18"/>
                <w:szCs w:val="18"/>
              </w:rPr>
            </w:pPr>
            <w:r>
              <w:rPr>
                <w:rFonts w:ascii="Arial"/>
                <w:w w:val="99"/>
                <w:sz w:val="18"/>
              </w:rPr>
              <w:t>-</w:t>
            </w:r>
            <w:r>
              <w:rPr>
                <w:rFonts w:ascii="Arial"/>
                <w:sz w:val="18"/>
              </w:rPr>
            </w:r>
          </w:p>
        </w:tc>
      </w:tr>
      <w:tr>
        <w:trPr>
          <w:trHeight w:val="434" w:hRule="exact"/>
        </w:trPr>
        <w:tc>
          <w:tcPr>
            <w:tcW w:w="331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2,531,984.53</w:t>
            </w:r>
          </w:p>
        </w:tc>
        <w:tc>
          <w:tcPr>
            <w:tcW w:w="9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100.00</w:t>
            </w:r>
          </w:p>
        </w:tc>
        <w:tc>
          <w:tcPr>
            <w:tcW w:w="16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33,471.05</w:t>
            </w:r>
          </w:p>
        </w:tc>
        <w:tc>
          <w:tcPr>
            <w:tcW w:w="9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left="295" w:right="0"/>
              <w:jc w:val="left"/>
              <w:rPr>
                <w:rFonts w:ascii="Arial" w:hAnsi="Arial" w:cs="Arial" w:eastAsia="Arial" w:hint="default"/>
                <w:sz w:val="18"/>
                <w:szCs w:val="18"/>
              </w:rPr>
            </w:pPr>
            <w:r>
              <w:rPr>
                <w:rFonts w:ascii="Arial"/>
                <w:sz w:val="18"/>
              </w:rPr>
              <w:t>1.32</w:t>
            </w:r>
          </w:p>
        </w:tc>
      </w:tr>
    </w:tbl>
    <w:p>
      <w:pPr>
        <w:spacing w:line="240" w:lineRule="auto" w:before="12"/>
        <w:rPr>
          <w:rFonts w:ascii="宋体" w:hAnsi="宋体" w:cs="宋体" w:eastAsia="宋体" w:hint="default"/>
          <w:sz w:val="23"/>
          <w:szCs w:val="23"/>
        </w:rPr>
      </w:pPr>
    </w:p>
    <w:p>
      <w:pPr>
        <w:pStyle w:val="BodyText"/>
        <w:spacing w:line="240" w:lineRule="auto"/>
        <w:ind w:left="576" w:right="137"/>
        <w:jc w:val="left"/>
      </w:pPr>
      <w:r>
        <w:rPr/>
        <w:t>其他应收款种类的说明：</w:t>
      </w:r>
    </w:p>
    <w:p>
      <w:pPr>
        <w:pStyle w:val="BodyText"/>
        <w:spacing w:line="240" w:lineRule="auto" w:before="141"/>
        <w:ind w:left="576" w:right="137"/>
        <w:jc w:val="left"/>
        <w:rPr>
          <w:rFonts w:ascii="Arial" w:hAnsi="Arial" w:cs="Arial" w:eastAsia="Arial" w:hint="default"/>
        </w:rPr>
      </w:pPr>
      <w:r>
        <w:rPr/>
        <w:t>（</w:t>
      </w:r>
      <w:r>
        <w:rPr>
          <w:rFonts w:ascii="Arial" w:hAnsi="Arial" w:cs="Arial" w:eastAsia="Arial" w:hint="default"/>
        </w:rPr>
        <w:t>1</w:t>
      </w:r>
      <w:r>
        <w:rPr/>
        <w:t>）单项金额重大并单项计提坏账准备的其他应收款确定依据为余额为单项金额</w:t>
      </w:r>
      <w:r>
        <w:rPr>
          <w:spacing w:val="-18"/>
        </w:rPr>
        <w:t> </w:t>
      </w:r>
      <w:r>
        <w:rPr>
          <w:rFonts w:ascii="Arial" w:hAnsi="Arial" w:cs="Arial" w:eastAsia="Arial" w:hint="default"/>
        </w:rPr>
        <w:t>70</w:t>
      </w:r>
    </w:p>
    <w:p>
      <w:pPr>
        <w:pStyle w:val="BodyText"/>
        <w:spacing w:line="240" w:lineRule="auto" w:before="123"/>
        <w:ind w:right="0"/>
        <w:jc w:val="both"/>
      </w:pPr>
      <w:r>
        <w:rPr/>
        <w:t>万元</w:t>
      </w:r>
      <w:r>
        <w:rPr>
          <w:rFonts w:ascii="Arial" w:hAnsi="Arial" w:cs="Arial" w:eastAsia="Arial" w:hint="default"/>
        </w:rPr>
        <w:t>(</w:t>
      </w:r>
      <w:r>
        <w:rPr/>
        <w:t>含</w:t>
      </w:r>
      <w:r>
        <w:rPr>
          <w:spacing w:val="-60"/>
        </w:rPr>
        <w:t> </w:t>
      </w:r>
      <w:r>
        <w:rPr>
          <w:rFonts w:ascii="Arial" w:hAnsi="Arial" w:cs="Arial" w:eastAsia="Arial" w:hint="default"/>
        </w:rPr>
        <w:t>70</w:t>
      </w:r>
      <w:r>
        <w:rPr>
          <w:rFonts w:ascii="Arial" w:hAnsi="Arial" w:cs="Arial" w:eastAsia="Arial" w:hint="default"/>
          <w:spacing w:val="-12"/>
        </w:rPr>
        <w:t> </w:t>
      </w:r>
      <w:r>
        <w:rPr/>
        <w:t>万元</w:t>
      </w:r>
      <w:r>
        <w:rPr>
          <w:rFonts w:ascii="Arial" w:hAnsi="Arial" w:cs="Arial" w:eastAsia="Arial" w:hint="default"/>
        </w:rPr>
        <w:t>)</w:t>
      </w:r>
      <w:r>
        <w:rPr/>
        <w:t>以上单项计提坏账准备的其他应收款；</w:t>
      </w:r>
    </w:p>
    <w:p>
      <w:pPr>
        <w:pStyle w:val="BodyText"/>
        <w:spacing w:line="338" w:lineRule="auto" w:before="123"/>
        <w:ind w:left="576" w:right="137"/>
        <w:jc w:val="left"/>
      </w:pPr>
      <w:r>
        <w:rPr/>
        <w:t>（</w:t>
      </w:r>
      <w:r>
        <w:rPr>
          <w:rFonts w:ascii="Arial" w:hAnsi="Arial" w:cs="Arial" w:eastAsia="Arial" w:hint="default"/>
        </w:rPr>
        <w:t>2</w:t>
      </w:r>
      <w:r>
        <w:rPr/>
        <w:t>）按组合计提坏账准备的其他应收款</w:t>
      </w:r>
      <w:r>
        <w:rPr>
          <w:w w:val="100"/>
        </w:rPr>
        <w:t> </w:t>
      </w:r>
      <w:r>
        <w:rPr/>
        <w:t>按款项性质的组合：未单项计提坏账准备的其他应收款按款项性质特征划分为若干组</w:t>
      </w:r>
    </w:p>
    <w:p>
      <w:pPr>
        <w:pStyle w:val="BodyText"/>
        <w:spacing w:line="357" w:lineRule="auto" w:before="51"/>
        <w:ind w:right="166"/>
        <w:jc w:val="both"/>
      </w:pPr>
      <w:r>
        <w:rPr/>
        <w:t>合，根据以前年度与之相同或相类似的、具有类似信用风险特征的其他应收款组合的实际</w:t>
      </w:r>
      <w:r>
        <w:rPr>
          <w:spacing w:val="-85"/>
        </w:rPr>
        <w:t> </w:t>
      </w:r>
      <w:r>
        <w:rPr/>
        <w:t>损失率为基础，结合现时情况确定各项组合计提坏账准备的比例，据此计算应计提的坏账</w:t>
      </w:r>
      <w:r>
        <w:rPr>
          <w:spacing w:val="-85"/>
        </w:rPr>
        <w:t> </w:t>
      </w:r>
      <w:r>
        <w:rPr>
          <w:spacing w:val="-6"/>
          <w:w w:val="100"/>
        </w:rPr>
        <w:t>准备。（含单项金额重大、单独进行减值测试未发生减值，包含在具有类似信用风险特征的</w:t>
      </w:r>
      <w:r>
        <w:rPr>
          <w:spacing w:val="-97"/>
          <w:w w:val="100"/>
        </w:rPr>
        <w:t> </w:t>
      </w:r>
      <w:r>
        <w:rPr>
          <w:spacing w:val="-97"/>
          <w:w w:val="100"/>
        </w:rPr>
      </w:r>
      <w:r>
        <w:rPr>
          <w:spacing w:val="-7"/>
          <w:w w:val="100"/>
        </w:rPr>
        <w:t>应收款项组合中进行减值测试的其他应收款）；</w:t>
      </w:r>
    </w:p>
    <w:p>
      <w:pPr>
        <w:pStyle w:val="BodyText"/>
        <w:spacing w:line="357" w:lineRule="auto" w:before="31"/>
        <w:ind w:right="169" w:firstLine="439"/>
        <w:jc w:val="both"/>
      </w:pPr>
      <w:r>
        <w:rPr/>
        <w:t>按款项账龄的组合：未单项计提坏账准备的其他应收款按账龄划分为若干组合，根据</w:t>
      </w:r>
      <w:r>
        <w:rPr>
          <w:w w:val="100"/>
        </w:rPr>
        <w:t> </w:t>
      </w:r>
      <w:r>
        <w:rPr/>
        <w:t>以前年度与之相同或相类似的、具有类似信用风险特征的应收账款组合的实际损失率为基</w:t>
      </w:r>
      <w:r>
        <w:rPr>
          <w:spacing w:val="-85"/>
        </w:rPr>
        <w:t> </w:t>
      </w:r>
      <w:r>
        <w:rPr>
          <w:spacing w:val="-6"/>
          <w:w w:val="100"/>
        </w:rPr>
        <w:t>础，结合现时情况确定各项组合计提坏账准备的比例，据此计算应计提的坏账准备。（含单</w:t>
      </w:r>
      <w:r>
        <w:rPr>
          <w:spacing w:val="-101"/>
          <w:w w:val="100"/>
        </w:rPr>
        <w:t> </w:t>
      </w:r>
      <w:r>
        <w:rPr>
          <w:spacing w:val="-101"/>
          <w:w w:val="100"/>
        </w:rPr>
      </w:r>
      <w:r>
        <w:rPr/>
        <w:t>项金额重大、单独进行减值测试未发生减值，包含在具有类似信用风险特征的应收款项组</w:t>
      </w:r>
      <w:r>
        <w:rPr>
          <w:spacing w:val="-85"/>
        </w:rPr>
        <w:t> </w:t>
      </w:r>
      <w:r>
        <w:rPr>
          <w:spacing w:val="-8"/>
          <w:w w:val="100"/>
        </w:rPr>
        <w:t>合中进行减值测试的其他应收款）；</w:t>
      </w:r>
    </w:p>
    <w:p>
      <w:pPr>
        <w:spacing w:after="0" w:line="357" w:lineRule="auto"/>
        <w:jc w:val="both"/>
        <w:sectPr>
          <w:pgSz w:w="11900" w:h="16840"/>
          <w:pgMar w:header="0" w:footer="983" w:top="1100" w:bottom="1180" w:left="1660" w:right="1320"/>
        </w:sectPr>
      </w:pPr>
    </w:p>
    <w:p>
      <w:pPr>
        <w:spacing w:line="240" w:lineRule="auto" w:before="4"/>
        <w:rPr>
          <w:rFonts w:ascii="宋体" w:hAnsi="宋体" w:cs="宋体" w:eastAsia="宋体" w:hint="default"/>
          <w:sz w:val="19"/>
          <w:szCs w:val="19"/>
        </w:rPr>
      </w:pPr>
    </w:p>
    <w:p>
      <w:pPr>
        <w:pStyle w:val="BodyText"/>
        <w:spacing w:line="338" w:lineRule="auto"/>
        <w:ind w:right="0" w:firstLine="439"/>
        <w:jc w:val="left"/>
      </w:pPr>
      <w:r>
        <w:rPr>
          <w:spacing w:val="-4"/>
          <w:w w:val="100"/>
        </w:rPr>
        <w:t>（</w:t>
      </w:r>
      <w:r>
        <w:rPr>
          <w:rFonts w:ascii="Arial" w:hAnsi="Arial" w:cs="Arial" w:eastAsia="Arial" w:hint="default"/>
          <w:spacing w:val="-4"/>
          <w:w w:val="100"/>
        </w:rPr>
        <w:t>3</w:t>
      </w:r>
      <w:r>
        <w:rPr>
          <w:spacing w:val="-4"/>
          <w:w w:val="100"/>
        </w:rPr>
        <w:t>）单项金额虽不重大但单项计提坏账准备的其他应收款确定依据为除单项金额重大</w:t>
      </w:r>
      <w:r>
        <w:rPr>
          <w:w w:val="100"/>
        </w:rPr>
        <w:t> </w:t>
      </w:r>
      <w:r>
        <w:rPr/>
        <w:t>并单项计提坏账准备外单项认定进行减值测试计提坏账准备的其他应收款；</w:t>
      </w:r>
    </w:p>
    <w:p>
      <w:pPr>
        <w:pStyle w:val="BodyText"/>
        <w:spacing w:line="240" w:lineRule="auto" w:before="51"/>
        <w:ind w:right="0"/>
        <w:jc w:val="left"/>
      </w:pPr>
      <w:r>
        <w:rPr>
          <w:rFonts w:ascii="Arial" w:hAnsi="Arial" w:cs="Arial" w:eastAsia="Arial" w:hint="default"/>
        </w:rPr>
        <w:t>6.6.2</w:t>
      </w:r>
      <w:r>
        <w:rPr>
          <w:rFonts w:ascii="Arial" w:hAnsi="Arial" w:cs="Arial" w:eastAsia="Arial" w:hint="default"/>
          <w:spacing w:val="-15"/>
        </w:rPr>
        <w:t> </w:t>
      </w:r>
      <w:r>
        <w:rPr/>
        <w:t>组合中按账龄分析法计提坏账准备的其他应收款</w:t>
      </w:r>
    </w:p>
    <w:p>
      <w:pPr>
        <w:spacing w:line="240" w:lineRule="auto" w:before="3"/>
        <w:rPr>
          <w:rFonts w:ascii="宋体" w:hAnsi="宋体" w:cs="宋体" w:eastAsia="宋体" w:hint="default"/>
          <w:sz w:val="12"/>
          <w:szCs w:val="12"/>
        </w:rPr>
      </w:pPr>
    </w:p>
    <w:tbl>
      <w:tblPr>
        <w:tblW w:w="0" w:type="auto"/>
        <w:jc w:val="left"/>
        <w:tblInd w:w="204" w:type="dxa"/>
        <w:tblLayout w:type="fixed"/>
        <w:tblCellMar>
          <w:top w:w="0" w:type="dxa"/>
          <w:left w:w="0" w:type="dxa"/>
          <w:bottom w:w="0" w:type="dxa"/>
          <w:right w:w="0" w:type="dxa"/>
        </w:tblCellMar>
        <w:tblLook w:val="01E0"/>
      </w:tblPr>
      <w:tblGrid>
        <w:gridCol w:w="1922"/>
        <w:gridCol w:w="1783"/>
        <w:gridCol w:w="1634"/>
        <w:gridCol w:w="1910"/>
        <w:gridCol w:w="1226"/>
      </w:tblGrid>
      <w:tr>
        <w:trPr>
          <w:trHeight w:val="341" w:hRule="exact"/>
        </w:trPr>
        <w:tc>
          <w:tcPr>
            <w:tcW w:w="1922" w:type="dxa"/>
            <w:vMerge w:val="restart"/>
            <w:tcBorders>
              <w:top w:val="single" w:sz="12" w:space="0" w:color="000000"/>
              <w:left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6554" w:type="dxa"/>
            <w:gridSpan w:val="4"/>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343" w:hRule="exact"/>
        </w:trPr>
        <w:tc>
          <w:tcPr>
            <w:tcW w:w="1922" w:type="dxa"/>
            <w:vMerge/>
            <w:tcBorders>
              <w:left w:val="single" w:sz="12" w:space="0" w:color="000000"/>
              <w:right w:val="single" w:sz="12" w:space="0" w:color="000000"/>
            </w:tcBorders>
          </w:tcPr>
          <w:p>
            <w:pPr/>
          </w:p>
        </w:tc>
        <w:tc>
          <w:tcPr>
            <w:tcW w:w="3418"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137"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1" w:hRule="exact"/>
        </w:trPr>
        <w:tc>
          <w:tcPr>
            <w:tcW w:w="1922" w:type="dxa"/>
            <w:vMerge/>
            <w:tcBorders>
              <w:left w:val="single" w:sz="12" w:space="0" w:color="000000"/>
              <w:bottom w:val="single" w:sz="12" w:space="0" w:color="000000"/>
              <w:right w:val="single" w:sz="12" w:space="0" w:color="000000"/>
            </w:tcBorders>
          </w:tcPr>
          <w:p>
            <w:pPr/>
          </w:p>
        </w:tc>
        <w:tc>
          <w:tcPr>
            <w:tcW w:w="17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Arial" w:hAnsi="Arial" w:cs="Arial" w:eastAsia="Arial"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p>
        </w:tc>
        <w:tc>
          <w:tcPr>
            <w:tcW w:w="19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2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Arial" w:hAnsi="Arial" w:cs="Arial" w:eastAsia="Arial"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p>
        </w:tc>
      </w:tr>
      <w:tr>
        <w:trPr>
          <w:trHeight w:val="343" w:hRule="exact"/>
        </w:trPr>
        <w:tc>
          <w:tcPr>
            <w:tcW w:w="19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年以内</w:t>
            </w:r>
          </w:p>
        </w:tc>
        <w:tc>
          <w:tcPr>
            <w:tcW w:w="17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1,090,504.01</w:t>
            </w:r>
          </w:p>
        </w:tc>
        <w:tc>
          <w:tcPr>
            <w:tcW w:w="16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83.59</w:t>
            </w:r>
          </w:p>
        </w:tc>
        <w:tc>
          <w:tcPr>
            <w:tcW w:w="19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3,855.49</w:t>
            </w:r>
          </w:p>
        </w:tc>
        <w:tc>
          <w:tcPr>
            <w:tcW w:w="12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0.35</w:t>
            </w:r>
          </w:p>
        </w:tc>
      </w:tr>
      <w:tr>
        <w:trPr>
          <w:trHeight w:val="341" w:hRule="exact"/>
        </w:trPr>
        <w:tc>
          <w:tcPr>
            <w:tcW w:w="19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7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214,020.00</w:t>
            </w:r>
          </w:p>
        </w:tc>
        <w:tc>
          <w:tcPr>
            <w:tcW w:w="16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16.41</w:t>
            </w:r>
          </w:p>
        </w:tc>
        <w:tc>
          <w:tcPr>
            <w:tcW w:w="19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43,164.00</w:t>
            </w:r>
          </w:p>
        </w:tc>
        <w:tc>
          <w:tcPr>
            <w:tcW w:w="12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20.17</w:t>
            </w:r>
          </w:p>
        </w:tc>
      </w:tr>
      <w:tr>
        <w:trPr>
          <w:trHeight w:val="358" w:hRule="exact"/>
        </w:trPr>
        <w:tc>
          <w:tcPr>
            <w:tcW w:w="19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right="0"/>
              <w:jc w:val="center"/>
              <w:rPr>
                <w:rFonts w:ascii="宋体" w:hAnsi="宋体" w:cs="宋体" w:eastAsia="宋体" w:hint="default"/>
                <w:sz w:val="18"/>
                <w:szCs w:val="18"/>
              </w:rPr>
            </w:pPr>
            <w:r>
              <w:rPr>
                <w:rFonts w:ascii="Arial" w:hAnsi="Arial" w:cs="Arial" w:eastAsia="Arial" w:hint="default"/>
                <w:sz w:val="18"/>
                <w:szCs w:val="18"/>
              </w:rPr>
              <w:t>2~3</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7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9"/>
              <w:ind w:right="0"/>
              <w:jc w:val="center"/>
              <w:rPr>
                <w:rFonts w:ascii="Arial" w:hAnsi="Arial" w:cs="Arial" w:eastAsia="Arial" w:hint="default"/>
                <w:sz w:val="18"/>
                <w:szCs w:val="18"/>
              </w:rPr>
            </w:pPr>
            <w:r>
              <w:rPr>
                <w:rFonts w:ascii="Arial"/>
                <w:w w:val="99"/>
                <w:sz w:val="18"/>
              </w:rPr>
              <w:t>-</w:t>
            </w:r>
            <w:r>
              <w:rPr>
                <w:rFonts w:ascii="Arial"/>
                <w:sz w:val="18"/>
              </w:rPr>
            </w:r>
          </w:p>
        </w:tc>
        <w:tc>
          <w:tcPr>
            <w:tcW w:w="16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9"/>
              <w:ind w:right="0"/>
              <w:jc w:val="center"/>
              <w:rPr>
                <w:rFonts w:ascii="Arial" w:hAnsi="Arial" w:cs="Arial" w:eastAsia="Arial" w:hint="default"/>
                <w:sz w:val="18"/>
                <w:szCs w:val="18"/>
              </w:rPr>
            </w:pPr>
            <w:r>
              <w:rPr>
                <w:rFonts w:ascii="Arial"/>
                <w:w w:val="99"/>
                <w:sz w:val="18"/>
              </w:rPr>
              <w:t>-</w:t>
            </w:r>
            <w:r>
              <w:rPr>
                <w:rFonts w:ascii="Arial"/>
                <w:sz w:val="18"/>
              </w:rPr>
            </w:r>
          </w:p>
        </w:tc>
        <w:tc>
          <w:tcPr>
            <w:tcW w:w="19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9"/>
              <w:ind w:right="0"/>
              <w:jc w:val="center"/>
              <w:rPr>
                <w:rFonts w:ascii="Arial" w:hAnsi="Arial" w:cs="Arial" w:eastAsia="Arial" w:hint="default"/>
                <w:sz w:val="18"/>
                <w:szCs w:val="18"/>
              </w:rPr>
            </w:pPr>
            <w:r>
              <w:rPr>
                <w:rFonts w:ascii="Arial"/>
                <w:w w:val="99"/>
                <w:sz w:val="18"/>
              </w:rPr>
              <w:t>-</w:t>
            </w:r>
            <w:r>
              <w:rPr>
                <w:rFonts w:ascii="Arial"/>
                <w:sz w:val="18"/>
              </w:rPr>
            </w:r>
          </w:p>
        </w:tc>
        <w:tc>
          <w:tcPr>
            <w:tcW w:w="12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9"/>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3" w:hRule="exact"/>
        </w:trPr>
        <w:tc>
          <w:tcPr>
            <w:tcW w:w="19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5"/>
                <w:sz w:val="18"/>
                <w:szCs w:val="18"/>
              </w:rPr>
              <w:t> </w:t>
            </w:r>
            <w:r>
              <w:rPr>
                <w:rFonts w:ascii="宋体" w:hAnsi="宋体" w:cs="宋体" w:eastAsia="宋体" w:hint="default"/>
                <w:sz w:val="18"/>
                <w:szCs w:val="18"/>
              </w:rPr>
              <w:t>年以上</w:t>
            </w:r>
          </w:p>
        </w:tc>
        <w:tc>
          <w:tcPr>
            <w:tcW w:w="17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16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19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12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19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1,304,524.01</w:t>
            </w:r>
          </w:p>
        </w:tc>
        <w:tc>
          <w:tcPr>
            <w:tcW w:w="16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 w:right="0"/>
              <w:jc w:val="center"/>
              <w:rPr>
                <w:rFonts w:ascii="Arial" w:hAnsi="Arial" w:cs="Arial" w:eastAsia="Arial" w:hint="default"/>
                <w:sz w:val="18"/>
                <w:szCs w:val="18"/>
              </w:rPr>
            </w:pPr>
            <w:r>
              <w:rPr>
                <w:rFonts w:ascii="Arial"/>
                <w:sz w:val="18"/>
              </w:rPr>
              <w:t>100.00</w:t>
            </w:r>
          </w:p>
        </w:tc>
        <w:tc>
          <w:tcPr>
            <w:tcW w:w="19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47,019.49</w:t>
            </w:r>
          </w:p>
        </w:tc>
        <w:tc>
          <w:tcPr>
            <w:tcW w:w="12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3.60</w:t>
            </w:r>
          </w:p>
        </w:tc>
      </w:tr>
    </w:tbl>
    <w:p>
      <w:pPr>
        <w:spacing w:line="240" w:lineRule="auto" w:before="2"/>
        <w:rPr>
          <w:rFonts w:ascii="宋体" w:hAnsi="宋体" w:cs="宋体" w:eastAsia="宋体" w:hint="default"/>
          <w:sz w:val="29"/>
          <w:szCs w:val="29"/>
        </w:rPr>
      </w:pPr>
    </w:p>
    <w:tbl>
      <w:tblPr>
        <w:tblW w:w="0" w:type="auto"/>
        <w:jc w:val="left"/>
        <w:tblInd w:w="190" w:type="dxa"/>
        <w:tblLayout w:type="fixed"/>
        <w:tblCellMar>
          <w:top w:w="0" w:type="dxa"/>
          <w:left w:w="0" w:type="dxa"/>
          <w:bottom w:w="0" w:type="dxa"/>
          <w:right w:w="0" w:type="dxa"/>
        </w:tblCellMar>
        <w:tblLook w:val="01E0"/>
      </w:tblPr>
      <w:tblGrid>
        <w:gridCol w:w="1922"/>
        <w:gridCol w:w="1812"/>
        <w:gridCol w:w="1634"/>
        <w:gridCol w:w="1910"/>
        <w:gridCol w:w="1226"/>
      </w:tblGrid>
      <w:tr>
        <w:trPr>
          <w:trHeight w:val="341" w:hRule="exact"/>
        </w:trPr>
        <w:tc>
          <w:tcPr>
            <w:tcW w:w="1922" w:type="dxa"/>
            <w:vMerge w:val="restart"/>
            <w:tcBorders>
              <w:top w:val="single" w:sz="12" w:space="0" w:color="000000"/>
              <w:left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6583" w:type="dxa"/>
            <w:gridSpan w:val="4"/>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343" w:hRule="exact"/>
        </w:trPr>
        <w:tc>
          <w:tcPr>
            <w:tcW w:w="1922" w:type="dxa"/>
            <w:vMerge/>
            <w:tcBorders>
              <w:left w:val="single" w:sz="12" w:space="0" w:color="000000"/>
              <w:right w:val="single" w:sz="12" w:space="0" w:color="000000"/>
            </w:tcBorders>
          </w:tcPr>
          <w:p>
            <w:pPr/>
          </w:p>
        </w:tc>
        <w:tc>
          <w:tcPr>
            <w:tcW w:w="3446"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137"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1" w:hRule="exact"/>
        </w:trPr>
        <w:tc>
          <w:tcPr>
            <w:tcW w:w="1922" w:type="dxa"/>
            <w:vMerge/>
            <w:tcBorders>
              <w:left w:val="single" w:sz="12" w:space="0" w:color="000000"/>
              <w:bottom w:val="single" w:sz="12" w:space="0" w:color="000000"/>
              <w:right w:val="single" w:sz="12" w:space="0" w:color="000000"/>
            </w:tcBorders>
          </w:tcPr>
          <w:p>
            <w:pPr/>
          </w:p>
        </w:tc>
        <w:tc>
          <w:tcPr>
            <w:tcW w:w="18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Arial" w:hAnsi="Arial" w:cs="Arial" w:eastAsia="Arial"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p>
        </w:tc>
        <w:tc>
          <w:tcPr>
            <w:tcW w:w="19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2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Arial" w:hAnsi="Arial" w:cs="Arial" w:eastAsia="Arial"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p>
        </w:tc>
      </w:tr>
      <w:tr>
        <w:trPr>
          <w:trHeight w:val="343" w:hRule="exact"/>
        </w:trPr>
        <w:tc>
          <w:tcPr>
            <w:tcW w:w="19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60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年以内</w:t>
            </w:r>
          </w:p>
        </w:tc>
        <w:tc>
          <w:tcPr>
            <w:tcW w:w="18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751,984.53</w:t>
            </w:r>
          </w:p>
        </w:tc>
        <w:tc>
          <w:tcPr>
            <w:tcW w:w="16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100.00%</w:t>
            </w:r>
          </w:p>
        </w:tc>
        <w:tc>
          <w:tcPr>
            <w:tcW w:w="19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33,471.05</w:t>
            </w:r>
          </w:p>
        </w:tc>
        <w:tc>
          <w:tcPr>
            <w:tcW w:w="12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4.45</w:t>
            </w:r>
          </w:p>
        </w:tc>
      </w:tr>
      <w:tr>
        <w:trPr>
          <w:trHeight w:val="341" w:hRule="exact"/>
        </w:trPr>
        <w:tc>
          <w:tcPr>
            <w:tcW w:w="19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679"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8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16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19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12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3" w:hRule="exact"/>
        </w:trPr>
        <w:tc>
          <w:tcPr>
            <w:tcW w:w="19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679" w:right="0"/>
              <w:jc w:val="left"/>
              <w:rPr>
                <w:rFonts w:ascii="宋体" w:hAnsi="宋体" w:cs="宋体" w:eastAsia="宋体" w:hint="default"/>
                <w:sz w:val="18"/>
                <w:szCs w:val="18"/>
              </w:rPr>
            </w:pPr>
            <w:r>
              <w:rPr>
                <w:rFonts w:ascii="Arial" w:hAnsi="Arial" w:cs="Arial" w:eastAsia="Arial" w:hint="default"/>
                <w:sz w:val="18"/>
                <w:szCs w:val="18"/>
              </w:rPr>
              <w:t>2~3</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8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16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19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12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19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602"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5"/>
                <w:sz w:val="18"/>
                <w:szCs w:val="18"/>
              </w:rPr>
              <w:t> </w:t>
            </w:r>
            <w:r>
              <w:rPr>
                <w:rFonts w:ascii="宋体" w:hAnsi="宋体" w:cs="宋体" w:eastAsia="宋体" w:hint="default"/>
                <w:sz w:val="18"/>
                <w:szCs w:val="18"/>
              </w:rPr>
              <w:t>年以上</w:t>
            </w:r>
          </w:p>
        </w:tc>
        <w:tc>
          <w:tcPr>
            <w:tcW w:w="18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16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19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12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19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751,984.53</w:t>
            </w:r>
          </w:p>
        </w:tc>
        <w:tc>
          <w:tcPr>
            <w:tcW w:w="16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100.00%</w:t>
            </w:r>
          </w:p>
        </w:tc>
        <w:tc>
          <w:tcPr>
            <w:tcW w:w="19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33,471.05</w:t>
            </w:r>
          </w:p>
        </w:tc>
        <w:tc>
          <w:tcPr>
            <w:tcW w:w="12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4.45</w:t>
            </w:r>
          </w:p>
        </w:tc>
      </w:tr>
    </w:tbl>
    <w:p>
      <w:pPr>
        <w:spacing w:line="240" w:lineRule="auto" w:before="12"/>
        <w:rPr>
          <w:rFonts w:ascii="宋体" w:hAnsi="宋体" w:cs="宋体" w:eastAsia="宋体" w:hint="default"/>
          <w:sz w:val="23"/>
          <w:szCs w:val="23"/>
        </w:rPr>
      </w:pPr>
    </w:p>
    <w:p>
      <w:pPr>
        <w:pStyle w:val="BodyText"/>
        <w:spacing w:line="240" w:lineRule="auto"/>
        <w:ind w:right="0"/>
        <w:jc w:val="left"/>
      </w:pPr>
      <w:r>
        <w:rPr>
          <w:rFonts w:ascii="Arial" w:hAnsi="Arial" w:cs="Arial" w:eastAsia="Arial" w:hint="default"/>
        </w:rPr>
        <w:t>6.6.3</w:t>
      </w:r>
      <w:r>
        <w:rPr>
          <w:rFonts w:ascii="Arial" w:hAnsi="Arial" w:cs="Arial" w:eastAsia="Arial" w:hint="default"/>
          <w:spacing w:val="-11"/>
        </w:rPr>
        <w:t> </w:t>
      </w:r>
      <w:r>
        <w:rPr/>
        <w:t>本报告期其他应收款中无持本公司</w:t>
      </w:r>
      <w:r>
        <w:rPr>
          <w:spacing w:val="-57"/>
        </w:rPr>
        <w:t> </w:t>
      </w:r>
      <w:r>
        <w:rPr>
          <w:rFonts w:ascii="Arial" w:hAnsi="Arial" w:cs="Arial" w:eastAsia="Arial" w:hint="default"/>
        </w:rPr>
        <w:t>5</w:t>
      </w:r>
      <w:r>
        <w:rPr/>
        <w:t>％以上（含</w:t>
      </w:r>
      <w:r>
        <w:rPr>
          <w:spacing w:val="-57"/>
        </w:rPr>
        <w:t> </w:t>
      </w:r>
      <w:r>
        <w:rPr>
          <w:rFonts w:ascii="Arial" w:hAnsi="Arial" w:cs="Arial" w:eastAsia="Arial" w:hint="default"/>
        </w:rPr>
        <w:t>5</w:t>
      </w:r>
      <w:r>
        <w:rPr/>
        <w:t>％）表决权股份的股东单位欠款。</w:t>
      </w:r>
    </w:p>
    <w:p>
      <w:pPr>
        <w:pStyle w:val="BodyText"/>
        <w:spacing w:line="240" w:lineRule="auto" w:before="126"/>
        <w:ind w:right="0"/>
        <w:jc w:val="left"/>
      </w:pPr>
      <w:r>
        <w:rPr>
          <w:rFonts w:ascii="Arial" w:hAnsi="Arial" w:cs="Arial" w:eastAsia="Arial" w:hint="default"/>
        </w:rPr>
        <w:t>6.6.4</w:t>
      </w:r>
      <w:r>
        <w:rPr>
          <w:rFonts w:ascii="Arial" w:hAnsi="Arial" w:cs="Arial" w:eastAsia="Arial" w:hint="default"/>
          <w:spacing w:val="-11"/>
        </w:rPr>
        <w:t> </w:t>
      </w:r>
      <w:r>
        <w:rPr/>
        <w:t>其他应收款余额前五名单位情况</w:t>
      </w:r>
    </w:p>
    <w:p>
      <w:pPr>
        <w:spacing w:line="240" w:lineRule="auto" w:before="3"/>
        <w:rPr>
          <w:rFonts w:ascii="宋体" w:hAnsi="宋体" w:cs="宋体" w:eastAsia="宋体" w:hint="default"/>
          <w:sz w:val="12"/>
          <w:szCs w:val="12"/>
        </w:rPr>
      </w:pPr>
    </w:p>
    <w:tbl>
      <w:tblPr>
        <w:tblW w:w="0" w:type="auto"/>
        <w:jc w:val="left"/>
        <w:tblInd w:w="259" w:type="dxa"/>
        <w:tblLayout w:type="fixed"/>
        <w:tblCellMar>
          <w:top w:w="0" w:type="dxa"/>
          <w:left w:w="0" w:type="dxa"/>
          <w:bottom w:w="0" w:type="dxa"/>
          <w:right w:w="0" w:type="dxa"/>
        </w:tblCellMar>
        <w:tblLook w:val="01E0"/>
      </w:tblPr>
      <w:tblGrid>
        <w:gridCol w:w="2482"/>
        <w:gridCol w:w="1774"/>
        <w:gridCol w:w="1560"/>
        <w:gridCol w:w="1118"/>
        <w:gridCol w:w="1433"/>
      </w:tblGrid>
      <w:tr>
        <w:trPr>
          <w:trHeight w:val="497" w:hRule="exact"/>
        </w:trPr>
        <w:tc>
          <w:tcPr>
            <w:tcW w:w="24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7"/>
              <w:ind w:left="333"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5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7"/>
              <w:ind w:right="103"/>
              <w:jc w:val="center"/>
              <w:rPr>
                <w:rFonts w:ascii="宋体" w:hAnsi="宋体" w:cs="宋体" w:eastAsia="宋体" w:hint="default"/>
                <w:sz w:val="18"/>
                <w:szCs w:val="18"/>
              </w:rPr>
            </w:pPr>
            <w:r>
              <w:rPr>
                <w:rFonts w:ascii="宋体" w:hAnsi="宋体" w:cs="宋体" w:eastAsia="宋体" w:hint="default"/>
                <w:sz w:val="18"/>
                <w:szCs w:val="18"/>
              </w:rPr>
              <w:t>金额</w:t>
            </w:r>
          </w:p>
        </w:tc>
        <w:tc>
          <w:tcPr>
            <w:tcW w:w="11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433" w:type="dxa"/>
            <w:tcBorders>
              <w:top w:val="single" w:sz="12" w:space="0" w:color="000000"/>
              <w:left w:val="single" w:sz="12" w:space="0" w:color="000000"/>
              <w:bottom w:val="single" w:sz="12" w:space="0" w:color="000000"/>
              <w:right w:val="single" w:sz="12" w:space="0" w:color="000000"/>
            </w:tcBorders>
          </w:tcPr>
          <w:p>
            <w:pPr>
              <w:pStyle w:val="TableParagraph"/>
              <w:spacing w:line="206" w:lineRule="exact"/>
              <w:ind w:left="115" w:right="0" w:firstLine="45"/>
              <w:jc w:val="left"/>
              <w:rPr>
                <w:rFonts w:ascii="宋体" w:hAnsi="宋体" w:cs="宋体" w:eastAsia="宋体" w:hint="default"/>
                <w:sz w:val="18"/>
                <w:szCs w:val="18"/>
              </w:rPr>
            </w:pPr>
            <w:r>
              <w:rPr>
                <w:rFonts w:ascii="宋体" w:hAnsi="宋体" w:cs="宋体" w:eastAsia="宋体" w:hint="default"/>
                <w:sz w:val="18"/>
                <w:szCs w:val="18"/>
              </w:rPr>
              <w:t>占其他应收款</w:t>
            </w:r>
          </w:p>
          <w:p>
            <w:pPr>
              <w:pStyle w:val="TableParagraph"/>
              <w:spacing w:line="234" w:lineRule="exact"/>
              <w:ind w:left="115" w:right="0"/>
              <w:jc w:val="left"/>
              <w:rPr>
                <w:rFonts w:ascii="宋体" w:hAnsi="宋体" w:cs="宋体" w:eastAsia="宋体" w:hint="default"/>
                <w:sz w:val="18"/>
                <w:szCs w:val="18"/>
              </w:rPr>
            </w:pPr>
            <w:r>
              <w:rPr>
                <w:rFonts w:ascii="宋体" w:hAnsi="宋体" w:cs="宋体" w:eastAsia="宋体" w:hint="default"/>
                <w:sz w:val="18"/>
                <w:szCs w:val="18"/>
              </w:rPr>
              <w:t>总额比例（%）</w:t>
            </w:r>
          </w:p>
        </w:tc>
      </w:tr>
      <w:tr>
        <w:trPr>
          <w:trHeight w:val="343" w:hRule="exact"/>
        </w:trPr>
        <w:tc>
          <w:tcPr>
            <w:tcW w:w="24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河口区住房和城乡建设局</w:t>
            </w:r>
          </w:p>
        </w:tc>
        <w:tc>
          <w:tcPr>
            <w:tcW w:w="17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系公司建筑单位</w:t>
            </w:r>
          </w:p>
        </w:tc>
        <w:tc>
          <w:tcPr>
            <w:tcW w:w="15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313"/>
              <w:jc w:val="right"/>
              <w:rPr>
                <w:rFonts w:ascii="宋体" w:hAnsi="宋体" w:cs="宋体" w:eastAsia="宋体" w:hint="default"/>
                <w:sz w:val="18"/>
                <w:szCs w:val="18"/>
              </w:rPr>
            </w:pPr>
            <w:r>
              <w:rPr>
                <w:rFonts w:ascii="宋体"/>
                <w:spacing w:val="-1"/>
                <w:sz w:val="18"/>
              </w:rPr>
              <w:t>446,280.00</w:t>
            </w:r>
          </w:p>
        </w:tc>
        <w:tc>
          <w:tcPr>
            <w:tcW w:w="11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w:t>
            </w:r>
          </w:p>
        </w:tc>
        <w:tc>
          <w:tcPr>
            <w:tcW w:w="14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474"/>
              <w:jc w:val="right"/>
              <w:rPr>
                <w:rFonts w:ascii="宋体" w:hAnsi="宋体" w:cs="宋体" w:eastAsia="宋体" w:hint="default"/>
                <w:sz w:val="18"/>
                <w:szCs w:val="18"/>
              </w:rPr>
            </w:pPr>
            <w:r>
              <w:rPr>
                <w:rFonts w:ascii="宋体"/>
                <w:sz w:val="18"/>
              </w:rPr>
              <w:t>34.21</w:t>
            </w:r>
          </w:p>
        </w:tc>
      </w:tr>
      <w:tr>
        <w:trPr>
          <w:trHeight w:val="497" w:hRule="exact"/>
        </w:trPr>
        <w:tc>
          <w:tcPr>
            <w:tcW w:w="24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7"/>
              <w:ind w:left="93" w:right="0"/>
              <w:jc w:val="left"/>
              <w:rPr>
                <w:rFonts w:ascii="宋体" w:hAnsi="宋体" w:cs="宋体" w:eastAsia="宋体" w:hint="default"/>
                <w:sz w:val="18"/>
                <w:szCs w:val="18"/>
              </w:rPr>
            </w:pPr>
            <w:r>
              <w:rPr>
                <w:rFonts w:ascii="宋体" w:hAnsi="宋体" w:cs="宋体" w:eastAsia="宋体" w:hint="default"/>
                <w:sz w:val="18"/>
                <w:szCs w:val="18"/>
              </w:rPr>
              <w:t>蓬莱市渤海燃气有限公司</w:t>
            </w:r>
          </w:p>
        </w:tc>
        <w:tc>
          <w:tcPr>
            <w:tcW w:w="1774" w:type="dxa"/>
            <w:tcBorders>
              <w:top w:val="single" w:sz="12" w:space="0" w:color="000000"/>
              <w:left w:val="single" w:sz="12" w:space="0" w:color="000000"/>
              <w:bottom w:val="single" w:sz="12" w:space="0" w:color="000000"/>
              <w:right w:val="single" w:sz="12"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spacing w:val="14"/>
                <w:sz w:val="18"/>
                <w:szCs w:val="18"/>
              </w:rPr>
              <w:t>系公司煤气供应单</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w w:val="99"/>
                <w:sz w:val="18"/>
                <w:szCs w:val="18"/>
              </w:rPr>
              <w:t>位</w:t>
            </w:r>
            <w:r>
              <w:rPr>
                <w:rFonts w:ascii="宋体" w:hAnsi="宋体" w:cs="宋体" w:eastAsia="宋体" w:hint="default"/>
                <w:sz w:val="18"/>
                <w:szCs w:val="18"/>
              </w:rPr>
            </w:r>
          </w:p>
        </w:tc>
        <w:tc>
          <w:tcPr>
            <w:tcW w:w="15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7"/>
              <w:ind w:right="313"/>
              <w:jc w:val="right"/>
              <w:rPr>
                <w:rFonts w:ascii="宋体" w:hAnsi="宋体" w:cs="宋体" w:eastAsia="宋体" w:hint="default"/>
                <w:sz w:val="18"/>
                <w:szCs w:val="18"/>
              </w:rPr>
            </w:pPr>
            <w:r>
              <w:rPr>
                <w:rFonts w:ascii="宋体"/>
                <w:spacing w:val="-1"/>
                <w:sz w:val="18"/>
              </w:rPr>
              <w:t>210,312.00</w:t>
            </w:r>
          </w:p>
        </w:tc>
        <w:tc>
          <w:tcPr>
            <w:tcW w:w="11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w:t>
            </w:r>
          </w:p>
        </w:tc>
        <w:tc>
          <w:tcPr>
            <w:tcW w:w="14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7"/>
              <w:ind w:right="474"/>
              <w:jc w:val="right"/>
              <w:rPr>
                <w:rFonts w:ascii="宋体" w:hAnsi="宋体" w:cs="宋体" w:eastAsia="宋体" w:hint="default"/>
                <w:sz w:val="18"/>
                <w:szCs w:val="18"/>
              </w:rPr>
            </w:pPr>
            <w:r>
              <w:rPr>
                <w:rFonts w:ascii="宋体"/>
                <w:sz w:val="18"/>
              </w:rPr>
              <w:t>16.12</w:t>
            </w:r>
          </w:p>
        </w:tc>
      </w:tr>
      <w:tr>
        <w:trPr>
          <w:trHeight w:val="341" w:hRule="exact"/>
        </w:trPr>
        <w:tc>
          <w:tcPr>
            <w:tcW w:w="24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职工借款</w:t>
            </w:r>
          </w:p>
        </w:tc>
        <w:tc>
          <w:tcPr>
            <w:tcW w:w="17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系公司职工</w:t>
            </w:r>
          </w:p>
        </w:tc>
        <w:tc>
          <w:tcPr>
            <w:tcW w:w="15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313"/>
              <w:jc w:val="right"/>
              <w:rPr>
                <w:rFonts w:ascii="宋体" w:hAnsi="宋体" w:cs="宋体" w:eastAsia="宋体" w:hint="default"/>
                <w:sz w:val="18"/>
                <w:szCs w:val="18"/>
              </w:rPr>
            </w:pPr>
            <w:r>
              <w:rPr>
                <w:rFonts w:ascii="宋体"/>
                <w:spacing w:val="-1"/>
                <w:sz w:val="18"/>
              </w:rPr>
              <w:t>133,808.35</w:t>
            </w:r>
          </w:p>
        </w:tc>
        <w:tc>
          <w:tcPr>
            <w:tcW w:w="11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w:t>
            </w:r>
          </w:p>
        </w:tc>
        <w:tc>
          <w:tcPr>
            <w:tcW w:w="14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474"/>
              <w:jc w:val="right"/>
              <w:rPr>
                <w:rFonts w:ascii="宋体" w:hAnsi="宋体" w:cs="宋体" w:eastAsia="宋体" w:hint="default"/>
                <w:sz w:val="18"/>
                <w:szCs w:val="18"/>
              </w:rPr>
            </w:pPr>
            <w:r>
              <w:rPr>
                <w:rFonts w:ascii="宋体"/>
                <w:sz w:val="18"/>
              </w:rPr>
              <w:t>10.26</w:t>
            </w:r>
          </w:p>
        </w:tc>
      </w:tr>
      <w:tr>
        <w:trPr>
          <w:trHeight w:val="343" w:hRule="exact"/>
        </w:trPr>
        <w:tc>
          <w:tcPr>
            <w:tcW w:w="24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蓬莱市供电公司</w:t>
            </w:r>
          </w:p>
        </w:tc>
        <w:tc>
          <w:tcPr>
            <w:tcW w:w="17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系公司供电单位</w:t>
            </w:r>
          </w:p>
        </w:tc>
        <w:tc>
          <w:tcPr>
            <w:tcW w:w="15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313"/>
              <w:jc w:val="right"/>
              <w:rPr>
                <w:rFonts w:ascii="宋体" w:hAnsi="宋体" w:cs="宋体" w:eastAsia="宋体" w:hint="default"/>
                <w:sz w:val="18"/>
                <w:szCs w:val="18"/>
              </w:rPr>
            </w:pPr>
            <w:r>
              <w:rPr>
                <w:rFonts w:ascii="宋体"/>
                <w:spacing w:val="-1"/>
                <w:sz w:val="18"/>
              </w:rPr>
              <w:t>116,551.05</w:t>
            </w:r>
          </w:p>
        </w:tc>
        <w:tc>
          <w:tcPr>
            <w:tcW w:w="11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w:t>
            </w:r>
          </w:p>
        </w:tc>
        <w:tc>
          <w:tcPr>
            <w:tcW w:w="14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520"/>
              <w:jc w:val="right"/>
              <w:rPr>
                <w:rFonts w:ascii="宋体" w:hAnsi="宋体" w:cs="宋体" w:eastAsia="宋体" w:hint="default"/>
                <w:sz w:val="18"/>
                <w:szCs w:val="18"/>
              </w:rPr>
            </w:pPr>
            <w:r>
              <w:rPr>
                <w:rFonts w:ascii="宋体"/>
                <w:w w:val="95"/>
                <w:sz w:val="18"/>
              </w:rPr>
              <w:t>8.93</w:t>
            </w:r>
            <w:r>
              <w:rPr>
                <w:rFonts w:ascii="宋体"/>
                <w:sz w:val="18"/>
              </w:rPr>
            </w:r>
          </w:p>
        </w:tc>
      </w:tr>
      <w:tr>
        <w:trPr>
          <w:trHeight w:val="341" w:hRule="exact"/>
        </w:trPr>
        <w:tc>
          <w:tcPr>
            <w:tcW w:w="24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上海安诺其工会</w:t>
            </w:r>
          </w:p>
        </w:tc>
        <w:tc>
          <w:tcPr>
            <w:tcW w:w="17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系公司工会</w:t>
            </w:r>
          </w:p>
        </w:tc>
        <w:tc>
          <w:tcPr>
            <w:tcW w:w="15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359"/>
              <w:jc w:val="right"/>
              <w:rPr>
                <w:rFonts w:ascii="宋体" w:hAnsi="宋体" w:cs="宋体" w:eastAsia="宋体" w:hint="default"/>
                <w:sz w:val="18"/>
                <w:szCs w:val="18"/>
              </w:rPr>
            </w:pPr>
            <w:r>
              <w:rPr>
                <w:rFonts w:ascii="宋体"/>
                <w:spacing w:val="-1"/>
                <w:sz w:val="18"/>
              </w:rPr>
              <w:t>60,000.00</w:t>
            </w:r>
          </w:p>
        </w:tc>
        <w:tc>
          <w:tcPr>
            <w:tcW w:w="11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w:t>
            </w:r>
          </w:p>
        </w:tc>
        <w:tc>
          <w:tcPr>
            <w:tcW w:w="14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520"/>
              <w:jc w:val="right"/>
              <w:rPr>
                <w:rFonts w:ascii="宋体" w:hAnsi="宋体" w:cs="宋体" w:eastAsia="宋体" w:hint="default"/>
                <w:sz w:val="18"/>
                <w:szCs w:val="18"/>
              </w:rPr>
            </w:pPr>
            <w:r>
              <w:rPr>
                <w:rFonts w:ascii="宋体"/>
                <w:w w:val="95"/>
                <w:sz w:val="18"/>
              </w:rPr>
              <w:t>4.60</w:t>
            </w:r>
            <w:r>
              <w:rPr>
                <w:rFonts w:ascii="宋体"/>
                <w:sz w:val="18"/>
              </w:rPr>
            </w:r>
          </w:p>
        </w:tc>
      </w:tr>
      <w:tr>
        <w:trPr>
          <w:trHeight w:val="341" w:hRule="exact"/>
        </w:trPr>
        <w:tc>
          <w:tcPr>
            <w:tcW w:w="24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74" w:type="dxa"/>
            <w:tcBorders>
              <w:top w:val="single" w:sz="12" w:space="0" w:color="000000"/>
              <w:left w:val="single" w:sz="12" w:space="0" w:color="000000"/>
              <w:bottom w:val="single" w:sz="12" w:space="0" w:color="000000"/>
              <w:right w:val="single" w:sz="12" w:space="0" w:color="000000"/>
            </w:tcBorders>
          </w:tcPr>
          <w:p>
            <w:pPr/>
          </w:p>
        </w:tc>
        <w:tc>
          <w:tcPr>
            <w:tcW w:w="15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313"/>
              <w:jc w:val="right"/>
              <w:rPr>
                <w:rFonts w:ascii="宋体" w:hAnsi="宋体" w:cs="宋体" w:eastAsia="宋体" w:hint="default"/>
                <w:sz w:val="18"/>
                <w:szCs w:val="18"/>
              </w:rPr>
            </w:pPr>
            <w:r>
              <w:rPr>
                <w:rFonts w:ascii="宋体"/>
                <w:spacing w:val="-1"/>
                <w:sz w:val="18"/>
              </w:rPr>
              <w:t>966,951.40</w:t>
            </w:r>
          </w:p>
        </w:tc>
        <w:tc>
          <w:tcPr>
            <w:tcW w:w="1118" w:type="dxa"/>
            <w:tcBorders>
              <w:top w:val="single" w:sz="12" w:space="0" w:color="000000"/>
              <w:left w:val="single" w:sz="12" w:space="0" w:color="000000"/>
              <w:bottom w:val="single" w:sz="12" w:space="0" w:color="000000"/>
              <w:right w:val="single" w:sz="12" w:space="0" w:color="000000"/>
            </w:tcBorders>
          </w:tcPr>
          <w:p>
            <w:pPr/>
          </w:p>
        </w:tc>
        <w:tc>
          <w:tcPr>
            <w:tcW w:w="14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474"/>
              <w:jc w:val="right"/>
              <w:rPr>
                <w:rFonts w:ascii="宋体" w:hAnsi="宋体" w:cs="宋体" w:eastAsia="宋体" w:hint="default"/>
                <w:sz w:val="18"/>
                <w:szCs w:val="18"/>
              </w:rPr>
            </w:pPr>
            <w:r>
              <w:rPr>
                <w:rFonts w:ascii="宋体"/>
                <w:sz w:val="18"/>
              </w:rPr>
              <w:t>74.12</w:t>
            </w:r>
          </w:p>
        </w:tc>
      </w:tr>
    </w:tbl>
    <w:p>
      <w:pPr>
        <w:spacing w:line="240" w:lineRule="auto" w:before="12"/>
        <w:rPr>
          <w:rFonts w:ascii="宋体" w:hAnsi="宋体" w:cs="宋体" w:eastAsia="宋体" w:hint="default"/>
          <w:sz w:val="23"/>
          <w:szCs w:val="23"/>
        </w:rPr>
      </w:pPr>
    </w:p>
    <w:p>
      <w:pPr>
        <w:pStyle w:val="BodyText"/>
        <w:spacing w:line="340" w:lineRule="auto"/>
        <w:ind w:right="0"/>
        <w:jc w:val="left"/>
      </w:pPr>
      <w:r>
        <w:rPr>
          <w:rFonts w:ascii="Arial" w:hAnsi="Arial" w:cs="Arial" w:eastAsia="Arial" w:hint="default"/>
          <w:w w:val="100"/>
        </w:rPr>
        <w:t>6.6.5</w:t>
      </w:r>
      <w:r>
        <w:rPr>
          <w:rFonts w:ascii="Arial" w:hAnsi="Arial" w:cs="Arial" w:eastAsia="Arial" w:hint="default"/>
          <w:spacing w:val="-8"/>
          <w:w w:val="100"/>
        </w:rPr>
        <w:t> </w:t>
      </w:r>
      <w:r>
        <w:rPr>
          <w:spacing w:val="-1"/>
          <w:w w:val="100"/>
        </w:rPr>
        <w:t>其他应收款年末数比年初数减少</w:t>
      </w:r>
      <w:r>
        <w:rPr>
          <w:spacing w:val="-54"/>
          <w:w w:val="100"/>
        </w:rPr>
        <w:t> </w:t>
      </w:r>
      <w:r>
        <w:rPr>
          <w:rFonts w:ascii="Arial" w:hAnsi="Arial" w:cs="Arial" w:eastAsia="Arial" w:hint="default"/>
          <w:spacing w:val="-1"/>
          <w:w w:val="100"/>
        </w:rPr>
        <w:t>1,227,460.52</w:t>
      </w:r>
      <w:r>
        <w:rPr>
          <w:rFonts w:ascii="Arial" w:hAnsi="Arial" w:cs="Arial" w:eastAsia="Arial" w:hint="default"/>
          <w:spacing w:val="-6"/>
          <w:w w:val="100"/>
        </w:rPr>
        <w:t> </w:t>
      </w:r>
      <w:r>
        <w:rPr>
          <w:spacing w:val="-14"/>
          <w:w w:val="100"/>
        </w:rPr>
        <w:t>元，减少比例为</w:t>
      </w:r>
      <w:r>
        <w:rPr>
          <w:spacing w:val="-54"/>
          <w:w w:val="100"/>
        </w:rPr>
        <w:t> </w:t>
      </w:r>
      <w:r>
        <w:rPr>
          <w:rFonts w:ascii="Arial" w:hAnsi="Arial" w:cs="Arial" w:eastAsia="Arial" w:hint="default"/>
          <w:spacing w:val="-8"/>
          <w:w w:val="100"/>
        </w:rPr>
        <w:t>48.48%</w:t>
      </w:r>
      <w:r>
        <w:rPr>
          <w:spacing w:val="-8"/>
          <w:w w:val="100"/>
        </w:rPr>
        <w:t>，减少原因为：</w:t>
      </w:r>
      <w:r>
        <w:rPr>
          <w:w w:val="100"/>
        </w:rPr>
        <w:t> </w:t>
      </w:r>
      <w:r>
        <w:rPr/>
        <w:t>本公司首次发行中介费期初余额转出所致。</w:t>
      </w:r>
    </w:p>
    <w:p>
      <w:pPr>
        <w:pStyle w:val="BodyText"/>
        <w:spacing w:line="240" w:lineRule="auto" w:before="47"/>
        <w:ind w:right="0"/>
        <w:jc w:val="left"/>
      </w:pPr>
      <w:r>
        <w:rPr>
          <w:rFonts w:ascii="Arial" w:hAnsi="Arial" w:cs="Arial" w:eastAsia="Arial" w:hint="default"/>
        </w:rPr>
        <w:t>6.7</w:t>
      </w:r>
      <w:r>
        <w:rPr>
          <w:rFonts w:ascii="Arial" w:hAnsi="Arial" w:cs="Arial" w:eastAsia="Arial" w:hint="default"/>
          <w:spacing w:val="-7"/>
        </w:rPr>
        <w:t> </w:t>
      </w:r>
      <w:r>
        <w:rPr/>
        <w:t>预付款项</w:t>
      </w:r>
    </w:p>
    <w:p>
      <w:pPr>
        <w:pStyle w:val="BodyText"/>
        <w:spacing w:line="240" w:lineRule="auto" w:before="123"/>
        <w:ind w:right="0"/>
        <w:jc w:val="left"/>
      </w:pPr>
      <w:r>
        <w:rPr>
          <w:rFonts w:ascii="Arial" w:hAnsi="Arial" w:cs="Arial" w:eastAsia="Arial" w:hint="default"/>
        </w:rPr>
        <w:t>6.7.1</w:t>
      </w:r>
      <w:r>
        <w:rPr>
          <w:rFonts w:ascii="Arial" w:hAnsi="Arial" w:cs="Arial" w:eastAsia="Arial" w:hint="default"/>
          <w:spacing w:val="44"/>
        </w:rPr>
        <w:t> </w:t>
      </w:r>
      <w:r>
        <w:rPr/>
        <w:t>预付账款按账龄列示</w:t>
      </w:r>
    </w:p>
    <w:p>
      <w:pPr>
        <w:spacing w:line="240" w:lineRule="auto" w:before="5"/>
        <w:rPr>
          <w:rFonts w:ascii="宋体" w:hAnsi="宋体" w:cs="宋体" w:eastAsia="宋体" w:hint="default"/>
          <w:sz w:val="12"/>
          <w:szCs w:val="12"/>
        </w:rPr>
      </w:pPr>
    </w:p>
    <w:tbl>
      <w:tblPr>
        <w:tblW w:w="0" w:type="auto"/>
        <w:jc w:val="left"/>
        <w:tblInd w:w="286" w:type="dxa"/>
        <w:tblLayout w:type="fixed"/>
        <w:tblCellMar>
          <w:top w:w="0" w:type="dxa"/>
          <w:left w:w="0" w:type="dxa"/>
          <w:bottom w:w="0" w:type="dxa"/>
          <w:right w:w="0" w:type="dxa"/>
        </w:tblCellMar>
        <w:tblLook w:val="01E0"/>
      </w:tblPr>
      <w:tblGrid>
        <w:gridCol w:w="1524"/>
        <w:gridCol w:w="3396"/>
        <w:gridCol w:w="3396"/>
      </w:tblGrid>
      <w:tr>
        <w:trPr>
          <w:trHeight w:val="331" w:hRule="exact"/>
        </w:trPr>
        <w:tc>
          <w:tcPr>
            <w:tcW w:w="1524"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396"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938"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396"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938"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bl>
    <w:p>
      <w:pPr>
        <w:spacing w:after="0" w:line="208" w:lineRule="exact"/>
        <w:jc w:val="left"/>
        <w:rPr>
          <w:rFonts w:ascii="宋体" w:hAnsi="宋体" w:cs="宋体" w:eastAsia="宋体" w:hint="default"/>
          <w:sz w:val="18"/>
          <w:szCs w:val="18"/>
        </w:rPr>
        <w:sectPr>
          <w:pgSz w:w="11900" w:h="16840"/>
          <w:pgMar w:header="0" w:footer="983" w:top="1100" w:bottom="1180" w:left="1660" w:right="1260"/>
        </w:sectPr>
      </w:pPr>
    </w:p>
    <w:p>
      <w:pPr>
        <w:spacing w:line="240" w:lineRule="auto" w:before="8"/>
        <w:rPr>
          <w:rFonts w:ascii="宋体" w:hAnsi="宋体" w:cs="宋体" w:eastAsia="宋体" w:hint="default"/>
          <w:sz w:val="24"/>
          <w:szCs w:val="24"/>
        </w:rPr>
      </w:pPr>
    </w:p>
    <w:tbl>
      <w:tblPr>
        <w:tblW w:w="0" w:type="auto"/>
        <w:jc w:val="left"/>
        <w:tblInd w:w="386" w:type="dxa"/>
        <w:tblLayout w:type="fixed"/>
        <w:tblCellMar>
          <w:top w:w="0" w:type="dxa"/>
          <w:left w:w="0" w:type="dxa"/>
          <w:bottom w:w="0" w:type="dxa"/>
          <w:right w:w="0" w:type="dxa"/>
        </w:tblCellMar>
        <w:tblLook w:val="01E0"/>
      </w:tblPr>
      <w:tblGrid>
        <w:gridCol w:w="1524"/>
        <w:gridCol w:w="1915"/>
        <w:gridCol w:w="1481"/>
        <w:gridCol w:w="1769"/>
        <w:gridCol w:w="1627"/>
      </w:tblGrid>
      <w:tr>
        <w:trPr>
          <w:trHeight w:val="334" w:hRule="exact"/>
        </w:trPr>
        <w:tc>
          <w:tcPr>
            <w:tcW w:w="1524" w:type="dxa"/>
            <w:tcBorders>
              <w:top w:val="single" w:sz="12" w:space="0" w:color="000000"/>
              <w:left w:val="single" w:sz="12" w:space="0" w:color="000000"/>
              <w:bottom w:val="single" w:sz="12" w:space="0" w:color="000000"/>
              <w:right w:val="single" w:sz="12" w:space="0" w:color="000000"/>
            </w:tcBorders>
          </w:tcPr>
          <w:p>
            <w:pPr/>
          </w:p>
        </w:tc>
        <w:tc>
          <w:tcPr>
            <w:tcW w:w="1915"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1"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769"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7"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34" w:hRule="exact"/>
        </w:trPr>
        <w:tc>
          <w:tcPr>
            <w:tcW w:w="1524"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w:t>
            </w:r>
          </w:p>
        </w:tc>
        <w:tc>
          <w:tcPr>
            <w:tcW w:w="1915"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10,113,253.20</w:t>
            </w:r>
          </w:p>
        </w:tc>
        <w:tc>
          <w:tcPr>
            <w:tcW w:w="1481"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100.00</w:t>
            </w:r>
          </w:p>
        </w:tc>
        <w:tc>
          <w:tcPr>
            <w:tcW w:w="1769"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1,341,050.78</w:t>
            </w:r>
          </w:p>
        </w:tc>
        <w:tc>
          <w:tcPr>
            <w:tcW w:w="1627"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100.00</w:t>
            </w:r>
          </w:p>
        </w:tc>
      </w:tr>
      <w:tr>
        <w:trPr>
          <w:trHeight w:val="334" w:hRule="exact"/>
        </w:trPr>
        <w:tc>
          <w:tcPr>
            <w:tcW w:w="1524"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15"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1"/>
              <w:jc w:val="center"/>
              <w:rPr>
                <w:rFonts w:ascii="宋体" w:hAnsi="宋体" w:cs="宋体" w:eastAsia="宋体" w:hint="default"/>
                <w:sz w:val="18"/>
                <w:szCs w:val="18"/>
              </w:rPr>
            </w:pPr>
            <w:r>
              <w:rPr>
                <w:rFonts w:ascii="宋体"/>
                <w:w w:val="99"/>
                <w:sz w:val="18"/>
              </w:rPr>
              <w:t>-</w:t>
            </w:r>
            <w:r>
              <w:rPr>
                <w:rFonts w:ascii="宋体"/>
                <w:sz w:val="18"/>
              </w:rPr>
            </w:r>
          </w:p>
        </w:tc>
        <w:tc>
          <w:tcPr>
            <w:tcW w:w="1481"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1"/>
              <w:jc w:val="center"/>
              <w:rPr>
                <w:rFonts w:ascii="宋体" w:hAnsi="宋体" w:cs="宋体" w:eastAsia="宋体" w:hint="default"/>
                <w:sz w:val="18"/>
                <w:szCs w:val="18"/>
              </w:rPr>
            </w:pPr>
            <w:r>
              <w:rPr>
                <w:rFonts w:ascii="宋体"/>
                <w:w w:val="99"/>
                <w:sz w:val="18"/>
              </w:rPr>
              <w:t>-</w:t>
            </w:r>
            <w:r>
              <w:rPr>
                <w:rFonts w:ascii="宋体"/>
                <w:sz w:val="18"/>
              </w:rPr>
            </w:r>
          </w:p>
        </w:tc>
        <w:tc>
          <w:tcPr>
            <w:tcW w:w="1769"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1"/>
              <w:jc w:val="center"/>
              <w:rPr>
                <w:rFonts w:ascii="宋体" w:hAnsi="宋体" w:cs="宋体" w:eastAsia="宋体" w:hint="default"/>
                <w:sz w:val="18"/>
                <w:szCs w:val="18"/>
              </w:rPr>
            </w:pPr>
            <w:r>
              <w:rPr>
                <w:rFonts w:ascii="宋体"/>
                <w:w w:val="99"/>
                <w:sz w:val="18"/>
              </w:rPr>
              <w:t>-</w:t>
            </w:r>
            <w:r>
              <w:rPr>
                <w:rFonts w:ascii="宋体"/>
                <w:sz w:val="18"/>
              </w:rPr>
            </w:r>
          </w:p>
        </w:tc>
        <w:tc>
          <w:tcPr>
            <w:tcW w:w="1627"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1"/>
              <w:jc w:val="center"/>
              <w:rPr>
                <w:rFonts w:ascii="宋体" w:hAnsi="宋体" w:cs="宋体" w:eastAsia="宋体" w:hint="default"/>
                <w:sz w:val="18"/>
                <w:szCs w:val="18"/>
              </w:rPr>
            </w:pPr>
            <w:r>
              <w:rPr>
                <w:rFonts w:ascii="宋体"/>
                <w:w w:val="99"/>
                <w:sz w:val="18"/>
              </w:rPr>
              <w:t>-</w:t>
            </w:r>
            <w:r>
              <w:rPr>
                <w:rFonts w:ascii="宋体"/>
                <w:sz w:val="18"/>
              </w:rPr>
            </w:r>
          </w:p>
        </w:tc>
      </w:tr>
      <w:tr>
        <w:trPr>
          <w:trHeight w:val="334" w:hRule="exact"/>
        </w:trPr>
        <w:tc>
          <w:tcPr>
            <w:tcW w:w="1524"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15"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1"/>
              <w:jc w:val="center"/>
              <w:rPr>
                <w:rFonts w:ascii="宋体" w:hAnsi="宋体" w:cs="宋体" w:eastAsia="宋体" w:hint="default"/>
                <w:sz w:val="18"/>
                <w:szCs w:val="18"/>
              </w:rPr>
            </w:pPr>
            <w:r>
              <w:rPr>
                <w:rFonts w:ascii="宋体"/>
                <w:w w:val="99"/>
                <w:sz w:val="18"/>
              </w:rPr>
              <w:t>-</w:t>
            </w:r>
            <w:r>
              <w:rPr>
                <w:rFonts w:ascii="宋体"/>
                <w:sz w:val="18"/>
              </w:rPr>
            </w:r>
          </w:p>
        </w:tc>
        <w:tc>
          <w:tcPr>
            <w:tcW w:w="1481"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1"/>
              <w:jc w:val="center"/>
              <w:rPr>
                <w:rFonts w:ascii="宋体" w:hAnsi="宋体" w:cs="宋体" w:eastAsia="宋体" w:hint="default"/>
                <w:sz w:val="18"/>
                <w:szCs w:val="18"/>
              </w:rPr>
            </w:pPr>
            <w:r>
              <w:rPr>
                <w:rFonts w:ascii="宋体"/>
                <w:w w:val="99"/>
                <w:sz w:val="18"/>
              </w:rPr>
              <w:t>-</w:t>
            </w:r>
            <w:r>
              <w:rPr>
                <w:rFonts w:ascii="宋体"/>
                <w:sz w:val="18"/>
              </w:rPr>
            </w:r>
          </w:p>
        </w:tc>
        <w:tc>
          <w:tcPr>
            <w:tcW w:w="1769"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1"/>
              <w:jc w:val="center"/>
              <w:rPr>
                <w:rFonts w:ascii="宋体" w:hAnsi="宋体" w:cs="宋体" w:eastAsia="宋体" w:hint="default"/>
                <w:sz w:val="18"/>
                <w:szCs w:val="18"/>
              </w:rPr>
            </w:pPr>
            <w:r>
              <w:rPr>
                <w:rFonts w:ascii="宋体"/>
                <w:w w:val="99"/>
                <w:sz w:val="18"/>
              </w:rPr>
              <w:t>-</w:t>
            </w:r>
            <w:r>
              <w:rPr>
                <w:rFonts w:ascii="宋体"/>
                <w:sz w:val="18"/>
              </w:rPr>
            </w:r>
          </w:p>
        </w:tc>
        <w:tc>
          <w:tcPr>
            <w:tcW w:w="1627"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1"/>
              <w:jc w:val="center"/>
              <w:rPr>
                <w:rFonts w:ascii="宋体" w:hAnsi="宋体" w:cs="宋体" w:eastAsia="宋体" w:hint="default"/>
                <w:sz w:val="18"/>
                <w:szCs w:val="18"/>
              </w:rPr>
            </w:pPr>
            <w:r>
              <w:rPr>
                <w:rFonts w:ascii="宋体"/>
                <w:w w:val="99"/>
                <w:sz w:val="18"/>
              </w:rPr>
              <w:t>-</w:t>
            </w:r>
            <w:r>
              <w:rPr>
                <w:rFonts w:ascii="宋体"/>
                <w:sz w:val="18"/>
              </w:rPr>
            </w:r>
          </w:p>
        </w:tc>
      </w:tr>
      <w:tr>
        <w:trPr>
          <w:trHeight w:val="334" w:hRule="exact"/>
        </w:trPr>
        <w:tc>
          <w:tcPr>
            <w:tcW w:w="1524"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年以上</w:t>
            </w:r>
          </w:p>
        </w:tc>
        <w:tc>
          <w:tcPr>
            <w:tcW w:w="1915"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1"/>
              <w:jc w:val="center"/>
              <w:rPr>
                <w:rFonts w:ascii="宋体" w:hAnsi="宋体" w:cs="宋体" w:eastAsia="宋体" w:hint="default"/>
                <w:sz w:val="18"/>
                <w:szCs w:val="18"/>
              </w:rPr>
            </w:pPr>
            <w:r>
              <w:rPr>
                <w:rFonts w:ascii="宋体"/>
                <w:w w:val="99"/>
                <w:sz w:val="18"/>
              </w:rPr>
              <w:t>-</w:t>
            </w:r>
            <w:r>
              <w:rPr>
                <w:rFonts w:ascii="宋体"/>
                <w:sz w:val="18"/>
              </w:rPr>
            </w:r>
          </w:p>
        </w:tc>
        <w:tc>
          <w:tcPr>
            <w:tcW w:w="1481"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1"/>
              <w:jc w:val="center"/>
              <w:rPr>
                <w:rFonts w:ascii="宋体" w:hAnsi="宋体" w:cs="宋体" w:eastAsia="宋体" w:hint="default"/>
                <w:sz w:val="18"/>
                <w:szCs w:val="18"/>
              </w:rPr>
            </w:pPr>
            <w:r>
              <w:rPr>
                <w:rFonts w:ascii="宋体"/>
                <w:w w:val="99"/>
                <w:sz w:val="18"/>
              </w:rPr>
              <w:t>-</w:t>
            </w:r>
            <w:r>
              <w:rPr>
                <w:rFonts w:ascii="宋体"/>
                <w:sz w:val="18"/>
              </w:rPr>
            </w:r>
          </w:p>
        </w:tc>
        <w:tc>
          <w:tcPr>
            <w:tcW w:w="1769"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1"/>
              <w:jc w:val="center"/>
              <w:rPr>
                <w:rFonts w:ascii="宋体" w:hAnsi="宋体" w:cs="宋体" w:eastAsia="宋体" w:hint="default"/>
                <w:sz w:val="18"/>
                <w:szCs w:val="18"/>
              </w:rPr>
            </w:pPr>
            <w:r>
              <w:rPr>
                <w:rFonts w:ascii="宋体"/>
                <w:w w:val="99"/>
                <w:sz w:val="18"/>
              </w:rPr>
              <w:t>-</w:t>
            </w:r>
            <w:r>
              <w:rPr>
                <w:rFonts w:ascii="宋体"/>
                <w:sz w:val="18"/>
              </w:rPr>
            </w:r>
          </w:p>
        </w:tc>
        <w:tc>
          <w:tcPr>
            <w:tcW w:w="1627"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1"/>
              <w:jc w:val="center"/>
              <w:rPr>
                <w:rFonts w:ascii="宋体" w:hAnsi="宋体" w:cs="宋体" w:eastAsia="宋体" w:hint="default"/>
                <w:sz w:val="18"/>
                <w:szCs w:val="18"/>
              </w:rPr>
            </w:pPr>
            <w:r>
              <w:rPr>
                <w:rFonts w:ascii="宋体"/>
                <w:w w:val="99"/>
                <w:sz w:val="18"/>
              </w:rPr>
              <w:t>-</w:t>
            </w:r>
            <w:r>
              <w:rPr>
                <w:rFonts w:ascii="宋体"/>
                <w:sz w:val="18"/>
              </w:rPr>
            </w:r>
          </w:p>
        </w:tc>
      </w:tr>
      <w:tr>
        <w:trPr>
          <w:trHeight w:val="331" w:hRule="exact"/>
        </w:trPr>
        <w:tc>
          <w:tcPr>
            <w:tcW w:w="1524"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10,113,253.20</w:t>
            </w:r>
          </w:p>
        </w:tc>
        <w:tc>
          <w:tcPr>
            <w:tcW w:w="1481"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100.00</w:t>
            </w:r>
          </w:p>
        </w:tc>
        <w:tc>
          <w:tcPr>
            <w:tcW w:w="1769"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1,341,050.78</w:t>
            </w:r>
          </w:p>
        </w:tc>
        <w:tc>
          <w:tcPr>
            <w:tcW w:w="1627"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100.00</w:t>
            </w:r>
          </w:p>
        </w:tc>
      </w:tr>
    </w:tbl>
    <w:p>
      <w:pPr>
        <w:spacing w:line="240" w:lineRule="auto" w:before="12"/>
        <w:rPr>
          <w:rFonts w:ascii="宋体" w:hAnsi="宋体" w:cs="宋体" w:eastAsia="宋体" w:hint="default"/>
          <w:sz w:val="23"/>
          <w:szCs w:val="23"/>
        </w:rPr>
      </w:pPr>
    </w:p>
    <w:p>
      <w:pPr>
        <w:pStyle w:val="BodyText"/>
        <w:spacing w:line="240" w:lineRule="auto"/>
        <w:ind w:left="237" w:right="125"/>
        <w:jc w:val="left"/>
      </w:pPr>
      <w:r>
        <w:rPr>
          <w:rFonts w:ascii="Arial" w:hAnsi="Arial" w:cs="Arial" w:eastAsia="Arial" w:hint="default"/>
        </w:rPr>
        <w:t>6.7.2</w:t>
      </w:r>
      <w:r>
        <w:rPr>
          <w:rFonts w:ascii="Arial" w:hAnsi="Arial" w:cs="Arial" w:eastAsia="Arial" w:hint="default"/>
          <w:spacing w:val="44"/>
        </w:rPr>
        <w:t> </w:t>
      </w:r>
      <w:r>
        <w:rPr/>
        <w:t>预付账款余额前五名单位情况</w:t>
      </w:r>
    </w:p>
    <w:p>
      <w:pPr>
        <w:spacing w:line="240" w:lineRule="auto" w:before="5"/>
        <w:rPr>
          <w:rFonts w:ascii="宋体" w:hAnsi="宋体" w:cs="宋体" w:eastAsia="宋体" w:hint="default"/>
          <w:sz w:val="12"/>
          <w:szCs w:val="12"/>
        </w:rPr>
      </w:pPr>
    </w:p>
    <w:tbl>
      <w:tblPr>
        <w:tblW w:w="0" w:type="auto"/>
        <w:jc w:val="left"/>
        <w:tblInd w:w="323" w:type="dxa"/>
        <w:tblLayout w:type="fixed"/>
        <w:tblCellMar>
          <w:top w:w="0" w:type="dxa"/>
          <w:left w:w="0" w:type="dxa"/>
          <w:bottom w:w="0" w:type="dxa"/>
          <w:right w:w="0" w:type="dxa"/>
        </w:tblCellMar>
        <w:tblLook w:val="01E0"/>
      </w:tblPr>
      <w:tblGrid>
        <w:gridCol w:w="2630"/>
        <w:gridCol w:w="2102"/>
        <w:gridCol w:w="1318"/>
        <w:gridCol w:w="1078"/>
        <w:gridCol w:w="1310"/>
      </w:tblGrid>
      <w:tr>
        <w:trPr>
          <w:trHeight w:val="334" w:hRule="exact"/>
        </w:trPr>
        <w:tc>
          <w:tcPr>
            <w:tcW w:w="2630"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102"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318"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41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78"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310"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636" w:hRule="exact"/>
        </w:trPr>
        <w:tc>
          <w:tcPr>
            <w:tcW w:w="2630"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spacing w:val="5"/>
                <w:sz w:val="18"/>
                <w:szCs w:val="18"/>
              </w:rPr>
              <w:t>烟台蓬莱禄昊化工机械有限公</w:t>
            </w:r>
          </w:p>
          <w:p>
            <w:pPr>
              <w:pStyle w:val="TableParagraph"/>
              <w:spacing w:line="240" w:lineRule="auto" w:before="67"/>
              <w:ind w:left="93" w:right="0"/>
              <w:jc w:val="left"/>
              <w:rPr>
                <w:rFonts w:ascii="宋体" w:hAnsi="宋体" w:cs="宋体" w:eastAsia="宋体" w:hint="default"/>
                <w:sz w:val="18"/>
                <w:szCs w:val="18"/>
              </w:rPr>
            </w:pPr>
            <w:r>
              <w:rPr>
                <w:rFonts w:ascii="宋体" w:hAnsi="宋体" w:cs="宋体" w:eastAsia="宋体" w:hint="default"/>
                <w:w w:val="99"/>
                <w:sz w:val="18"/>
                <w:szCs w:val="18"/>
              </w:rPr>
              <w:t>司</w:t>
            </w:r>
            <w:r>
              <w:rPr>
                <w:rFonts w:ascii="宋体" w:hAnsi="宋体" w:cs="宋体" w:eastAsia="宋体" w:hint="default"/>
                <w:sz w:val="18"/>
                <w:szCs w:val="18"/>
              </w:rPr>
            </w:r>
          </w:p>
        </w:tc>
        <w:tc>
          <w:tcPr>
            <w:tcW w:w="21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公司设备供应商</w:t>
            </w:r>
          </w:p>
        </w:tc>
        <w:tc>
          <w:tcPr>
            <w:tcW w:w="13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17" w:right="0"/>
              <w:jc w:val="left"/>
              <w:rPr>
                <w:rFonts w:ascii="Arial" w:hAnsi="Arial" w:cs="Arial" w:eastAsia="Arial" w:hint="default"/>
                <w:sz w:val="18"/>
                <w:szCs w:val="18"/>
              </w:rPr>
            </w:pPr>
            <w:r>
              <w:rPr>
                <w:rFonts w:ascii="Arial"/>
                <w:sz w:val="18"/>
              </w:rPr>
              <w:t>6,554,400.00</w:t>
            </w:r>
          </w:p>
        </w:tc>
        <w:tc>
          <w:tcPr>
            <w:tcW w:w="10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3"/>
              <w:ind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年以内</w:t>
            </w:r>
          </w:p>
        </w:tc>
        <w:tc>
          <w:tcPr>
            <w:tcW w:w="13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34" w:hRule="exact"/>
        </w:trPr>
        <w:tc>
          <w:tcPr>
            <w:tcW w:w="2630"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sz w:val="18"/>
                <w:szCs w:val="18"/>
              </w:rPr>
              <w:t>永嘉县上塘机械厂</w:t>
            </w:r>
          </w:p>
        </w:tc>
        <w:tc>
          <w:tcPr>
            <w:tcW w:w="2102"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公司设备供应商</w:t>
            </w:r>
          </w:p>
        </w:tc>
        <w:tc>
          <w:tcPr>
            <w:tcW w:w="13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left="191" w:right="0"/>
              <w:jc w:val="left"/>
              <w:rPr>
                <w:rFonts w:ascii="Arial" w:hAnsi="Arial" w:cs="Arial" w:eastAsia="Arial" w:hint="default"/>
                <w:sz w:val="18"/>
                <w:szCs w:val="18"/>
              </w:rPr>
            </w:pPr>
            <w:r>
              <w:rPr>
                <w:rFonts w:ascii="Arial"/>
                <w:sz w:val="18"/>
              </w:rPr>
              <w:t>705,600.00</w:t>
            </w:r>
          </w:p>
        </w:tc>
        <w:tc>
          <w:tcPr>
            <w:tcW w:w="1078" w:type="dxa"/>
            <w:tcBorders>
              <w:top w:val="single" w:sz="12" w:space="0" w:color="000000"/>
              <w:left w:val="single" w:sz="12" w:space="0" w:color="000000"/>
              <w:bottom w:val="single" w:sz="12" w:space="0" w:color="000000"/>
              <w:right w:val="single" w:sz="12" w:space="0" w:color="000000"/>
            </w:tcBorders>
          </w:tcPr>
          <w:p>
            <w:pPr>
              <w:pStyle w:val="TableParagraph"/>
              <w:spacing w:line="221" w:lineRule="exact"/>
              <w:ind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年以内</w:t>
            </w:r>
          </w:p>
        </w:tc>
        <w:tc>
          <w:tcPr>
            <w:tcW w:w="1310"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34" w:hRule="exact"/>
        </w:trPr>
        <w:tc>
          <w:tcPr>
            <w:tcW w:w="2630"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sz w:val="18"/>
                <w:szCs w:val="18"/>
              </w:rPr>
              <w:t>淄博圣元窑炉工程有限公司</w:t>
            </w:r>
          </w:p>
        </w:tc>
        <w:tc>
          <w:tcPr>
            <w:tcW w:w="2102"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公司设备供应商</w:t>
            </w:r>
          </w:p>
        </w:tc>
        <w:tc>
          <w:tcPr>
            <w:tcW w:w="13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left="191" w:right="0"/>
              <w:jc w:val="left"/>
              <w:rPr>
                <w:rFonts w:ascii="Arial" w:hAnsi="Arial" w:cs="Arial" w:eastAsia="Arial" w:hint="default"/>
                <w:sz w:val="18"/>
                <w:szCs w:val="18"/>
              </w:rPr>
            </w:pPr>
            <w:r>
              <w:rPr>
                <w:rFonts w:ascii="Arial"/>
                <w:sz w:val="18"/>
              </w:rPr>
              <w:t>558,000.00</w:t>
            </w:r>
          </w:p>
        </w:tc>
        <w:tc>
          <w:tcPr>
            <w:tcW w:w="1078" w:type="dxa"/>
            <w:tcBorders>
              <w:top w:val="single" w:sz="12" w:space="0" w:color="000000"/>
              <w:left w:val="single" w:sz="12" w:space="0" w:color="000000"/>
              <w:bottom w:val="single" w:sz="12" w:space="0" w:color="000000"/>
              <w:right w:val="single" w:sz="12" w:space="0" w:color="000000"/>
            </w:tcBorders>
          </w:tcPr>
          <w:p>
            <w:pPr>
              <w:pStyle w:val="TableParagraph"/>
              <w:spacing w:line="221" w:lineRule="exact"/>
              <w:ind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年以内</w:t>
            </w:r>
          </w:p>
        </w:tc>
        <w:tc>
          <w:tcPr>
            <w:tcW w:w="1310"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636" w:hRule="exact"/>
        </w:trPr>
        <w:tc>
          <w:tcPr>
            <w:tcW w:w="2630"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spacing w:val="5"/>
                <w:sz w:val="18"/>
                <w:szCs w:val="18"/>
              </w:rPr>
              <w:t>烟台国邦化工机械科技有限公</w:t>
            </w:r>
          </w:p>
          <w:p>
            <w:pPr>
              <w:pStyle w:val="TableParagraph"/>
              <w:spacing w:line="240" w:lineRule="auto" w:before="67"/>
              <w:ind w:left="93" w:right="0"/>
              <w:jc w:val="left"/>
              <w:rPr>
                <w:rFonts w:ascii="宋体" w:hAnsi="宋体" w:cs="宋体" w:eastAsia="宋体" w:hint="default"/>
                <w:sz w:val="18"/>
                <w:szCs w:val="18"/>
              </w:rPr>
            </w:pPr>
            <w:r>
              <w:rPr>
                <w:rFonts w:ascii="宋体" w:hAnsi="宋体" w:cs="宋体" w:eastAsia="宋体" w:hint="default"/>
                <w:w w:val="99"/>
                <w:sz w:val="18"/>
                <w:szCs w:val="18"/>
              </w:rPr>
              <w:t>司</w:t>
            </w:r>
            <w:r>
              <w:rPr>
                <w:rFonts w:ascii="宋体" w:hAnsi="宋体" w:cs="宋体" w:eastAsia="宋体" w:hint="default"/>
                <w:sz w:val="18"/>
                <w:szCs w:val="18"/>
              </w:rPr>
            </w:r>
          </w:p>
        </w:tc>
        <w:tc>
          <w:tcPr>
            <w:tcW w:w="21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公司设备供应商</w:t>
            </w:r>
          </w:p>
        </w:tc>
        <w:tc>
          <w:tcPr>
            <w:tcW w:w="13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91" w:right="0"/>
              <w:jc w:val="left"/>
              <w:rPr>
                <w:rFonts w:ascii="Arial" w:hAnsi="Arial" w:cs="Arial" w:eastAsia="Arial" w:hint="default"/>
                <w:sz w:val="18"/>
                <w:szCs w:val="18"/>
              </w:rPr>
            </w:pPr>
            <w:r>
              <w:rPr>
                <w:rFonts w:ascii="Arial"/>
                <w:sz w:val="18"/>
              </w:rPr>
              <w:t>358,800.00</w:t>
            </w:r>
          </w:p>
        </w:tc>
        <w:tc>
          <w:tcPr>
            <w:tcW w:w="10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3"/>
              <w:ind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年以内</w:t>
            </w:r>
          </w:p>
        </w:tc>
        <w:tc>
          <w:tcPr>
            <w:tcW w:w="13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34" w:hRule="exact"/>
        </w:trPr>
        <w:tc>
          <w:tcPr>
            <w:tcW w:w="2630"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sz w:val="18"/>
                <w:szCs w:val="18"/>
              </w:rPr>
              <w:t>台州市振港染料化工有限公司</w:t>
            </w:r>
          </w:p>
        </w:tc>
        <w:tc>
          <w:tcPr>
            <w:tcW w:w="2102"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公司原料供应商</w:t>
            </w:r>
          </w:p>
        </w:tc>
        <w:tc>
          <w:tcPr>
            <w:tcW w:w="13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left="191" w:right="0"/>
              <w:jc w:val="left"/>
              <w:rPr>
                <w:rFonts w:ascii="Arial" w:hAnsi="Arial" w:cs="Arial" w:eastAsia="Arial" w:hint="default"/>
                <w:sz w:val="18"/>
                <w:szCs w:val="18"/>
              </w:rPr>
            </w:pPr>
            <w:r>
              <w:rPr>
                <w:rFonts w:ascii="Arial"/>
                <w:sz w:val="18"/>
              </w:rPr>
              <w:t>299,439.20</w:t>
            </w:r>
          </w:p>
        </w:tc>
        <w:tc>
          <w:tcPr>
            <w:tcW w:w="1078" w:type="dxa"/>
            <w:tcBorders>
              <w:top w:val="single" w:sz="12" w:space="0" w:color="000000"/>
              <w:left w:val="single" w:sz="12" w:space="0" w:color="000000"/>
              <w:bottom w:val="single" w:sz="12" w:space="0" w:color="000000"/>
              <w:right w:val="single" w:sz="12" w:space="0" w:color="000000"/>
            </w:tcBorders>
          </w:tcPr>
          <w:p>
            <w:pPr>
              <w:pStyle w:val="TableParagraph"/>
              <w:spacing w:line="221" w:lineRule="exact"/>
              <w:ind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年以内</w:t>
            </w:r>
          </w:p>
        </w:tc>
        <w:tc>
          <w:tcPr>
            <w:tcW w:w="1310"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34" w:hRule="exact"/>
        </w:trPr>
        <w:tc>
          <w:tcPr>
            <w:tcW w:w="2630"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02" w:type="dxa"/>
            <w:tcBorders>
              <w:top w:val="single" w:sz="12" w:space="0" w:color="000000"/>
              <w:left w:val="single" w:sz="12" w:space="0" w:color="000000"/>
              <w:bottom w:val="single" w:sz="12" w:space="0" w:color="000000"/>
              <w:right w:val="single" w:sz="12" w:space="0" w:color="000000"/>
            </w:tcBorders>
          </w:tcPr>
          <w:p>
            <w:pPr/>
          </w:p>
        </w:tc>
        <w:tc>
          <w:tcPr>
            <w:tcW w:w="13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left="117" w:right="0"/>
              <w:jc w:val="left"/>
              <w:rPr>
                <w:rFonts w:ascii="Arial" w:hAnsi="Arial" w:cs="Arial" w:eastAsia="Arial" w:hint="default"/>
                <w:sz w:val="18"/>
                <w:szCs w:val="18"/>
              </w:rPr>
            </w:pPr>
            <w:r>
              <w:rPr>
                <w:rFonts w:ascii="Arial"/>
                <w:sz w:val="18"/>
              </w:rPr>
              <w:t>8,476,239.20</w:t>
            </w:r>
          </w:p>
        </w:tc>
        <w:tc>
          <w:tcPr>
            <w:tcW w:w="1078" w:type="dxa"/>
            <w:tcBorders>
              <w:top w:val="single" w:sz="12" w:space="0" w:color="000000"/>
              <w:left w:val="single" w:sz="12" w:space="0" w:color="000000"/>
              <w:bottom w:val="single" w:sz="12" w:space="0" w:color="000000"/>
              <w:right w:val="single" w:sz="12" w:space="0" w:color="000000"/>
            </w:tcBorders>
          </w:tcPr>
          <w:p>
            <w:pPr/>
          </w:p>
        </w:tc>
        <w:tc>
          <w:tcPr>
            <w:tcW w:w="1310" w:type="dxa"/>
            <w:tcBorders>
              <w:top w:val="single" w:sz="12" w:space="0" w:color="000000"/>
              <w:left w:val="single" w:sz="12" w:space="0" w:color="000000"/>
              <w:bottom w:val="single" w:sz="12" w:space="0" w:color="000000"/>
              <w:right w:val="single" w:sz="12" w:space="0" w:color="000000"/>
            </w:tcBorders>
          </w:tcPr>
          <w:p>
            <w:pPr/>
          </w:p>
        </w:tc>
      </w:tr>
    </w:tbl>
    <w:p>
      <w:pPr>
        <w:spacing w:line="240" w:lineRule="auto" w:before="12"/>
        <w:rPr>
          <w:rFonts w:ascii="宋体" w:hAnsi="宋体" w:cs="宋体" w:eastAsia="宋体" w:hint="default"/>
          <w:sz w:val="23"/>
          <w:szCs w:val="23"/>
        </w:rPr>
      </w:pPr>
    </w:p>
    <w:p>
      <w:pPr>
        <w:pStyle w:val="BodyText"/>
        <w:spacing w:line="240" w:lineRule="auto"/>
        <w:ind w:left="237" w:right="125"/>
        <w:jc w:val="left"/>
      </w:pPr>
      <w:r>
        <w:rPr>
          <w:rFonts w:ascii="Arial" w:hAnsi="Arial" w:cs="Arial" w:eastAsia="Arial" w:hint="default"/>
        </w:rPr>
        <w:t>6.7.3 </w:t>
      </w:r>
      <w:r>
        <w:rPr/>
        <w:t>本报告期预付账款中无持公司 </w:t>
      </w:r>
      <w:r>
        <w:rPr>
          <w:rFonts w:ascii="Arial" w:hAnsi="Arial" w:cs="Arial" w:eastAsia="Arial" w:hint="default"/>
        </w:rPr>
        <w:t>5</w:t>
      </w:r>
      <w:r>
        <w:rPr/>
        <w:t>％以上（含</w:t>
      </w:r>
      <w:r>
        <w:rPr>
          <w:spacing w:val="-72"/>
        </w:rPr>
        <w:t> </w:t>
      </w:r>
      <w:r>
        <w:rPr>
          <w:rFonts w:ascii="Arial" w:hAnsi="Arial" w:cs="Arial" w:eastAsia="Arial" w:hint="default"/>
        </w:rPr>
        <w:t>5</w:t>
      </w:r>
      <w:r>
        <w:rPr/>
        <w:t>％）表决权股份的股东单位欠款。</w:t>
      </w:r>
    </w:p>
    <w:p>
      <w:pPr>
        <w:pStyle w:val="BodyText"/>
        <w:spacing w:line="338" w:lineRule="auto" w:before="123"/>
        <w:ind w:left="237" w:right="125"/>
        <w:jc w:val="left"/>
      </w:pPr>
      <w:r>
        <w:rPr>
          <w:rFonts w:ascii="Arial" w:hAnsi="Arial" w:cs="Arial" w:eastAsia="Arial" w:hint="default"/>
          <w:w w:val="100"/>
        </w:rPr>
        <w:t>6.7.4 </w:t>
      </w:r>
      <w:r>
        <w:rPr>
          <w:spacing w:val="-1"/>
          <w:w w:val="100"/>
        </w:rPr>
        <w:t>预付账款年末数比年初数增加</w:t>
      </w:r>
      <w:r>
        <w:rPr>
          <w:w w:val="100"/>
        </w:rPr>
        <w:t> </w:t>
      </w:r>
      <w:r>
        <w:rPr>
          <w:rFonts w:ascii="Arial" w:hAnsi="Arial" w:cs="Arial" w:eastAsia="Arial" w:hint="default"/>
          <w:spacing w:val="-1"/>
          <w:w w:val="100"/>
        </w:rPr>
        <w:t>8,772,202.42</w:t>
      </w:r>
      <w:r>
        <w:rPr>
          <w:rFonts w:ascii="Arial" w:hAnsi="Arial" w:cs="Arial" w:eastAsia="Arial" w:hint="default"/>
          <w:w w:val="100"/>
        </w:rPr>
        <w:t> </w:t>
      </w:r>
      <w:r>
        <w:rPr>
          <w:spacing w:val="-15"/>
          <w:w w:val="100"/>
        </w:rPr>
        <w:t>元，增加比例为</w:t>
      </w:r>
      <w:r>
        <w:rPr>
          <w:spacing w:val="-3"/>
          <w:w w:val="100"/>
        </w:rPr>
        <w:t> </w:t>
      </w:r>
      <w:r>
        <w:rPr>
          <w:rFonts w:ascii="Arial" w:hAnsi="Arial" w:cs="Arial" w:eastAsia="Arial" w:hint="default"/>
          <w:spacing w:val="-8"/>
          <w:w w:val="100"/>
        </w:rPr>
        <w:t>654.13%</w:t>
      </w:r>
      <w:r>
        <w:rPr>
          <w:spacing w:val="-8"/>
          <w:w w:val="100"/>
        </w:rPr>
        <w:t>，增加原因为：</w:t>
      </w:r>
      <w:r>
        <w:rPr>
          <w:w w:val="100"/>
        </w:rPr>
        <w:t> </w:t>
      </w:r>
      <w:r>
        <w:rPr/>
        <w:t>本公司为采购设备预付设备款所致。</w:t>
      </w:r>
    </w:p>
    <w:p>
      <w:pPr>
        <w:pStyle w:val="BodyText"/>
        <w:spacing w:line="240" w:lineRule="auto" w:before="51"/>
        <w:ind w:left="237" w:right="125"/>
        <w:jc w:val="left"/>
      </w:pPr>
      <w:r>
        <w:rPr>
          <w:rFonts w:ascii="Arial" w:hAnsi="Arial" w:cs="Arial" w:eastAsia="Arial" w:hint="default"/>
        </w:rPr>
        <w:t>6.8</w:t>
      </w:r>
      <w:r>
        <w:rPr>
          <w:rFonts w:ascii="Arial" w:hAnsi="Arial" w:cs="Arial" w:eastAsia="Arial" w:hint="default"/>
          <w:spacing w:val="-5"/>
        </w:rPr>
        <w:t> </w:t>
      </w:r>
      <w:r>
        <w:rPr/>
        <w:t>存货</w:t>
      </w:r>
    </w:p>
    <w:p>
      <w:pPr>
        <w:pStyle w:val="BodyText"/>
        <w:spacing w:line="240" w:lineRule="auto" w:before="123"/>
        <w:ind w:left="237" w:right="125"/>
        <w:jc w:val="left"/>
      </w:pPr>
      <w:r>
        <w:rPr>
          <w:rFonts w:ascii="Arial" w:hAnsi="Arial" w:cs="Arial" w:eastAsia="Arial" w:hint="default"/>
        </w:rPr>
        <w:t>6.8.1</w:t>
      </w:r>
      <w:r>
        <w:rPr>
          <w:rFonts w:ascii="Arial" w:hAnsi="Arial" w:cs="Arial" w:eastAsia="Arial" w:hint="default"/>
          <w:spacing w:val="-5"/>
        </w:rPr>
        <w:t> </w:t>
      </w:r>
      <w:r>
        <w:rPr/>
        <w:t>存货分类</w:t>
      </w:r>
    </w:p>
    <w:p>
      <w:pPr>
        <w:spacing w:line="240" w:lineRule="auto" w:before="3"/>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2916"/>
        <w:gridCol w:w="2292"/>
        <w:gridCol w:w="2030"/>
        <w:gridCol w:w="1618"/>
      </w:tblGrid>
      <w:tr>
        <w:trPr>
          <w:trHeight w:val="437" w:hRule="exact"/>
        </w:trPr>
        <w:tc>
          <w:tcPr>
            <w:tcW w:w="2916" w:type="dxa"/>
            <w:vMerge w:val="restart"/>
            <w:tcBorders>
              <w:top w:val="single" w:sz="12" w:space="0" w:color="000000"/>
              <w:left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5940" w:type="dxa"/>
            <w:gridSpan w:val="3"/>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434" w:hRule="exact"/>
        </w:trPr>
        <w:tc>
          <w:tcPr>
            <w:tcW w:w="2916" w:type="dxa"/>
            <w:vMerge/>
            <w:tcBorders>
              <w:left w:val="single" w:sz="12" w:space="0" w:color="000000"/>
              <w:bottom w:val="single" w:sz="12" w:space="0" w:color="000000"/>
              <w:right w:val="single" w:sz="12" w:space="0" w:color="000000"/>
            </w:tcBorders>
          </w:tcPr>
          <w:p>
            <w:pPr/>
          </w:p>
        </w:tc>
        <w:tc>
          <w:tcPr>
            <w:tcW w:w="22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跌价准备</w:t>
            </w:r>
          </w:p>
        </w:tc>
        <w:tc>
          <w:tcPr>
            <w:tcW w:w="16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left="43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37" w:hRule="exact"/>
        </w:trPr>
        <w:tc>
          <w:tcPr>
            <w:tcW w:w="29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left="9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2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3"/>
              <w:jc w:val="center"/>
              <w:rPr>
                <w:rFonts w:ascii="Arial" w:hAnsi="Arial" w:cs="Arial" w:eastAsia="Arial" w:hint="default"/>
                <w:sz w:val="18"/>
                <w:szCs w:val="18"/>
              </w:rPr>
            </w:pPr>
            <w:r>
              <w:rPr>
                <w:rFonts w:ascii="Arial"/>
                <w:sz w:val="18"/>
              </w:rPr>
              <w:t>12,656,491.37</w:t>
            </w:r>
          </w:p>
        </w:tc>
        <w:tc>
          <w:tcPr>
            <w:tcW w:w="20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left="2" w:right="0"/>
              <w:jc w:val="center"/>
              <w:rPr>
                <w:rFonts w:ascii="Arial" w:hAnsi="Arial" w:cs="Arial" w:eastAsia="Arial" w:hint="default"/>
                <w:sz w:val="18"/>
                <w:szCs w:val="18"/>
              </w:rPr>
            </w:pPr>
            <w:r>
              <w:rPr>
                <w:rFonts w:ascii="Arial"/>
                <w:w w:val="99"/>
                <w:sz w:val="18"/>
              </w:rPr>
              <w:t>-</w:t>
            </w:r>
            <w:r>
              <w:rPr>
                <w:rFonts w:ascii="Arial"/>
                <w:sz w:val="18"/>
              </w:rPr>
            </w:r>
          </w:p>
        </w:tc>
        <w:tc>
          <w:tcPr>
            <w:tcW w:w="16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217"/>
              <w:jc w:val="right"/>
              <w:rPr>
                <w:rFonts w:ascii="Arial" w:hAnsi="Arial" w:cs="Arial" w:eastAsia="Arial" w:hint="default"/>
                <w:sz w:val="18"/>
                <w:szCs w:val="18"/>
              </w:rPr>
            </w:pPr>
            <w:r>
              <w:rPr>
                <w:rFonts w:ascii="Arial"/>
                <w:spacing w:val="-1"/>
                <w:sz w:val="18"/>
              </w:rPr>
              <w:t>12,656,491.37</w:t>
            </w:r>
          </w:p>
        </w:tc>
      </w:tr>
      <w:tr>
        <w:trPr>
          <w:trHeight w:val="434" w:hRule="exact"/>
        </w:trPr>
        <w:tc>
          <w:tcPr>
            <w:tcW w:w="29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left="93" w:right="0"/>
              <w:jc w:val="left"/>
              <w:rPr>
                <w:rFonts w:ascii="宋体" w:hAnsi="宋体" w:cs="宋体" w:eastAsia="宋体" w:hint="default"/>
                <w:sz w:val="18"/>
                <w:szCs w:val="18"/>
              </w:rPr>
            </w:pPr>
            <w:r>
              <w:rPr>
                <w:rFonts w:ascii="宋体" w:hAnsi="宋体" w:cs="宋体" w:eastAsia="宋体" w:hint="default"/>
                <w:sz w:val="18"/>
                <w:szCs w:val="18"/>
              </w:rPr>
              <w:t>库存商品及产成品</w:t>
            </w:r>
          </w:p>
        </w:tc>
        <w:tc>
          <w:tcPr>
            <w:tcW w:w="22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3"/>
              <w:jc w:val="center"/>
              <w:rPr>
                <w:rFonts w:ascii="Arial" w:hAnsi="Arial" w:cs="Arial" w:eastAsia="Arial" w:hint="default"/>
                <w:sz w:val="18"/>
                <w:szCs w:val="18"/>
              </w:rPr>
            </w:pPr>
            <w:r>
              <w:rPr>
                <w:rFonts w:ascii="Arial"/>
                <w:sz w:val="18"/>
              </w:rPr>
              <w:t>53,409,732.99</w:t>
            </w:r>
          </w:p>
        </w:tc>
        <w:tc>
          <w:tcPr>
            <w:tcW w:w="20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141,837.19</w:t>
            </w:r>
          </w:p>
        </w:tc>
        <w:tc>
          <w:tcPr>
            <w:tcW w:w="16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7"/>
              <w:ind w:right="217"/>
              <w:jc w:val="right"/>
              <w:rPr>
                <w:rFonts w:ascii="Arial" w:hAnsi="Arial" w:cs="Arial" w:eastAsia="Arial" w:hint="default"/>
                <w:sz w:val="18"/>
                <w:szCs w:val="18"/>
              </w:rPr>
            </w:pPr>
            <w:r>
              <w:rPr>
                <w:rFonts w:ascii="Arial"/>
                <w:spacing w:val="-1"/>
                <w:sz w:val="18"/>
              </w:rPr>
              <w:t>53,267,895.80</w:t>
            </w:r>
          </w:p>
        </w:tc>
      </w:tr>
      <w:tr>
        <w:trPr>
          <w:trHeight w:val="437" w:hRule="exact"/>
        </w:trPr>
        <w:tc>
          <w:tcPr>
            <w:tcW w:w="29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left="93" w:right="0"/>
              <w:jc w:val="left"/>
              <w:rPr>
                <w:rFonts w:ascii="宋体" w:hAnsi="宋体" w:cs="宋体" w:eastAsia="宋体" w:hint="default"/>
                <w:sz w:val="18"/>
                <w:szCs w:val="18"/>
              </w:rPr>
            </w:pPr>
            <w:r>
              <w:rPr>
                <w:rFonts w:ascii="宋体" w:hAnsi="宋体" w:cs="宋体" w:eastAsia="宋体" w:hint="default"/>
                <w:sz w:val="18"/>
                <w:szCs w:val="18"/>
              </w:rPr>
              <w:t>委托加工材料</w:t>
            </w:r>
          </w:p>
        </w:tc>
        <w:tc>
          <w:tcPr>
            <w:tcW w:w="22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7"/>
              <w:ind w:right="1"/>
              <w:jc w:val="center"/>
              <w:rPr>
                <w:rFonts w:ascii="Arial" w:hAnsi="Arial" w:cs="Arial" w:eastAsia="Arial" w:hint="default"/>
                <w:sz w:val="18"/>
                <w:szCs w:val="18"/>
              </w:rPr>
            </w:pPr>
            <w:r>
              <w:rPr>
                <w:rFonts w:ascii="Arial"/>
                <w:sz w:val="18"/>
              </w:rPr>
              <w:t>166,644.15</w:t>
            </w:r>
          </w:p>
        </w:tc>
        <w:tc>
          <w:tcPr>
            <w:tcW w:w="20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7"/>
              <w:ind w:left="2" w:right="0"/>
              <w:jc w:val="center"/>
              <w:rPr>
                <w:rFonts w:ascii="Arial" w:hAnsi="Arial" w:cs="Arial" w:eastAsia="Arial" w:hint="default"/>
                <w:sz w:val="18"/>
                <w:szCs w:val="18"/>
              </w:rPr>
            </w:pPr>
            <w:r>
              <w:rPr>
                <w:rFonts w:ascii="Arial"/>
                <w:w w:val="99"/>
                <w:sz w:val="18"/>
              </w:rPr>
              <w:t>-</w:t>
            </w:r>
            <w:r>
              <w:rPr>
                <w:rFonts w:ascii="Arial"/>
                <w:sz w:val="18"/>
              </w:rPr>
            </w:r>
          </w:p>
        </w:tc>
        <w:tc>
          <w:tcPr>
            <w:tcW w:w="16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7"/>
              <w:ind w:left="343" w:right="0"/>
              <w:jc w:val="left"/>
              <w:rPr>
                <w:rFonts w:ascii="Arial" w:hAnsi="Arial" w:cs="Arial" w:eastAsia="Arial" w:hint="default"/>
                <w:sz w:val="18"/>
                <w:szCs w:val="18"/>
              </w:rPr>
            </w:pPr>
            <w:r>
              <w:rPr>
                <w:rFonts w:ascii="Arial"/>
                <w:sz w:val="18"/>
              </w:rPr>
              <w:t>166,644.15</w:t>
            </w:r>
          </w:p>
        </w:tc>
      </w:tr>
      <w:tr>
        <w:trPr>
          <w:trHeight w:val="434" w:hRule="exact"/>
        </w:trPr>
        <w:tc>
          <w:tcPr>
            <w:tcW w:w="29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left="9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22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3"/>
              <w:jc w:val="center"/>
              <w:rPr>
                <w:rFonts w:ascii="Arial" w:hAnsi="Arial" w:cs="Arial" w:eastAsia="Arial" w:hint="default"/>
                <w:sz w:val="18"/>
                <w:szCs w:val="18"/>
              </w:rPr>
            </w:pPr>
            <w:r>
              <w:rPr>
                <w:rFonts w:ascii="Arial"/>
                <w:sz w:val="18"/>
              </w:rPr>
              <w:t>6,347,677.70</w:t>
            </w:r>
          </w:p>
        </w:tc>
        <w:tc>
          <w:tcPr>
            <w:tcW w:w="20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left="2" w:right="0"/>
              <w:jc w:val="center"/>
              <w:rPr>
                <w:rFonts w:ascii="Arial" w:hAnsi="Arial" w:cs="Arial" w:eastAsia="Arial" w:hint="default"/>
                <w:sz w:val="18"/>
                <w:szCs w:val="18"/>
              </w:rPr>
            </w:pPr>
            <w:r>
              <w:rPr>
                <w:rFonts w:ascii="Arial"/>
                <w:w w:val="99"/>
                <w:sz w:val="18"/>
              </w:rPr>
              <w:t>-</w:t>
            </w:r>
            <w:r>
              <w:rPr>
                <w:rFonts w:ascii="Arial"/>
                <w:sz w:val="18"/>
              </w:rPr>
            </w:r>
          </w:p>
        </w:tc>
        <w:tc>
          <w:tcPr>
            <w:tcW w:w="16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267"/>
              <w:jc w:val="right"/>
              <w:rPr>
                <w:rFonts w:ascii="Arial" w:hAnsi="Arial" w:cs="Arial" w:eastAsia="Arial" w:hint="default"/>
                <w:sz w:val="18"/>
                <w:szCs w:val="18"/>
              </w:rPr>
            </w:pPr>
            <w:r>
              <w:rPr>
                <w:rFonts w:ascii="Arial"/>
                <w:spacing w:val="-1"/>
                <w:sz w:val="18"/>
              </w:rPr>
              <w:t>6,347,677.70</w:t>
            </w:r>
          </w:p>
        </w:tc>
      </w:tr>
      <w:tr>
        <w:trPr>
          <w:trHeight w:val="437" w:hRule="exact"/>
        </w:trPr>
        <w:tc>
          <w:tcPr>
            <w:tcW w:w="29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left="93"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22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3"/>
              <w:jc w:val="center"/>
              <w:rPr>
                <w:rFonts w:ascii="Arial" w:hAnsi="Arial" w:cs="Arial" w:eastAsia="Arial" w:hint="default"/>
                <w:sz w:val="18"/>
                <w:szCs w:val="18"/>
              </w:rPr>
            </w:pPr>
            <w:r>
              <w:rPr>
                <w:rFonts w:ascii="Arial"/>
                <w:sz w:val="18"/>
              </w:rPr>
              <w:t>67,360.42</w:t>
            </w:r>
          </w:p>
        </w:tc>
        <w:tc>
          <w:tcPr>
            <w:tcW w:w="20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left="2" w:right="0"/>
              <w:jc w:val="center"/>
              <w:rPr>
                <w:rFonts w:ascii="Arial" w:hAnsi="Arial" w:cs="Arial" w:eastAsia="Arial" w:hint="default"/>
                <w:sz w:val="18"/>
                <w:szCs w:val="18"/>
              </w:rPr>
            </w:pPr>
            <w:r>
              <w:rPr>
                <w:rFonts w:ascii="Arial"/>
                <w:w w:val="99"/>
                <w:sz w:val="18"/>
              </w:rPr>
              <w:t>-</w:t>
            </w:r>
            <w:r>
              <w:rPr>
                <w:rFonts w:ascii="Arial"/>
                <w:sz w:val="18"/>
              </w:rPr>
            </w:r>
          </w:p>
        </w:tc>
        <w:tc>
          <w:tcPr>
            <w:tcW w:w="16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left="391" w:right="0"/>
              <w:jc w:val="left"/>
              <w:rPr>
                <w:rFonts w:ascii="Arial" w:hAnsi="Arial" w:cs="Arial" w:eastAsia="Arial" w:hint="default"/>
                <w:sz w:val="18"/>
                <w:szCs w:val="18"/>
              </w:rPr>
            </w:pPr>
            <w:r>
              <w:rPr>
                <w:rFonts w:ascii="Arial"/>
                <w:sz w:val="18"/>
              </w:rPr>
              <w:t>67,360.42</w:t>
            </w:r>
          </w:p>
        </w:tc>
      </w:tr>
      <w:tr>
        <w:trPr>
          <w:trHeight w:val="434" w:hRule="exact"/>
        </w:trPr>
        <w:tc>
          <w:tcPr>
            <w:tcW w:w="29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3"/>
              <w:jc w:val="center"/>
              <w:rPr>
                <w:rFonts w:ascii="Arial" w:hAnsi="Arial" w:cs="Arial" w:eastAsia="Arial" w:hint="default"/>
                <w:sz w:val="18"/>
                <w:szCs w:val="18"/>
              </w:rPr>
            </w:pPr>
            <w:r>
              <w:rPr>
                <w:rFonts w:ascii="Arial"/>
                <w:sz w:val="18"/>
              </w:rPr>
              <w:t>72,647,906.63</w:t>
            </w:r>
          </w:p>
        </w:tc>
        <w:tc>
          <w:tcPr>
            <w:tcW w:w="20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141,837.19</w:t>
            </w:r>
          </w:p>
        </w:tc>
        <w:tc>
          <w:tcPr>
            <w:tcW w:w="16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217"/>
              <w:jc w:val="right"/>
              <w:rPr>
                <w:rFonts w:ascii="Arial" w:hAnsi="Arial" w:cs="Arial" w:eastAsia="Arial" w:hint="default"/>
                <w:sz w:val="18"/>
                <w:szCs w:val="18"/>
              </w:rPr>
            </w:pPr>
            <w:r>
              <w:rPr>
                <w:rFonts w:ascii="Arial"/>
                <w:spacing w:val="-1"/>
                <w:sz w:val="18"/>
              </w:rPr>
              <w:t>72,506,069.44</w:t>
            </w:r>
          </w:p>
        </w:tc>
      </w:tr>
    </w:tbl>
    <w:p>
      <w:pPr>
        <w:spacing w:line="240" w:lineRule="auto" w:before="2"/>
        <w:rPr>
          <w:rFonts w:ascii="宋体" w:hAnsi="宋体" w:cs="宋体" w:eastAsia="宋体" w:hint="default"/>
          <w:sz w:val="29"/>
          <w:szCs w:val="29"/>
        </w:rPr>
      </w:pPr>
    </w:p>
    <w:tbl>
      <w:tblPr>
        <w:tblW w:w="0" w:type="auto"/>
        <w:jc w:val="left"/>
        <w:tblInd w:w="163" w:type="dxa"/>
        <w:tblLayout w:type="fixed"/>
        <w:tblCellMar>
          <w:top w:w="0" w:type="dxa"/>
          <w:left w:w="0" w:type="dxa"/>
          <w:bottom w:w="0" w:type="dxa"/>
          <w:right w:w="0" w:type="dxa"/>
        </w:tblCellMar>
        <w:tblLook w:val="01E0"/>
      </w:tblPr>
      <w:tblGrid>
        <w:gridCol w:w="2623"/>
        <w:gridCol w:w="2220"/>
        <w:gridCol w:w="1862"/>
        <w:gridCol w:w="2052"/>
      </w:tblGrid>
      <w:tr>
        <w:trPr>
          <w:trHeight w:val="434" w:hRule="exact"/>
        </w:trPr>
        <w:tc>
          <w:tcPr>
            <w:tcW w:w="2623" w:type="dxa"/>
            <w:vMerge w:val="restart"/>
            <w:tcBorders>
              <w:top w:val="single" w:sz="12" w:space="0" w:color="000000"/>
              <w:left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134" w:type="dxa"/>
            <w:gridSpan w:val="3"/>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437" w:hRule="exact"/>
        </w:trPr>
        <w:tc>
          <w:tcPr>
            <w:tcW w:w="2623" w:type="dxa"/>
            <w:vMerge/>
            <w:tcBorders>
              <w:left w:val="single" w:sz="12" w:space="0" w:color="000000"/>
              <w:bottom w:val="single" w:sz="12" w:space="0" w:color="000000"/>
              <w:right w:val="single" w:sz="12" w:space="0" w:color="000000"/>
            </w:tcBorders>
          </w:tcPr>
          <w:p>
            <w:pPr/>
          </w:p>
        </w:tc>
        <w:tc>
          <w:tcPr>
            <w:tcW w:w="22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8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跌价准备</w:t>
            </w:r>
          </w:p>
        </w:tc>
        <w:tc>
          <w:tcPr>
            <w:tcW w:w="20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434" w:hRule="exact"/>
        </w:trPr>
        <w:tc>
          <w:tcPr>
            <w:tcW w:w="262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left="9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2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3,355,176.34</w:t>
            </w:r>
          </w:p>
        </w:tc>
        <w:tc>
          <w:tcPr>
            <w:tcW w:w="18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20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3,355,176.34</w:t>
            </w:r>
          </w:p>
        </w:tc>
      </w:tr>
    </w:tbl>
    <w:p>
      <w:pPr>
        <w:spacing w:after="0" w:line="240" w:lineRule="auto"/>
        <w:jc w:val="center"/>
        <w:rPr>
          <w:rFonts w:ascii="Arial" w:hAnsi="Arial" w:cs="Arial" w:eastAsia="Arial" w:hint="default"/>
          <w:sz w:val="18"/>
          <w:szCs w:val="18"/>
        </w:rPr>
        <w:sectPr>
          <w:pgSz w:w="11900" w:h="16840"/>
          <w:pgMar w:header="0" w:footer="983" w:top="1100" w:bottom="1180" w:left="1560" w:right="1220"/>
        </w:sectPr>
      </w:pPr>
    </w:p>
    <w:p>
      <w:pPr>
        <w:spacing w:line="240" w:lineRule="auto" w:before="8"/>
        <w:rPr>
          <w:rFonts w:ascii="宋体" w:hAnsi="宋体" w:cs="宋体" w:eastAsia="宋体" w:hint="default"/>
          <w:sz w:val="24"/>
          <w:szCs w:val="24"/>
        </w:rPr>
      </w:pPr>
    </w:p>
    <w:tbl>
      <w:tblPr>
        <w:tblW w:w="0" w:type="auto"/>
        <w:jc w:val="left"/>
        <w:tblInd w:w="163" w:type="dxa"/>
        <w:tblLayout w:type="fixed"/>
        <w:tblCellMar>
          <w:top w:w="0" w:type="dxa"/>
          <w:left w:w="0" w:type="dxa"/>
          <w:bottom w:w="0" w:type="dxa"/>
          <w:right w:w="0" w:type="dxa"/>
        </w:tblCellMar>
        <w:tblLook w:val="01E0"/>
      </w:tblPr>
      <w:tblGrid>
        <w:gridCol w:w="2623"/>
        <w:gridCol w:w="2220"/>
        <w:gridCol w:w="1862"/>
        <w:gridCol w:w="2052"/>
      </w:tblGrid>
      <w:tr>
        <w:trPr>
          <w:trHeight w:val="434" w:hRule="exact"/>
        </w:trPr>
        <w:tc>
          <w:tcPr>
            <w:tcW w:w="262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left="93" w:right="0"/>
              <w:jc w:val="left"/>
              <w:rPr>
                <w:rFonts w:ascii="宋体" w:hAnsi="宋体" w:cs="宋体" w:eastAsia="宋体" w:hint="default"/>
                <w:sz w:val="18"/>
                <w:szCs w:val="18"/>
              </w:rPr>
            </w:pPr>
            <w:r>
              <w:rPr>
                <w:rFonts w:ascii="宋体" w:hAnsi="宋体" w:cs="宋体" w:eastAsia="宋体" w:hint="default"/>
                <w:sz w:val="18"/>
                <w:szCs w:val="18"/>
              </w:rPr>
              <w:t>库存商品及产成品</w:t>
            </w:r>
          </w:p>
        </w:tc>
        <w:tc>
          <w:tcPr>
            <w:tcW w:w="22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24,140,612.78</w:t>
            </w:r>
          </w:p>
        </w:tc>
        <w:tc>
          <w:tcPr>
            <w:tcW w:w="18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140,995.90</w:t>
            </w:r>
          </w:p>
        </w:tc>
        <w:tc>
          <w:tcPr>
            <w:tcW w:w="20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23,999,616.88</w:t>
            </w:r>
          </w:p>
        </w:tc>
      </w:tr>
      <w:tr>
        <w:trPr>
          <w:trHeight w:val="437" w:hRule="exact"/>
        </w:trPr>
        <w:tc>
          <w:tcPr>
            <w:tcW w:w="262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left="93" w:right="0"/>
              <w:jc w:val="left"/>
              <w:rPr>
                <w:rFonts w:ascii="宋体" w:hAnsi="宋体" w:cs="宋体" w:eastAsia="宋体" w:hint="default"/>
                <w:sz w:val="18"/>
                <w:szCs w:val="18"/>
              </w:rPr>
            </w:pPr>
            <w:r>
              <w:rPr>
                <w:rFonts w:ascii="宋体" w:hAnsi="宋体" w:cs="宋体" w:eastAsia="宋体" w:hint="default"/>
                <w:sz w:val="18"/>
                <w:szCs w:val="18"/>
              </w:rPr>
              <w:t>委托加工材料</w:t>
            </w:r>
          </w:p>
        </w:tc>
        <w:tc>
          <w:tcPr>
            <w:tcW w:w="22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58,664.03</w:t>
            </w:r>
          </w:p>
        </w:tc>
        <w:tc>
          <w:tcPr>
            <w:tcW w:w="18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20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58,664.03</w:t>
            </w:r>
          </w:p>
        </w:tc>
      </w:tr>
      <w:tr>
        <w:trPr>
          <w:trHeight w:val="434" w:hRule="exact"/>
        </w:trPr>
        <w:tc>
          <w:tcPr>
            <w:tcW w:w="262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left="9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22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1,093,242.83</w:t>
            </w:r>
          </w:p>
        </w:tc>
        <w:tc>
          <w:tcPr>
            <w:tcW w:w="18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20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1,093,242.83</w:t>
            </w:r>
          </w:p>
        </w:tc>
      </w:tr>
      <w:tr>
        <w:trPr>
          <w:trHeight w:val="437" w:hRule="exact"/>
        </w:trPr>
        <w:tc>
          <w:tcPr>
            <w:tcW w:w="262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left="93"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22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57,634.73</w:t>
            </w:r>
          </w:p>
        </w:tc>
        <w:tc>
          <w:tcPr>
            <w:tcW w:w="18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20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57,634.73</w:t>
            </w:r>
          </w:p>
        </w:tc>
      </w:tr>
      <w:tr>
        <w:trPr>
          <w:trHeight w:val="434" w:hRule="exact"/>
        </w:trPr>
        <w:tc>
          <w:tcPr>
            <w:tcW w:w="262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28,705,330.71</w:t>
            </w:r>
          </w:p>
        </w:tc>
        <w:tc>
          <w:tcPr>
            <w:tcW w:w="18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140,995.90</w:t>
            </w:r>
          </w:p>
        </w:tc>
        <w:tc>
          <w:tcPr>
            <w:tcW w:w="20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28,564,334.81</w:t>
            </w:r>
          </w:p>
        </w:tc>
      </w:tr>
    </w:tbl>
    <w:p>
      <w:pPr>
        <w:spacing w:line="240" w:lineRule="auto" w:before="12"/>
        <w:rPr>
          <w:rFonts w:ascii="宋体" w:hAnsi="宋体" w:cs="宋体" w:eastAsia="宋体" w:hint="default"/>
          <w:sz w:val="23"/>
          <w:szCs w:val="23"/>
        </w:rPr>
      </w:pPr>
    </w:p>
    <w:p>
      <w:pPr>
        <w:pStyle w:val="BodyText"/>
        <w:spacing w:line="240" w:lineRule="auto"/>
        <w:ind w:left="237" w:right="286"/>
        <w:jc w:val="left"/>
      </w:pPr>
      <w:r>
        <w:rPr>
          <w:rFonts w:ascii="Arial" w:hAnsi="Arial" w:cs="Arial" w:eastAsia="Arial" w:hint="default"/>
        </w:rPr>
        <w:t>6.8.2</w:t>
      </w:r>
      <w:r>
        <w:rPr>
          <w:rFonts w:ascii="Arial" w:hAnsi="Arial" w:cs="Arial" w:eastAsia="Arial" w:hint="default"/>
          <w:spacing w:val="48"/>
        </w:rPr>
        <w:t> </w:t>
      </w:r>
      <w:r>
        <w:rPr/>
        <w:t>存货跌价准备</w:t>
      </w:r>
    </w:p>
    <w:p>
      <w:pPr>
        <w:spacing w:line="240" w:lineRule="auto" w:before="3"/>
        <w:rPr>
          <w:rFonts w:ascii="宋体" w:hAnsi="宋体" w:cs="宋体" w:eastAsia="宋体"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1913"/>
        <w:gridCol w:w="1658"/>
        <w:gridCol w:w="1495"/>
        <w:gridCol w:w="1082"/>
        <w:gridCol w:w="1018"/>
        <w:gridCol w:w="1632"/>
      </w:tblGrid>
      <w:tr>
        <w:trPr>
          <w:trHeight w:val="334" w:hRule="exact"/>
        </w:trPr>
        <w:tc>
          <w:tcPr>
            <w:tcW w:w="1913" w:type="dxa"/>
            <w:vMerge w:val="restart"/>
            <w:tcBorders>
              <w:top w:val="single" w:sz="12" w:space="0" w:color="000000"/>
              <w:left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658" w:type="dxa"/>
            <w:vMerge w:val="restart"/>
            <w:tcBorders>
              <w:top w:val="single" w:sz="12" w:space="0" w:color="000000"/>
              <w:left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495" w:type="dxa"/>
            <w:vMerge w:val="restart"/>
            <w:tcBorders>
              <w:top w:val="single" w:sz="12" w:space="0" w:color="000000"/>
              <w:left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本年计提额</w:t>
            </w:r>
          </w:p>
        </w:tc>
        <w:tc>
          <w:tcPr>
            <w:tcW w:w="2100"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585"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632" w:type="dxa"/>
            <w:vMerge w:val="restart"/>
            <w:tcBorders>
              <w:top w:val="single" w:sz="12" w:space="0" w:color="000000"/>
              <w:left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451" w:hRule="exact"/>
        </w:trPr>
        <w:tc>
          <w:tcPr>
            <w:tcW w:w="1913" w:type="dxa"/>
            <w:vMerge/>
            <w:tcBorders>
              <w:left w:val="single" w:sz="12" w:space="0" w:color="000000"/>
              <w:bottom w:val="single" w:sz="12" w:space="0" w:color="000000"/>
              <w:right w:val="single" w:sz="12" w:space="0" w:color="000000"/>
            </w:tcBorders>
          </w:tcPr>
          <w:p>
            <w:pPr/>
          </w:p>
        </w:tc>
        <w:tc>
          <w:tcPr>
            <w:tcW w:w="1658" w:type="dxa"/>
            <w:vMerge/>
            <w:tcBorders>
              <w:left w:val="single" w:sz="12" w:space="0" w:color="000000"/>
              <w:bottom w:val="single" w:sz="12" w:space="0" w:color="000000"/>
              <w:right w:val="single" w:sz="12" w:space="0" w:color="000000"/>
            </w:tcBorders>
          </w:tcPr>
          <w:p>
            <w:pPr/>
          </w:p>
        </w:tc>
        <w:tc>
          <w:tcPr>
            <w:tcW w:w="1495" w:type="dxa"/>
            <w:vMerge/>
            <w:tcBorders>
              <w:left w:val="single" w:sz="12" w:space="0" w:color="000000"/>
              <w:bottom w:val="single" w:sz="12" w:space="0" w:color="000000"/>
              <w:right w:val="single" w:sz="12" w:space="0" w:color="000000"/>
            </w:tcBorders>
          </w:tcPr>
          <w:p>
            <w:pPr/>
          </w:p>
        </w:tc>
        <w:tc>
          <w:tcPr>
            <w:tcW w:w="10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0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632" w:type="dxa"/>
            <w:vMerge/>
            <w:tcBorders>
              <w:left w:val="single" w:sz="12" w:space="0" w:color="000000"/>
              <w:bottom w:val="single" w:sz="12" w:space="0" w:color="000000"/>
              <w:right w:val="single" w:sz="12" w:space="0" w:color="000000"/>
            </w:tcBorders>
          </w:tcPr>
          <w:p>
            <w:pPr/>
          </w:p>
        </w:tc>
      </w:tr>
      <w:tr>
        <w:trPr>
          <w:trHeight w:val="626" w:hRule="exact"/>
        </w:trPr>
        <w:tc>
          <w:tcPr>
            <w:tcW w:w="19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2"/>
              <w:ind w:left="93" w:right="0"/>
              <w:jc w:val="left"/>
              <w:rPr>
                <w:rFonts w:ascii="宋体" w:hAnsi="宋体" w:cs="宋体" w:eastAsia="宋体" w:hint="default"/>
                <w:sz w:val="18"/>
                <w:szCs w:val="18"/>
              </w:rPr>
            </w:pPr>
            <w:r>
              <w:rPr>
                <w:rFonts w:ascii="宋体" w:hAnsi="宋体" w:cs="宋体" w:eastAsia="宋体" w:hint="default"/>
                <w:sz w:val="18"/>
                <w:szCs w:val="18"/>
              </w:rPr>
              <w:t>库存商品及产成品</w:t>
            </w:r>
          </w:p>
        </w:tc>
        <w:tc>
          <w:tcPr>
            <w:tcW w:w="16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62" w:right="0"/>
              <w:jc w:val="left"/>
              <w:rPr>
                <w:rFonts w:ascii="Arial" w:hAnsi="Arial" w:cs="Arial" w:eastAsia="Arial" w:hint="default"/>
                <w:sz w:val="18"/>
                <w:szCs w:val="18"/>
              </w:rPr>
            </w:pPr>
            <w:r>
              <w:rPr>
                <w:rFonts w:ascii="Arial"/>
                <w:sz w:val="18"/>
              </w:rPr>
              <w:t>140,995.90</w:t>
            </w:r>
          </w:p>
        </w:tc>
        <w:tc>
          <w:tcPr>
            <w:tcW w:w="149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31" w:right="0"/>
              <w:jc w:val="left"/>
              <w:rPr>
                <w:rFonts w:ascii="Arial" w:hAnsi="Arial" w:cs="Arial" w:eastAsia="Arial" w:hint="default"/>
                <w:sz w:val="18"/>
                <w:szCs w:val="18"/>
              </w:rPr>
            </w:pPr>
            <w:r>
              <w:rPr>
                <w:rFonts w:ascii="Arial"/>
                <w:sz w:val="18"/>
              </w:rPr>
              <w:t>73,617.90</w:t>
            </w:r>
          </w:p>
        </w:tc>
        <w:tc>
          <w:tcPr>
            <w:tcW w:w="10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10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 w:right="0"/>
              <w:jc w:val="center"/>
              <w:rPr>
                <w:rFonts w:ascii="Arial" w:hAnsi="Arial" w:cs="Arial" w:eastAsia="Arial" w:hint="default"/>
                <w:sz w:val="18"/>
                <w:szCs w:val="18"/>
              </w:rPr>
            </w:pPr>
            <w:r>
              <w:rPr>
                <w:rFonts w:ascii="Arial"/>
                <w:sz w:val="18"/>
              </w:rPr>
              <w:t>72,776.61</w:t>
            </w:r>
          </w:p>
        </w:tc>
        <w:tc>
          <w:tcPr>
            <w:tcW w:w="163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50" w:right="0"/>
              <w:jc w:val="left"/>
              <w:rPr>
                <w:rFonts w:ascii="Arial" w:hAnsi="Arial" w:cs="Arial" w:eastAsia="Arial" w:hint="default"/>
                <w:sz w:val="18"/>
                <w:szCs w:val="18"/>
              </w:rPr>
            </w:pPr>
            <w:r>
              <w:rPr>
                <w:rFonts w:ascii="Arial"/>
                <w:sz w:val="18"/>
              </w:rPr>
              <w:t>141,837.19</w:t>
            </w:r>
          </w:p>
        </w:tc>
      </w:tr>
    </w:tbl>
    <w:p>
      <w:pPr>
        <w:spacing w:line="240" w:lineRule="auto" w:before="12"/>
        <w:rPr>
          <w:rFonts w:ascii="宋体" w:hAnsi="宋体" w:cs="宋体" w:eastAsia="宋体" w:hint="default"/>
          <w:sz w:val="23"/>
          <w:szCs w:val="23"/>
        </w:rPr>
      </w:pPr>
    </w:p>
    <w:p>
      <w:pPr>
        <w:pStyle w:val="BodyText"/>
        <w:spacing w:line="240" w:lineRule="auto"/>
        <w:ind w:left="237" w:right="286"/>
        <w:jc w:val="left"/>
      </w:pPr>
      <w:r>
        <w:rPr>
          <w:rFonts w:ascii="Arial" w:hAnsi="Arial" w:cs="Arial" w:eastAsia="Arial" w:hint="default"/>
        </w:rPr>
        <w:t>6.8.3</w:t>
      </w:r>
      <w:r>
        <w:rPr>
          <w:rFonts w:ascii="Arial" w:hAnsi="Arial" w:cs="Arial" w:eastAsia="Arial" w:hint="default"/>
          <w:spacing w:val="46"/>
        </w:rPr>
        <w:t> </w:t>
      </w:r>
      <w:r>
        <w:rPr/>
        <w:t>存货跌价准备情况</w:t>
      </w:r>
    </w:p>
    <w:p>
      <w:pPr>
        <w:spacing w:line="240" w:lineRule="auto" w:before="3"/>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1188"/>
        <w:gridCol w:w="3778"/>
        <w:gridCol w:w="2184"/>
        <w:gridCol w:w="1738"/>
      </w:tblGrid>
      <w:tr>
        <w:trPr>
          <w:trHeight w:val="941" w:hRule="exact"/>
        </w:trPr>
        <w:tc>
          <w:tcPr>
            <w:tcW w:w="11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4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7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184" w:type="dxa"/>
            <w:tcBorders>
              <w:top w:val="single" w:sz="12" w:space="0" w:color="000000"/>
              <w:left w:val="single" w:sz="12" w:space="0" w:color="000000"/>
              <w:bottom w:val="single" w:sz="12" w:space="0" w:color="000000"/>
              <w:right w:val="single" w:sz="12" w:space="0" w:color="000000"/>
            </w:tcBorders>
          </w:tcPr>
          <w:p>
            <w:pPr>
              <w:pStyle w:val="TableParagraph"/>
              <w:spacing w:line="307" w:lineRule="auto" w:before="123"/>
              <w:ind w:left="446" w:right="266" w:hanging="180"/>
              <w:jc w:val="left"/>
              <w:rPr>
                <w:rFonts w:ascii="宋体" w:hAnsi="宋体" w:cs="宋体" w:eastAsia="宋体" w:hint="default"/>
                <w:sz w:val="18"/>
                <w:szCs w:val="18"/>
              </w:rPr>
            </w:pPr>
            <w:r>
              <w:rPr>
                <w:rFonts w:ascii="宋体" w:hAnsi="宋体" w:cs="宋体" w:eastAsia="宋体" w:hint="default"/>
                <w:sz w:val="18"/>
                <w:szCs w:val="18"/>
              </w:rPr>
              <w:t>本期转回、转销存货</w:t>
            </w:r>
            <w:r>
              <w:rPr>
                <w:rFonts w:ascii="宋体" w:hAnsi="宋体" w:cs="宋体" w:eastAsia="宋体" w:hint="default"/>
                <w:w w:val="99"/>
                <w:sz w:val="18"/>
                <w:szCs w:val="18"/>
              </w:rPr>
              <w:t> </w:t>
            </w:r>
            <w:r>
              <w:rPr>
                <w:rFonts w:ascii="宋体" w:hAnsi="宋体" w:cs="宋体" w:eastAsia="宋体" w:hint="default"/>
                <w:sz w:val="18"/>
                <w:szCs w:val="18"/>
              </w:rPr>
              <w:t>跌价准备的原因</w:t>
            </w:r>
          </w:p>
        </w:tc>
        <w:tc>
          <w:tcPr>
            <w:tcW w:w="1738"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131" w:right="0"/>
              <w:jc w:val="left"/>
              <w:rPr>
                <w:rFonts w:ascii="宋体" w:hAnsi="宋体" w:cs="宋体" w:eastAsia="宋体" w:hint="default"/>
                <w:sz w:val="18"/>
                <w:szCs w:val="18"/>
              </w:rPr>
            </w:pPr>
            <w:r>
              <w:rPr>
                <w:rFonts w:ascii="宋体" w:hAnsi="宋体" w:cs="宋体" w:eastAsia="宋体" w:hint="default"/>
                <w:sz w:val="18"/>
                <w:szCs w:val="18"/>
              </w:rPr>
              <w:t>本期转回金额占该</w:t>
            </w:r>
          </w:p>
          <w:p>
            <w:pPr>
              <w:pStyle w:val="TableParagraph"/>
              <w:spacing w:line="309" w:lineRule="auto" w:before="67"/>
              <w:ind w:left="671" w:right="134" w:hanging="540"/>
              <w:jc w:val="left"/>
              <w:rPr>
                <w:rFonts w:ascii="宋体" w:hAnsi="宋体" w:cs="宋体" w:eastAsia="宋体" w:hint="default"/>
                <w:sz w:val="18"/>
                <w:szCs w:val="18"/>
              </w:rPr>
            </w:pPr>
            <w:r>
              <w:rPr>
                <w:rFonts w:ascii="宋体" w:hAnsi="宋体" w:cs="宋体" w:eastAsia="宋体" w:hint="default"/>
                <w:sz w:val="18"/>
                <w:szCs w:val="18"/>
              </w:rPr>
              <w:t>项存货期末余额的</w:t>
            </w:r>
            <w:r>
              <w:rPr>
                <w:rFonts w:ascii="宋体" w:hAnsi="宋体" w:cs="宋体" w:eastAsia="宋体" w:hint="default"/>
                <w:w w:val="99"/>
                <w:sz w:val="18"/>
                <w:szCs w:val="18"/>
              </w:rPr>
              <w:t> </w:t>
            </w:r>
            <w:r>
              <w:rPr>
                <w:rFonts w:ascii="宋体" w:hAnsi="宋体" w:cs="宋体" w:eastAsia="宋体" w:hint="default"/>
                <w:sz w:val="18"/>
                <w:szCs w:val="18"/>
              </w:rPr>
              <w:t>比例</w:t>
            </w:r>
          </w:p>
        </w:tc>
      </w:tr>
      <w:tr>
        <w:trPr>
          <w:trHeight w:val="364" w:hRule="exact"/>
        </w:trPr>
        <w:tc>
          <w:tcPr>
            <w:tcW w:w="1188" w:type="dxa"/>
            <w:tcBorders>
              <w:top w:val="single" w:sz="12" w:space="0" w:color="000000"/>
              <w:left w:val="single" w:sz="12" w:space="0" w:color="000000"/>
              <w:bottom w:val="nil" w:sz="6" w:space="0" w:color="auto"/>
              <w:right w:val="single" w:sz="12" w:space="0" w:color="000000"/>
            </w:tcBorders>
          </w:tcPr>
          <w:p>
            <w:pPr/>
          </w:p>
        </w:tc>
        <w:tc>
          <w:tcPr>
            <w:tcW w:w="3778" w:type="dxa"/>
            <w:tcBorders>
              <w:top w:val="single" w:sz="12" w:space="0" w:color="000000"/>
              <w:left w:val="single" w:sz="12" w:space="0" w:color="000000"/>
              <w:bottom w:val="nil" w:sz="6" w:space="0" w:color="auto"/>
              <w:right w:val="single" w:sz="12"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年末存货按成本高于可变现净值的差额计提</w:t>
            </w:r>
          </w:p>
        </w:tc>
        <w:tc>
          <w:tcPr>
            <w:tcW w:w="2184" w:type="dxa"/>
            <w:tcBorders>
              <w:top w:val="single" w:sz="12" w:space="0" w:color="000000"/>
              <w:left w:val="single" w:sz="12" w:space="0" w:color="000000"/>
              <w:bottom w:val="nil" w:sz="6" w:space="0" w:color="auto"/>
              <w:right w:val="single" w:sz="12"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已计提跌价准备的库存</w:t>
            </w:r>
          </w:p>
        </w:tc>
        <w:tc>
          <w:tcPr>
            <w:tcW w:w="1738" w:type="dxa"/>
            <w:vMerge w:val="restart"/>
            <w:tcBorders>
              <w:top w:val="single" w:sz="12" w:space="0" w:color="000000"/>
              <w:left w:val="single" w:sz="12" w:space="0" w:color="000000"/>
              <w:right w:val="single" w:sz="12" w:space="0" w:color="000000"/>
            </w:tcBorders>
          </w:tcPr>
          <w:p>
            <w:pPr/>
          </w:p>
        </w:tc>
      </w:tr>
      <w:tr>
        <w:trPr>
          <w:trHeight w:val="958" w:hRule="exact"/>
        </w:trPr>
        <w:tc>
          <w:tcPr>
            <w:tcW w:w="1188" w:type="dxa"/>
            <w:tcBorders>
              <w:top w:val="nil" w:sz="6" w:space="0" w:color="auto"/>
              <w:left w:val="single" w:sz="12" w:space="0" w:color="000000"/>
              <w:bottom w:val="nil" w:sz="6" w:space="0" w:color="auto"/>
              <w:right w:val="single" w:sz="1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307" w:lineRule="auto"/>
              <w:ind w:left="309" w:right="127" w:hanging="180"/>
              <w:jc w:val="left"/>
              <w:rPr>
                <w:rFonts w:ascii="宋体" w:hAnsi="宋体" w:cs="宋体" w:eastAsia="宋体" w:hint="default"/>
                <w:sz w:val="18"/>
                <w:szCs w:val="18"/>
              </w:rPr>
            </w:pPr>
            <w:r>
              <w:rPr>
                <w:rFonts w:ascii="宋体" w:hAnsi="宋体" w:cs="宋体" w:eastAsia="宋体" w:hint="default"/>
                <w:sz w:val="18"/>
                <w:szCs w:val="18"/>
              </w:rPr>
              <w:t>库存商品及</w:t>
            </w:r>
            <w:r>
              <w:rPr>
                <w:rFonts w:ascii="宋体" w:hAnsi="宋体" w:cs="宋体" w:eastAsia="宋体" w:hint="default"/>
                <w:w w:val="99"/>
                <w:sz w:val="18"/>
                <w:szCs w:val="18"/>
              </w:rPr>
              <w:t> </w:t>
            </w:r>
            <w:r>
              <w:rPr>
                <w:rFonts w:ascii="宋体" w:hAnsi="宋体" w:cs="宋体" w:eastAsia="宋体" w:hint="default"/>
                <w:sz w:val="18"/>
                <w:szCs w:val="18"/>
              </w:rPr>
              <w:t>产成品</w:t>
            </w:r>
          </w:p>
        </w:tc>
        <w:tc>
          <w:tcPr>
            <w:tcW w:w="3778" w:type="dxa"/>
            <w:tcBorders>
              <w:top w:val="nil" w:sz="6" w:space="0" w:color="auto"/>
              <w:left w:val="single" w:sz="12" w:space="0" w:color="000000"/>
              <w:bottom w:val="nil" w:sz="6" w:space="0" w:color="auto"/>
              <w:right w:val="single" w:sz="12"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sz w:val="18"/>
                <w:szCs w:val="18"/>
              </w:rPr>
              <w:t>存货跌价准备。公司按日常活动中存货的估计</w:t>
            </w:r>
          </w:p>
          <w:p>
            <w:pPr>
              <w:pStyle w:val="TableParagraph"/>
              <w:spacing w:line="357" w:lineRule="auto" w:before="115"/>
              <w:ind w:left="163" w:right="91" w:hanging="70"/>
              <w:jc w:val="left"/>
              <w:rPr>
                <w:rFonts w:ascii="宋体" w:hAnsi="宋体" w:cs="宋体" w:eastAsia="宋体" w:hint="default"/>
                <w:sz w:val="18"/>
                <w:szCs w:val="18"/>
              </w:rPr>
            </w:pPr>
            <w:r>
              <w:rPr>
                <w:rFonts w:ascii="宋体" w:hAnsi="宋体" w:cs="宋体" w:eastAsia="宋体" w:hint="default"/>
                <w:spacing w:val="-2"/>
                <w:sz w:val="18"/>
                <w:szCs w:val="18"/>
              </w:rPr>
              <w:t>售价减去至完工时估计将要发生的成本、估计</w:t>
            </w:r>
            <w:r>
              <w:rPr>
                <w:rFonts w:ascii="宋体" w:hAnsi="宋体" w:cs="宋体" w:eastAsia="宋体" w:hint="default"/>
                <w:w w:val="99"/>
                <w:sz w:val="18"/>
                <w:szCs w:val="18"/>
              </w:rPr>
              <w:t> </w:t>
            </w:r>
            <w:r>
              <w:rPr>
                <w:rFonts w:ascii="宋体" w:hAnsi="宋体" w:cs="宋体" w:eastAsia="宋体" w:hint="default"/>
                <w:sz w:val="18"/>
                <w:szCs w:val="18"/>
              </w:rPr>
              <w:t>的销售费用以及相关税费后的金额确定可变</w:t>
            </w:r>
          </w:p>
        </w:tc>
        <w:tc>
          <w:tcPr>
            <w:tcW w:w="2184" w:type="dxa"/>
            <w:tcBorders>
              <w:top w:val="nil" w:sz="6" w:space="0" w:color="auto"/>
              <w:left w:val="single" w:sz="12" w:space="0" w:color="000000"/>
              <w:bottom w:val="nil" w:sz="6" w:space="0" w:color="auto"/>
              <w:right w:val="single" w:sz="12" w:space="0" w:color="000000"/>
            </w:tcBorders>
          </w:tcPr>
          <w:p>
            <w:pPr>
              <w:pStyle w:val="TableParagraph"/>
              <w:spacing w:line="309" w:lineRule="auto" w:before="40"/>
              <w:ind w:left="93" w:right="91" w:firstLine="84"/>
              <w:jc w:val="left"/>
              <w:rPr>
                <w:rFonts w:ascii="宋体" w:hAnsi="宋体" w:cs="宋体" w:eastAsia="宋体" w:hint="default"/>
                <w:sz w:val="18"/>
                <w:szCs w:val="18"/>
              </w:rPr>
            </w:pPr>
            <w:r>
              <w:rPr>
                <w:rFonts w:ascii="宋体" w:hAnsi="宋体" w:cs="宋体" w:eastAsia="宋体" w:hint="default"/>
                <w:sz w:val="18"/>
                <w:szCs w:val="18"/>
              </w:rPr>
              <w:t>商品及产成品已部分对</w:t>
            </w:r>
            <w:r>
              <w:rPr>
                <w:rFonts w:ascii="宋体" w:hAnsi="宋体" w:cs="宋体" w:eastAsia="宋体" w:hint="default"/>
                <w:w w:val="99"/>
                <w:sz w:val="18"/>
                <w:szCs w:val="18"/>
              </w:rPr>
              <w:t> </w:t>
            </w:r>
            <w:r>
              <w:rPr>
                <w:rFonts w:ascii="宋体" w:hAnsi="宋体" w:cs="宋体" w:eastAsia="宋体" w:hint="default"/>
                <w:sz w:val="18"/>
                <w:szCs w:val="18"/>
              </w:rPr>
              <w:t>外销售，对应的存货跌价</w:t>
            </w:r>
            <w:r>
              <w:rPr>
                <w:rFonts w:ascii="宋体" w:hAnsi="宋体" w:cs="宋体" w:eastAsia="宋体" w:hint="default"/>
                <w:w w:val="99"/>
                <w:sz w:val="18"/>
                <w:szCs w:val="18"/>
              </w:rPr>
              <w:t> </w:t>
            </w:r>
            <w:r>
              <w:rPr>
                <w:rFonts w:ascii="宋体" w:hAnsi="宋体" w:cs="宋体" w:eastAsia="宋体" w:hint="default"/>
                <w:sz w:val="18"/>
                <w:szCs w:val="18"/>
              </w:rPr>
              <w:t>准备本期转销，无转回发</w:t>
            </w:r>
          </w:p>
        </w:tc>
        <w:tc>
          <w:tcPr>
            <w:tcW w:w="1738" w:type="dxa"/>
            <w:vMerge/>
            <w:tcBorders>
              <w:left w:val="single" w:sz="12" w:space="0" w:color="000000"/>
              <w:right w:val="single" w:sz="12" w:space="0" w:color="000000"/>
            </w:tcBorders>
          </w:tcPr>
          <w:p>
            <w:pPr/>
          </w:p>
        </w:tc>
      </w:tr>
      <w:tr>
        <w:trPr>
          <w:trHeight w:val="457" w:hRule="exact"/>
        </w:trPr>
        <w:tc>
          <w:tcPr>
            <w:tcW w:w="1188" w:type="dxa"/>
            <w:tcBorders>
              <w:top w:val="nil" w:sz="6" w:space="0" w:color="auto"/>
              <w:left w:val="single" w:sz="12" w:space="0" w:color="000000"/>
              <w:bottom w:val="single" w:sz="12" w:space="0" w:color="000000"/>
              <w:right w:val="single" w:sz="12" w:space="0" w:color="000000"/>
            </w:tcBorders>
          </w:tcPr>
          <w:p>
            <w:pPr/>
          </w:p>
        </w:tc>
        <w:tc>
          <w:tcPr>
            <w:tcW w:w="3778" w:type="dxa"/>
            <w:tcBorders>
              <w:top w:val="nil" w:sz="6" w:space="0" w:color="auto"/>
              <w:left w:val="single" w:sz="12" w:space="0" w:color="000000"/>
              <w:bottom w:val="single" w:sz="12" w:space="0" w:color="000000"/>
              <w:right w:val="single" w:sz="12"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现净值。</w:t>
            </w:r>
          </w:p>
        </w:tc>
        <w:tc>
          <w:tcPr>
            <w:tcW w:w="2184" w:type="dxa"/>
            <w:tcBorders>
              <w:top w:val="nil" w:sz="6" w:space="0" w:color="auto"/>
              <w:left w:val="single" w:sz="12" w:space="0" w:color="000000"/>
              <w:bottom w:val="single" w:sz="12" w:space="0" w:color="000000"/>
              <w:right w:val="single" w:sz="12" w:space="0" w:color="000000"/>
            </w:tcBorders>
          </w:tcPr>
          <w:p>
            <w:pPr>
              <w:pStyle w:val="TableParagraph"/>
              <w:spacing w:line="230" w:lineRule="exact"/>
              <w:ind w:right="0"/>
              <w:jc w:val="center"/>
              <w:rPr>
                <w:rFonts w:ascii="宋体" w:hAnsi="宋体" w:cs="宋体" w:eastAsia="宋体" w:hint="default"/>
                <w:sz w:val="18"/>
                <w:szCs w:val="18"/>
              </w:rPr>
            </w:pPr>
            <w:r>
              <w:rPr>
                <w:rFonts w:ascii="宋体" w:hAnsi="宋体" w:cs="宋体" w:eastAsia="宋体" w:hint="default"/>
                <w:w w:val="99"/>
                <w:sz w:val="18"/>
                <w:szCs w:val="18"/>
              </w:rPr>
              <w:t>生</w:t>
            </w:r>
            <w:r>
              <w:rPr>
                <w:rFonts w:ascii="宋体" w:hAnsi="宋体" w:cs="宋体" w:eastAsia="宋体" w:hint="default"/>
                <w:sz w:val="18"/>
                <w:szCs w:val="18"/>
              </w:rPr>
            </w:r>
          </w:p>
        </w:tc>
        <w:tc>
          <w:tcPr>
            <w:tcW w:w="1738" w:type="dxa"/>
            <w:vMerge/>
            <w:tcBorders>
              <w:left w:val="single" w:sz="12" w:space="0" w:color="000000"/>
              <w:bottom w:val="single" w:sz="12" w:space="0" w:color="000000"/>
              <w:right w:val="single" w:sz="12" w:space="0" w:color="000000"/>
            </w:tcBorders>
          </w:tcPr>
          <w:p>
            <w:pPr/>
          </w:p>
        </w:tc>
      </w:tr>
    </w:tbl>
    <w:p>
      <w:pPr>
        <w:spacing w:line="240" w:lineRule="auto" w:before="12"/>
        <w:rPr>
          <w:rFonts w:ascii="宋体" w:hAnsi="宋体" w:cs="宋体" w:eastAsia="宋体" w:hint="default"/>
          <w:sz w:val="23"/>
          <w:szCs w:val="23"/>
        </w:rPr>
      </w:pPr>
    </w:p>
    <w:p>
      <w:pPr>
        <w:pStyle w:val="BodyText"/>
        <w:spacing w:line="240" w:lineRule="auto"/>
        <w:ind w:left="676" w:right="286"/>
        <w:jc w:val="left"/>
      </w:pPr>
      <w:r>
        <w:rPr/>
        <w:t>存货年末数比年初数增加</w:t>
      </w:r>
      <w:r>
        <w:rPr>
          <w:spacing w:val="-59"/>
        </w:rPr>
        <w:t> </w:t>
      </w:r>
      <w:r>
        <w:rPr>
          <w:rFonts w:ascii="Arial" w:hAnsi="Arial" w:cs="Arial" w:eastAsia="Arial" w:hint="default"/>
        </w:rPr>
        <w:t>43,942,575.92</w:t>
      </w:r>
      <w:r>
        <w:rPr>
          <w:rFonts w:ascii="Arial" w:hAnsi="Arial" w:cs="Arial" w:eastAsia="Arial" w:hint="default"/>
          <w:spacing w:val="-13"/>
        </w:rPr>
        <w:t> </w:t>
      </w:r>
      <w:r>
        <w:rPr/>
        <w:t>元，增加比例为</w:t>
      </w:r>
      <w:r>
        <w:rPr>
          <w:spacing w:val="-59"/>
        </w:rPr>
        <w:t> </w:t>
      </w:r>
      <w:r>
        <w:rPr>
          <w:rFonts w:ascii="Arial" w:hAnsi="Arial" w:cs="Arial" w:eastAsia="Arial" w:hint="default"/>
        </w:rPr>
        <w:t>153.08%</w:t>
      </w:r>
      <w:r>
        <w:rPr/>
        <w:t>，增加原因为：</w:t>
      </w:r>
    </w:p>
    <w:p>
      <w:pPr>
        <w:pStyle w:val="BodyText"/>
        <w:spacing w:line="338" w:lineRule="auto" w:before="126"/>
        <w:ind w:left="237" w:right="286" w:firstLine="439"/>
        <w:jc w:val="left"/>
      </w:pPr>
      <w:r>
        <w:rPr>
          <w:spacing w:val="-4"/>
        </w:rPr>
        <w:t>（</w:t>
      </w:r>
      <w:r>
        <w:rPr>
          <w:rFonts w:ascii="Arial" w:hAnsi="Arial" w:cs="Arial" w:eastAsia="Arial" w:hint="default"/>
          <w:spacing w:val="-4"/>
        </w:rPr>
        <w:t>1</w:t>
      </w:r>
      <w:r>
        <w:rPr>
          <w:spacing w:val="-4"/>
        </w:rPr>
        <w:t>）原材料及在产品的期末余额增加，系公司根据原材料市场价格趋势及近期生产计</w:t>
      </w:r>
      <w:r>
        <w:rPr>
          <w:w w:val="100"/>
        </w:rPr>
        <w:t> </w:t>
      </w:r>
      <w:r>
        <w:rPr/>
        <w:t>划增加备货；</w:t>
      </w:r>
    </w:p>
    <w:p>
      <w:pPr>
        <w:pStyle w:val="BodyText"/>
        <w:spacing w:line="240" w:lineRule="auto" w:before="49"/>
        <w:ind w:left="676" w:right="0"/>
        <w:jc w:val="left"/>
      </w:pPr>
      <w:r>
        <w:rPr>
          <w:w w:val="100"/>
        </w:rPr>
        <w:t>（</w:t>
      </w:r>
      <w:r>
        <w:rPr>
          <w:rFonts w:ascii="Arial" w:hAnsi="Arial" w:cs="Arial" w:eastAsia="Arial" w:hint="default"/>
          <w:spacing w:val="-1"/>
          <w:w w:val="100"/>
        </w:rPr>
        <w:t>2</w:t>
      </w:r>
      <w:r>
        <w:rPr>
          <w:spacing w:val="-101"/>
          <w:w w:val="100"/>
        </w:rPr>
        <w:t>）</w:t>
      </w:r>
      <w:r>
        <w:rPr>
          <w:w w:val="100"/>
        </w:rPr>
        <w:t>库</w:t>
      </w:r>
      <w:r>
        <w:rPr>
          <w:spacing w:val="-3"/>
          <w:w w:val="100"/>
        </w:rPr>
        <w:t>存</w:t>
      </w:r>
      <w:r>
        <w:rPr>
          <w:w w:val="100"/>
        </w:rPr>
        <w:t>商品</w:t>
      </w:r>
      <w:r>
        <w:rPr>
          <w:spacing w:val="-3"/>
          <w:w w:val="100"/>
        </w:rPr>
        <w:t>及</w:t>
      </w:r>
      <w:r>
        <w:rPr>
          <w:w w:val="100"/>
        </w:rPr>
        <w:t>产成</w:t>
      </w:r>
      <w:r>
        <w:rPr>
          <w:spacing w:val="-3"/>
          <w:w w:val="100"/>
        </w:rPr>
        <w:t>品期</w:t>
      </w:r>
      <w:r>
        <w:rPr>
          <w:w w:val="100"/>
        </w:rPr>
        <w:t>末余额</w:t>
      </w:r>
      <w:r>
        <w:rPr>
          <w:spacing w:val="-3"/>
          <w:w w:val="100"/>
        </w:rPr>
        <w:t>增</w:t>
      </w:r>
      <w:r>
        <w:rPr>
          <w:w w:val="100"/>
        </w:rPr>
        <w:t>加</w:t>
      </w:r>
      <w:r>
        <w:rPr>
          <w:spacing w:val="-101"/>
          <w:w w:val="100"/>
        </w:rPr>
        <w:t>：</w:t>
      </w:r>
      <w:r>
        <w:rPr>
          <w:spacing w:val="-3"/>
          <w:w w:val="100"/>
        </w:rPr>
        <w:t>系</w:t>
      </w:r>
      <w:r>
        <w:rPr>
          <w:w w:val="100"/>
        </w:rPr>
        <w:t>公司</w:t>
      </w:r>
      <w:r>
        <w:rPr>
          <w:spacing w:val="-3"/>
          <w:w w:val="100"/>
        </w:rPr>
        <w:t>根据</w:t>
      </w:r>
      <w:r>
        <w:rPr>
          <w:w w:val="100"/>
        </w:rPr>
        <w:t>近期销</w:t>
      </w:r>
      <w:r>
        <w:rPr>
          <w:spacing w:val="-3"/>
          <w:w w:val="100"/>
        </w:rPr>
        <w:t>售</w:t>
      </w:r>
      <w:r>
        <w:rPr>
          <w:w w:val="100"/>
        </w:rPr>
        <w:t>计划</w:t>
      </w:r>
      <w:r>
        <w:rPr>
          <w:spacing w:val="-3"/>
          <w:w w:val="100"/>
        </w:rPr>
        <w:t>增</w:t>
      </w:r>
      <w:r>
        <w:rPr>
          <w:w w:val="100"/>
        </w:rPr>
        <w:t>加了</w:t>
      </w:r>
      <w:r>
        <w:rPr>
          <w:spacing w:val="-3"/>
          <w:w w:val="100"/>
        </w:rPr>
        <w:t>成品</w:t>
      </w:r>
      <w:r>
        <w:rPr>
          <w:w w:val="100"/>
        </w:rPr>
        <w:t>备货所致。</w:t>
      </w:r>
    </w:p>
    <w:p>
      <w:pPr>
        <w:pStyle w:val="BodyText"/>
        <w:spacing w:line="240" w:lineRule="auto" w:before="126"/>
        <w:ind w:left="237" w:right="286"/>
        <w:jc w:val="left"/>
      </w:pPr>
      <w:r>
        <w:rPr>
          <w:rFonts w:ascii="Arial" w:hAnsi="Arial" w:cs="Arial" w:eastAsia="Arial" w:hint="default"/>
        </w:rPr>
        <w:t>6.9</w:t>
      </w:r>
      <w:r>
        <w:rPr>
          <w:rFonts w:ascii="Arial" w:hAnsi="Arial" w:cs="Arial" w:eastAsia="Arial" w:hint="default"/>
          <w:spacing w:val="-7"/>
        </w:rPr>
        <w:t> </w:t>
      </w:r>
      <w:r>
        <w:rPr/>
        <w:t>固定资产</w:t>
      </w:r>
    </w:p>
    <w:p>
      <w:pPr>
        <w:pStyle w:val="BodyText"/>
        <w:spacing w:line="240" w:lineRule="auto" w:before="123"/>
        <w:ind w:left="237" w:right="286"/>
        <w:jc w:val="left"/>
      </w:pPr>
      <w:r>
        <w:rPr>
          <w:rFonts w:ascii="Arial" w:hAnsi="Arial" w:cs="Arial" w:eastAsia="Arial" w:hint="default"/>
        </w:rPr>
        <w:t>6.9.1</w:t>
      </w:r>
      <w:r>
        <w:rPr>
          <w:rFonts w:ascii="Arial" w:hAnsi="Arial" w:cs="Arial" w:eastAsia="Arial" w:hint="default"/>
          <w:spacing w:val="48"/>
        </w:rPr>
        <w:t> </w:t>
      </w:r>
      <w:r>
        <w:rPr/>
        <w:t>固定资产情况</w:t>
      </w:r>
    </w:p>
    <w:p>
      <w:pPr>
        <w:spacing w:line="240" w:lineRule="auto" w:before="3"/>
        <w:rPr>
          <w:rFonts w:ascii="宋体" w:hAnsi="宋体" w:cs="宋体" w:eastAsia="宋体" w:hint="default"/>
          <w:sz w:val="12"/>
          <w:szCs w:val="12"/>
        </w:rPr>
      </w:pPr>
    </w:p>
    <w:tbl>
      <w:tblPr>
        <w:tblW w:w="0" w:type="auto"/>
        <w:jc w:val="left"/>
        <w:tblInd w:w="208" w:type="dxa"/>
        <w:tblLayout w:type="fixed"/>
        <w:tblCellMar>
          <w:top w:w="0" w:type="dxa"/>
          <w:left w:w="0" w:type="dxa"/>
          <w:bottom w:w="0" w:type="dxa"/>
          <w:right w:w="0" w:type="dxa"/>
        </w:tblCellMar>
        <w:tblLook w:val="01E0"/>
      </w:tblPr>
      <w:tblGrid>
        <w:gridCol w:w="2390"/>
        <w:gridCol w:w="1735"/>
        <w:gridCol w:w="1642"/>
        <w:gridCol w:w="1478"/>
        <w:gridCol w:w="1558"/>
      </w:tblGrid>
      <w:tr>
        <w:trPr>
          <w:trHeight w:val="598" w:hRule="exact"/>
        </w:trPr>
        <w:tc>
          <w:tcPr>
            <w:tcW w:w="23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312"/>
              <w:jc w:val="right"/>
              <w:rPr>
                <w:rFonts w:ascii="宋体" w:hAnsi="宋体" w:cs="宋体" w:eastAsia="宋体" w:hint="default"/>
                <w:sz w:val="18"/>
                <w:szCs w:val="18"/>
              </w:rPr>
            </w:pPr>
            <w:r>
              <w:rPr>
                <w:rFonts w:ascii="宋体" w:hAnsi="宋体" w:cs="宋体" w:eastAsia="宋体" w:hint="default"/>
                <w:w w:val="95"/>
                <w:sz w:val="18"/>
                <w:szCs w:val="18"/>
              </w:rPr>
              <w:t>期初账面余额</w:t>
            </w:r>
            <w:r>
              <w:rPr>
                <w:rFonts w:ascii="宋体" w:hAnsi="宋体" w:cs="宋体" w:eastAsia="宋体" w:hint="default"/>
                <w:sz w:val="18"/>
                <w:szCs w:val="18"/>
              </w:rPr>
            </w:r>
          </w:p>
        </w:tc>
        <w:tc>
          <w:tcPr>
            <w:tcW w:w="16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362"/>
              <w:jc w:val="right"/>
              <w:rPr>
                <w:rFonts w:ascii="宋体" w:hAnsi="宋体" w:cs="宋体" w:eastAsia="宋体" w:hint="default"/>
                <w:sz w:val="18"/>
                <w:szCs w:val="18"/>
              </w:rPr>
            </w:pPr>
            <w:r>
              <w:rPr>
                <w:rFonts w:ascii="宋体" w:hAnsi="宋体" w:cs="宋体" w:eastAsia="宋体" w:hint="default"/>
                <w:w w:val="95"/>
                <w:sz w:val="18"/>
                <w:szCs w:val="18"/>
              </w:rPr>
              <w:t>本期减少</w:t>
            </w:r>
            <w:r>
              <w:rPr>
                <w:rFonts w:ascii="宋体" w:hAnsi="宋体" w:cs="宋体" w:eastAsia="宋体" w:hint="default"/>
                <w:sz w:val="18"/>
                <w:szCs w:val="18"/>
              </w:rPr>
            </w:r>
          </w:p>
        </w:tc>
        <w:tc>
          <w:tcPr>
            <w:tcW w:w="15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223"/>
              <w:jc w:val="right"/>
              <w:rPr>
                <w:rFonts w:ascii="宋体" w:hAnsi="宋体" w:cs="宋体" w:eastAsia="宋体" w:hint="default"/>
                <w:sz w:val="18"/>
                <w:szCs w:val="18"/>
              </w:rPr>
            </w:pPr>
            <w:r>
              <w:rPr>
                <w:rFonts w:ascii="宋体" w:hAnsi="宋体" w:cs="宋体" w:eastAsia="宋体" w:hint="default"/>
                <w:w w:val="95"/>
                <w:sz w:val="18"/>
                <w:szCs w:val="18"/>
              </w:rPr>
              <w:t>期末账面余额</w:t>
            </w:r>
            <w:r>
              <w:rPr>
                <w:rFonts w:ascii="宋体" w:hAnsi="宋体" w:cs="宋体" w:eastAsia="宋体" w:hint="default"/>
                <w:sz w:val="18"/>
                <w:szCs w:val="18"/>
              </w:rPr>
            </w:r>
          </w:p>
        </w:tc>
      </w:tr>
      <w:tr>
        <w:trPr>
          <w:trHeight w:val="598" w:hRule="exact"/>
        </w:trPr>
        <w:tc>
          <w:tcPr>
            <w:tcW w:w="23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left="-1"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7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317"/>
              <w:jc w:val="right"/>
              <w:rPr>
                <w:rFonts w:ascii="Arial" w:hAnsi="Arial" w:cs="Arial" w:eastAsia="Arial" w:hint="default"/>
                <w:sz w:val="18"/>
                <w:szCs w:val="18"/>
              </w:rPr>
            </w:pPr>
            <w:r>
              <w:rPr>
                <w:rFonts w:ascii="Arial"/>
                <w:spacing w:val="-1"/>
                <w:sz w:val="18"/>
              </w:rPr>
              <w:t>91,571,400.83</w:t>
            </w:r>
          </w:p>
        </w:tc>
        <w:tc>
          <w:tcPr>
            <w:tcW w:w="16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2"/>
              <w:jc w:val="center"/>
              <w:rPr>
                <w:rFonts w:ascii="Arial" w:hAnsi="Arial" w:cs="Arial" w:eastAsia="Arial" w:hint="default"/>
                <w:sz w:val="18"/>
                <w:szCs w:val="18"/>
              </w:rPr>
            </w:pPr>
            <w:r>
              <w:rPr>
                <w:rFonts w:ascii="Arial"/>
                <w:sz w:val="18"/>
              </w:rPr>
              <w:t>34,924,226.29</w:t>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315"/>
              <w:jc w:val="right"/>
              <w:rPr>
                <w:rFonts w:ascii="Arial" w:hAnsi="Arial" w:cs="Arial" w:eastAsia="Arial" w:hint="default"/>
                <w:sz w:val="18"/>
                <w:szCs w:val="18"/>
              </w:rPr>
            </w:pPr>
            <w:r>
              <w:rPr>
                <w:rFonts w:ascii="Arial"/>
                <w:spacing w:val="-1"/>
                <w:sz w:val="18"/>
              </w:rPr>
              <w:t>120,327.36</w:t>
            </w:r>
          </w:p>
        </w:tc>
        <w:tc>
          <w:tcPr>
            <w:tcW w:w="15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81"/>
              <w:jc w:val="right"/>
              <w:rPr>
                <w:rFonts w:ascii="Arial" w:hAnsi="Arial" w:cs="Arial" w:eastAsia="Arial" w:hint="default"/>
                <w:sz w:val="18"/>
                <w:szCs w:val="18"/>
              </w:rPr>
            </w:pPr>
            <w:r>
              <w:rPr>
                <w:rFonts w:ascii="Arial"/>
                <w:spacing w:val="-1"/>
                <w:sz w:val="18"/>
              </w:rPr>
              <w:t>126,375,299.76</w:t>
            </w:r>
          </w:p>
        </w:tc>
      </w:tr>
      <w:tr>
        <w:trPr>
          <w:trHeight w:val="598" w:hRule="exact"/>
        </w:trPr>
        <w:tc>
          <w:tcPr>
            <w:tcW w:w="23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left="-1"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7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325"/>
              <w:jc w:val="right"/>
              <w:rPr>
                <w:rFonts w:ascii="Arial" w:hAnsi="Arial" w:cs="Arial" w:eastAsia="Arial" w:hint="default"/>
                <w:sz w:val="18"/>
                <w:szCs w:val="18"/>
              </w:rPr>
            </w:pPr>
            <w:r>
              <w:rPr>
                <w:rFonts w:ascii="Arial"/>
                <w:spacing w:val="-2"/>
                <w:sz w:val="18"/>
              </w:rPr>
              <w:t>59,754,011.28</w:t>
            </w:r>
          </w:p>
        </w:tc>
        <w:tc>
          <w:tcPr>
            <w:tcW w:w="16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2"/>
              <w:jc w:val="center"/>
              <w:rPr>
                <w:rFonts w:ascii="Arial" w:hAnsi="Arial" w:cs="Arial" w:eastAsia="Arial" w:hint="default"/>
                <w:sz w:val="18"/>
                <w:szCs w:val="18"/>
              </w:rPr>
            </w:pPr>
            <w:r>
              <w:rPr>
                <w:rFonts w:ascii="Arial"/>
                <w:sz w:val="18"/>
              </w:rPr>
              <w:t>18,573,021.97</w:t>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315"/>
              <w:jc w:val="right"/>
              <w:rPr>
                <w:rFonts w:ascii="Arial" w:hAnsi="Arial" w:cs="Arial" w:eastAsia="Arial" w:hint="default"/>
                <w:sz w:val="18"/>
                <w:szCs w:val="18"/>
              </w:rPr>
            </w:pPr>
            <w:r>
              <w:rPr>
                <w:rFonts w:ascii="Arial"/>
                <w:spacing w:val="-1"/>
                <w:sz w:val="18"/>
              </w:rPr>
              <w:t>107,627.36</w:t>
            </w:r>
          </w:p>
        </w:tc>
        <w:tc>
          <w:tcPr>
            <w:tcW w:w="15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29"/>
              <w:jc w:val="right"/>
              <w:rPr>
                <w:rFonts w:ascii="Arial" w:hAnsi="Arial" w:cs="Arial" w:eastAsia="Arial" w:hint="default"/>
                <w:sz w:val="18"/>
                <w:szCs w:val="18"/>
              </w:rPr>
            </w:pPr>
            <w:r>
              <w:rPr>
                <w:rFonts w:ascii="Arial"/>
                <w:spacing w:val="-1"/>
                <w:sz w:val="18"/>
              </w:rPr>
              <w:t>78,219,405.89</w:t>
            </w:r>
          </w:p>
        </w:tc>
      </w:tr>
      <w:tr>
        <w:trPr>
          <w:trHeight w:val="595" w:hRule="exact"/>
        </w:trPr>
        <w:tc>
          <w:tcPr>
            <w:tcW w:w="23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left="53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317"/>
              <w:jc w:val="right"/>
              <w:rPr>
                <w:rFonts w:ascii="Arial" w:hAnsi="Arial" w:cs="Arial" w:eastAsia="Arial" w:hint="default"/>
                <w:sz w:val="18"/>
                <w:szCs w:val="18"/>
              </w:rPr>
            </w:pPr>
            <w:r>
              <w:rPr>
                <w:rFonts w:ascii="Arial"/>
                <w:spacing w:val="-1"/>
                <w:sz w:val="18"/>
              </w:rPr>
              <w:t>19,030,277.07</w:t>
            </w:r>
          </w:p>
        </w:tc>
        <w:tc>
          <w:tcPr>
            <w:tcW w:w="16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2"/>
              <w:jc w:val="center"/>
              <w:rPr>
                <w:rFonts w:ascii="Arial" w:hAnsi="Arial" w:cs="Arial" w:eastAsia="Arial" w:hint="default"/>
                <w:sz w:val="18"/>
                <w:szCs w:val="18"/>
              </w:rPr>
            </w:pPr>
            <w:r>
              <w:rPr>
                <w:rFonts w:ascii="Arial"/>
                <w:sz w:val="18"/>
              </w:rPr>
              <w:t>12,909,144.61</w:t>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2"/>
              <w:jc w:val="center"/>
              <w:rPr>
                <w:rFonts w:ascii="Arial" w:hAnsi="Arial" w:cs="Arial" w:eastAsia="Arial" w:hint="default"/>
                <w:sz w:val="18"/>
                <w:szCs w:val="18"/>
              </w:rPr>
            </w:pPr>
            <w:r>
              <w:rPr>
                <w:rFonts w:ascii="Arial"/>
                <w:w w:val="99"/>
                <w:sz w:val="18"/>
              </w:rPr>
              <w:t>-</w:t>
            </w:r>
            <w:r>
              <w:rPr>
                <w:rFonts w:ascii="Arial"/>
                <w:sz w:val="18"/>
              </w:rPr>
            </w:r>
          </w:p>
        </w:tc>
        <w:tc>
          <w:tcPr>
            <w:tcW w:w="15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29"/>
              <w:jc w:val="right"/>
              <w:rPr>
                <w:rFonts w:ascii="Arial" w:hAnsi="Arial" w:cs="Arial" w:eastAsia="Arial" w:hint="default"/>
                <w:sz w:val="18"/>
                <w:szCs w:val="18"/>
              </w:rPr>
            </w:pPr>
            <w:r>
              <w:rPr>
                <w:rFonts w:ascii="Arial"/>
                <w:spacing w:val="-1"/>
                <w:sz w:val="18"/>
              </w:rPr>
              <w:t>31,939,421.68</w:t>
            </w:r>
          </w:p>
        </w:tc>
      </w:tr>
    </w:tbl>
    <w:p>
      <w:pPr>
        <w:spacing w:after="0" w:line="240" w:lineRule="auto"/>
        <w:jc w:val="right"/>
        <w:rPr>
          <w:rFonts w:ascii="Arial" w:hAnsi="Arial" w:cs="Arial" w:eastAsia="Arial" w:hint="default"/>
          <w:sz w:val="18"/>
          <w:szCs w:val="18"/>
        </w:rPr>
        <w:sectPr>
          <w:pgSz w:w="11900" w:h="16840"/>
          <w:pgMar w:header="0" w:footer="983" w:top="1100" w:bottom="1180" w:left="1560" w:right="1180"/>
        </w:sectPr>
      </w:pPr>
    </w:p>
    <w:p>
      <w:pPr>
        <w:spacing w:line="240" w:lineRule="auto" w:before="8"/>
        <w:rPr>
          <w:rFonts w:ascii="宋体" w:hAnsi="宋体" w:cs="宋体" w:eastAsia="宋体"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2390"/>
        <w:gridCol w:w="1735"/>
        <w:gridCol w:w="1642"/>
        <w:gridCol w:w="1478"/>
        <w:gridCol w:w="1558"/>
      </w:tblGrid>
      <w:tr>
        <w:trPr>
          <w:trHeight w:val="598" w:hRule="exact"/>
        </w:trPr>
        <w:tc>
          <w:tcPr>
            <w:tcW w:w="23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left="540"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7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5"/>
              <w:jc w:val="center"/>
              <w:rPr>
                <w:rFonts w:ascii="Arial" w:hAnsi="Arial" w:cs="Arial" w:eastAsia="Arial" w:hint="default"/>
                <w:sz w:val="18"/>
                <w:szCs w:val="18"/>
              </w:rPr>
            </w:pPr>
            <w:r>
              <w:rPr>
                <w:rFonts w:ascii="Arial"/>
                <w:sz w:val="18"/>
              </w:rPr>
              <w:t>7,717,350.59</w:t>
            </w:r>
          </w:p>
        </w:tc>
        <w:tc>
          <w:tcPr>
            <w:tcW w:w="16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12" w:right="0"/>
              <w:jc w:val="left"/>
              <w:rPr>
                <w:rFonts w:ascii="Arial" w:hAnsi="Arial" w:cs="Arial" w:eastAsia="Arial" w:hint="default"/>
                <w:sz w:val="18"/>
                <w:szCs w:val="18"/>
              </w:rPr>
            </w:pPr>
            <w:r>
              <w:rPr>
                <w:rFonts w:ascii="Arial"/>
                <w:sz w:val="18"/>
              </w:rPr>
              <w:t>660,236.84</w:t>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2"/>
              <w:jc w:val="center"/>
              <w:rPr>
                <w:rFonts w:ascii="Arial" w:hAnsi="Arial" w:cs="Arial" w:eastAsia="Arial" w:hint="default"/>
                <w:sz w:val="18"/>
                <w:szCs w:val="18"/>
              </w:rPr>
            </w:pPr>
            <w:r>
              <w:rPr>
                <w:rFonts w:ascii="Arial"/>
                <w:w w:val="99"/>
                <w:sz w:val="18"/>
              </w:rPr>
              <w:t>-</w:t>
            </w:r>
            <w:r>
              <w:rPr>
                <w:rFonts w:ascii="Arial"/>
                <w:sz w:val="18"/>
              </w:rPr>
            </w:r>
          </w:p>
        </w:tc>
        <w:tc>
          <w:tcPr>
            <w:tcW w:w="15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79"/>
              <w:jc w:val="right"/>
              <w:rPr>
                <w:rFonts w:ascii="Arial" w:hAnsi="Arial" w:cs="Arial" w:eastAsia="Arial" w:hint="default"/>
                <w:sz w:val="18"/>
                <w:szCs w:val="18"/>
              </w:rPr>
            </w:pPr>
            <w:r>
              <w:rPr>
                <w:rFonts w:ascii="Arial"/>
                <w:spacing w:val="-1"/>
                <w:sz w:val="18"/>
              </w:rPr>
              <w:t>8,377,587.43</w:t>
            </w:r>
          </w:p>
        </w:tc>
      </w:tr>
      <w:tr>
        <w:trPr>
          <w:trHeight w:val="598" w:hRule="exact"/>
        </w:trPr>
        <w:tc>
          <w:tcPr>
            <w:tcW w:w="23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left="539"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7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5"/>
              <w:jc w:val="center"/>
              <w:rPr>
                <w:rFonts w:ascii="Arial" w:hAnsi="Arial" w:cs="Arial" w:eastAsia="Arial" w:hint="default"/>
                <w:sz w:val="18"/>
                <w:szCs w:val="18"/>
              </w:rPr>
            </w:pPr>
            <w:r>
              <w:rPr>
                <w:rFonts w:ascii="Arial"/>
                <w:sz w:val="18"/>
              </w:rPr>
              <w:t>5,069,761.89</w:t>
            </w:r>
          </w:p>
        </w:tc>
        <w:tc>
          <w:tcPr>
            <w:tcW w:w="16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37" w:right="0"/>
              <w:jc w:val="left"/>
              <w:rPr>
                <w:rFonts w:ascii="Arial" w:hAnsi="Arial" w:cs="Arial" w:eastAsia="Arial" w:hint="default"/>
                <w:sz w:val="18"/>
                <w:szCs w:val="18"/>
              </w:rPr>
            </w:pPr>
            <w:r>
              <w:rPr>
                <w:rFonts w:ascii="Arial"/>
                <w:sz w:val="18"/>
              </w:rPr>
              <w:t>2,781,822.87</w:t>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80" w:right="0"/>
              <w:jc w:val="left"/>
              <w:rPr>
                <w:rFonts w:ascii="Arial" w:hAnsi="Arial" w:cs="Arial" w:eastAsia="Arial" w:hint="default"/>
                <w:sz w:val="18"/>
                <w:szCs w:val="18"/>
              </w:rPr>
            </w:pPr>
            <w:r>
              <w:rPr>
                <w:rFonts w:ascii="Arial"/>
                <w:sz w:val="18"/>
              </w:rPr>
              <w:t>12,700.00</w:t>
            </w:r>
          </w:p>
        </w:tc>
        <w:tc>
          <w:tcPr>
            <w:tcW w:w="15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79"/>
              <w:jc w:val="right"/>
              <w:rPr>
                <w:rFonts w:ascii="Arial" w:hAnsi="Arial" w:cs="Arial" w:eastAsia="Arial" w:hint="default"/>
                <w:sz w:val="18"/>
                <w:szCs w:val="18"/>
              </w:rPr>
            </w:pPr>
            <w:r>
              <w:rPr>
                <w:rFonts w:ascii="Arial"/>
                <w:spacing w:val="-1"/>
                <w:sz w:val="18"/>
              </w:rPr>
              <w:t>7,838,884.76</w:t>
            </w:r>
          </w:p>
        </w:tc>
      </w:tr>
      <w:tr>
        <w:trPr>
          <w:trHeight w:val="595" w:hRule="exact"/>
        </w:trPr>
        <w:tc>
          <w:tcPr>
            <w:tcW w:w="23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left="-1"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7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5"/>
              <w:jc w:val="center"/>
              <w:rPr>
                <w:rFonts w:ascii="Arial" w:hAnsi="Arial" w:cs="Arial" w:eastAsia="Arial" w:hint="default"/>
                <w:sz w:val="18"/>
                <w:szCs w:val="18"/>
              </w:rPr>
            </w:pPr>
            <w:r>
              <w:rPr>
                <w:rFonts w:ascii="Arial"/>
                <w:sz w:val="18"/>
              </w:rPr>
              <w:t>10,706,563.26</w:t>
            </w:r>
          </w:p>
        </w:tc>
        <w:tc>
          <w:tcPr>
            <w:tcW w:w="16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37" w:right="0"/>
              <w:jc w:val="left"/>
              <w:rPr>
                <w:rFonts w:ascii="Arial" w:hAnsi="Arial" w:cs="Arial" w:eastAsia="Arial" w:hint="default"/>
                <w:sz w:val="18"/>
                <w:szCs w:val="18"/>
              </w:rPr>
            </w:pPr>
            <w:r>
              <w:rPr>
                <w:rFonts w:ascii="Arial"/>
                <w:sz w:val="18"/>
              </w:rPr>
              <w:t>7,732,731.28</w:t>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80" w:right="0"/>
              <w:jc w:val="left"/>
              <w:rPr>
                <w:rFonts w:ascii="Arial" w:hAnsi="Arial" w:cs="Arial" w:eastAsia="Arial" w:hint="default"/>
                <w:sz w:val="18"/>
                <w:szCs w:val="18"/>
              </w:rPr>
            </w:pPr>
            <w:r>
              <w:rPr>
                <w:rFonts w:ascii="Arial"/>
                <w:sz w:val="18"/>
              </w:rPr>
              <w:t>46,085.86</w:t>
            </w:r>
          </w:p>
        </w:tc>
        <w:tc>
          <w:tcPr>
            <w:tcW w:w="15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29"/>
              <w:jc w:val="right"/>
              <w:rPr>
                <w:rFonts w:ascii="Arial" w:hAnsi="Arial" w:cs="Arial" w:eastAsia="Arial" w:hint="default"/>
                <w:sz w:val="18"/>
                <w:szCs w:val="18"/>
              </w:rPr>
            </w:pPr>
            <w:r>
              <w:rPr>
                <w:rFonts w:ascii="Arial"/>
                <w:spacing w:val="-1"/>
                <w:sz w:val="18"/>
              </w:rPr>
              <w:t>18,393,208.68</w:t>
            </w:r>
          </w:p>
        </w:tc>
      </w:tr>
      <w:tr>
        <w:trPr>
          <w:trHeight w:val="598" w:hRule="exact"/>
        </w:trPr>
        <w:tc>
          <w:tcPr>
            <w:tcW w:w="23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left="-1"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7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5"/>
              <w:jc w:val="center"/>
              <w:rPr>
                <w:rFonts w:ascii="Arial" w:hAnsi="Arial" w:cs="Arial" w:eastAsia="Arial" w:hint="default"/>
                <w:sz w:val="18"/>
                <w:szCs w:val="18"/>
              </w:rPr>
            </w:pPr>
            <w:r>
              <w:rPr>
                <w:rFonts w:ascii="Arial"/>
                <w:sz w:val="18"/>
              </w:rPr>
              <w:t>4,108,470.36</w:t>
            </w:r>
          </w:p>
        </w:tc>
        <w:tc>
          <w:tcPr>
            <w:tcW w:w="16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37" w:right="0"/>
              <w:jc w:val="left"/>
              <w:rPr>
                <w:rFonts w:ascii="Arial" w:hAnsi="Arial" w:cs="Arial" w:eastAsia="Arial" w:hint="default"/>
                <w:sz w:val="18"/>
                <w:szCs w:val="18"/>
              </w:rPr>
            </w:pPr>
            <w:r>
              <w:rPr>
                <w:rFonts w:ascii="Arial"/>
                <w:sz w:val="18"/>
              </w:rPr>
              <w:t>3,239,794.36</w:t>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80" w:right="0"/>
              <w:jc w:val="left"/>
              <w:rPr>
                <w:rFonts w:ascii="Arial" w:hAnsi="Arial" w:cs="Arial" w:eastAsia="Arial" w:hint="default"/>
                <w:sz w:val="18"/>
                <w:szCs w:val="18"/>
              </w:rPr>
            </w:pPr>
            <w:r>
              <w:rPr>
                <w:rFonts w:ascii="Arial"/>
                <w:sz w:val="18"/>
              </w:rPr>
              <w:t>36,760.00</w:t>
            </w:r>
          </w:p>
        </w:tc>
        <w:tc>
          <w:tcPr>
            <w:tcW w:w="15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86"/>
              <w:jc w:val="right"/>
              <w:rPr>
                <w:rFonts w:ascii="Arial" w:hAnsi="Arial" w:cs="Arial" w:eastAsia="Arial" w:hint="default"/>
                <w:sz w:val="18"/>
                <w:szCs w:val="18"/>
              </w:rPr>
            </w:pPr>
            <w:r>
              <w:rPr>
                <w:rFonts w:ascii="Arial"/>
                <w:spacing w:val="-2"/>
                <w:sz w:val="18"/>
              </w:rPr>
              <w:t>7,311,504.72</w:t>
            </w:r>
          </w:p>
        </w:tc>
      </w:tr>
      <w:tr>
        <w:trPr>
          <w:trHeight w:val="598" w:hRule="exact"/>
        </w:trPr>
        <w:tc>
          <w:tcPr>
            <w:tcW w:w="23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left="53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5"/>
              <w:jc w:val="center"/>
              <w:rPr>
                <w:rFonts w:ascii="Arial" w:hAnsi="Arial" w:cs="Arial" w:eastAsia="Arial" w:hint="default"/>
                <w:sz w:val="18"/>
                <w:szCs w:val="18"/>
              </w:rPr>
            </w:pPr>
            <w:r>
              <w:rPr>
                <w:rFonts w:ascii="Arial"/>
                <w:sz w:val="18"/>
              </w:rPr>
              <w:t>2,015,390.77</w:t>
            </w:r>
          </w:p>
        </w:tc>
        <w:tc>
          <w:tcPr>
            <w:tcW w:w="16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37" w:right="0"/>
              <w:jc w:val="left"/>
              <w:rPr>
                <w:rFonts w:ascii="Arial" w:hAnsi="Arial" w:cs="Arial" w:eastAsia="Arial" w:hint="default"/>
                <w:sz w:val="18"/>
                <w:szCs w:val="18"/>
              </w:rPr>
            </w:pPr>
            <w:r>
              <w:rPr>
                <w:rFonts w:ascii="Arial"/>
                <w:sz w:val="18"/>
              </w:rPr>
              <w:t>2,081,507.93</w:t>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2"/>
              <w:jc w:val="center"/>
              <w:rPr>
                <w:rFonts w:ascii="Arial" w:hAnsi="Arial" w:cs="Arial" w:eastAsia="Arial" w:hint="default"/>
                <w:sz w:val="18"/>
                <w:szCs w:val="18"/>
              </w:rPr>
            </w:pPr>
            <w:r>
              <w:rPr>
                <w:rFonts w:ascii="Arial"/>
                <w:w w:val="99"/>
                <w:sz w:val="18"/>
              </w:rPr>
              <w:t>-</w:t>
            </w:r>
            <w:r>
              <w:rPr>
                <w:rFonts w:ascii="Arial"/>
                <w:sz w:val="18"/>
              </w:rPr>
            </w:r>
          </w:p>
        </w:tc>
        <w:tc>
          <w:tcPr>
            <w:tcW w:w="15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79"/>
              <w:jc w:val="right"/>
              <w:rPr>
                <w:rFonts w:ascii="Arial" w:hAnsi="Arial" w:cs="Arial" w:eastAsia="Arial" w:hint="default"/>
                <w:sz w:val="18"/>
                <w:szCs w:val="18"/>
              </w:rPr>
            </w:pPr>
            <w:r>
              <w:rPr>
                <w:rFonts w:ascii="Arial"/>
                <w:spacing w:val="-1"/>
                <w:sz w:val="18"/>
              </w:rPr>
              <w:t>4,096,898.70</w:t>
            </w:r>
          </w:p>
        </w:tc>
      </w:tr>
      <w:tr>
        <w:trPr>
          <w:trHeight w:val="598" w:hRule="exact"/>
        </w:trPr>
        <w:tc>
          <w:tcPr>
            <w:tcW w:w="23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left="539"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7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5"/>
              <w:jc w:val="center"/>
              <w:rPr>
                <w:rFonts w:ascii="Arial" w:hAnsi="Arial" w:cs="Arial" w:eastAsia="Arial" w:hint="default"/>
                <w:sz w:val="18"/>
                <w:szCs w:val="18"/>
              </w:rPr>
            </w:pPr>
            <w:r>
              <w:rPr>
                <w:rFonts w:ascii="Arial"/>
                <w:sz w:val="18"/>
              </w:rPr>
              <w:t>3,011,339.88</w:t>
            </w:r>
          </w:p>
        </w:tc>
        <w:tc>
          <w:tcPr>
            <w:tcW w:w="16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37" w:right="0"/>
              <w:jc w:val="left"/>
              <w:rPr>
                <w:rFonts w:ascii="Arial" w:hAnsi="Arial" w:cs="Arial" w:eastAsia="Arial" w:hint="default"/>
                <w:sz w:val="18"/>
                <w:szCs w:val="18"/>
              </w:rPr>
            </w:pPr>
            <w:r>
              <w:rPr>
                <w:rFonts w:ascii="Arial"/>
                <w:sz w:val="18"/>
              </w:rPr>
              <w:t>1,408,391.62</w:t>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2"/>
              <w:jc w:val="center"/>
              <w:rPr>
                <w:rFonts w:ascii="Arial" w:hAnsi="Arial" w:cs="Arial" w:eastAsia="Arial" w:hint="default"/>
                <w:sz w:val="18"/>
                <w:szCs w:val="18"/>
              </w:rPr>
            </w:pPr>
            <w:r>
              <w:rPr>
                <w:rFonts w:ascii="Arial"/>
                <w:w w:val="99"/>
                <w:sz w:val="18"/>
              </w:rPr>
              <w:t>-</w:t>
            </w:r>
            <w:r>
              <w:rPr>
                <w:rFonts w:ascii="Arial"/>
                <w:sz w:val="18"/>
              </w:rPr>
            </w:r>
          </w:p>
        </w:tc>
        <w:tc>
          <w:tcPr>
            <w:tcW w:w="15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79"/>
              <w:jc w:val="right"/>
              <w:rPr>
                <w:rFonts w:ascii="Arial" w:hAnsi="Arial" w:cs="Arial" w:eastAsia="Arial" w:hint="default"/>
                <w:sz w:val="18"/>
                <w:szCs w:val="18"/>
              </w:rPr>
            </w:pPr>
            <w:r>
              <w:rPr>
                <w:rFonts w:ascii="Arial"/>
                <w:spacing w:val="-1"/>
                <w:sz w:val="18"/>
              </w:rPr>
              <w:t>4,419,731.50</w:t>
            </w:r>
          </w:p>
        </w:tc>
      </w:tr>
      <w:tr>
        <w:trPr>
          <w:trHeight w:val="595" w:hRule="exact"/>
        </w:trPr>
        <w:tc>
          <w:tcPr>
            <w:tcW w:w="23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left="539"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7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5"/>
              <w:jc w:val="center"/>
              <w:rPr>
                <w:rFonts w:ascii="Arial" w:hAnsi="Arial" w:cs="Arial" w:eastAsia="Arial" w:hint="default"/>
                <w:sz w:val="18"/>
                <w:szCs w:val="18"/>
              </w:rPr>
            </w:pPr>
            <w:r>
              <w:rPr>
                <w:rFonts w:ascii="Arial"/>
                <w:sz w:val="18"/>
              </w:rPr>
              <w:t>1,571,362.25</w:t>
            </w:r>
          </w:p>
        </w:tc>
        <w:tc>
          <w:tcPr>
            <w:tcW w:w="16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37" w:right="0"/>
              <w:jc w:val="left"/>
              <w:rPr>
                <w:rFonts w:ascii="Arial" w:hAnsi="Arial" w:cs="Arial" w:eastAsia="Arial" w:hint="default"/>
                <w:sz w:val="18"/>
                <w:szCs w:val="18"/>
              </w:rPr>
            </w:pPr>
            <w:r>
              <w:rPr>
                <w:rFonts w:ascii="Arial"/>
                <w:sz w:val="18"/>
              </w:rPr>
              <w:t>1,003,037.37</w:t>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31" w:right="0"/>
              <w:jc w:val="left"/>
              <w:rPr>
                <w:rFonts w:ascii="Arial" w:hAnsi="Arial" w:cs="Arial" w:eastAsia="Arial" w:hint="default"/>
                <w:sz w:val="18"/>
                <w:szCs w:val="18"/>
              </w:rPr>
            </w:pPr>
            <w:r>
              <w:rPr>
                <w:rFonts w:ascii="Arial"/>
                <w:sz w:val="18"/>
              </w:rPr>
              <w:t>9,325.86</w:t>
            </w:r>
          </w:p>
        </w:tc>
        <w:tc>
          <w:tcPr>
            <w:tcW w:w="15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79"/>
              <w:jc w:val="right"/>
              <w:rPr>
                <w:rFonts w:ascii="Arial" w:hAnsi="Arial" w:cs="Arial" w:eastAsia="Arial" w:hint="default"/>
                <w:sz w:val="18"/>
                <w:szCs w:val="18"/>
              </w:rPr>
            </w:pPr>
            <w:r>
              <w:rPr>
                <w:rFonts w:ascii="Arial"/>
                <w:spacing w:val="-1"/>
                <w:sz w:val="18"/>
              </w:rPr>
              <w:t>2,565,073.76</w:t>
            </w:r>
          </w:p>
        </w:tc>
      </w:tr>
      <w:tr>
        <w:trPr>
          <w:trHeight w:val="598" w:hRule="exact"/>
        </w:trPr>
        <w:tc>
          <w:tcPr>
            <w:tcW w:w="23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left="-1" w:right="0"/>
              <w:jc w:val="left"/>
              <w:rPr>
                <w:rFonts w:ascii="宋体" w:hAnsi="宋体" w:cs="宋体" w:eastAsia="宋体" w:hint="default"/>
                <w:sz w:val="18"/>
                <w:szCs w:val="18"/>
              </w:rPr>
            </w:pPr>
            <w:r>
              <w:rPr>
                <w:rFonts w:ascii="宋体" w:hAnsi="宋体" w:cs="宋体" w:eastAsia="宋体" w:hint="default"/>
                <w:sz w:val="18"/>
                <w:szCs w:val="18"/>
              </w:rPr>
              <w:t>三、固定资产账面净值合计</w:t>
            </w:r>
          </w:p>
        </w:tc>
        <w:tc>
          <w:tcPr>
            <w:tcW w:w="17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5"/>
              <w:jc w:val="center"/>
              <w:rPr>
                <w:rFonts w:ascii="Arial" w:hAnsi="Arial" w:cs="Arial" w:eastAsia="Arial" w:hint="default"/>
                <w:sz w:val="18"/>
                <w:szCs w:val="18"/>
              </w:rPr>
            </w:pPr>
            <w:r>
              <w:rPr>
                <w:rFonts w:ascii="Arial"/>
                <w:sz w:val="18"/>
              </w:rPr>
              <w:t>80,864,837.57</w:t>
            </w:r>
          </w:p>
        </w:tc>
        <w:tc>
          <w:tcPr>
            <w:tcW w:w="16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2"/>
              <w:jc w:val="center"/>
              <w:rPr>
                <w:rFonts w:ascii="Arial" w:hAnsi="Arial" w:cs="Arial" w:eastAsia="Arial" w:hint="default"/>
                <w:sz w:val="18"/>
                <w:szCs w:val="18"/>
              </w:rPr>
            </w:pPr>
            <w:r>
              <w:rPr>
                <w:rFonts w:ascii="Arial"/>
                <w:w w:val="99"/>
                <w:sz w:val="18"/>
              </w:rPr>
              <w:t>-</w:t>
            </w:r>
            <w:r>
              <w:rPr>
                <w:rFonts w:ascii="Arial"/>
                <w:sz w:val="18"/>
              </w:rPr>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2"/>
              <w:jc w:val="center"/>
              <w:rPr>
                <w:rFonts w:ascii="Arial" w:hAnsi="Arial" w:cs="Arial" w:eastAsia="Arial" w:hint="default"/>
                <w:sz w:val="18"/>
                <w:szCs w:val="18"/>
              </w:rPr>
            </w:pPr>
            <w:r>
              <w:rPr>
                <w:rFonts w:ascii="Arial"/>
                <w:w w:val="99"/>
                <w:sz w:val="18"/>
              </w:rPr>
              <w:t>-</w:t>
            </w:r>
            <w:r>
              <w:rPr>
                <w:rFonts w:ascii="Arial"/>
                <w:sz w:val="18"/>
              </w:rPr>
            </w:r>
          </w:p>
        </w:tc>
        <w:tc>
          <w:tcPr>
            <w:tcW w:w="15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81"/>
              <w:jc w:val="right"/>
              <w:rPr>
                <w:rFonts w:ascii="Arial" w:hAnsi="Arial" w:cs="Arial" w:eastAsia="Arial" w:hint="default"/>
                <w:sz w:val="18"/>
                <w:szCs w:val="18"/>
              </w:rPr>
            </w:pPr>
            <w:r>
              <w:rPr>
                <w:rFonts w:ascii="Arial"/>
                <w:spacing w:val="-1"/>
                <w:sz w:val="18"/>
              </w:rPr>
              <w:t>107,982,091.08</w:t>
            </w:r>
          </w:p>
        </w:tc>
      </w:tr>
      <w:tr>
        <w:trPr>
          <w:trHeight w:val="598" w:hRule="exact"/>
        </w:trPr>
        <w:tc>
          <w:tcPr>
            <w:tcW w:w="23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left="-1"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7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5"/>
              <w:jc w:val="center"/>
              <w:rPr>
                <w:rFonts w:ascii="Arial" w:hAnsi="Arial" w:cs="Arial" w:eastAsia="Arial" w:hint="default"/>
                <w:sz w:val="18"/>
                <w:szCs w:val="18"/>
              </w:rPr>
            </w:pPr>
            <w:r>
              <w:rPr>
                <w:rFonts w:ascii="Arial"/>
                <w:sz w:val="18"/>
              </w:rPr>
              <w:t>55,645,540.92</w:t>
            </w:r>
          </w:p>
        </w:tc>
        <w:tc>
          <w:tcPr>
            <w:tcW w:w="16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2"/>
              <w:jc w:val="center"/>
              <w:rPr>
                <w:rFonts w:ascii="Arial" w:hAnsi="Arial" w:cs="Arial" w:eastAsia="Arial" w:hint="default"/>
                <w:sz w:val="18"/>
                <w:szCs w:val="18"/>
              </w:rPr>
            </w:pPr>
            <w:r>
              <w:rPr>
                <w:rFonts w:ascii="Arial"/>
                <w:w w:val="99"/>
                <w:sz w:val="18"/>
              </w:rPr>
              <w:t>-</w:t>
            </w:r>
            <w:r>
              <w:rPr>
                <w:rFonts w:ascii="Arial"/>
                <w:sz w:val="18"/>
              </w:rPr>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2"/>
              <w:jc w:val="center"/>
              <w:rPr>
                <w:rFonts w:ascii="Arial" w:hAnsi="Arial" w:cs="Arial" w:eastAsia="Arial" w:hint="default"/>
                <w:sz w:val="18"/>
                <w:szCs w:val="18"/>
              </w:rPr>
            </w:pPr>
            <w:r>
              <w:rPr>
                <w:rFonts w:ascii="Arial"/>
                <w:w w:val="99"/>
                <w:sz w:val="18"/>
              </w:rPr>
              <w:t>-</w:t>
            </w:r>
            <w:r>
              <w:rPr>
                <w:rFonts w:ascii="Arial"/>
                <w:sz w:val="18"/>
              </w:rPr>
            </w:r>
          </w:p>
        </w:tc>
        <w:tc>
          <w:tcPr>
            <w:tcW w:w="15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29"/>
              <w:jc w:val="right"/>
              <w:rPr>
                <w:rFonts w:ascii="Arial" w:hAnsi="Arial" w:cs="Arial" w:eastAsia="Arial" w:hint="default"/>
                <w:sz w:val="18"/>
                <w:szCs w:val="18"/>
              </w:rPr>
            </w:pPr>
            <w:r>
              <w:rPr>
                <w:rFonts w:ascii="Arial"/>
                <w:spacing w:val="-1"/>
                <w:sz w:val="18"/>
              </w:rPr>
              <w:t>70,907,901.17</w:t>
            </w:r>
          </w:p>
        </w:tc>
      </w:tr>
      <w:tr>
        <w:trPr>
          <w:trHeight w:val="598" w:hRule="exact"/>
        </w:trPr>
        <w:tc>
          <w:tcPr>
            <w:tcW w:w="23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left="53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5"/>
              <w:jc w:val="center"/>
              <w:rPr>
                <w:rFonts w:ascii="Arial" w:hAnsi="Arial" w:cs="Arial" w:eastAsia="Arial" w:hint="default"/>
                <w:sz w:val="18"/>
                <w:szCs w:val="18"/>
              </w:rPr>
            </w:pPr>
            <w:r>
              <w:rPr>
                <w:rFonts w:ascii="Arial"/>
                <w:sz w:val="18"/>
              </w:rPr>
              <w:t>17,014,886.30</w:t>
            </w:r>
          </w:p>
        </w:tc>
        <w:tc>
          <w:tcPr>
            <w:tcW w:w="16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2"/>
              <w:jc w:val="center"/>
              <w:rPr>
                <w:rFonts w:ascii="Arial" w:hAnsi="Arial" w:cs="Arial" w:eastAsia="Arial" w:hint="default"/>
                <w:sz w:val="18"/>
                <w:szCs w:val="18"/>
              </w:rPr>
            </w:pPr>
            <w:r>
              <w:rPr>
                <w:rFonts w:ascii="Arial"/>
                <w:w w:val="99"/>
                <w:sz w:val="18"/>
              </w:rPr>
              <w:t>-</w:t>
            </w:r>
            <w:r>
              <w:rPr>
                <w:rFonts w:ascii="Arial"/>
                <w:sz w:val="18"/>
              </w:rPr>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2"/>
              <w:jc w:val="center"/>
              <w:rPr>
                <w:rFonts w:ascii="Arial" w:hAnsi="Arial" w:cs="Arial" w:eastAsia="Arial" w:hint="default"/>
                <w:sz w:val="18"/>
                <w:szCs w:val="18"/>
              </w:rPr>
            </w:pPr>
            <w:r>
              <w:rPr>
                <w:rFonts w:ascii="Arial"/>
                <w:w w:val="99"/>
                <w:sz w:val="18"/>
              </w:rPr>
              <w:t>-</w:t>
            </w:r>
            <w:r>
              <w:rPr>
                <w:rFonts w:ascii="Arial"/>
                <w:sz w:val="18"/>
              </w:rPr>
            </w:r>
          </w:p>
        </w:tc>
        <w:tc>
          <w:tcPr>
            <w:tcW w:w="15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29"/>
              <w:jc w:val="right"/>
              <w:rPr>
                <w:rFonts w:ascii="Arial" w:hAnsi="Arial" w:cs="Arial" w:eastAsia="Arial" w:hint="default"/>
                <w:sz w:val="18"/>
                <w:szCs w:val="18"/>
              </w:rPr>
            </w:pPr>
            <w:r>
              <w:rPr>
                <w:rFonts w:ascii="Arial"/>
                <w:spacing w:val="-1"/>
                <w:sz w:val="18"/>
              </w:rPr>
              <w:t>27,842,522.98</w:t>
            </w:r>
          </w:p>
        </w:tc>
      </w:tr>
      <w:tr>
        <w:trPr>
          <w:trHeight w:val="595" w:hRule="exact"/>
        </w:trPr>
        <w:tc>
          <w:tcPr>
            <w:tcW w:w="23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left="539"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7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5"/>
              <w:jc w:val="center"/>
              <w:rPr>
                <w:rFonts w:ascii="Arial" w:hAnsi="Arial" w:cs="Arial" w:eastAsia="Arial" w:hint="default"/>
                <w:sz w:val="18"/>
                <w:szCs w:val="18"/>
              </w:rPr>
            </w:pPr>
            <w:r>
              <w:rPr>
                <w:rFonts w:ascii="Arial"/>
                <w:sz w:val="18"/>
              </w:rPr>
              <w:t>4,706,010.71</w:t>
            </w:r>
          </w:p>
        </w:tc>
        <w:tc>
          <w:tcPr>
            <w:tcW w:w="16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2"/>
              <w:jc w:val="center"/>
              <w:rPr>
                <w:rFonts w:ascii="Arial" w:hAnsi="Arial" w:cs="Arial" w:eastAsia="Arial" w:hint="default"/>
                <w:sz w:val="18"/>
                <w:szCs w:val="18"/>
              </w:rPr>
            </w:pPr>
            <w:r>
              <w:rPr>
                <w:rFonts w:ascii="Arial"/>
                <w:w w:val="99"/>
                <w:sz w:val="18"/>
              </w:rPr>
              <w:t>-</w:t>
            </w:r>
            <w:r>
              <w:rPr>
                <w:rFonts w:ascii="Arial"/>
                <w:sz w:val="18"/>
              </w:rPr>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2"/>
              <w:jc w:val="center"/>
              <w:rPr>
                <w:rFonts w:ascii="Arial" w:hAnsi="Arial" w:cs="Arial" w:eastAsia="Arial" w:hint="default"/>
                <w:sz w:val="18"/>
                <w:szCs w:val="18"/>
              </w:rPr>
            </w:pPr>
            <w:r>
              <w:rPr>
                <w:rFonts w:ascii="Arial"/>
                <w:w w:val="99"/>
                <w:sz w:val="18"/>
              </w:rPr>
              <w:t>-</w:t>
            </w:r>
            <w:r>
              <w:rPr>
                <w:rFonts w:ascii="Arial"/>
                <w:sz w:val="18"/>
              </w:rPr>
            </w:r>
          </w:p>
        </w:tc>
        <w:tc>
          <w:tcPr>
            <w:tcW w:w="15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79"/>
              <w:jc w:val="right"/>
              <w:rPr>
                <w:rFonts w:ascii="Arial" w:hAnsi="Arial" w:cs="Arial" w:eastAsia="Arial" w:hint="default"/>
                <w:sz w:val="18"/>
                <w:szCs w:val="18"/>
              </w:rPr>
            </w:pPr>
            <w:r>
              <w:rPr>
                <w:rFonts w:ascii="Arial"/>
                <w:spacing w:val="-1"/>
                <w:sz w:val="18"/>
              </w:rPr>
              <w:t>3,957,855.93</w:t>
            </w:r>
          </w:p>
        </w:tc>
      </w:tr>
      <w:tr>
        <w:trPr>
          <w:trHeight w:val="598" w:hRule="exact"/>
        </w:trPr>
        <w:tc>
          <w:tcPr>
            <w:tcW w:w="23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left="539"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7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5"/>
              <w:jc w:val="center"/>
              <w:rPr>
                <w:rFonts w:ascii="Arial" w:hAnsi="Arial" w:cs="Arial" w:eastAsia="Arial" w:hint="default"/>
                <w:sz w:val="18"/>
                <w:szCs w:val="18"/>
              </w:rPr>
            </w:pPr>
            <w:r>
              <w:rPr>
                <w:rFonts w:ascii="Arial"/>
                <w:sz w:val="18"/>
              </w:rPr>
              <w:t>3,498,399.64</w:t>
            </w:r>
          </w:p>
        </w:tc>
        <w:tc>
          <w:tcPr>
            <w:tcW w:w="16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2"/>
              <w:jc w:val="center"/>
              <w:rPr>
                <w:rFonts w:ascii="Arial" w:hAnsi="Arial" w:cs="Arial" w:eastAsia="Arial" w:hint="default"/>
                <w:sz w:val="18"/>
                <w:szCs w:val="18"/>
              </w:rPr>
            </w:pPr>
            <w:r>
              <w:rPr>
                <w:rFonts w:ascii="Arial"/>
                <w:w w:val="99"/>
                <w:sz w:val="18"/>
              </w:rPr>
              <w:t>-</w:t>
            </w:r>
            <w:r>
              <w:rPr>
                <w:rFonts w:ascii="Arial"/>
                <w:sz w:val="18"/>
              </w:rPr>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2"/>
              <w:jc w:val="center"/>
              <w:rPr>
                <w:rFonts w:ascii="Arial" w:hAnsi="Arial" w:cs="Arial" w:eastAsia="Arial" w:hint="default"/>
                <w:sz w:val="18"/>
                <w:szCs w:val="18"/>
              </w:rPr>
            </w:pPr>
            <w:r>
              <w:rPr>
                <w:rFonts w:ascii="Arial"/>
                <w:w w:val="99"/>
                <w:sz w:val="18"/>
              </w:rPr>
              <w:t>-</w:t>
            </w:r>
            <w:r>
              <w:rPr>
                <w:rFonts w:ascii="Arial"/>
                <w:sz w:val="18"/>
              </w:rPr>
            </w:r>
          </w:p>
        </w:tc>
        <w:tc>
          <w:tcPr>
            <w:tcW w:w="15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86"/>
              <w:jc w:val="right"/>
              <w:rPr>
                <w:rFonts w:ascii="Arial" w:hAnsi="Arial" w:cs="Arial" w:eastAsia="Arial" w:hint="default"/>
                <w:sz w:val="18"/>
                <w:szCs w:val="18"/>
              </w:rPr>
            </w:pPr>
            <w:r>
              <w:rPr>
                <w:rFonts w:ascii="Arial"/>
                <w:spacing w:val="-2"/>
                <w:sz w:val="18"/>
              </w:rPr>
              <w:t>5,273,811.00</w:t>
            </w:r>
          </w:p>
        </w:tc>
      </w:tr>
      <w:tr>
        <w:trPr>
          <w:trHeight w:val="598" w:hRule="exact"/>
        </w:trPr>
        <w:tc>
          <w:tcPr>
            <w:tcW w:w="23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left="-1"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7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4"/>
              <w:jc w:val="center"/>
              <w:rPr>
                <w:rFonts w:ascii="Arial" w:hAnsi="Arial" w:cs="Arial" w:eastAsia="Arial" w:hint="default"/>
                <w:sz w:val="18"/>
                <w:szCs w:val="18"/>
              </w:rPr>
            </w:pPr>
            <w:r>
              <w:rPr>
                <w:rFonts w:ascii="Arial"/>
                <w:w w:val="99"/>
                <w:sz w:val="18"/>
              </w:rPr>
              <w:t>-</w:t>
            </w:r>
            <w:r>
              <w:rPr>
                <w:rFonts w:ascii="Arial"/>
                <w:sz w:val="18"/>
              </w:rPr>
            </w:r>
          </w:p>
        </w:tc>
        <w:tc>
          <w:tcPr>
            <w:tcW w:w="16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2"/>
              <w:jc w:val="center"/>
              <w:rPr>
                <w:rFonts w:ascii="Arial" w:hAnsi="Arial" w:cs="Arial" w:eastAsia="Arial" w:hint="default"/>
                <w:sz w:val="18"/>
                <w:szCs w:val="18"/>
              </w:rPr>
            </w:pPr>
            <w:r>
              <w:rPr>
                <w:rFonts w:ascii="Arial"/>
                <w:w w:val="99"/>
                <w:sz w:val="18"/>
              </w:rPr>
              <w:t>-</w:t>
            </w:r>
            <w:r>
              <w:rPr>
                <w:rFonts w:ascii="Arial"/>
                <w:sz w:val="18"/>
              </w:rPr>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2"/>
              <w:jc w:val="center"/>
              <w:rPr>
                <w:rFonts w:ascii="Arial" w:hAnsi="Arial" w:cs="Arial" w:eastAsia="Arial" w:hint="default"/>
                <w:sz w:val="18"/>
                <w:szCs w:val="18"/>
              </w:rPr>
            </w:pPr>
            <w:r>
              <w:rPr>
                <w:rFonts w:ascii="Arial"/>
                <w:w w:val="99"/>
                <w:sz w:val="18"/>
              </w:rPr>
              <w:t>-</w:t>
            </w:r>
            <w:r>
              <w:rPr>
                <w:rFonts w:ascii="Arial"/>
                <w:sz w:val="18"/>
              </w:rPr>
            </w:r>
          </w:p>
        </w:tc>
        <w:tc>
          <w:tcPr>
            <w:tcW w:w="15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4"/>
              <w:jc w:val="center"/>
              <w:rPr>
                <w:rFonts w:ascii="Arial" w:hAnsi="Arial" w:cs="Arial" w:eastAsia="Arial" w:hint="default"/>
                <w:sz w:val="18"/>
                <w:szCs w:val="18"/>
              </w:rPr>
            </w:pPr>
            <w:r>
              <w:rPr>
                <w:rFonts w:ascii="Arial"/>
                <w:w w:val="99"/>
                <w:sz w:val="18"/>
              </w:rPr>
              <w:t>-</w:t>
            </w:r>
            <w:r>
              <w:rPr>
                <w:rFonts w:ascii="Arial"/>
                <w:sz w:val="18"/>
              </w:rPr>
            </w:r>
          </w:p>
        </w:tc>
      </w:tr>
      <w:tr>
        <w:trPr>
          <w:trHeight w:val="598" w:hRule="exact"/>
        </w:trPr>
        <w:tc>
          <w:tcPr>
            <w:tcW w:w="23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left="-1"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7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4"/>
              <w:jc w:val="center"/>
              <w:rPr>
                <w:rFonts w:ascii="Arial" w:hAnsi="Arial" w:cs="Arial" w:eastAsia="Arial" w:hint="default"/>
                <w:sz w:val="18"/>
                <w:szCs w:val="18"/>
              </w:rPr>
            </w:pPr>
            <w:r>
              <w:rPr>
                <w:rFonts w:ascii="Arial"/>
                <w:w w:val="99"/>
                <w:sz w:val="18"/>
              </w:rPr>
              <w:t>-</w:t>
            </w:r>
            <w:r>
              <w:rPr>
                <w:rFonts w:ascii="Arial"/>
                <w:sz w:val="18"/>
              </w:rPr>
            </w:r>
          </w:p>
        </w:tc>
        <w:tc>
          <w:tcPr>
            <w:tcW w:w="16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2"/>
              <w:jc w:val="center"/>
              <w:rPr>
                <w:rFonts w:ascii="Arial" w:hAnsi="Arial" w:cs="Arial" w:eastAsia="Arial" w:hint="default"/>
                <w:sz w:val="18"/>
                <w:szCs w:val="18"/>
              </w:rPr>
            </w:pPr>
            <w:r>
              <w:rPr>
                <w:rFonts w:ascii="Arial"/>
                <w:w w:val="99"/>
                <w:sz w:val="18"/>
              </w:rPr>
              <w:t>-</w:t>
            </w:r>
            <w:r>
              <w:rPr>
                <w:rFonts w:ascii="Arial"/>
                <w:sz w:val="18"/>
              </w:rPr>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2"/>
              <w:jc w:val="center"/>
              <w:rPr>
                <w:rFonts w:ascii="Arial" w:hAnsi="Arial" w:cs="Arial" w:eastAsia="Arial" w:hint="default"/>
                <w:sz w:val="18"/>
                <w:szCs w:val="18"/>
              </w:rPr>
            </w:pPr>
            <w:r>
              <w:rPr>
                <w:rFonts w:ascii="Arial"/>
                <w:w w:val="99"/>
                <w:sz w:val="18"/>
              </w:rPr>
              <w:t>-</w:t>
            </w:r>
            <w:r>
              <w:rPr>
                <w:rFonts w:ascii="Arial"/>
                <w:sz w:val="18"/>
              </w:rPr>
            </w:r>
          </w:p>
        </w:tc>
        <w:tc>
          <w:tcPr>
            <w:tcW w:w="15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4"/>
              <w:jc w:val="center"/>
              <w:rPr>
                <w:rFonts w:ascii="Arial" w:hAnsi="Arial" w:cs="Arial" w:eastAsia="Arial" w:hint="default"/>
                <w:sz w:val="18"/>
                <w:szCs w:val="18"/>
              </w:rPr>
            </w:pPr>
            <w:r>
              <w:rPr>
                <w:rFonts w:ascii="Arial"/>
                <w:w w:val="99"/>
                <w:sz w:val="18"/>
              </w:rPr>
              <w:t>-</w:t>
            </w:r>
            <w:r>
              <w:rPr>
                <w:rFonts w:ascii="Arial"/>
                <w:sz w:val="18"/>
              </w:rPr>
            </w:r>
          </w:p>
        </w:tc>
      </w:tr>
      <w:tr>
        <w:trPr>
          <w:trHeight w:val="595" w:hRule="exact"/>
        </w:trPr>
        <w:tc>
          <w:tcPr>
            <w:tcW w:w="23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left="53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4"/>
              <w:jc w:val="center"/>
              <w:rPr>
                <w:rFonts w:ascii="Arial" w:hAnsi="Arial" w:cs="Arial" w:eastAsia="Arial" w:hint="default"/>
                <w:sz w:val="18"/>
                <w:szCs w:val="18"/>
              </w:rPr>
            </w:pPr>
            <w:r>
              <w:rPr>
                <w:rFonts w:ascii="Arial"/>
                <w:w w:val="99"/>
                <w:sz w:val="18"/>
              </w:rPr>
              <w:t>-</w:t>
            </w:r>
            <w:r>
              <w:rPr>
                <w:rFonts w:ascii="Arial"/>
                <w:sz w:val="18"/>
              </w:rPr>
            </w:r>
          </w:p>
        </w:tc>
        <w:tc>
          <w:tcPr>
            <w:tcW w:w="16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2"/>
              <w:jc w:val="center"/>
              <w:rPr>
                <w:rFonts w:ascii="Arial" w:hAnsi="Arial" w:cs="Arial" w:eastAsia="Arial" w:hint="default"/>
                <w:sz w:val="18"/>
                <w:szCs w:val="18"/>
              </w:rPr>
            </w:pPr>
            <w:r>
              <w:rPr>
                <w:rFonts w:ascii="Arial"/>
                <w:w w:val="99"/>
                <w:sz w:val="18"/>
              </w:rPr>
              <w:t>-</w:t>
            </w:r>
            <w:r>
              <w:rPr>
                <w:rFonts w:ascii="Arial"/>
                <w:sz w:val="18"/>
              </w:rPr>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2"/>
              <w:jc w:val="center"/>
              <w:rPr>
                <w:rFonts w:ascii="Arial" w:hAnsi="Arial" w:cs="Arial" w:eastAsia="Arial" w:hint="default"/>
                <w:sz w:val="18"/>
                <w:szCs w:val="18"/>
              </w:rPr>
            </w:pPr>
            <w:r>
              <w:rPr>
                <w:rFonts w:ascii="Arial"/>
                <w:w w:val="99"/>
                <w:sz w:val="18"/>
              </w:rPr>
              <w:t>-</w:t>
            </w:r>
            <w:r>
              <w:rPr>
                <w:rFonts w:ascii="Arial"/>
                <w:sz w:val="18"/>
              </w:rPr>
            </w:r>
          </w:p>
        </w:tc>
        <w:tc>
          <w:tcPr>
            <w:tcW w:w="15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4"/>
              <w:jc w:val="center"/>
              <w:rPr>
                <w:rFonts w:ascii="Arial" w:hAnsi="Arial" w:cs="Arial" w:eastAsia="Arial" w:hint="default"/>
                <w:sz w:val="18"/>
                <w:szCs w:val="18"/>
              </w:rPr>
            </w:pPr>
            <w:r>
              <w:rPr>
                <w:rFonts w:ascii="Arial"/>
                <w:w w:val="99"/>
                <w:sz w:val="18"/>
              </w:rPr>
              <w:t>-</w:t>
            </w:r>
            <w:r>
              <w:rPr>
                <w:rFonts w:ascii="Arial"/>
                <w:sz w:val="18"/>
              </w:rPr>
            </w:r>
          </w:p>
        </w:tc>
      </w:tr>
      <w:tr>
        <w:trPr>
          <w:trHeight w:val="598" w:hRule="exact"/>
        </w:trPr>
        <w:tc>
          <w:tcPr>
            <w:tcW w:w="23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left="539"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7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4"/>
              <w:jc w:val="center"/>
              <w:rPr>
                <w:rFonts w:ascii="Arial" w:hAnsi="Arial" w:cs="Arial" w:eastAsia="Arial" w:hint="default"/>
                <w:sz w:val="18"/>
                <w:szCs w:val="18"/>
              </w:rPr>
            </w:pPr>
            <w:r>
              <w:rPr>
                <w:rFonts w:ascii="Arial"/>
                <w:w w:val="99"/>
                <w:sz w:val="18"/>
              </w:rPr>
              <w:t>-</w:t>
            </w:r>
            <w:r>
              <w:rPr>
                <w:rFonts w:ascii="Arial"/>
                <w:sz w:val="18"/>
              </w:rPr>
            </w:r>
          </w:p>
        </w:tc>
        <w:tc>
          <w:tcPr>
            <w:tcW w:w="16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2"/>
              <w:jc w:val="center"/>
              <w:rPr>
                <w:rFonts w:ascii="Arial" w:hAnsi="Arial" w:cs="Arial" w:eastAsia="Arial" w:hint="default"/>
                <w:sz w:val="18"/>
                <w:szCs w:val="18"/>
              </w:rPr>
            </w:pPr>
            <w:r>
              <w:rPr>
                <w:rFonts w:ascii="Arial"/>
                <w:w w:val="99"/>
                <w:sz w:val="18"/>
              </w:rPr>
              <w:t>-</w:t>
            </w:r>
            <w:r>
              <w:rPr>
                <w:rFonts w:ascii="Arial"/>
                <w:sz w:val="18"/>
              </w:rPr>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2"/>
              <w:jc w:val="center"/>
              <w:rPr>
                <w:rFonts w:ascii="Arial" w:hAnsi="Arial" w:cs="Arial" w:eastAsia="Arial" w:hint="default"/>
                <w:sz w:val="18"/>
                <w:szCs w:val="18"/>
              </w:rPr>
            </w:pPr>
            <w:r>
              <w:rPr>
                <w:rFonts w:ascii="Arial"/>
                <w:w w:val="99"/>
                <w:sz w:val="18"/>
              </w:rPr>
              <w:t>-</w:t>
            </w:r>
            <w:r>
              <w:rPr>
                <w:rFonts w:ascii="Arial"/>
                <w:sz w:val="18"/>
              </w:rPr>
            </w:r>
          </w:p>
        </w:tc>
        <w:tc>
          <w:tcPr>
            <w:tcW w:w="15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4"/>
              <w:jc w:val="center"/>
              <w:rPr>
                <w:rFonts w:ascii="Arial" w:hAnsi="Arial" w:cs="Arial" w:eastAsia="Arial" w:hint="default"/>
                <w:sz w:val="18"/>
                <w:szCs w:val="18"/>
              </w:rPr>
            </w:pPr>
            <w:r>
              <w:rPr>
                <w:rFonts w:ascii="Arial"/>
                <w:w w:val="99"/>
                <w:sz w:val="18"/>
              </w:rPr>
              <w:t>-</w:t>
            </w:r>
            <w:r>
              <w:rPr>
                <w:rFonts w:ascii="Arial"/>
                <w:sz w:val="18"/>
              </w:rPr>
            </w:r>
          </w:p>
        </w:tc>
      </w:tr>
      <w:tr>
        <w:trPr>
          <w:trHeight w:val="598" w:hRule="exact"/>
        </w:trPr>
        <w:tc>
          <w:tcPr>
            <w:tcW w:w="23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left="539"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7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4"/>
              <w:jc w:val="center"/>
              <w:rPr>
                <w:rFonts w:ascii="Arial" w:hAnsi="Arial" w:cs="Arial" w:eastAsia="Arial" w:hint="default"/>
                <w:sz w:val="18"/>
                <w:szCs w:val="18"/>
              </w:rPr>
            </w:pPr>
            <w:r>
              <w:rPr>
                <w:rFonts w:ascii="Arial"/>
                <w:w w:val="99"/>
                <w:sz w:val="18"/>
              </w:rPr>
              <w:t>-</w:t>
            </w:r>
            <w:r>
              <w:rPr>
                <w:rFonts w:ascii="Arial"/>
                <w:sz w:val="18"/>
              </w:rPr>
            </w:r>
          </w:p>
        </w:tc>
        <w:tc>
          <w:tcPr>
            <w:tcW w:w="16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2"/>
              <w:jc w:val="center"/>
              <w:rPr>
                <w:rFonts w:ascii="Arial" w:hAnsi="Arial" w:cs="Arial" w:eastAsia="Arial" w:hint="default"/>
                <w:sz w:val="18"/>
                <w:szCs w:val="18"/>
              </w:rPr>
            </w:pPr>
            <w:r>
              <w:rPr>
                <w:rFonts w:ascii="Arial"/>
                <w:w w:val="99"/>
                <w:sz w:val="18"/>
              </w:rPr>
              <w:t>-</w:t>
            </w:r>
            <w:r>
              <w:rPr>
                <w:rFonts w:ascii="Arial"/>
                <w:sz w:val="18"/>
              </w:rPr>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2"/>
              <w:jc w:val="center"/>
              <w:rPr>
                <w:rFonts w:ascii="Arial" w:hAnsi="Arial" w:cs="Arial" w:eastAsia="Arial" w:hint="default"/>
                <w:sz w:val="18"/>
                <w:szCs w:val="18"/>
              </w:rPr>
            </w:pPr>
            <w:r>
              <w:rPr>
                <w:rFonts w:ascii="Arial"/>
                <w:w w:val="99"/>
                <w:sz w:val="18"/>
              </w:rPr>
              <w:t>-</w:t>
            </w:r>
            <w:r>
              <w:rPr>
                <w:rFonts w:ascii="Arial"/>
                <w:sz w:val="18"/>
              </w:rPr>
            </w:r>
          </w:p>
        </w:tc>
        <w:tc>
          <w:tcPr>
            <w:tcW w:w="15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4"/>
              <w:jc w:val="center"/>
              <w:rPr>
                <w:rFonts w:ascii="Arial" w:hAnsi="Arial" w:cs="Arial" w:eastAsia="Arial" w:hint="default"/>
                <w:sz w:val="18"/>
                <w:szCs w:val="18"/>
              </w:rPr>
            </w:pPr>
            <w:r>
              <w:rPr>
                <w:rFonts w:ascii="Arial"/>
                <w:w w:val="99"/>
                <w:sz w:val="18"/>
              </w:rPr>
              <w:t>-</w:t>
            </w:r>
            <w:r>
              <w:rPr>
                <w:rFonts w:ascii="Arial"/>
                <w:sz w:val="18"/>
              </w:rPr>
            </w:r>
          </w:p>
        </w:tc>
      </w:tr>
      <w:tr>
        <w:trPr>
          <w:trHeight w:val="598" w:hRule="exact"/>
        </w:trPr>
        <w:tc>
          <w:tcPr>
            <w:tcW w:w="23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left="-1" w:right="0"/>
              <w:jc w:val="left"/>
              <w:rPr>
                <w:rFonts w:ascii="宋体" w:hAnsi="宋体" w:cs="宋体" w:eastAsia="宋体" w:hint="default"/>
                <w:sz w:val="18"/>
                <w:szCs w:val="18"/>
              </w:rPr>
            </w:pPr>
            <w:r>
              <w:rPr>
                <w:rFonts w:ascii="宋体" w:hAnsi="宋体" w:cs="宋体" w:eastAsia="宋体" w:hint="default"/>
                <w:sz w:val="18"/>
                <w:szCs w:val="18"/>
              </w:rPr>
              <w:t>五、固定资产账面价值合计</w:t>
            </w:r>
          </w:p>
        </w:tc>
        <w:tc>
          <w:tcPr>
            <w:tcW w:w="17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5"/>
              <w:jc w:val="center"/>
              <w:rPr>
                <w:rFonts w:ascii="Arial" w:hAnsi="Arial" w:cs="Arial" w:eastAsia="Arial" w:hint="default"/>
                <w:sz w:val="18"/>
                <w:szCs w:val="18"/>
              </w:rPr>
            </w:pPr>
            <w:r>
              <w:rPr>
                <w:rFonts w:ascii="Arial"/>
                <w:sz w:val="18"/>
              </w:rPr>
              <w:t>80,864,837.57</w:t>
            </w:r>
          </w:p>
        </w:tc>
        <w:tc>
          <w:tcPr>
            <w:tcW w:w="16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2"/>
              <w:jc w:val="center"/>
              <w:rPr>
                <w:rFonts w:ascii="Arial" w:hAnsi="Arial" w:cs="Arial" w:eastAsia="Arial" w:hint="default"/>
                <w:sz w:val="18"/>
                <w:szCs w:val="18"/>
              </w:rPr>
            </w:pPr>
            <w:r>
              <w:rPr>
                <w:rFonts w:ascii="Arial"/>
                <w:w w:val="99"/>
                <w:sz w:val="18"/>
              </w:rPr>
              <w:t>-</w:t>
            </w:r>
            <w:r>
              <w:rPr>
                <w:rFonts w:ascii="Arial"/>
                <w:sz w:val="18"/>
              </w:rPr>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2"/>
              <w:jc w:val="center"/>
              <w:rPr>
                <w:rFonts w:ascii="Arial" w:hAnsi="Arial" w:cs="Arial" w:eastAsia="Arial" w:hint="default"/>
                <w:sz w:val="18"/>
                <w:szCs w:val="18"/>
              </w:rPr>
            </w:pPr>
            <w:r>
              <w:rPr>
                <w:rFonts w:ascii="Arial"/>
                <w:w w:val="99"/>
                <w:sz w:val="18"/>
              </w:rPr>
              <w:t>-</w:t>
            </w:r>
            <w:r>
              <w:rPr>
                <w:rFonts w:ascii="Arial"/>
                <w:sz w:val="18"/>
              </w:rPr>
            </w:r>
          </w:p>
        </w:tc>
        <w:tc>
          <w:tcPr>
            <w:tcW w:w="15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81"/>
              <w:jc w:val="right"/>
              <w:rPr>
                <w:rFonts w:ascii="Arial" w:hAnsi="Arial" w:cs="Arial" w:eastAsia="Arial" w:hint="default"/>
                <w:sz w:val="18"/>
                <w:szCs w:val="18"/>
              </w:rPr>
            </w:pPr>
            <w:r>
              <w:rPr>
                <w:rFonts w:ascii="Arial"/>
                <w:spacing w:val="-1"/>
                <w:sz w:val="18"/>
              </w:rPr>
              <w:t>107,982,091.08</w:t>
            </w:r>
          </w:p>
        </w:tc>
      </w:tr>
      <w:tr>
        <w:trPr>
          <w:trHeight w:val="595" w:hRule="exact"/>
        </w:trPr>
        <w:tc>
          <w:tcPr>
            <w:tcW w:w="23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left="-1"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7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5"/>
              <w:jc w:val="center"/>
              <w:rPr>
                <w:rFonts w:ascii="Arial" w:hAnsi="Arial" w:cs="Arial" w:eastAsia="Arial" w:hint="default"/>
                <w:sz w:val="18"/>
                <w:szCs w:val="18"/>
              </w:rPr>
            </w:pPr>
            <w:r>
              <w:rPr>
                <w:rFonts w:ascii="Arial"/>
                <w:sz w:val="18"/>
              </w:rPr>
              <w:t>55,645,540.92</w:t>
            </w:r>
          </w:p>
        </w:tc>
        <w:tc>
          <w:tcPr>
            <w:tcW w:w="16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2"/>
              <w:jc w:val="center"/>
              <w:rPr>
                <w:rFonts w:ascii="Arial" w:hAnsi="Arial" w:cs="Arial" w:eastAsia="Arial" w:hint="default"/>
                <w:sz w:val="18"/>
                <w:szCs w:val="18"/>
              </w:rPr>
            </w:pPr>
            <w:r>
              <w:rPr>
                <w:rFonts w:ascii="Arial"/>
                <w:w w:val="99"/>
                <w:sz w:val="18"/>
              </w:rPr>
              <w:t>-</w:t>
            </w:r>
            <w:r>
              <w:rPr>
                <w:rFonts w:ascii="Arial"/>
                <w:sz w:val="18"/>
              </w:rPr>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2"/>
              <w:jc w:val="center"/>
              <w:rPr>
                <w:rFonts w:ascii="Arial" w:hAnsi="Arial" w:cs="Arial" w:eastAsia="Arial" w:hint="default"/>
                <w:sz w:val="18"/>
                <w:szCs w:val="18"/>
              </w:rPr>
            </w:pPr>
            <w:r>
              <w:rPr>
                <w:rFonts w:ascii="Arial"/>
                <w:w w:val="99"/>
                <w:sz w:val="18"/>
              </w:rPr>
              <w:t>-</w:t>
            </w:r>
            <w:r>
              <w:rPr>
                <w:rFonts w:ascii="Arial"/>
                <w:sz w:val="18"/>
              </w:rPr>
            </w:r>
          </w:p>
        </w:tc>
        <w:tc>
          <w:tcPr>
            <w:tcW w:w="15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29"/>
              <w:jc w:val="right"/>
              <w:rPr>
                <w:rFonts w:ascii="Arial" w:hAnsi="Arial" w:cs="Arial" w:eastAsia="Arial" w:hint="default"/>
                <w:sz w:val="18"/>
                <w:szCs w:val="18"/>
              </w:rPr>
            </w:pPr>
            <w:r>
              <w:rPr>
                <w:rFonts w:ascii="Arial"/>
                <w:spacing w:val="-1"/>
                <w:sz w:val="18"/>
              </w:rPr>
              <w:t>70,907,901.17</w:t>
            </w:r>
          </w:p>
        </w:tc>
      </w:tr>
      <w:tr>
        <w:trPr>
          <w:trHeight w:val="598" w:hRule="exact"/>
        </w:trPr>
        <w:tc>
          <w:tcPr>
            <w:tcW w:w="23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left="53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5"/>
              <w:jc w:val="center"/>
              <w:rPr>
                <w:rFonts w:ascii="Arial" w:hAnsi="Arial" w:cs="Arial" w:eastAsia="Arial" w:hint="default"/>
                <w:sz w:val="18"/>
                <w:szCs w:val="18"/>
              </w:rPr>
            </w:pPr>
            <w:r>
              <w:rPr>
                <w:rFonts w:ascii="Arial"/>
                <w:sz w:val="18"/>
              </w:rPr>
              <w:t>17,014,886.30</w:t>
            </w:r>
          </w:p>
        </w:tc>
        <w:tc>
          <w:tcPr>
            <w:tcW w:w="16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2"/>
              <w:jc w:val="center"/>
              <w:rPr>
                <w:rFonts w:ascii="Arial" w:hAnsi="Arial" w:cs="Arial" w:eastAsia="Arial" w:hint="default"/>
                <w:sz w:val="18"/>
                <w:szCs w:val="18"/>
              </w:rPr>
            </w:pPr>
            <w:r>
              <w:rPr>
                <w:rFonts w:ascii="Arial"/>
                <w:w w:val="99"/>
                <w:sz w:val="18"/>
              </w:rPr>
              <w:t>-</w:t>
            </w:r>
            <w:r>
              <w:rPr>
                <w:rFonts w:ascii="Arial"/>
                <w:sz w:val="18"/>
              </w:rPr>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2"/>
              <w:jc w:val="center"/>
              <w:rPr>
                <w:rFonts w:ascii="Arial" w:hAnsi="Arial" w:cs="Arial" w:eastAsia="Arial" w:hint="default"/>
                <w:sz w:val="18"/>
                <w:szCs w:val="18"/>
              </w:rPr>
            </w:pPr>
            <w:r>
              <w:rPr>
                <w:rFonts w:ascii="Arial"/>
                <w:w w:val="99"/>
                <w:sz w:val="18"/>
              </w:rPr>
              <w:t>-</w:t>
            </w:r>
            <w:r>
              <w:rPr>
                <w:rFonts w:ascii="Arial"/>
                <w:sz w:val="18"/>
              </w:rPr>
            </w:r>
          </w:p>
        </w:tc>
        <w:tc>
          <w:tcPr>
            <w:tcW w:w="15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29"/>
              <w:jc w:val="right"/>
              <w:rPr>
                <w:rFonts w:ascii="Arial" w:hAnsi="Arial" w:cs="Arial" w:eastAsia="Arial" w:hint="default"/>
                <w:sz w:val="18"/>
                <w:szCs w:val="18"/>
              </w:rPr>
            </w:pPr>
            <w:r>
              <w:rPr>
                <w:rFonts w:ascii="Arial"/>
                <w:spacing w:val="-1"/>
                <w:sz w:val="18"/>
              </w:rPr>
              <w:t>27,842,522.98</w:t>
            </w:r>
          </w:p>
        </w:tc>
      </w:tr>
      <w:tr>
        <w:trPr>
          <w:trHeight w:val="598" w:hRule="exact"/>
        </w:trPr>
        <w:tc>
          <w:tcPr>
            <w:tcW w:w="23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left="539"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7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5"/>
              <w:jc w:val="center"/>
              <w:rPr>
                <w:rFonts w:ascii="Arial" w:hAnsi="Arial" w:cs="Arial" w:eastAsia="Arial" w:hint="default"/>
                <w:sz w:val="18"/>
                <w:szCs w:val="18"/>
              </w:rPr>
            </w:pPr>
            <w:r>
              <w:rPr>
                <w:rFonts w:ascii="Arial"/>
                <w:sz w:val="18"/>
              </w:rPr>
              <w:t>4,706,010.71</w:t>
            </w:r>
          </w:p>
        </w:tc>
        <w:tc>
          <w:tcPr>
            <w:tcW w:w="16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2"/>
              <w:jc w:val="center"/>
              <w:rPr>
                <w:rFonts w:ascii="Arial" w:hAnsi="Arial" w:cs="Arial" w:eastAsia="Arial" w:hint="default"/>
                <w:sz w:val="18"/>
                <w:szCs w:val="18"/>
              </w:rPr>
            </w:pPr>
            <w:r>
              <w:rPr>
                <w:rFonts w:ascii="Arial"/>
                <w:w w:val="99"/>
                <w:sz w:val="18"/>
              </w:rPr>
              <w:t>-</w:t>
            </w:r>
            <w:r>
              <w:rPr>
                <w:rFonts w:ascii="Arial"/>
                <w:sz w:val="18"/>
              </w:rPr>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2"/>
              <w:jc w:val="center"/>
              <w:rPr>
                <w:rFonts w:ascii="Arial" w:hAnsi="Arial" w:cs="Arial" w:eastAsia="Arial" w:hint="default"/>
                <w:sz w:val="18"/>
                <w:szCs w:val="18"/>
              </w:rPr>
            </w:pPr>
            <w:r>
              <w:rPr>
                <w:rFonts w:ascii="Arial"/>
                <w:w w:val="99"/>
                <w:sz w:val="18"/>
              </w:rPr>
              <w:t>-</w:t>
            </w:r>
            <w:r>
              <w:rPr>
                <w:rFonts w:ascii="Arial"/>
                <w:sz w:val="18"/>
              </w:rPr>
            </w:r>
          </w:p>
        </w:tc>
        <w:tc>
          <w:tcPr>
            <w:tcW w:w="15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79"/>
              <w:jc w:val="right"/>
              <w:rPr>
                <w:rFonts w:ascii="Arial" w:hAnsi="Arial" w:cs="Arial" w:eastAsia="Arial" w:hint="default"/>
                <w:sz w:val="18"/>
                <w:szCs w:val="18"/>
              </w:rPr>
            </w:pPr>
            <w:r>
              <w:rPr>
                <w:rFonts w:ascii="Arial"/>
                <w:spacing w:val="-1"/>
                <w:sz w:val="18"/>
              </w:rPr>
              <w:t>3,957,855.93</w:t>
            </w:r>
          </w:p>
        </w:tc>
      </w:tr>
      <w:tr>
        <w:trPr>
          <w:trHeight w:val="595" w:hRule="exact"/>
        </w:trPr>
        <w:tc>
          <w:tcPr>
            <w:tcW w:w="23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left="539"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7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5"/>
              <w:jc w:val="center"/>
              <w:rPr>
                <w:rFonts w:ascii="Arial" w:hAnsi="Arial" w:cs="Arial" w:eastAsia="Arial" w:hint="default"/>
                <w:sz w:val="18"/>
                <w:szCs w:val="18"/>
              </w:rPr>
            </w:pPr>
            <w:r>
              <w:rPr>
                <w:rFonts w:ascii="Arial"/>
                <w:sz w:val="18"/>
              </w:rPr>
              <w:t>3,498,399.64</w:t>
            </w:r>
          </w:p>
        </w:tc>
        <w:tc>
          <w:tcPr>
            <w:tcW w:w="16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2"/>
              <w:jc w:val="center"/>
              <w:rPr>
                <w:rFonts w:ascii="Arial" w:hAnsi="Arial" w:cs="Arial" w:eastAsia="Arial" w:hint="default"/>
                <w:sz w:val="18"/>
                <w:szCs w:val="18"/>
              </w:rPr>
            </w:pPr>
            <w:r>
              <w:rPr>
                <w:rFonts w:ascii="Arial"/>
                <w:w w:val="99"/>
                <w:sz w:val="18"/>
              </w:rPr>
              <w:t>-</w:t>
            </w:r>
            <w:r>
              <w:rPr>
                <w:rFonts w:ascii="Arial"/>
                <w:sz w:val="18"/>
              </w:rPr>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2"/>
              <w:jc w:val="center"/>
              <w:rPr>
                <w:rFonts w:ascii="Arial" w:hAnsi="Arial" w:cs="Arial" w:eastAsia="Arial" w:hint="default"/>
                <w:sz w:val="18"/>
                <w:szCs w:val="18"/>
              </w:rPr>
            </w:pPr>
            <w:r>
              <w:rPr>
                <w:rFonts w:ascii="Arial"/>
                <w:w w:val="99"/>
                <w:sz w:val="18"/>
              </w:rPr>
              <w:t>-</w:t>
            </w:r>
            <w:r>
              <w:rPr>
                <w:rFonts w:ascii="Arial"/>
                <w:sz w:val="18"/>
              </w:rPr>
            </w:r>
          </w:p>
        </w:tc>
        <w:tc>
          <w:tcPr>
            <w:tcW w:w="15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86"/>
              <w:jc w:val="right"/>
              <w:rPr>
                <w:rFonts w:ascii="Arial" w:hAnsi="Arial" w:cs="Arial" w:eastAsia="Arial" w:hint="default"/>
                <w:sz w:val="18"/>
                <w:szCs w:val="18"/>
              </w:rPr>
            </w:pPr>
            <w:r>
              <w:rPr>
                <w:rFonts w:ascii="Arial"/>
                <w:spacing w:val="-2"/>
                <w:sz w:val="18"/>
              </w:rPr>
              <w:t>5,273,811.00</w:t>
            </w:r>
          </w:p>
        </w:tc>
      </w:tr>
    </w:tbl>
    <w:p>
      <w:pPr>
        <w:spacing w:line="240" w:lineRule="auto" w:before="12"/>
        <w:rPr>
          <w:rFonts w:ascii="宋体" w:hAnsi="宋体" w:cs="宋体" w:eastAsia="宋体" w:hint="default"/>
          <w:sz w:val="23"/>
          <w:szCs w:val="23"/>
        </w:rPr>
      </w:pPr>
    </w:p>
    <w:p>
      <w:pPr>
        <w:pStyle w:val="BodyText"/>
        <w:spacing w:line="240" w:lineRule="auto"/>
        <w:ind w:right="0"/>
        <w:jc w:val="left"/>
      </w:pPr>
      <w:r>
        <w:rPr>
          <w:rFonts w:ascii="Arial" w:hAnsi="Arial" w:cs="Arial" w:eastAsia="Arial" w:hint="default"/>
        </w:rPr>
        <w:t>6.9.2</w:t>
      </w:r>
      <w:r>
        <w:rPr>
          <w:rFonts w:ascii="Arial" w:hAnsi="Arial" w:cs="Arial" w:eastAsia="Arial" w:hint="default"/>
          <w:spacing w:val="44"/>
        </w:rPr>
        <w:t> </w:t>
      </w:r>
      <w:r>
        <w:rPr/>
        <w:t>未办妥产权证书的固定资产情况</w:t>
      </w:r>
    </w:p>
    <w:p>
      <w:pPr>
        <w:spacing w:after="0" w:line="240" w:lineRule="auto"/>
        <w:jc w:val="left"/>
        <w:sectPr>
          <w:pgSz w:w="11900" w:h="16840"/>
          <w:pgMar w:header="0" w:footer="983" w:top="1100" w:bottom="1180" w:left="1660" w:right="1180"/>
        </w:sectPr>
      </w:pPr>
    </w:p>
    <w:p>
      <w:pPr>
        <w:spacing w:line="240" w:lineRule="auto" w:before="4"/>
        <w:rPr>
          <w:rFonts w:ascii="宋体" w:hAnsi="宋体" w:cs="宋体" w:eastAsia="宋体" w:hint="default"/>
          <w:sz w:val="19"/>
          <w:szCs w:val="19"/>
        </w:rPr>
      </w:pPr>
    </w:p>
    <w:p>
      <w:pPr>
        <w:pStyle w:val="BodyText"/>
        <w:spacing w:line="338" w:lineRule="auto"/>
        <w:ind w:left="237" w:right="0" w:firstLine="439"/>
        <w:jc w:val="left"/>
      </w:pPr>
      <w:r>
        <w:rPr/>
        <w:t>截止</w:t>
      </w:r>
      <w:r>
        <w:rPr>
          <w:spacing w:val="-56"/>
        </w:rPr>
        <w:t> </w:t>
      </w:r>
      <w:r>
        <w:rPr>
          <w:rFonts w:ascii="Arial" w:hAnsi="Arial" w:cs="Arial" w:eastAsia="Arial" w:hint="default"/>
        </w:rPr>
        <w:t>2010</w:t>
      </w:r>
      <w:r>
        <w:rPr>
          <w:rFonts w:ascii="Arial" w:hAnsi="Arial" w:cs="Arial" w:eastAsia="Arial" w:hint="default"/>
          <w:spacing w:val="-8"/>
        </w:rPr>
        <w:t> </w:t>
      </w:r>
      <w:r>
        <w:rPr/>
        <w:t>年</w:t>
      </w:r>
      <w:r>
        <w:rPr>
          <w:spacing w:val="-56"/>
        </w:rPr>
        <w:t> </w:t>
      </w:r>
      <w:r>
        <w:rPr>
          <w:rFonts w:ascii="Arial" w:hAnsi="Arial" w:cs="Arial" w:eastAsia="Arial" w:hint="default"/>
        </w:rPr>
        <w:t>12</w:t>
      </w:r>
      <w:r>
        <w:rPr>
          <w:rFonts w:ascii="Arial" w:hAnsi="Arial" w:cs="Arial" w:eastAsia="Arial" w:hint="default"/>
          <w:spacing w:val="-8"/>
        </w:rPr>
        <w:t> </w:t>
      </w:r>
      <w:r>
        <w:rPr/>
        <w:t>月</w:t>
      </w:r>
      <w:r>
        <w:rPr>
          <w:spacing w:val="-56"/>
        </w:rPr>
        <w:t> </w:t>
      </w:r>
      <w:r>
        <w:rPr>
          <w:rFonts w:ascii="Arial" w:hAnsi="Arial" w:cs="Arial" w:eastAsia="Arial" w:hint="default"/>
        </w:rPr>
        <w:t>31</w:t>
      </w:r>
      <w:r>
        <w:rPr>
          <w:rFonts w:ascii="Arial" w:hAnsi="Arial" w:cs="Arial" w:eastAsia="Arial" w:hint="default"/>
          <w:spacing w:val="-8"/>
        </w:rPr>
        <w:t> </w:t>
      </w:r>
      <w:r>
        <w:rPr/>
        <w:t>日，本公司下属东营安诺其公司有原值为</w:t>
      </w:r>
      <w:r>
        <w:rPr>
          <w:spacing w:val="-56"/>
        </w:rPr>
        <w:t> </w:t>
      </w:r>
      <w:r>
        <w:rPr>
          <w:rFonts w:ascii="Arial" w:hAnsi="Arial" w:cs="Arial" w:eastAsia="Arial" w:hint="default"/>
        </w:rPr>
        <w:t>830</w:t>
      </w:r>
      <w:r>
        <w:rPr>
          <w:rFonts w:ascii="Arial" w:hAnsi="Arial" w:cs="Arial" w:eastAsia="Arial" w:hint="default"/>
          <w:spacing w:val="-8"/>
        </w:rPr>
        <w:t> </w:t>
      </w:r>
      <w:r>
        <w:rPr/>
        <w:t>万元的房屋，产</w:t>
      </w:r>
      <w:r>
        <w:rPr>
          <w:w w:val="100"/>
        </w:rPr>
        <w:t> </w:t>
      </w:r>
      <w:r>
        <w:rPr/>
        <w:t>证仍在办理过程中。</w:t>
      </w:r>
    </w:p>
    <w:p>
      <w:pPr>
        <w:spacing w:line="240" w:lineRule="auto" w:before="9"/>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3022"/>
        <w:gridCol w:w="3173"/>
        <w:gridCol w:w="2710"/>
      </w:tblGrid>
      <w:tr>
        <w:trPr>
          <w:trHeight w:val="487" w:hRule="exact"/>
        </w:trPr>
        <w:tc>
          <w:tcPr>
            <w:tcW w:w="30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left="76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27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预计办结产权证书时间</w:t>
            </w:r>
          </w:p>
        </w:tc>
      </w:tr>
      <w:tr>
        <w:trPr>
          <w:trHeight w:val="494" w:hRule="exact"/>
        </w:trPr>
        <w:tc>
          <w:tcPr>
            <w:tcW w:w="30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东营生产车间</w:t>
            </w:r>
          </w:p>
        </w:tc>
        <w:tc>
          <w:tcPr>
            <w:tcW w:w="3173" w:type="dxa"/>
            <w:tcBorders>
              <w:top w:val="single" w:sz="12" w:space="0" w:color="000000"/>
              <w:left w:val="single" w:sz="12" w:space="0" w:color="000000"/>
              <w:bottom w:val="single" w:sz="12" w:space="0" w:color="000000"/>
              <w:right w:val="single" w:sz="12"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项目于年末正在竣工决算，产证正在</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办理</w:t>
            </w:r>
          </w:p>
        </w:tc>
        <w:tc>
          <w:tcPr>
            <w:tcW w:w="27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7"/>
              <w:ind w:right="0"/>
              <w:jc w:val="center"/>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w:t>
            </w:r>
          </w:p>
        </w:tc>
      </w:tr>
    </w:tbl>
    <w:p>
      <w:pPr>
        <w:spacing w:line="240" w:lineRule="auto" w:before="12"/>
        <w:rPr>
          <w:rFonts w:ascii="宋体" w:hAnsi="宋体" w:cs="宋体" w:eastAsia="宋体" w:hint="default"/>
          <w:sz w:val="23"/>
          <w:szCs w:val="23"/>
        </w:rPr>
      </w:pPr>
    </w:p>
    <w:p>
      <w:pPr>
        <w:pStyle w:val="BodyText"/>
        <w:spacing w:line="340" w:lineRule="auto"/>
        <w:ind w:left="237" w:right="0"/>
        <w:jc w:val="left"/>
      </w:pPr>
      <w:r>
        <w:rPr>
          <w:rFonts w:ascii="Arial" w:hAnsi="Arial" w:cs="Arial" w:eastAsia="Arial" w:hint="default"/>
        </w:rPr>
        <w:t>6.9.3 </w:t>
      </w:r>
      <w:r>
        <w:rPr/>
        <w:t>固定资产原值年末数比年初数增加 </w:t>
      </w:r>
      <w:r>
        <w:rPr>
          <w:rFonts w:ascii="Arial" w:hAnsi="Arial" w:cs="Arial" w:eastAsia="Arial" w:hint="default"/>
        </w:rPr>
        <w:t>34,803,898.93 </w:t>
      </w:r>
      <w:r>
        <w:rPr>
          <w:spacing w:val="-3"/>
        </w:rPr>
        <w:t>元，增加比例为</w:t>
      </w:r>
      <w:r>
        <w:rPr>
          <w:spacing w:val="-63"/>
        </w:rPr>
        <w:t> </w:t>
      </w:r>
      <w:r>
        <w:rPr>
          <w:rFonts w:ascii="Arial" w:hAnsi="Arial" w:cs="Arial" w:eastAsia="Arial" w:hint="default"/>
          <w:spacing w:val="-3"/>
        </w:rPr>
        <w:t>38.01%</w:t>
      </w:r>
      <w:r>
        <w:rPr>
          <w:spacing w:val="-3"/>
        </w:rPr>
        <w:t>，增加原</w:t>
      </w:r>
      <w:r>
        <w:rPr>
          <w:w w:val="100"/>
        </w:rPr>
        <w:t> </w:t>
      </w:r>
      <w:r>
        <w:rPr/>
        <w:t>因为：主要是公司东营募集资金项目部分资产达到可使用状态转入固定资产所致。</w:t>
      </w:r>
    </w:p>
    <w:p>
      <w:pPr>
        <w:pStyle w:val="BodyText"/>
        <w:spacing w:line="338" w:lineRule="auto" w:before="47"/>
        <w:ind w:left="237" w:right="0"/>
        <w:jc w:val="left"/>
      </w:pPr>
      <w:r>
        <w:rPr>
          <w:rFonts w:ascii="Arial" w:hAnsi="Arial" w:cs="Arial" w:eastAsia="Arial" w:hint="default"/>
        </w:rPr>
        <w:t>6.9.4 </w:t>
      </w:r>
      <w:r>
        <w:rPr>
          <w:spacing w:val="-3"/>
        </w:rPr>
        <w:t>本公司董事会认为：本公司的固定资产于资产负债表日不存在减值迹象，故无需计提</w:t>
      </w:r>
      <w:r>
        <w:rPr>
          <w:spacing w:val="-93"/>
        </w:rPr>
        <w:t> </w:t>
      </w:r>
      <w:r>
        <w:rPr>
          <w:spacing w:val="-93"/>
        </w:rPr>
      </w:r>
      <w:r>
        <w:rPr/>
        <w:t>减值准备。</w:t>
      </w:r>
    </w:p>
    <w:p>
      <w:pPr>
        <w:pStyle w:val="BodyText"/>
        <w:spacing w:line="240" w:lineRule="auto" w:before="49"/>
        <w:ind w:left="237" w:right="0"/>
        <w:jc w:val="left"/>
      </w:pPr>
      <w:r>
        <w:rPr>
          <w:rFonts w:ascii="Arial" w:hAnsi="Arial" w:cs="Arial" w:eastAsia="Arial" w:hint="default"/>
        </w:rPr>
        <w:t>6.10</w:t>
      </w:r>
      <w:r>
        <w:rPr>
          <w:rFonts w:ascii="Arial" w:hAnsi="Arial" w:cs="Arial" w:eastAsia="Arial" w:hint="default"/>
          <w:spacing w:val="-8"/>
        </w:rPr>
        <w:t> </w:t>
      </w:r>
      <w:r>
        <w:rPr/>
        <w:t>在建工程</w:t>
      </w:r>
    </w:p>
    <w:p>
      <w:pPr>
        <w:pStyle w:val="BodyText"/>
        <w:spacing w:line="240" w:lineRule="auto" w:before="126"/>
        <w:ind w:left="237" w:right="0"/>
        <w:jc w:val="left"/>
      </w:pPr>
      <w:r>
        <w:rPr>
          <w:rFonts w:ascii="Arial" w:hAnsi="Arial" w:cs="Arial" w:eastAsia="Arial" w:hint="default"/>
        </w:rPr>
        <w:t>6.10.1</w:t>
      </w:r>
      <w:r>
        <w:rPr>
          <w:rFonts w:ascii="Arial" w:hAnsi="Arial" w:cs="Arial" w:eastAsia="Arial" w:hint="default"/>
          <w:spacing w:val="47"/>
        </w:rPr>
        <w:t> </w:t>
      </w:r>
      <w:r>
        <w:rPr/>
        <w:t>在建工程情况</w:t>
      </w:r>
    </w:p>
    <w:p>
      <w:pPr>
        <w:spacing w:line="240" w:lineRule="auto" w:before="3"/>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2640"/>
        <w:gridCol w:w="1289"/>
        <w:gridCol w:w="576"/>
        <w:gridCol w:w="1730"/>
        <w:gridCol w:w="1190"/>
        <w:gridCol w:w="629"/>
        <w:gridCol w:w="1190"/>
      </w:tblGrid>
      <w:tr>
        <w:trPr>
          <w:trHeight w:val="437" w:hRule="exact"/>
        </w:trPr>
        <w:tc>
          <w:tcPr>
            <w:tcW w:w="2640" w:type="dxa"/>
            <w:vMerge w:val="restart"/>
            <w:tcBorders>
              <w:top w:val="single" w:sz="12" w:space="0" w:color="000000"/>
              <w:left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5" w:type="dxa"/>
            <w:gridSpan w:val="3"/>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sz w:val="18"/>
              </w:rPr>
              <w:t>2010-12-31</w:t>
            </w:r>
          </w:p>
        </w:tc>
        <w:tc>
          <w:tcPr>
            <w:tcW w:w="3010" w:type="dxa"/>
            <w:gridSpan w:val="3"/>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sz w:val="18"/>
              </w:rPr>
              <w:t>2009-12-31</w:t>
            </w:r>
          </w:p>
        </w:tc>
      </w:tr>
      <w:tr>
        <w:trPr>
          <w:trHeight w:val="1651" w:hRule="exact"/>
        </w:trPr>
        <w:tc>
          <w:tcPr>
            <w:tcW w:w="2640" w:type="dxa"/>
            <w:vMerge/>
            <w:tcBorders>
              <w:left w:val="single" w:sz="12" w:space="0" w:color="000000"/>
              <w:bottom w:val="single" w:sz="12" w:space="0" w:color="000000"/>
              <w:right w:val="single" w:sz="12" w:space="0" w:color="000000"/>
            </w:tcBorders>
          </w:tcPr>
          <w:p>
            <w:pPr/>
          </w:p>
        </w:tc>
        <w:tc>
          <w:tcPr>
            <w:tcW w:w="128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576" w:type="dxa"/>
            <w:tcBorders>
              <w:top w:val="single" w:sz="12" w:space="0" w:color="000000"/>
              <w:left w:val="single" w:sz="12" w:space="0" w:color="000000"/>
              <w:bottom w:val="single" w:sz="12" w:space="0" w:color="000000"/>
              <w:right w:val="single" w:sz="12" w:space="0" w:color="000000"/>
            </w:tcBorders>
          </w:tcPr>
          <w:p>
            <w:pPr>
              <w:pStyle w:val="TableParagraph"/>
              <w:spacing w:line="412" w:lineRule="auto" w:before="58"/>
              <w:ind w:left="182" w:right="182"/>
              <w:jc w:val="both"/>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w w:val="99"/>
                <w:sz w:val="18"/>
                <w:szCs w:val="18"/>
              </w:rPr>
              <w:t> </w:t>
            </w:r>
            <w:r>
              <w:rPr>
                <w:rFonts w:ascii="宋体" w:hAnsi="宋体" w:cs="宋体" w:eastAsia="宋体" w:hint="default"/>
                <w:sz w:val="18"/>
                <w:szCs w:val="18"/>
              </w:rPr>
              <w:t>值</w:t>
            </w:r>
            <w:r>
              <w:rPr>
                <w:rFonts w:ascii="宋体" w:hAnsi="宋体" w:cs="宋体" w:eastAsia="宋体" w:hint="default"/>
                <w:w w:val="99"/>
                <w:sz w:val="18"/>
                <w:szCs w:val="18"/>
              </w:rPr>
              <w:t> </w:t>
            </w:r>
            <w:r>
              <w:rPr>
                <w:rFonts w:ascii="宋体" w:hAnsi="宋体" w:cs="宋体" w:eastAsia="宋体" w:hint="default"/>
                <w:sz w:val="18"/>
                <w:szCs w:val="18"/>
              </w:rPr>
              <w:t>准</w:t>
            </w:r>
            <w:r>
              <w:rPr>
                <w:rFonts w:ascii="宋体" w:hAnsi="宋体" w:cs="宋体" w:eastAsia="宋体" w:hint="default"/>
                <w:w w:val="99"/>
                <w:sz w:val="18"/>
                <w:szCs w:val="18"/>
              </w:rPr>
              <w:t> </w:t>
            </w:r>
            <w:r>
              <w:rPr>
                <w:rFonts w:ascii="宋体" w:hAnsi="宋体" w:cs="宋体" w:eastAsia="宋体" w:hint="default"/>
                <w:sz w:val="18"/>
                <w:szCs w:val="18"/>
              </w:rPr>
              <w:t>备</w:t>
            </w:r>
          </w:p>
        </w:tc>
        <w:tc>
          <w:tcPr>
            <w:tcW w:w="17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账面净值</w:t>
            </w:r>
          </w:p>
        </w:tc>
        <w:tc>
          <w:tcPr>
            <w:tcW w:w="11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6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412" w:lineRule="auto"/>
              <w:ind w:left="119" w:right="118"/>
              <w:jc w:val="left"/>
              <w:rPr>
                <w:rFonts w:ascii="宋体" w:hAnsi="宋体" w:cs="宋体" w:eastAsia="宋体" w:hint="default"/>
                <w:sz w:val="18"/>
                <w:szCs w:val="18"/>
              </w:rPr>
            </w:pPr>
            <w:r>
              <w:rPr>
                <w:rFonts w:ascii="宋体" w:hAnsi="宋体" w:cs="宋体" w:eastAsia="宋体" w:hint="default"/>
                <w:sz w:val="18"/>
                <w:szCs w:val="18"/>
              </w:rPr>
              <w:t>减值</w:t>
            </w:r>
            <w:r>
              <w:rPr>
                <w:rFonts w:ascii="宋体" w:hAnsi="宋体" w:cs="宋体" w:eastAsia="宋体" w:hint="default"/>
                <w:w w:val="99"/>
                <w:sz w:val="18"/>
                <w:szCs w:val="18"/>
              </w:rPr>
              <w:t> </w:t>
            </w:r>
            <w:r>
              <w:rPr>
                <w:rFonts w:ascii="宋体" w:hAnsi="宋体" w:cs="宋体" w:eastAsia="宋体" w:hint="default"/>
                <w:sz w:val="18"/>
                <w:szCs w:val="18"/>
              </w:rPr>
              <w:t>准备</w:t>
            </w:r>
          </w:p>
        </w:tc>
        <w:tc>
          <w:tcPr>
            <w:tcW w:w="11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账面净值</w:t>
            </w:r>
          </w:p>
        </w:tc>
      </w:tr>
      <w:tr>
        <w:trPr>
          <w:trHeight w:val="842" w:hRule="exact"/>
        </w:trPr>
        <w:tc>
          <w:tcPr>
            <w:tcW w:w="2640" w:type="dxa"/>
            <w:tcBorders>
              <w:top w:val="single" w:sz="12" w:space="0" w:color="000000"/>
              <w:left w:val="single" w:sz="12" w:space="0" w:color="000000"/>
              <w:bottom w:val="single" w:sz="12" w:space="0" w:color="000000"/>
              <w:right w:val="single" w:sz="12" w:space="0" w:color="000000"/>
            </w:tcBorders>
          </w:tcPr>
          <w:p>
            <w:pPr>
              <w:pStyle w:val="TableParagraph"/>
              <w:spacing w:line="391" w:lineRule="auto" w:before="58"/>
              <w:ind w:left="93" w:right="89"/>
              <w:jc w:val="left"/>
              <w:rPr>
                <w:rFonts w:ascii="宋体" w:hAnsi="宋体" w:cs="宋体" w:eastAsia="宋体" w:hint="default"/>
                <w:sz w:val="18"/>
                <w:szCs w:val="18"/>
              </w:rPr>
            </w:pPr>
            <w:r>
              <w:rPr>
                <w:rFonts w:ascii="宋体" w:hAnsi="宋体" w:cs="宋体" w:eastAsia="宋体" w:hint="default"/>
                <w:sz w:val="18"/>
                <w:szCs w:val="18"/>
              </w:rPr>
              <w:t>烟台年产 </w:t>
            </w:r>
            <w:r>
              <w:rPr>
                <w:rFonts w:ascii="Arial" w:hAnsi="Arial" w:cs="Arial" w:eastAsia="Arial" w:hint="default"/>
                <w:sz w:val="18"/>
                <w:szCs w:val="18"/>
              </w:rPr>
              <w:t>6,000</w:t>
            </w:r>
            <w:r>
              <w:rPr>
                <w:rFonts w:ascii="Arial" w:hAnsi="Arial" w:cs="Arial" w:eastAsia="Arial" w:hint="default"/>
                <w:spacing w:val="31"/>
                <w:sz w:val="18"/>
                <w:szCs w:val="18"/>
              </w:rPr>
              <w:t> </w:t>
            </w:r>
            <w:r>
              <w:rPr>
                <w:rFonts w:ascii="宋体" w:hAnsi="宋体" w:cs="宋体" w:eastAsia="宋体" w:hint="default"/>
                <w:sz w:val="18"/>
                <w:szCs w:val="18"/>
              </w:rPr>
              <w:t>吨分散染料项</w:t>
            </w:r>
            <w:r>
              <w:rPr>
                <w:rFonts w:ascii="宋体" w:hAnsi="宋体" w:cs="宋体" w:eastAsia="宋体" w:hint="default"/>
                <w:w w:val="99"/>
                <w:sz w:val="18"/>
                <w:szCs w:val="18"/>
              </w:rPr>
              <w:t> </w:t>
            </w:r>
            <w:r>
              <w:rPr>
                <w:rFonts w:ascii="宋体" w:hAnsi="宋体" w:cs="宋体" w:eastAsia="宋体" w:hint="default"/>
                <w:sz w:val="18"/>
                <w:szCs w:val="18"/>
              </w:rPr>
              <w:t>目</w:t>
            </w:r>
          </w:p>
        </w:tc>
        <w:tc>
          <w:tcPr>
            <w:tcW w:w="128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
              <w:jc w:val="center"/>
              <w:rPr>
                <w:rFonts w:ascii="Arial" w:hAnsi="Arial" w:cs="Arial" w:eastAsia="Arial" w:hint="default"/>
                <w:sz w:val="18"/>
                <w:szCs w:val="18"/>
              </w:rPr>
            </w:pPr>
            <w:r>
              <w:rPr>
                <w:rFonts w:ascii="Arial"/>
                <w:sz w:val="18"/>
              </w:rPr>
              <w:t>351,007.38</w:t>
            </w:r>
          </w:p>
        </w:tc>
        <w:tc>
          <w:tcPr>
            <w:tcW w:w="5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17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
              <w:jc w:val="center"/>
              <w:rPr>
                <w:rFonts w:ascii="Arial" w:hAnsi="Arial" w:cs="Arial" w:eastAsia="Arial" w:hint="default"/>
                <w:sz w:val="18"/>
                <w:szCs w:val="18"/>
              </w:rPr>
            </w:pPr>
            <w:r>
              <w:rPr>
                <w:rFonts w:ascii="Arial"/>
                <w:sz w:val="18"/>
              </w:rPr>
              <w:t>351,007.38</w:t>
            </w:r>
          </w:p>
        </w:tc>
        <w:tc>
          <w:tcPr>
            <w:tcW w:w="11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6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68" w:right="0"/>
              <w:jc w:val="left"/>
              <w:rPr>
                <w:rFonts w:ascii="Arial" w:hAnsi="Arial" w:cs="Arial" w:eastAsia="Arial" w:hint="default"/>
                <w:sz w:val="18"/>
                <w:szCs w:val="18"/>
              </w:rPr>
            </w:pPr>
            <w:r>
              <w:rPr>
                <w:rFonts w:ascii="Arial"/>
                <w:w w:val="99"/>
                <w:sz w:val="18"/>
              </w:rPr>
              <w:t>-</w:t>
            </w:r>
            <w:r>
              <w:rPr>
                <w:rFonts w:ascii="Arial"/>
                <w:sz w:val="18"/>
              </w:rPr>
            </w:r>
          </w:p>
        </w:tc>
        <w:tc>
          <w:tcPr>
            <w:tcW w:w="11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840" w:hRule="exact"/>
        </w:trPr>
        <w:tc>
          <w:tcPr>
            <w:tcW w:w="2640" w:type="dxa"/>
            <w:tcBorders>
              <w:top w:val="single" w:sz="12" w:space="0" w:color="000000"/>
              <w:left w:val="single" w:sz="12" w:space="0" w:color="000000"/>
              <w:bottom w:val="single" w:sz="12" w:space="0" w:color="000000"/>
              <w:right w:val="single" w:sz="12" w:space="0" w:color="000000"/>
            </w:tcBorders>
          </w:tcPr>
          <w:p>
            <w:pPr>
              <w:pStyle w:val="TableParagraph"/>
              <w:spacing w:line="391" w:lineRule="auto" w:before="58"/>
              <w:ind w:left="93" w:right="89"/>
              <w:jc w:val="left"/>
              <w:rPr>
                <w:rFonts w:ascii="宋体" w:hAnsi="宋体" w:cs="宋体" w:eastAsia="宋体" w:hint="default"/>
                <w:sz w:val="18"/>
                <w:szCs w:val="18"/>
              </w:rPr>
            </w:pPr>
            <w:r>
              <w:rPr>
                <w:rFonts w:ascii="宋体" w:hAnsi="宋体" w:cs="宋体" w:eastAsia="宋体" w:hint="default"/>
                <w:sz w:val="18"/>
                <w:szCs w:val="18"/>
              </w:rPr>
              <w:t>东营年产 </w:t>
            </w:r>
            <w:r>
              <w:rPr>
                <w:rFonts w:ascii="Arial" w:hAnsi="Arial" w:cs="Arial" w:eastAsia="Arial" w:hint="default"/>
                <w:sz w:val="18"/>
                <w:szCs w:val="18"/>
              </w:rPr>
              <w:t>5,500</w:t>
            </w:r>
            <w:r>
              <w:rPr>
                <w:rFonts w:ascii="Arial" w:hAnsi="Arial" w:cs="Arial" w:eastAsia="Arial" w:hint="default"/>
                <w:spacing w:val="31"/>
                <w:sz w:val="18"/>
                <w:szCs w:val="18"/>
              </w:rPr>
              <w:t> </w:t>
            </w:r>
            <w:r>
              <w:rPr>
                <w:rFonts w:ascii="宋体" w:hAnsi="宋体" w:cs="宋体" w:eastAsia="宋体" w:hint="default"/>
                <w:sz w:val="18"/>
                <w:szCs w:val="18"/>
              </w:rPr>
              <w:t>吨染料滤饼项</w:t>
            </w:r>
            <w:r>
              <w:rPr>
                <w:rFonts w:ascii="宋体" w:hAnsi="宋体" w:cs="宋体" w:eastAsia="宋体" w:hint="default"/>
                <w:w w:val="99"/>
                <w:sz w:val="18"/>
                <w:szCs w:val="18"/>
              </w:rPr>
              <w:t> </w:t>
            </w:r>
            <w:r>
              <w:rPr>
                <w:rFonts w:ascii="宋体" w:hAnsi="宋体" w:cs="宋体" w:eastAsia="宋体" w:hint="default"/>
                <w:sz w:val="18"/>
                <w:szCs w:val="18"/>
              </w:rPr>
              <w:t>目</w:t>
            </w:r>
          </w:p>
        </w:tc>
        <w:tc>
          <w:tcPr>
            <w:tcW w:w="128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16,721,688.8</w:t>
            </w: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w w:val="99"/>
                <w:sz w:val="18"/>
              </w:rPr>
              <w:t>8</w:t>
            </w:r>
            <w:r>
              <w:rPr>
                <w:rFonts w:ascii="Arial"/>
                <w:sz w:val="18"/>
              </w:rPr>
            </w:r>
          </w:p>
        </w:tc>
        <w:tc>
          <w:tcPr>
            <w:tcW w:w="5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17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Arial" w:hAnsi="Arial" w:cs="Arial" w:eastAsia="Arial" w:hint="default"/>
                <w:sz w:val="18"/>
                <w:szCs w:val="18"/>
              </w:rPr>
            </w:pPr>
            <w:r>
              <w:rPr>
                <w:rFonts w:ascii="Arial"/>
                <w:sz w:val="18"/>
              </w:rPr>
              <w:t>16,721,688.88</w:t>
            </w:r>
          </w:p>
        </w:tc>
        <w:tc>
          <w:tcPr>
            <w:tcW w:w="11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left="1" w:right="0"/>
              <w:jc w:val="center"/>
              <w:rPr>
                <w:rFonts w:ascii="Arial" w:hAnsi="Arial" w:cs="Arial" w:eastAsia="Arial" w:hint="default"/>
                <w:sz w:val="18"/>
                <w:szCs w:val="18"/>
              </w:rPr>
            </w:pPr>
            <w:r>
              <w:rPr>
                <w:rFonts w:ascii="Arial"/>
                <w:sz w:val="18"/>
              </w:rPr>
              <w:t>7,021,886.3</w:t>
            </w: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w w:val="99"/>
                <w:sz w:val="18"/>
              </w:rPr>
              <w:t>4</w:t>
            </w:r>
            <w:r>
              <w:rPr>
                <w:rFonts w:ascii="Arial"/>
                <w:sz w:val="18"/>
              </w:rPr>
            </w:r>
          </w:p>
        </w:tc>
        <w:tc>
          <w:tcPr>
            <w:tcW w:w="6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68" w:right="0"/>
              <w:jc w:val="left"/>
              <w:rPr>
                <w:rFonts w:ascii="Arial" w:hAnsi="Arial" w:cs="Arial" w:eastAsia="Arial" w:hint="default"/>
                <w:sz w:val="18"/>
                <w:szCs w:val="18"/>
              </w:rPr>
            </w:pPr>
            <w:r>
              <w:rPr>
                <w:rFonts w:ascii="Arial"/>
                <w:w w:val="99"/>
                <w:sz w:val="18"/>
              </w:rPr>
              <w:t>-</w:t>
            </w:r>
            <w:r>
              <w:rPr>
                <w:rFonts w:ascii="Arial"/>
                <w:sz w:val="18"/>
              </w:rPr>
            </w:r>
          </w:p>
        </w:tc>
        <w:tc>
          <w:tcPr>
            <w:tcW w:w="11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sz w:val="18"/>
              </w:rPr>
              <w:t>7,021,886.3</w:t>
            </w: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3"/>
              <w:jc w:val="center"/>
              <w:rPr>
                <w:rFonts w:ascii="Arial" w:hAnsi="Arial" w:cs="Arial" w:eastAsia="Arial" w:hint="default"/>
                <w:sz w:val="18"/>
                <w:szCs w:val="18"/>
              </w:rPr>
            </w:pPr>
            <w:r>
              <w:rPr>
                <w:rFonts w:ascii="Arial"/>
                <w:w w:val="99"/>
                <w:sz w:val="18"/>
              </w:rPr>
              <w:t>4</w:t>
            </w:r>
            <w:r>
              <w:rPr>
                <w:rFonts w:ascii="Arial"/>
                <w:sz w:val="18"/>
              </w:rPr>
            </w:r>
          </w:p>
        </w:tc>
      </w:tr>
      <w:tr>
        <w:trPr>
          <w:trHeight w:val="821" w:hRule="exact"/>
        </w:trPr>
        <w:tc>
          <w:tcPr>
            <w:tcW w:w="26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left="93" w:right="0"/>
              <w:jc w:val="left"/>
              <w:rPr>
                <w:rFonts w:ascii="宋体" w:hAnsi="宋体" w:cs="宋体" w:eastAsia="宋体" w:hint="default"/>
                <w:sz w:val="18"/>
                <w:szCs w:val="18"/>
              </w:rPr>
            </w:pPr>
            <w:r>
              <w:rPr>
                <w:rFonts w:ascii="宋体" w:hAnsi="宋体" w:cs="宋体" w:eastAsia="宋体" w:hint="default"/>
                <w:sz w:val="18"/>
                <w:szCs w:val="18"/>
              </w:rPr>
              <w:t>东营年产染料滤饼 </w:t>
            </w:r>
            <w:r>
              <w:rPr>
                <w:rFonts w:ascii="Arial" w:hAnsi="Arial" w:cs="Arial" w:eastAsia="Arial" w:hint="default"/>
                <w:sz w:val="18"/>
                <w:szCs w:val="18"/>
              </w:rPr>
              <w:t>1,500</w:t>
            </w:r>
            <w:r>
              <w:rPr>
                <w:rFonts w:ascii="Arial" w:hAnsi="Arial" w:cs="Arial" w:eastAsia="Arial" w:hint="default"/>
                <w:spacing w:val="31"/>
                <w:sz w:val="18"/>
                <w:szCs w:val="18"/>
              </w:rPr>
              <w:t> </w:t>
            </w:r>
            <w:r>
              <w:rPr>
                <w:rFonts w:ascii="宋体" w:hAnsi="宋体" w:cs="宋体" w:eastAsia="宋体" w:hint="default"/>
                <w:sz w:val="18"/>
                <w:szCs w:val="18"/>
              </w:rPr>
              <w:t>吨及</w:t>
            </w:r>
          </w:p>
          <w:p>
            <w:pPr>
              <w:pStyle w:val="TableParagraph"/>
              <w:spacing w:line="240" w:lineRule="auto" w:before="63"/>
              <w:ind w:left="93" w:right="0"/>
              <w:jc w:val="left"/>
              <w:rPr>
                <w:rFonts w:ascii="宋体" w:hAnsi="宋体" w:cs="宋体" w:eastAsia="宋体" w:hint="default"/>
                <w:sz w:val="18"/>
                <w:szCs w:val="18"/>
              </w:rPr>
            </w:pPr>
            <w:r>
              <w:rPr>
                <w:rFonts w:ascii="宋体" w:hAnsi="宋体" w:cs="宋体" w:eastAsia="宋体" w:hint="default"/>
                <w:sz w:val="18"/>
                <w:szCs w:val="18"/>
              </w:rPr>
              <w:t>分散染料</w:t>
            </w:r>
            <w:r>
              <w:rPr>
                <w:rFonts w:ascii="宋体" w:hAnsi="宋体" w:cs="宋体" w:eastAsia="宋体" w:hint="default"/>
                <w:spacing w:val="-47"/>
                <w:sz w:val="18"/>
                <w:szCs w:val="18"/>
              </w:rPr>
              <w:t> </w:t>
            </w:r>
            <w:r>
              <w:rPr>
                <w:rFonts w:ascii="Arial" w:hAnsi="Arial" w:cs="Arial" w:eastAsia="Arial" w:hint="default"/>
                <w:sz w:val="18"/>
                <w:szCs w:val="18"/>
              </w:rPr>
              <w:t>5,000</w:t>
            </w:r>
            <w:r>
              <w:rPr>
                <w:rFonts w:ascii="Arial" w:hAnsi="Arial" w:cs="Arial" w:eastAsia="Arial" w:hint="default"/>
                <w:spacing w:val="-6"/>
                <w:sz w:val="18"/>
                <w:szCs w:val="18"/>
              </w:rPr>
              <w:t> </w:t>
            </w:r>
            <w:r>
              <w:rPr>
                <w:rFonts w:ascii="宋体" w:hAnsi="宋体" w:cs="宋体" w:eastAsia="宋体" w:hint="default"/>
                <w:sz w:val="18"/>
                <w:szCs w:val="18"/>
              </w:rPr>
              <w:t>吨项目</w:t>
            </w:r>
          </w:p>
        </w:tc>
        <w:tc>
          <w:tcPr>
            <w:tcW w:w="128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Arial" w:hAnsi="Arial" w:cs="Arial" w:eastAsia="Arial" w:hint="default"/>
                <w:sz w:val="18"/>
                <w:szCs w:val="18"/>
              </w:rPr>
            </w:pPr>
            <w:r>
              <w:rPr>
                <w:rFonts w:ascii="Arial"/>
                <w:sz w:val="18"/>
              </w:rPr>
              <w:t>5,224,631.99</w:t>
            </w:r>
          </w:p>
        </w:tc>
        <w:tc>
          <w:tcPr>
            <w:tcW w:w="5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17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Arial" w:hAnsi="Arial" w:cs="Arial" w:eastAsia="Arial" w:hint="default"/>
                <w:sz w:val="18"/>
                <w:szCs w:val="18"/>
              </w:rPr>
            </w:pPr>
            <w:r>
              <w:rPr>
                <w:rFonts w:ascii="Arial"/>
                <w:sz w:val="18"/>
              </w:rPr>
              <w:t>5,224,631.99</w:t>
            </w:r>
          </w:p>
        </w:tc>
        <w:tc>
          <w:tcPr>
            <w:tcW w:w="11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6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68" w:right="0"/>
              <w:jc w:val="left"/>
              <w:rPr>
                <w:rFonts w:ascii="Arial" w:hAnsi="Arial" w:cs="Arial" w:eastAsia="Arial" w:hint="default"/>
                <w:sz w:val="18"/>
                <w:szCs w:val="18"/>
              </w:rPr>
            </w:pPr>
            <w:r>
              <w:rPr>
                <w:rFonts w:ascii="Arial"/>
                <w:w w:val="99"/>
                <w:sz w:val="18"/>
              </w:rPr>
              <w:t>-</w:t>
            </w:r>
            <w:r>
              <w:rPr>
                <w:rFonts w:ascii="Arial"/>
                <w:sz w:val="18"/>
              </w:rPr>
            </w:r>
          </w:p>
        </w:tc>
        <w:tc>
          <w:tcPr>
            <w:tcW w:w="11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540" w:hRule="exact"/>
        </w:trPr>
        <w:tc>
          <w:tcPr>
            <w:tcW w:w="26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9"/>
              <w:ind w:left="93" w:right="0"/>
              <w:jc w:val="left"/>
              <w:rPr>
                <w:rFonts w:ascii="宋体" w:hAnsi="宋体" w:cs="宋体" w:eastAsia="宋体" w:hint="default"/>
                <w:sz w:val="18"/>
                <w:szCs w:val="18"/>
              </w:rPr>
            </w:pPr>
            <w:r>
              <w:rPr>
                <w:rFonts w:ascii="宋体" w:hAnsi="宋体" w:cs="宋体" w:eastAsia="宋体" w:hint="default"/>
                <w:sz w:val="18"/>
                <w:szCs w:val="18"/>
              </w:rPr>
              <w:t>厂房工程</w:t>
            </w:r>
          </w:p>
        </w:tc>
        <w:tc>
          <w:tcPr>
            <w:tcW w:w="128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0"/>
              <w:ind w:right="0"/>
              <w:jc w:val="center"/>
              <w:rPr>
                <w:rFonts w:ascii="Arial" w:hAnsi="Arial" w:cs="Arial" w:eastAsia="Arial" w:hint="default"/>
                <w:sz w:val="18"/>
                <w:szCs w:val="18"/>
              </w:rPr>
            </w:pPr>
            <w:r>
              <w:rPr>
                <w:rFonts w:ascii="Arial"/>
                <w:sz w:val="18"/>
              </w:rPr>
              <w:t>1,027,250.00</w:t>
            </w:r>
          </w:p>
        </w:tc>
        <w:tc>
          <w:tcPr>
            <w:tcW w:w="5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0"/>
              <w:ind w:right="0"/>
              <w:jc w:val="center"/>
              <w:rPr>
                <w:rFonts w:ascii="Arial" w:hAnsi="Arial" w:cs="Arial" w:eastAsia="Arial" w:hint="default"/>
                <w:sz w:val="18"/>
                <w:szCs w:val="18"/>
              </w:rPr>
            </w:pPr>
            <w:r>
              <w:rPr>
                <w:rFonts w:ascii="Arial"/>
                <w:w w:val="99"/>
                <w:sz w:val="18"/>
              </w:rPr>
              <w:t>-</w:t>
            </w:r>
            <w:r>
              <w:rPr>
                <w:rFonts w:ascii="Arial"/>
                <w:sz w:val="18"/>
              </w:rPr>
            </w:r>
          </w:p>
        </w:tc>
        <w:tc>
          <w:tcPr>
            <w:tcW w:w="17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0"/>
              <w:ind w:right="0"/>
              <w:jc w:val="center"/>
              <w:rPr>
                <w:rFonts w:ascii="Arial" w:hAnsi="Arial" w:cs="Arial" w:eastAsia="Arial" w:hint="default"/>
                <w:sz w:val="18"/>
                <w:szCs w:val="18"/>
              </w:rPr>
            </w:pPr>
            <w:r>
              <w:rPr>
                <w:rFonts w:ascii="Arial"/>
                <w:sz w:val="18"/>
              </w:rPr>
              <w:t>1,027,250.00</w:t>
            </w:r>
          </w:p>
        </w:tc>
        <w:tc>
          <w:tcPr>
            <w:tcW w:w="11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0"/>
              <w:ind w:right="0"/>
              <w:jc w:val="center"/>
              <w:rPr>
                <w:rFonts w:ascii="Arial" w:hAnsi="Arial" w:cs="Arial" w:eastAsia="Arial" w:hint="default"/>
                <w:sz w:val="18"/>
                <w:szCs w:val="18"/>
              </w:rPr>
            </w:pPr>
            <w:r>
              <w:rPr>
                <w:rFonts w:ascii="Arial"/>
                <w:w w:val="99"/>
                <w:sz w:val="18"/>
              </w:rPr>
              <w:t>-</w:t>
            </w:r>
            <w:r>
              <w:rPr>
                <w:rFonts w:ascii="Arial"/>
                <w:sz w:val="18"/>
              </w:rPr>
            </w:r>
          </w:p>
        </w:tc>
        <w:tc>
          <w:tcPr>
            <w:tcW w:w="6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0"/>
              <w:ind w:left="268" w:right="0"/>
              <w:jc w:val="left"/>
              <w:rPr>
                <w:rFonts w:ascii="Arial" w:hAnsi="Arial" w:cs="Arial" w:eastAsia="Arial" w:hint="default"/>
                <w:sz w:val="18"/>
                <w:szCs w:val="18"/>
              </w:rPr>
            </w:pPr>
            <w:r>
              <w:rPr>
                <w:rFonts w:ascii="Arial"/>
                <w:w w:val="99"/>
                <w:sz w:val="18"/>
              </w:rPr>
              <w:t>-</w:t>
            </w:r>
            <w:r>
              <w:rPr>
                <w:rFonts w:ascii="Arial"/>
                <w:sz w:val="18"/>
              </w:rPr>
            </w:r>
          </w:p>
        </w:tc>
        <w:tc>
          <w:tcPr>
            <w:tcW w:w="11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0"/>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540" w:hRule="exact"/>
        </w:trPr>
        <w:tc>
          <w:tcPr>
            <w:tcW w:w="26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9"/>
              <w:ind w:left="93" w:right="0"/>
              <w:jc w:val="left"/>
              <w:rPr>
                <w:rFonts w:ascii="宋体" w:hAnsi="宋体" w:cs="宋体" w:eastAsia="宋体" w:hint="default"/>
                <w:sz w:val="18"/>
                <w:szCs w:val="18"/>
              </w:rPr>
            </w:pPr>
            <w:r>
              <w:rPr>
                <w:rFonts w:ascii="宋体" w:hAnsi="宋体" w:cs="宋体" w:eastAsia="宋体" w:hint="default"/>
                <w:sz w:val="18"/>
                <w:szCs w:val="18"/>
              </w:rPr>
              <w:t>设备工程</w:t>
            </w:r>
          </w:p>
        </w:tc>
        <w:tc>
          <w:tcPr>
            <w:tcW w:w="128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0"/>
              <w:ind w:right="0"/>
              <w:jc w:val="center"/>
              <w:rPr>
                <w:rFonts w:ascii="Arial" w:hAnsi="Arial" w:cs="Arial" w:eastAsia="Arial" w:hint="default"/>
                <w:sz w:val="18"/>
                <w:szCs w:val="18"/>
              </w:rPr>
            </w:pPr>
            <w:r>
              <w:rPr>
                <w:rFonts w:ascii="Arial"/>
                <w:sz w:val="18"/>
              </w:rPr>
              <w:t>4,516,518.11</w:t>
            </w:r>
          </w:p>
        </w:tc>
        <w:tc>
          <w:tcPr>
            <w:tcW w:w="5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0"/>
              <w:ind w:right="0"/>
              <w:jc w:val="center"/>
              <w:rPr>
                <w:rFonts w:ascii="Arial" w:hAnsi="Arial" w:cs="Arial" w:eastAsia="Arial" w:hint="default"/>
                <w:sz w:val="18"/>
                <w:szCs w:val="18"/>
              </w:rPr>
            </w:pPr>
            <w:r>
              <w:rPr>
                <w:rFonts w:ascii="Arial"/>
                <w:w w:val="99"/>
                <w:sz w:val="18"/>
              </w:rPr>
              <w:t>-</w:t>
            </w:r>
            <w:r>
              <w:rPr>
                <w:rFonts w:ascii="Arial"/>
                <w:sz w:val="18"/>
              </w:rPr>
            </w:r>
          </w:p>
        </w:tc>
        <w:tc>
          <w:tcPr>
            <w:tcW w:w="17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0"/>
              <w:ind w:right="0"/>
              <w:jc w:val="center"/>
              <w:rPr>
                <w:rFonts w:ascii="Arial" w:hAnsi="Arial" w:cs="Arial" w:eastAsia="Arial" w:hint="default"/>
                <w:sz w:val="18"/>
                <w:szCs w:val="18"/>
              </w:rPr>
            </w:pPr>
            <w:r>
              <w:rPr>
                <w:rFonts w:ascii="Arial"/>
                <w:sz w:val="18"/>
              </w:rPr>
              <w:t>4,516,518.11</w:t>
            </w:r>
          </w:p>
        </w:tc>
        <w:tc>
          <w:tcPr>
            <w:tcW w:w="11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0"/>
              <w:ind w:right="0"/>
              <w:jc w:val="center"/>
              <w:rPr>
                <w:rFonts w:ascii="Arial" w:hAnsi="Arial" w:cs="Arial" w:eastAsia="Arial" w:hint="default"/>
                <w:sz w:val="18"/>
                <w:szCs w:val="18"/>
              </w:rPr>
            </w:pPr>
            <w:r>
              <w:rPr>
                <w:rFonts w:ascii="Arial"/>
                <w:w w:val="99"/>
                <w:sz w:val="18"/>
              </w:rPr>
              <w:t>-</w:t>
            </w:r>
            <w:r>
              <w:rPr>
                <w:rFonts w:ascii="Arial"/>
                <w:sz w:val="18"/>
              </w:rPr>
            </w:r>
          </w:p>
        </w:tc>
        <w:tc>
          <w:tcPr>
            <w:tcW w:w="6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0"/>
              <w:ind w:left="268" w:right="0"/>
              <w:jc w:val="left"/>
              <w:rPr>
                <w:rFonts w:ascii="Arial" w:hAnsi="Arial" w:cs="Arial" w:eastAsia="Arial" w:hint="default"/>
                <w:sz w:val="18"/>
                <w:szCs w:val="18"/>
              </w:rPr>
            </w:pPr>
            <w:r>
              <w:rPr>
                <w:rFonts w:ascii="Arial"/>
                <w:w w:val="99"/>
                <w:sz w:val="18"/>
              </w:rPr>
              <w:t>-</w:t>
            </w:r>
            <w:r>
              <w:rPr>
                <w:rFonts w:ascii="Arial"/>
                <w:sz w:val="18"/>
              </w:rPr>
            </w:r>
          </w:p>
        </w:tc>
        <w:tc>
          <w:tcPr>
            <w:tcW w:w="11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0"/>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653" w:hRule="exact"/>
        </w:trPr>
        <w:tc>
          <w:tcPr>
            <w:tcW w:w="26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8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27,841,096.3</w:t>
            </w:r>
          </w:p>
          <w:p>
            <w:pPr>
              <w:pStyle w:val="TableParagraph"/>
              <w:spacing w:line="240" w:lineRule="auto" w:before="105"/>
              <w:ind w:right="1"/>
              <w:jc w:val="center"/>
              <w:rPr>
                <w:rFonts w:ascii="Arial" w:hAnsi="Arial" w:cs="Arial" w:eastAsia="Arial" w:hint="default"/>
                <w:sz w:val="18"/>
                <w:szCs w:val="18"/>
              </w:rPr>
            </w:pPr>
            <w:r>
              <w:rPr>
                <w:rFonts w:ascii="Arial"/>
                <w:w w:val="99"/>
                <w:sz w:val="18"/>
              </w:rPr>
              <w:t>6</w:t>
            </w:r>
            <w:r>
              <w:rPr>
                <w:rFonts w:ascii="Arial"/>
                <w:sz w:val="18"/>
              </w:rPr>
            </w:r>
          </w:p>
        </w:tc>
        <w:tc>
          <w:tcPr>
            <w:tcW w:w="5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17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27,841,096.36</w:t>
            </w:r>
          </w:p>
        </w:tc>
        <w:tc>
          <w:tcPr>
            <w:tcW w:w="11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 w:right="0"/>
              <w:jc w:val="center"/>
              <w:rPr>
                <w:rFonts w:ascii="Arial" w:hAnsi="Arial" w:cs="Arial" w:eastAsia="Arial" w:hint="default"/>
                <w:sz w:val="18"/>
                <w:szCs w:val="18"/>
              </w:rPr>
            </w:pPr>
            <w:r>
              <w:rPr>
                <w:rFonts w:ascii="Arial"/>
                <w:sz w:val="18"/>
              </w:rPr>
              <w:t>7,021,886.3</w:t>
            </w:r>
          </w:p>
          <w:p>
            <w:pPr>
              <w:pStyle w:val="TableParagraph"/>
              <w:spacing w:line="240" w:lineRule="auto" w:before="105"/>
              <w:ind w:right="0"/>
              <w:jc w:val="center"/>
              <w:rPr>
                <w:rFonts w:ascii="Arial" w:hAnsi="Arial" w:cs="Arial" w:eastAsia="Arial" w:hint="default"/>
                <w:sz w:val="18"/>
                <w:szCs w:val="18"/>
              </w:rPr>
            </w:pPr>
            <w:r>
              <w:rPr>
                <w:rFonts w:ascii="Arial"/>
                <w:w w:val="99"/>
                <w:sz w:val="18"/>
              </w:rPr>
              <w:t>4</w:t>
            </w:r>
            <w:r>
              <w:rPr>
                <w:rFonts w:ascii="Arial"/>
                <w:sz w:val="18"/>
              </w:rPr>
            </w:r>
          </w:p>
        </w:tc>
        <w:tc>
          <w:tcPr>
            <w:tcW w:w="6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8" w:right="0"/>
              <w:jc w:val="left"/>
              <w:rPr>
                <w:rFonts w:ascii="Arial" w:hAnsi="Arial" w:cs="Arial" w:eastAsia="Arial" w:hint="default"/>
                <w:sz w:val="18"/>
                <w:szCs w:val="18"/>
              </w:rPr>
            </w:pPr>
            <w:r>
              <w:rPr>
                <w:rFonts w:ascii="Arial"/>
                <w:w w:val="99"/>
                <w:sz w:val="18"/>
              </w:rPr>
              <w:t>-</w:t>
            </w:r>
            <w:r>
              <w:rPr>
                <w:rFonts w:ascii="Arial"/>
                <w:sz w:val="18"/>
              </w:rPr>
            </w:r>
          </w:p>
        </w:tc>
        <w:tc>
          <w:tcPr>
            <w:tcW w:w="11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7,021,886.3</w:t>
            </w:r>
          </w:p>
          <w:p>
            <w:pPr>
              <w:pStyle w:val="TableParagraph"/>
              <w:spacing w:line="240" w:lineRule="auto" w:before="105"/>
              <w:ind w:right="3"/>
              <w:jc w:val="center"/>
              <w:rPr>
                <w:rFonts w:ascii="Arial" w:hAnsi="Arial" w:cs="Arial" w:eastAsia="Arial" w:hint="default"/>
                <w:sz w:val="18"/>
                <w:szCs w:val="18"/>
              </w:rPr>
            </w:pPr>
            <w:r>
              <w:rPr>
                <w:rFonts w:ascii="Arial"/>
                <w:w w:val="99"/>
                <w:sz w:val="18"/>
              </w:rPr>
              <w:t>4</w:t>
            </w:r>
            <w:r>
              <w:rPr>
                <w:rFonts w:ascii="Arial"/>
                <w:sz w:val="18"/>
              </w:rPr>
            </w:r>
          </w:p>
        </w:tc>
      </w:tr>
    </w:tbl>
    <w:p>
      <w:pPr>
        <w:spacing w:line="240" w:lineRule="auto" w:before="12"/>
        <w:rPr>
          <w:rFonts w:ascii="宋体" w:hAnsi="宋体" w:cs="宋体" w:eastAsia="宋体" w:hint="default"/>
          <w:sz w:val="23"/>
          <w:szCs w:val="23"/>
        </w:rPr>
      </w:pPr>
    </w:p>
    <w:p>
      <w:pPr>
        <w:pStyle w:val="BodyText"/>
        <w:spacing w:line="240" w:lineRule="auto"/>
        <w:ind w:left="237" w:right="0"/>
        <w:jc w:val="left"/>
      </w:pPr>
      <w:r>
        <w:rPr>
          <w:rFonts w:ascii="Arial" w:hAnsi="Arial" w:cs="Arial" w:eastAsia="Arial" w:hint="default"/>
        </w:rPr>
        <w:t>6.10.2</w:t>
      </w:r>
      <w:r>
        <w:rPr>
          <w:rFonts w:ascii="Arial" w:hAnsi="Arial" w:cs="Arial" w:eastAsia="Arial" w:hint="default"/>
          <w:spacing w:val="42"/>
        </w:rPr>
        <w:t> </w:t>
      </w:r>
      <w:r>
        <w:rPr/>
        <w:t>重大在建工程项目变动情况</w:t>
      </w:r>
    </w:p>
    <w:p>
      <w:pPr>
        <w:spacing w:after="0" w:line="240" w:lineRule="auto"/>
        <w:jc w:val="left"/>
        <w:sectPr>
          <w:pgSz w:w="11900" w:h="16840"/>
          <w:pgMar w:header="0" w:footer="983" w:top="1100" w:bottom="1180" w:left="1560" w:right="820"/>
        </w:sectPr>
      </w:pPr>
    </w:p>
    <w:p>
      <w:pPr>
        <w:tabs>
          <w:tab w:pos="7533" w:val="left" w:leader="none"/>
        </w:tabs>
        <w:spacing w:before="21"/>
        <w:ind w:left="239" w:right="0" w:firstLine="0"/>
        <w:jc w:val="left"/>
        <w:rPr>
          <w:rFonts w:ascii="宋体" w:hAnsi="宋体" w:cs="宋体" w:eastAsia="宋体" w:hint="default"/>
          <w:sz w:val="18"/>
          <w:szCs w:val="18"/>
        </w:rPr>
      </w:pPr>
      <w:r>
        <w:rPr>
          <w:rFonts w:ascii="宋体" w:hAnsi="宋体" w:cs="宋体" w:eastAsia="宋体" w:hint="default"/>
          <w:spacing w:val="-1"/>
          <w:sz w:val="18"/>
          <w:szCs w:val="18"/>
        </w:rPr>
        <w:t>上海安诺其纺织化工股份有限公司</w:t>
        <w:tab/>
      </w:r>
      <w:r>
        <w:rPr>
          <w:rFonts w:ascii="Times New Roman" w:hAnsi="Times New Roman" w:cs="Times New Roman" w:eastAsia="Times New Roman" w:hint="default"/>
          <w:spacing w:val="-1"/>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年年度报告</w:t>
      </w:r>
    </w:p>
    <w:p>
      <w:pPr>
        <w:spacing w:line="240" w:lineRule="auto" w:before="7"/>
        <w:rPr>
          <w:rFonts w:ascii="宋体" w:hAnsi="宋体" w:cs="宋体" w:eastAsia="宋体" w:hint="default"/>
          <w:sz w:val="2"/>
          <w:szCs w:val="2"/>
        </w:rPr>
      </w:pPr>
    </w:p>
    <w:p>
      <w:pPr>
        <w:spacing w:line="20" w:lineRule="exact"/>
        <w:ind w:left="203" w:right="0" w:firstLine="0"/>
        <w:rPr>
          <w:rFonts w:ascii="宋体" w:hAnsi="宋体" w:cs="宋体" w:eastAsia="宋体" w:hint="default"/>
          <w:sz w:val="2"/>
          <w:szCs w:val="2"/>
        </w:rPr>
      </w:pPr>
      <w:r>
        <w:rPr>
          <w:rFonts w:ascii="宋体" w:hAnsi="宋体" w:cs="宋体" w:eastAsia="宋体" w:hint="default"/>
          <w:sz w:val="2"/>
          <w:szCs w:val="2"/>
        </w:rPr>
        <w:pict>
          <v:group style="width:701.55pt;height:.75pt;mso-position-horizontal-relative:char;mso-position-vertical-relative:line" coordorigin="0,0" coordsize="14031,15">
            <v:group style="position:absolute;left:7;top:7;width:14016;height:2" coordorigin="7,7" coordsize="14016,2">
              <v:shape style="position:absolute;left:7;top:7;width:14016;height:2" coordorigin="7,7" coordsize="14016,0" path="m7,7l1402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1368"/>
        <w:gridCol w:w="1459"/>
        <w:gridCol w:w="1265"/>
        <w:gridCol w:w="1370"/>
        <w:gridCol w:w="1370"/>
        <w:gridCol w:w="607"/>
        <w:gridCol w:w="1135"/>
        <w:gridCol w:w="670"/>
        <w:gridCol w:w="720"/>
        <w:gridCol w:w="902"/>
        <w:gridCol w:w="900"/>
        <w:gridCol w:w="720"/>
        <w:gridCol w:w="1438"/>
      </w:tblGrid>
      <w:tr>
        <w:trPr>
          <w:trHeight w:val="1198" w:hRule="exact"/>
        </w:trPr>
        <w:tc>
          <w:tcPr>
            <w:tcW w:w="13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23"/>
              <w:jc w:val="right"/>
              <w:rPr>
                <w:rFonts w:ascii="宋体" w:hAnsi="宋体" w:cs="宋体" w:eastAsia="宋体" w:hint="default"/>
                <w:sz w:val="18"/>
                <w:szCs w:val="18"/>
              </w:rPr>
            </w:pPr>
            <w:r>
              <w:rPr>
                <w:rFonts w:ascii="宋体" w:hAnsi="宋体" w:cs="宋体" w:eastAsia="宋体" w:hint="default"/>
                <w:spacing w:val="-1"/>
                <w:sz w:val="18"/>
                <w:szCs w:val="18"/>
              </w:rPr>
              <w:t>项目名称</w:t>
            </w:r>
          </w:p>
        </w:tc>
        <w:tc>
          <w:tcPr>
            <w:tcW w:w="14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预算数</w:t>
            </w:r>
          </w:p>
        </w:tc>
        <w:tc>
          <w:tcPr>
            <w:tcW w:w="12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年初余额</w:t>
            </w:r>
          </w:p>
        </w:tc>
        <w:tc>
          <w:tcPr>
            <w:tcW w:w="13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本年增加</w:t>
            </w:r>
          </w:p>
        </w:tc>
        <w:tc>
          <w:tcPr>
            <w:tcW w:w="13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489" w:right="309" w:hanging="180"/>
              <w:jc w:val="left"/>
              <w:rPr>
                <w:rFonts w:ascii="宋体" w:hAnsi="宋体" w:cs="宋体" w:eastAsia="宋体" w:hint="default"/>
                <w:sz w:val="18"/>
                <w:szCs w:val="18"/>
              </w:rPr>
            </w:pPr>
            <w:r>
              <w:rPr>
                <w:rFonts w:ascii="宋体" w:hAnsi="宋体" w:cs="宋体" w:eastAsia="宋体" w:hint="default"/>
                <w:sz w:val="18"/>
                <w:szCs w:val="18"/>
              </w:rPr>
              <w:t>转入固定</w:t>
            </w:r>
            <w:r>
              <w:rPr>
                <w:rFonts w:ascii="宋体" w:hAnsi="宋体" w:cs="宋体" w:eastAsia="宋体" w:hint="default"/>
                <w:w w:val="100"/>
                <w:sz w:val="18"/>
                <w:szCs w:val="18"/>
              </w:rPr>
              <w:t> </w:t>
            </w:r>
            <w:r>
              <w:rPr>
                <w:rFonts w:ascii="宋体" w:hAnsi="宋体" w:cs="宋体" w:eastAsia="宋体" w:hint="default"/>
                <w:sz w:val="18"/>
                <w:szCs w:val="18"/>
              </w:rPr>
              <w:t>资产</w:t>
            </w:r>
          </w:p>
        </w:tc>
        <w:tc>
          <w:tcPr>
            <w:tcW w:w="6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08" w:right="108"/>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w w:val="100"/>
                <w:sz w:val="18"/>
                <w:szCs w:val="18"/>
              </w:rPr>
              <w:t> </w:t>
            </w:r>
            <w:r>
              <w:rPr>
                <w:rFonts w:ascii="宋体" w:hAnsi="宋体" w:cs="宋体" w:eastAsia="宋体" w:hint="default"/>
                <w:sz w:val="18"/>
                <w:szCs w:val="18"/>
              </w:rPr>
              <w:t>减少</w:t>
            </w:r>
          </w:p>
        </w:tc>
        <w:tc>
          <w:tcPr>
            <w:tcW w:w="11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03" w:right="101"/>
              <w:jc w:val="center"/>
              <w:rPr>
                <w:rFonts w:ascii="宋体" w:hAnsi="宋体" w:cs="宋体" w:eastAsia="宋体" w:hint="default"/>
                <w:sz w:val="18"/>
                <w:szCs w:val="18"/>
              </w:rPr>
            </w:pPr>
            <w:r>
              <w:rPr>
                <w:rFonts w:ascii="宋体" w:hAnsi="宋体" w:cs="宋体" w:eastAsia="宋体" w:hint="default"/>
                <w:sz w:val="18"/>
                <w:szCs w:val="18"/>
              </w:rPr>
              <w:t>工程投入占</w:t>
            </w:r>
            <w:r>
              <w:rPr>
                <w:rFonts w:ascii="宋体" w:hAnsi="宋体" w:cs="宋体" w:eastAsia="宋体" w:hint="default"/>
                <w:w w:val="100"/>
                <w:sz w:val="18"/>
                <w:szCs w:val="18"/>
              </w:rPr>
              <w:t> </w:t>
            </w:r>
            <w:r>
              <w:rPr>
                <w:rFonts w:ascii="宋体" w:hAnsi="宋体" w:cs="宋体" w:eastAsia="宋体" w:hint="default"/>
                <w:sz w:val="18"/>
                <w:szCs w:val="18"/>
              </w:rPr>
              <w:t>预算比例</w:t>
            </w:r>
          </w:p>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6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39" w:right="139"/>
              <w:jc w:val="left"/>
              <w:rPr>
                <w:rFonts w:ascii="宋体" w:hAnsi="宋体" w:cs="宋体" w:eastAsia="宋体" w:hint="default"/>
                <w:sz w:val="18"/>
                <w:szCs w:val="18"/>
              </w:rPr>
            </w:pPr>
            <w:r>
              <w:rPr>
                <w:rFonts w:ascii="宋体" w:hAnsi="宋体" w:cs="宋体" w:eastAsia="宋体" w:hint="default"/>
                <w:sz w:val="18"/>
                <w:szCs w:val="18"/>
              </w:rPr>
              <w:t>工程</w:t>
            </w:r>
            <w:r>
              <w:rPr>
                <w:rFonts w:ascii="宋体" w:hAnsi="宋体" w:cs="宋体" w:eastAsia="宋体" w:hint="default"/>
                <w:w w:val="100"/>
                <w:sz w:val="18"/>
                <w:szCs w:val="18"/>
              </w:rPr>
              <w:t> </w:t>
            </w:r>
            <w:r>
              <w:rPr>
                <w:rFonts w:ascii="宋体" w:hAnsi="宋体" w:cs="宋体" w:eastAsia="宋体" w:hint="default"/>
                <w:sz w:val="18"/>
                <w:szCs w:val="18"/>
              </w:rPr>
              <w:t>进度</w:t>
            </w:r>
          </w:p>
        </w:tc>
        <w:tc>
          <w:tcPr>
            <w:tcW w:w="720" w:type="dxa"/>
            <w:tcBorders>
              <w:top w:val="single" w:sz="12" w:space="0" w:color="000000"/>
              <w:left w:val="single" w:sz="12" w:space="0" w:color="000000"/>
              <w:bottom w:val="single" w:sz="12" w:space="0" w:color="000000"/>
              <w:right w:val="single" w:sz="12" w:space="0" w:color="000000"/>
            </w:tcBorders>
          </w:tcPr>
          <w:p>
            <w:pPr>
              <w:pStyle w:val="TableParagraph"/>
              <w:spacing w:line="206" w:lineRule="exact"/>
              <w:ind w:left="165" w:right="0"/>
              <w:jc w:val="both"/>
              <w:rPr>
                <w:rFonts w:ascii="宋体" w:hAnsi="宋体" w:cs="宋体" w:eastAsia="宋体" w:hint="default"/>
                <w:sz w:val="18"/>
                <w:szCs w:val="18"/>
              </w:rPr>
            </w:pPr>
            <w:r>
              <w:rPr>
                <w:rFonts w:ascii="宋体" w:hAnsi="宋体" w:cs="宋体" w:eastAsia="宋体" w:hint="default"/>
                <w:sz w:val="18"/>
                <w:szCs w:val="18"/>
              </w:rPr>
              <w:t>利息</w:t>
            </w:r>
          </w:p>
          <w:p>
            <w:pPr>
              <w:pStyle w:val="TableParagraph"/>
              <w:spacing w:line="237" w:lineRule="auto"/>
              <w:ind w:left="165" w:right="163"/>
              <w:jc w:val="both"/>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w w:val="100"/>
                <w:sz w:val="18"/>
                <w:szCs w:val="18"/>
              </w:rPr>
              <w:t> </w:t>
            </w:r>
            <w:r>
              <w:rPr>
                <w:rFonts w:ascii="宋体" w:hAnsi="宋体" w:cs="宋体" w:eastAsia="宋体" w:hint="default"/>
                <w:sz w:val="18"/>
                <w:szCs w:val="18"/>
              </w:rPr>
              <w:t>化累</w:t>
            </w:r>
            <w:r>
              <w:rPr>
                <w:rFonts w:ascii="宋体" w:hAnsi="宋体" w:cs="宋体" w:eastAsia="宋体" w:hint="default"/>
                <w:w w:val="100"/>
                <w:sz w:val="18"/>
                <w:szCs w:val="18"/>
              </w:rPr>
              <w:t> </w:t>
            </w:r>
            <w:r>
              <w:rPr>
                <w:rFonts w:ascii="宋体" w:hAnsi="宋体" w:cs="宋体" w:eastAsia="宋体" w:hint="default"/>
                <w:sz w:val="18"/>
                <w:szCs w:val="18"/>
              </w:rPr>
              <w:t>计金</w:t>
            </w:r>
            <w:r>
              <w:rPr>
                <w:rFonts w:ascii="宋体" w:hAnsi="宋体" w:cs="宋体" w:eastAsia="宋体" w:hint="default"/>
                <w:w w:val="100"/>
                <w:sz w:val="18"/>
                <w:szCs w:val="18"/>
              </w:rPr>
              <w:t> </w:t>
            </w:r>
            <w:r>
              <w:rPr>
                <w:rFonts w:ascii="宋体" w:hAnsi="宋体" w:cs="宋体" w:eastAsia="宋体" w:hint="default"/>
                <w:sz w:val="18"/>
                <w:szCs w:val="18"/>
              </w:rPr>
              <w:t>额</w:t>
            </w:r>
          </w:p>
        </w:tc>
        <w:tc>
          <w:tcPr>
            <w:tcW w:w="902" w:type="dxa"/>
            <w:tcBorders>
              <w:top w:val="single" w:sz="12" w:space="0" w:color="000000"/>
              <w:left w:val="single" w:sz="12" w:space="0" w:color="000000"/>
              <w:bottom w:val="single" w:sz="12" w:space="0" w:color="000000"/>
              <w:right w:val="single" w:sz="12" w:space="0" w:color="000000"/>
            </w:tcBorders>
          </w:tcPr>
          <w:p>
            <w:pPr>
              <w:pStyle w:val="TableParagraph"/>
              <w:spacing w:line="237" w:lineRule="auto" w:before="89"/>
              <w:ind w:left="93" w:right="91"/>
              <w:jc w:val="center"/>
              <w:rPr>
                <w:rFonts w:ascii="宋体" w:hAnsi="宋体" w:cs="宋体" w:eastAsia="宋体" w:hint="default"/>
                <w:sz w:val="18"/>
                <w:szCs w:val="18"/>
              </w:rPr>
            </w:pPr>
            <w:r>
              <w:rPr>
                <w:rFonts w:ascii="宋体" w:hAnsi="宋体" w:cs="宋体" w:eastAsia="宋体" w:hint="default"/>
                <w:spacing w:val="-9"/>
                <w:sz w:val="18"/>
                <w:szCs w:val="18"/>
              </w:rPr>
              <w:t>其中：本</w:t>
            </w:r>
            <w:r>
              <w:rPr>
                <w:rFonts w:ascii="宋体" w:hAnsi="宋体" w:cs="宋体" w:eastAsia="宋体" w:hint="default"/>
                <w:w w:val="100"/>
                <w:sz w:val="18"/>
                <w:szCs w:val="18"/>
              </w:rPr>
              <w:t> </w:t>
            </w:r>
            <w:r>
              <w:rPr>
                <w:rFonts w:ascii="宋体" w:hAnsi="宋体" w:cs="宋体" w:eastAsia="宋体" w:hint="default"/>
                <w:sz w:val="18"/>
                <w:szCs w:val="18"/>
              </w:rPr>
              <w:t>期利息</w:t>
            </w:r>
            <w:r>
              <w:rPr>
                <w:rFonts w:ascii="宋体" w:hAnsi="宋体" w:cs="宋体" w:eastAsia="宋体" w:hint="default"/>
                <w:w w:val="100"/>
                <w:sz w:val="18"/>
                <w:szCs w:val="18"/>
              </w:rPr>
              <w:t> </w:t>
            </w:r>
            <w:r>
              <w:rPr>
                <w:rFonts w:ascii="宋体" w:hAnsi="宋体" w:cs="宋体" w:eastAsia="宋体" w:hint="default"/>
                <w:sz w:val="18"/>
                <w:szCs w:val="18"/>
              </w:rPr>
              <w:t>资本化</w:t>
            </w:r>
            <w:r>
              <w:rPr>
                <w:rFonts w:ascii="宋体" w:hAnsi="宋体" w:cs="宋体" w:eastAsia="宋体" w:hint="default"/>
                <w:w w:val="100"/>
                <w:sz w:val="18"/>
                <w:szCs w:val="18"/>
              </w:rPr>
              <w:t> </w:t>
            </w:r>
            <w:r>
              <w:rPr>
                <w:rFonts w:ascii="宋体" w:hAnsi="宋体" w:cs="宋体" w:eastAsia="宋体" w:hint="default"/>
                <w:sz w:val="18"/>
                <w:szCs w:val="18"/>
              </w:rPr>
              <w:t>金额</w:t>
            </w:r>
          </w:p>
        </w:tc>
        <w:tc>
          <w:tcPr>
            <w:tcW w:w="900" w:type="dxa"/>
            <w:tcBorders>
              <w:top w:val="single" w:sz="12" w:space="0" w:color="000000"/>
              <w:left w:val="single" w:sz="12" w:space="0" w:color="000000"/>
              <w:bottom w:val="single" w:sz="12" w:space="0" w:color="000000"/>
              <w:right w:val="single" w:sz="12" w:space="0" w:color="000000"/>
            </w:tcBorders>
          </w:tcPr>
          <w:p>
            <w:pPr>
              <w:pStyle w:val="TableParagraph"/>
              <w:spacing w:line="232" w:lineRule="exact" w:before="112"/>
              <w:ind w:left="165" w:right="163"/>
              <w:jc w:val="both"/>
              <w:rPr>
                <w:rFonts w:ascii="宋体" w:hAnsi="宋体" w:cs="宋体" w:eastAsia="宋体" w:hint="default"/>
                <w:sz w:val="18"/>
                <w:szCs w:val="18"/>
              </w:rPr>
            </w:pPr>
            <w:r>
              <w:rPr>
                <w:rFonts w:ascii="宋体" w:hAnsi="宋体" w:cs="宋体" w:eastAsia="宋体" w:hint="default"/>
                <w:sz w:val="18"/>
                <w:szCs w:val="18"/>
              </w:rPr>
              <w:t>本期利</w:t>
            </w:r>
            <w:r>
              <w:rPr>
                <w:rFonts w:ascii="宋体" w:hAnsi="宋体" w:cs="宋体" w:eastAsia="宋体" w:hint="default"/>
                <w:w w:val="100"/>
                <w:sz w:val="18"/>
                <w:szCs w:val="18"/>
              </w:rPr>
              <w:t> </w:t>
            </w:r>
            <w:r>
              <w:rPr>
                <w:rFonts w:ascii="宋体" w:hAnsi="宋体" w:cs="宋体" w:eastAsia="宋体" w:hint="default"/>
                <w:sz w:val="18"/>
                <w:szCs w:val="18"/>
              </w:rPr>
              <w:t>息资本</w:t>
            </w:r>
            <w:r>
              <w:rPr>
                <w:rFonts w:ascii="宋体" w:hAnsi="宋体" w:cs="宋体" w:eastAsia="宋体" w:hint="default"/>
                <w:w w:val="100"/>
                <w:sz w:val="18"/>
                <w:szCs w:val="18"/>
              </w:rPr>
              <w:t> </w:t>
            </w:r>
            <w:r>
              <w:rPr>
                <w:rFonts w:ascii="宋体" w:hAnsi="宋体" w:cs="宋体" w:eastAsia="宋体" w:hint="default"/>
                <w:sz w:val="18"/>
                <w:szCs w:val="18"/>
              </w:rPr>
              <w:t>化率</w:t>
            </w:r>
          </w:p>
          <w:p>
            <w:pPr>
              <w:pStyle w:val="TableParagraph"/>
              <w:spacing w:line="227" w:lineRule="exact"/>
              <w:ind w:left="175" w:right="0"/>
              <w:jc w:val="both"/>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7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65" w:right="163"/>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w w:val="100"/>
                <w:sz w:val="18"/>
                <w:szCs w:val="18"/>
              </w:rPr>
              <w:t> </w:t>
            </w:r>
            <w:r>
              <w:rPr>
                <w:rFonts w:ascii="宋体" w:hAnsi="宋体" w:cs="宋体" w:eastAsia="宋体" w:hint="default"/>
                <w:sz w:val="18"/>
                <w:szCs w:val="18"/>
              </w:rPr>
              <w:t>来源</w:t>
            </w:r>
          </w:p>
        </w:tc>
        <w:tc>
          <w:tcPr>
            <w:tcW w:w="14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1013" w:hRule="exact"/>
        </w:trPr>
        <w:tc>
          <w:tcPr>
            <w:tcW w:w="13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302" w:lineRule="auto"/>
              <w:ind w:left="93" w:right="89"/>
              <w:jc w:val="left"/>
              <w:rPr>
                <w:rFonts w:ascii="宋体" w:hAnsi="宋体" w:cs="宋体" w:eastAsia="宋体" w:hint="default"/>
                <w:sz w:val="18"/>
                <w:szCs w:val="18"/>
              </w:rPr>
            </w:pPr>
            <w:r>
              <w:rPr>
                <w:rFonts w:ascii="Arial" w:hAnsi="Arial" w:cs="Arial" w:eastAsia="Arial" w:hint="default"/>
                <w:sz w:val="18"/>
                <w:szCs w:val="18"/>
              </w:rPr>
              <w:t>6,000</w:t>
            </w:r>
            <w:r>
              <w:rPr>
                <w:rFonts w:ascii="Arial" w:hAnsi="Arial" w:cs="Arial" w:eastAsia="Arial" w:hint="default"/>
                <w:spacing w:val="13"/>
                <w:sz w:val="18"/>
                <w:szCs w:val="18"/>
              </w:rPr>
              <w:t> </w:t>
            </w:r>
            <w:r>
              <w:rPr>
                <w:rFonts w:ascii="宋体" w:hAnsi="宋体" w:cs="宋体" w:eastAsia="宋体" w:hint="default"/>
                <w:sz w:val="18"/>
                <w:szCs w:val="18"/>
              </w:rPr>
              <w:t>吨</w:t>
            </w:r>
            <w:r>
              <w:rPr>
                <w:rFonts w:ascii="宋体" w:hAnsi="宋体" w:cs="宋体" w:eastAsia="宋体" w:hint="default"/>
                <w:spacing w:val="-67"/>
                <w:sz w:val="18"/>
                <w:szCs w:val="18"/>
              </w:rPr>
              <w:t> </w:t>
            </w:r>
            <w:r>
              <w:rPr>
                <w:rFonts w:ascii="宋体" w:hAnsi="宋体" w:cs="宋体" w:eastAsia="宋体" w:hint="default"/>
                <w:sz w:val="18"/>
                <w:szCs w:val="18"/>
              </w:rPr>
              <w:t>分</w:t>
            </w:r>
            <w:r>
              <w:rPr>
                <w:rFonts w:ascii="宋体" w:hAnsi="宋体" w:cs="宋体" w:eastAsia="宋体" w:hint="default"/>
                <w:spacing w:val="-67"/>
                <w:sz w:val="18"/>
                <w:szCs w:val="18"/>
              </w:rPr>
              <w:t> </w:t>
            </w:r>
            <w:r>
              <w:rPr>
                <w:rFonts w:ascii="宋体" w:hAnsi="宋体" w:cs="宋体" w:eastAsia="宋体" w:hint="default"/>
                <w:sz w:val="18"/>
                <w:szCs w:val="18"/>
              </w:rPr>
              <w:t>散</w:t>
            </w:r>
            <w:r>
              <w:rPr>
                <w:rFonts w:ascii="宋体" w:hAnsi="宋体" w:cs="宋体" w:eastAsia="宋体" w:hint="default"/>
                <w:w w:val="100"/>
                <w:sz w:val="18"/>
                <w:szCs w:val="18"/>
              </w:rPr>
              <w:t> </w:t>
            </w:r>
            <w:r>
              <w:rPr>
                <w:rFonts w:ascii="宋体" w:hAnsi="宋体" w:cs="宋体" w:eastAsia="宋体" w:hint="default"/>
                <w:sz w:val="18"/>
                <w:szCs w:val="18"/>
              </w:rPr>
              <w:t>染料项目</w:t>
            </w:r>
          </w:p>
        </w:tc>
        <w:tc>
          <w:tcPr>
            <w:tcW w:w="14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
              <w:jc w:val="center"/>
              <w:rPr>
                <w:rFonts w:ascii="Arial" w:hAnsi="Arial" w:cs="Arial" w:eastAsia="Arial" w:hint="default"/>
                <w:sz w:val="18"/>
                <w:szCs w:val="18"/>
              </w:rPr>
            </w:pPr>
            <w:r>
              <w:rPr>
                <w:rFonts w:ascii="Arial"/>
                <w:sz w:val="18"/>
              </w:rPr>
              <w:t>94,704,500.00</w:t>
            </w:r>
          </w:p>
        </w:tc>
        <w:tc>
          <w:tcPr>
            <w:tcW w:w="12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0"/>
              <w:jc w:val="center"/>
              <w:rPr>
                <w:rFonts w:ascii="Arial" w:hAnsi="Arial" w:cs="Arial" w:eastAsia="Arial" w:hint="default"/>
                <w:sz w:val="18"/>
                <w:szCs w:val="18"/>
              </w:rPr>
            </w:pPr>
            <w:r>
              <w:rPr>
                <w:rFonts w:ascii="Arial"/>
                <w:w w:val="100"/>
                <w:sz w:val="18"/>
              </w:rPr>
              <w:t>-</w:t>
            </w:r>
          </w:p>
        </w:tc>
        <w:tc>
          <w:tcPr>
            <w:tcW w:w="13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0"/>
              <w:jc w:val="center"/>
              <w:rPr>
                <w:rFonts w:ascii="Arial" w:hAnsi="Arial" w:cs="Arial" w:eastAsia="Arial" w:hint="default"/>
                <w:sz w:val="18"/>
                <w:szCs w:val="18"/>
              </w:rPr>
            </w:pPr>
            <w:r>
              <w:rPr>
                <w:rFonts w:ascii="Arial"/>
                <w:sz w:val="18"/>
              </w:rPr>
              <w:t>1,860,943.86</w:t>
            </w:r>
          </w:p>
        </w:tc>
        <w:tc>
          <w:tcPr>
            <w:tcW w:w="13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0"/>
              <w:jc w:val="center"/>
              <w:rPr>
                <w:rFonts w:ascii="Arial" w:hAnsi="Arial" w:cs="Arial" w:eastAsia="Arial" w:hint="default"/>
                <w:sz w:val="18"/>
                <w:szCs w:val="18"/>
              </w:rPr>
            </w:pPr>
            <w:r>
              <w:rPr>
                <w:rFonts w:ascii="Arial"/>
                <w:sz w:val="18"/>
              </w:rPr>
              <w:t>1,509,936.48</w:t>
            </w:r>
          </w:p>
        </w:tc>
        <w:tc>
          <w:tcPr>
            <w:tcW w:w="6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259" w:right="0"/>
              <w:jc w:val="left"/>
              <w:rPr>
                <w:rFonts w:ascii="Arial" w:hAnsi="Arial" w:cs="Arial" w:eastAsia="Arial" w:hint="default"/>
                <w:sz w:val="18"/>
                <w:szCs w:val="18"/>
              </w:rPr>
            </w:pPr>
            <w:r>
              <w:rPr>
                <w:rFonts w:ascii="Arial"/>
                <w:w w:val="100"/>
                <w:sz w:val="18"/>
              </w:rPr>
              <w:t>-</w:t>
            </w:r>
          </w:p>
        </w:tc>
        <w:tc>
          <w:tcPr>
            <w:tcW w:w="11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523" w:right="0"/>
              <w:jc w:val="left"/>
              <w:rPr>
                <w:rFonts w:ascii="Arial" w:hAnsi="Arial" w:cs="Arial" w:eastAsia="Arial" w:hint="default"/>
                <w:sz w:val="18"/>
                <w:szCs w:val="18"/>
              </w:rPr>
            </w:pPr>
            <w:r>
              <w:rPr>
                <w:rFonts w:ascii="Arial"/>
                <w:w w:val="100"/>
                <w:sz w:val="18"/>
              </w:rPr>
              <w:t>-</w:t>
            </w:r>
          </w:p>
        </w:tc>
        <w:tc>
          <w:tcPr>
            <w:tcW w:w="6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2"/>
              <w:jc w:val="center"/>
              <w:rPr>
                <w:rFonts w:ascii="Arial" w:hAnsi="Arial" w:cs="Arial" w:eastAsia="Arial" w:hint="default"/>
                <w:sz w:val="18"/>
                <w:szCs w:val="18"/>
              </w:rPr>
            </w:pPr>
            <w:r>
              <w:rPr>
                <w:rFonts w:ascii="Arial"/>
                <w:w w:val="100"/>
                <w:sz w:val="18"/>
              </w:rPr>
              <w:t>-</w:t>
            </w:r>
          </w:p>
        </w:tc>
        <w:tc>
          <w:tcPr>
            <w:tcW w:w="7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0"/>
              <w:jc w:val="center"/>
              <w:rPr>
                <w:rFonts w:ascii="Arial" w:hAnsi="Arial" w:cs="Arial" w:eastAsia="Arial" w:hint="default"/>
                <w:sz w:val="18"/>
                <w:szCs w:val="18"/>
              </w:rPr>
            </w:pPr>
            <w:r>
              <w:rPr>
                <w:rFonts w:ascii="Arial"/>
                <w:w w:val="100"/>
                <w:sz w:val="18"/>
              </w:rPr>
              <w:t>-</w:t>
            </w:r>
          </w:p>
        </w:tc>
        <w:tc>
          <w:tcPr>
            <w:tcW w:w="9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0"/>
              <w:jc w:val="center"/>
              <w:rPr>
                <w:rFonts w:ascii="Arial" w:hAnsi="Arial" w:cs="Arial" w:eastAsia="Arial" w:hint="default"/>
                <w:sz w:val="18"/>
                <w:szCs w:val="18"/>
              </w:rPr>
            </w:pPr>
            <w:r>
              <w:rPr>
                <w:rFonts w:ascii="Arial"/>
                <w:w w:val="100"/>
                <w:sz w:val="18"/>
              </w:rPr>
              <w:t>-</w:t>
            </w:r>
          </w:p>
        </w:tc>
        <w:tc>
          <w:tcPr>
            <w:tcW w:w="9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0"/>
              <w:jc w:val="center"/>
              <w:rPr>
                <w:rFonts w:ascii="Arial" w:hAnsi="Arial" w:cs="Arial" w:eastAsia="Arial" w:hint="default"/>
                <w:sz w:val="18"/>
                <w:szCs w:val="18"/>
              </w:rPr>
            </w:pPr>
            <w:r>
              <w:rPr>
                <w:rFonts w:ascii="Arial"/>
                <w:w w:val="100"/>
                <w:sz w:val="18"/>
              </w:rPr>
              <w:t>-</w:t>
            </w:r>
          </w:p>
        </w:tc>
        <w:tc>
          <w:tcPr>
            <w:tcW w:w="7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32" w:lineRule="exact"/>
              <w:ind w:left="165" w:right="163"/>
              <w:jc w:val="left"/>
              <w:rPr>
                <w:rFonts w:ascii="宋体" w:hAnsi="宋体" w:cs="宋体" w:eastAsia="宋体" w:hint="default"/>
                <w:sz w:val="18"/>
                <w:szCs w:val="18"/>
              </w:rPr>
            </w:pPr>
            <w:r>
              <w:rPr>
                <w:rFonts w:ascii="宋体" w:hAnsi="宋体" w:cs="宋体" w:eastAsia="宋体" w:hint="default"/>
                <w:sz w:val="18"/>
                <w:szCs w:val="18"/>
              </w:rPr>
              <w:t>募集</w:t>
            </w:r>
            <w:r>
              <w:rPr>
                <w:rFonts w:ascii="宋体" w:hAnsi="宋体" w:cs="宋体" w:eastAsia="宋体" w:hint="default"/>
                <w:w w:val="100"/>
                <w:sz w:val="18"/>
                <w:szCs w:val="18"/>
              </w:rPr>
              <w:t> </w:t>
            </w:r>
            <w:r>
              <w:rPr>
                <w:rFonts w:ascii="宋体" w:hAnsi="宋体" w:cs="宋体" w:eastAsia="宋体" w:hint="default"/>
                <w:sz w:val="18"/>
                <w:szCs w:val="18"/>
              </w:rPr>
              <w:t>资金</w:t>
            </w:r>
          </w:p>
        </w:tc>
        <w:tc>
          <w:tcPr>
            <w:tcW w:w="14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
              <w:jc w:val="center"/>
              <w:rPr>
                <w:rFonts w:ascii="Arial" w:hAnsi="Arial" w:cs="Arial" w:eastAsia="Arial" w:hint="default"/>
                <w:sz w:val="18"/>
                <w:szCs w:val="18"/>
              </w:rPr>
            </w:pPr>
            <w:r>
              <w:rPr>
                <w:rFonts w:ascii="Arial"/>
                <w:sz w:val="18"/>
              </w:rPr>
              <w:t>351,007.38</w:t>
            </w:r>
          </w:p>
        </w:tc>
      </w:tr>
      <w:tr>
        <w:trPr>
          <w:trHeight w:val="1025" w:hRule="exact"/>
        </w:trPr>
        <w:tc>
          <w:tcPr>
            <w:tcW w:w="13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02" w:lineRule="auto"/>
              <w:ind w:left="93" w:right="89"/>
              <w:jc w:val="left"/>
              <w:rPr>
                <w:rFonts w:ascii="宋体" w:hAnsi="宋体" w:cs="宋体" w:eastAsia="宋体" w:hint="default"/>
                <w:sz w:val="18"/>
                <w:szCs w:val="18"/>
              </w:rPr>
            </w:pPr>
            <w:r>
              <w:rPr>
                <w:rFonts w:ascii="Arial" w:hAnsi="Arial" w:cs="Arial" w:eastAsia="Arial" w:hint="default"/>
                <w:sz w:val="18"/>
                <w:szCs w:val="18"/>
              </w:rPr>
              <w:t>5,500</w:t>
            </w:r>
            <w:r>
              <w:rPr>
                <w:rFonts w:ascii="Arial" w:hAnsi="Arial" w:cs="Arial" w:eastAsia="Arial" w:hint="default"/>
                <w:spacing w:val="13"/>
                <w:sz w:val="18"/>
                <w:szCs w:val="18"/>
              </w:rPr>
              <w:t> </w:t>
            </w:r>
            <w:r>
              <w:rPr>
                <w:rFonts w:ascii="宋体" w:hAnsi="宋体" w:cs="宋体" w:eastAsia="宋体" w:hint="default"/>
                <w:sz w:val="18"/>
                <w:szCs w:val="18"/>
              </w:rPr>
              <w:t>吨</w:t>
            </w:r>
            <w:r>
              <w:rPr>
                <w:rFonts w:ascii="宋体" w:hAnsi="宋体" w:cs="宋体" w:eastAsia="宋体" w:hint="default"/>
                <w:spacing w:val="-67"/>
                <w:sz w:val="18"/>
                <w:szCs w:val="18"/>
              </w:rPr>
              <w:t> </w:t>
            </w:r>
            <w:r>
              <w:rPr>
                <w:rFonts w:ascii="宋体" w:hAnsi="宋体" w:cs="宋体" w:eastAsia="宋体" w:hint="default"/>
                <w:sz w:val="18"/>
                <w:szCs w:val="18"/>
              </w:rPr>
              <w:t>染</w:t>
            </w:r>
            <w:r>
              <w:rPr>
                <w:rFonts w:ascii="宋体" w:hAnsi="宋体" w:cs="宋体" w:eastAsia="宋体" w:hint="default"/>
                <w:spacing w:val="-67"/>
                <w:sz w:val="18"/>
                <w:szCs w:val="18"/>
              </w:rPr>
              <w:t> </w:t>
            </w:r>
            <w:r>
              <w:rPr>
                <w:rFonts w:ascii="宋体" w:hAnsi="宋体" w:cs="宋体" w:eastAsia="宋体" w:hint="default"/>
                <w:sz w:val="18"/>
                <w:szCs w:val="18"/>
              </w:rPr>
              <w:t>料</w:t>
            </w:r>
            <w:r>
              <w:rPr>
                <w:rFonts w:ascii="宋体" w:hAnsi="宋体" w:cs="宋体" w:eastAsia="宋体" w:hint="default"/>
                <w:w w:val="100"/>
                <w:sz w:val="18"/>
                <w:szCs w:val="18"/>
              </w:rPr>
              <w:t> </w:t>
            </w:r>
            <w:r>
              <w:rPr>
                <w:rFonts w:ascii="宋体" w:hAnsi="宋体" w:cs="宋体" w:eastAsia="宋体" w:hint="default"/>
                <w:sz w:val="18"/>
                <w:szCs w:val="18"/>
              </w:rPr>
              <w:t>滤饼项目</w:t>
            </w:r>
          </w:p>
        </w:tc>
        <w:tc>
          <w:tcPr>
            <w:tcW w:w="14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1"/>
              <w:jc w:val="center"/>
              <w:rPr>
                <w:rFonts w:ascii="Arial" w:hAnsi="Arial" w:cs="Arial" w:eastAsia="Arial" w:hint="default"/>
                <w:sz w:val="18"/>
                <w:szCs w:val="18"/>
              </w:rPr>
            </w:pPr>
            <w:r>
              <w:rPr>
                <w:rFonts w:ascii="Arial"/>
                <w:sz w:val="18"/>
              </w:rPr>
              <w:t>113,856,100.00</w:t>
            </w:r>
          </w:p>
        </w:tc>
        <w:tc>
          <w:tcPr>
            <w:tcW w:w="12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4" w:right="0"/>
              <w:jc w:val="center"/>
              <w:rPr>
                <w:rFonts w:ascii="Arial" w:hAnsi="Arial" w:cs="Arial" w:eastAsia="Arial" w:hint="default"/>
                <w:sz w:val="18"/>
                <w:szCs w:val="18"/>
              </w:rPr>
            </w:pPr>
            <w:r>
              <w:rPr>
                <w:rFonts w:ascii="Arial"/>
                <w:sz w:val="18"/>
              </w:rPr>
              <w:t>7,021,886.34</w:t>
            </w:r>
          </w:p>
        </w:tc>
        <w:tc>
          <w:tcPr>
            <w:tcW w:w="13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0"/>
              <w:jc w:val="center"/>
              <w:rPr>
                <w:rFonts w:ascii="Arial" w:hAnsi="Arial" w:cs="Arial" w:eastAsia="Arial" w:hint="default"/>
                <w:sz w:val="18"/>
                <w:szCs w:val="18"/>
              </w:rPr>
            </w:pPr>
            <w:r>
              <w:rPr>
                <w:rFonts w:ascii="Arial"/>
                <w:sz w:val="18"/>
              </w:rPr>
              <w:t>34,565,088.56</w:t>
            </w:r>
          </w:p>
        </w:tc>
        <w:tc>
          <w:tcPr>
            <w:tcW w:w="13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0"/>
              <w:jc w:val="center"/>
              <w:rPr>
                <w:rFonts w:ascii="Arial" w:hAnsi="Arial" w:cs="Arial" w:eastAsia="Arial" w:hint="default"/>
                <w:sz w:val="18"/>
                <w:szCs w:val="18"/>
              </w:rPr>
            </w:pPr>
            <w:r>
              <w:rPr>
                <w:rFonts w:ascii="Arial"/>
                <w:sz w:val="18"/>
              </w:rPr>
              <w:t>24,865,286.02</w:t>
            </w:r>
          </w:p>
        </w:tc>
        <w:tc>
          <w:tcPr>
            <w:tcW w:w="6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59" w:right="0"/>
              <w:jc w:val="left"/>
              <w:rPr>
                <w:rFonts w:ascii="Arial" w:hAnsi="Arial" w:cs="Arial" w:eastAsia="Arial" w:hint="default"/>
                <w:sz w:val="18"/>
                <w:szCs w:val="18"/>
              </w:rPr>
            </w:pPr>
            <w:r>
              <w:rPr>
                <w:rFonts w:ascii="Arial"/>
                <w:w w:val="100"/>
                <w:sz w:val="18"/>
              </w:rPr>
              <w:t>-</w:t>
            </w:r>
          </w:p>
        </w:tc>
        <w:tc>
          <w:tcPr>
            <w:tcW w:w="11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523" w:right="0"/>
              <w:jc w:val="left"/>
              <w:rPr>
                <w:rFonts w:ascii="Arial" w:hAnsi="Arial" w:cs="Arial" w:eastAsia="Arial" w:hint="default"/>
                <w:sz w:val="18"/>
                <w:szCs w:val="18"/>
              </w:rPr>
            </w:pPr>
            <w:r>
              <w:rPr>
                <w:rFonts w:ascii="Arial"/>
                <w:w w:val="100"/>
                <w:sz w:val="18"/>
              </w:rPr>
              <w:t>-</w:t>
            </w:r>
          </w:p>
        </w:tc>
        <w:tc>
          <w:tcPr>
            <w:tcW w:w="6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2"/>
              <w:jc w:val="center"/>
              <w:rPr>
                <w:rFonts w:ascii="Arial" w:hAnsi="Arial" w:cs="Arial" w:eastAsia="Arial" w:hint="default"/>
                <w:sz w:val="18"/>
                <w:szCs w:val="18"/>
              </w:rPr>
            </w:pPr>
            <w:r>
              <w:rPr>
                <w:rFonts w:ascii="Arial"/>
                <w:w w:val="100"/>
                <w:sz w:val="18"/>
              </w:rPr>
              <w:t>-</w:t>
            </w:r>
          </w:p>
        </w:tc>
        <w:tc>
          <w:tcPr>
            <w:tcW w:w="7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0"/>
              <w:jc w:val="center"/>
              <w:rPr>
                <w:rFonts w:ascii="Arial" w:hAnsi="Arial" w:cs="Arial" w:eastAsia="Arial" w:hint="default"/>
                <w:sz w:val="18"/>
                <w:szCs w:val="18"/>
              </w:rPr>
            </w:pPr>
            <w:r>
              <w:rPr>
                <w:rFonts w:ascii="Arial"/>
                <w:w w:val="100"/>
                <w:sz w:val="18"/>
              </w:rPr>
              <w:t>-</w:t>
            </w:r>
          </w:p>
        </w:tc>
        <w:tc>
          <w:tcPr>
            <w:tcW w:w="9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0"/>
              <w:jc w:val="center"/>
              <w:rPr>
                <w:rFonts w:ascii="Arial" w:hAnsi="Arial" w:cs="Arial" w:eastAsia="Arial" w:hint="default"/>
                <w:sz w:val="18"/>
                <w:szCs w:val="18"/>
              </w:rPr>
            </w:pPr>
            <w:r>
              <w:rPr>
                <w:rFonts w:ascii="Arial"/>
                <w:w w:val="100"/>
                <w:sz w:val="18"/>
              </w:rPr>
              <w:t>-</w:t>
            </w:r>
          </w:p>
        </w:tc>
        <w:tc>
          <w:tcPr>
            <w:tcW w:w="9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0"/>
              <w:jc w:val="center"/>
              <w:rPr>
                <w:rFonts w:ascii="Arial" w:hAnsi="Arial" w:cs="Arial" w:eastAsia="Arial" w:hint="default"/>
                <w:sz w:val="18"/>
                <w:szCs w:val="18"/>
              </w:rPr>
            </w:pPr>
            <w:r>
              <w:rPr>
                <w:rFonts w:ascii="Arial"/>
                <w:w w:val="100"/>
                <w:sz w:val="18"/>
              </w:rPr>
              <w:t>-</w:t>
            </w:r>
          </w:p>
        </w:tc>
        <w:tc>
          <w:tcPr>
            <w:tcW w:w="7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65" w:right="163"/>
              <w:jc w:val="left"/>
              <w:rPr>
                <w:rFonts w:ascii="宋体" w:hAnsi="宋体" w:cs="宋体" w:eastAsia="宋体" w:hint="default"/>
                <w:sz w:val="18"/>
                <w:szCs w:val="18"/>
              </w:rPr>
            </w:pPr>
            <w:r>
              <w:rPr>
                <w:rFonts w:ascii="宋体" w:hAnsi="宋体" w:cs="宋体" w:eastAsia="宋体" w:hint="default"/>
                <w:sz w:val="18"/>
                <w:szCs w:val="18"/>
              </w:rPr>
              <w:t>募集</w:t>
            </w:r>
            <w:r>
              <w:rPr>
                <w:rFonts w:ascii="宋体" w:hAnsi="宋体" w:cs="宋体" w:eastAsia="宋体" w:hint="default"/>
                <w:w w:val="100"/>
                <w:sz w:val="18"/>
                <w:szCs w:val="18"/>
              </w:rPr>
              <w:t> </w:t>
            </w:r>
            <w:r>
              <w:rPr>
                <w:rFonts w:ascii="宋体" w:hAnsi="宋体" w:cs="宋体" w:eastAsia="宋体" w:hint="default"/>
                <w:sz w:val="18"/>
                <w:szCs w:val="18"/>
              </w:rPr>
              <w:t>资金</w:t>
            </w:r>
          </w:p>
        </w:tc>
        <w:tc>
          <w:tcPr>
            <w:tcW w:w="14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0"/>
              <w:jc w:val="center"/>
              <w:rPr>
                <w:rFonts w:ascii="Arial" w:hAnsi="Arial" w:cs="Arial" w:eastAsia="Arial" w:hint="default"/>
                <w:sz w:val="18"/>
                <w:szCs w:val="18"/>
              </w:rPr>
            </w:pPr>
            <w:r>
              <w:rPr>
                <w:rFonts w:ascii="Arial"/>
                <w:sz w:val="18"/>
              </w:rPr>
              <w:t>16,721,688.88</w:t>
            </w:r>
          </w:p>
        </w:tc>
      </w:tr>
      <w:tr>
        <w:trPr>
          <w:trHeight w:val="967" w:hRule="exact"/>
        </w:trPr>
        <w:tc>
          <w:tcPr>
            <w:tcW w:w="1368" w:type="dxa"/>
            <w:tcBorders>
              <w:top w:val="single" w:sz="12" w:space="0" w:color="000000"/>
              <w:left w:val="single" w:sz="12" w:space="0" w:color="000000"/>
              <w:bottom w:val="single" w:sz="12" w:space="0" w:color="000000"/>
              <w:right w:val="single" w:sz="12" w:space="0" w:color="000000"/>
            </w:tcBorders>
          </w:tcPr>
          <w:p>
            <w:pPr>
              <w:pStyle w:val="TableParagraph"/>
              <w:spacing w:line="309" w:lineRule="auto" w:before="10"/>
              <w:ind w:left="93" w:right="89"/>
              <w:jc w:val="both"/>
              <w:rPr>
                <w:rFonts w:ascii="宋体" w:hAnsi="宋体" w:cs="宋体" w:eastAsia="宋体" w:hint="default"/>
                <w:sz w:val="18"/>
                <w:szCs w:val="18"/>
              </w:rPr>
            </w:pPr>
            <w:r>
              <w:rPr>
                <w:rFonts w:ascii="宋体" w:hAnsi="宋体" w:cs="宋体" w:eastAsia="宋体" w:hint="default"/>
                <w:sz w:val="18"/>
                <w:szCs w:val="18"/>
              </w:rPr>
              <w:t>滤饼 </w:t>
            </w:r>
            <w:r>
              <w:rPr>
                <w:rFonts w:ascii="Arial" w:hAnsi="Arial" w:cs="Arial" w:eastAsia="Arial" w:hint="default"/>
                <w:sz w:val="18"/>
                <w:szCs w:val="18"/>
              </w:rPr>
              <w:t>1,500</w:t>
            </w:r>
            <w:r>
              <w:rPr>
                <w:rFonts w:ascii="Arial" w:hAnsi="Arial" w:cs="Arial" w:eastAsia="Arial" w:hint="default"/>
                <w:spacing w:val="20"/>
                <w:sz w:val="18"/>
                <w:szCs w:val="18"/>
              </w:rPr>
              <w:t> </w:t>
            </w:r>
            <w:r>
              <w:rPr>
                <w:rFonts w:ascii="宋体" w:hAnsi="宋体" w:cs="宋体" w:eastAsia="宋体" w:hint="default"/>
                <w:sz w:val="18"/>
                <w:szCs w:val="18"/>
              </w:rPr>
              <w:t>吨</w:t>
            </w:r>
            <w:r>
              <w:rPr>
                <w:rFonts w:ascii="宋体" w:hAnsi="宋体" w:cs="宋体" w:eastAsia="宋体" w:hint="default"/>
                <w:w w:val="100"/>
                <w:sz w:val="18"/>
                <w:szCs w:val="18"/>
              </w:rPr>
              <w:t> </w:t>
            </w:r>
            <w:r>
              <w:rPr>
                <w:rFonts w:ascii="宋体" w:hAnsi="宋体" w:cs="宋体" w:eastAsia="宋体" w:hint="default"/>
                <w:sz w:val="18"/>
                <w:szCs w:val="18"/>
              </w:rPr>
              <w:t>及</w:t>
            </w:r>
            <w:r>
              <w:rPr>
                <w:rFonts w:ascii="宋体" w:hAnsi="宋体" w:cs="宋体" w:eastAsia="宋体" w:hint="default"/>
                <w:spacing w:val="-28"/>
                <w:sz w:val="18"/>
                <w:szCs w:val="18"/>
              </w:rPr>
              <w:t> </w:t>
            </w:r>
            <w:r>
              <w:rPr>
                <w:rFonts w:ascii="宋体" w:hAnsi="宋体" w:cs="宋体" w:eastAsia="宋体" w:hint="default"/>
                <w:sz w:val="18"/>
                <w:szCs w:val="18"/>
              </w:rPr>
              <w:t>分</w:t>
            </w:r>
            <w:r>
              <w:rPr>
                <w:rFonts w:ascii="宋体" w:hAnsi="宋体" w:cs="宋体" w:eastAsia="宋体" w:hint="default"/>
                <w:spacing w:val="-28"/>
                <w:sz w:val="18"/>
                <w:szCs w:val="18"/>
              </w:rPr>
              <w:t> </w:t>
            </w:r>
            <w:r>
              <w:rPr>
                <w:rFonts w:ascii="宋体" w:hAnsi="宋体" w:cs="宋体" w:eastAsia="宋体" w:hint="default"/>
                <w:sz w:val="18"/>
                <w:szCs w:val="18"/>
              </w:rPr>
              <w:t>散</w:t>
            </w:r>
            <w:r>
              <w:rPr>
                <w:rFonts w:ascii="宋体" w:hAnsi="宋体" w:cs="宋体" w:eastAsia="宋体" w:hint="default"/>
                <w:spacing w:val="-28"/>
                <w:sz w:val="18"/>
                <w:szCs w:val="18"/>
              </w:rPr>
              <w:t> </w:t>
            </w:r>
            <w:r>
              <w:rPr>
                <w:rFonts w:ascii="宋体" w:hAnsi="宋体" w:cs="宋体" w:eastAsia="宋体" w:hint="default"/>
                <w:sz w:val="18"/>
                <w:szCs w:val="18"/>
              </w:rPr>
              <w:t>染</w:t>
            </w:r>
            <w:r>
              <w:rPr>
                <w:rFonts w:ascii="宋体" w:hAnsi="宋体" w:cs="宋体" w:eastAsia="宋体" w:hint="default"/>
                <w:spacing w:val="-28"/>
                <w:sz w:val="18"/>
                <w:szCs w:val="18"/>
              </w:rPr>
              <w:t> </w:t>
            </w:r>
            <w:r>
              <w:rPr>
                <w:rFonts w:ascii="宋体" w:hAnsi="宋体" w:cs="宋体" w:eastAsia="宋体" w:hint="default"/>
                <w:sz w:val="18"/>
                <w:szCs w:val="18"/>
              </w:rPr>
              <w:t>料</w:t>
            </w:r>
            <w:r>
              <w:rPr>
                <w:rFonts w:ascii="宋体" w:hAnsi="宋体" w:cs="宋体" w:eastAsia="宋体" w:hint="default"/>
                <w:w w:val="100"/>
                <w:sz w:val="18"/>
                <w:szCs w:val="18"/>
              </w:rPr>
              <w:t> </w:t>
            </w:r>
            <w:r>
              <w:rPr>
                <w:rFonts w:ascii="Arial" w:hAnsi="Arial" w:cs="Arial" w:eastAsia="Arial" w:hint="default"/>
                <w:sz w:val="18"/>
                <w:szCs w:val="18"/>
              </w:rPr>
              <w:t>5,000</w:t>
            </w:r>
            <w:r>
              <w:rPr>
                <w:rFonts w:ascii="Arial" w:hAnsi="Arial" w:cs="Arial" w:eastAsia="Arial" w:hint="default"/>
                <w:spacing w:val="-8"/>
                <w:sz w:val="18"/>
                <w:szCs w:val="18"/>
              </w:rPr>
              <w:t> </w:t>
            </w:r>
            <w:r>
              <w:rPr>
                <w:rFonts w:ascii="宋体" w:hAnsi="宋体" w:cs="宋体" w:eastAsia="宋体" w:hint="default"/>
                <w:sz w:val="18"/>
                <w:szCs w:val="18"/>
              </w:rPr>
              <w:t>吨项目</w:t>
            </w:r>
          </w:p>
        </w:tc>
        <w:tc>
          <w:tcPr>
            <w:tcW w:w="14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Arial" w:hAnsi="Arial" w:cs="Arial" w:eastAsia="Arial" w:hint="default"/>
                <w:sz w:val="18"/>
                <w:szCs w:val="18"/>
              </w:rPr>
            </w:pPr>
            <w:r>
              <w:rPr>
                <w:rFonts w:ascii="Arial"/>
                <w:sz w:val="18"/>
              </w:rPr>
              <w:t>49,530,000.00</w:t>
            </w:r>
          </w:p>
        </w:tc>
        <w:tc>
          <w:tcPr>
            <w:tcW w:w="12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Arial" w:hAnsi="Arial" w:cs="Arial" w:eastAsia="Arial" w:hint="default"/>
                <w:sz w:val="18"/>
                <w:szCs w:val="18"/>
              </w:rPr>
            </w:pPr>
            <w:r>
              <w:rPr>
                <w:rFonts w:ascii="Arial"/>
                <w:w w:val="100"/>
                <w:sz w:val="18"/>
              </w:rPr>
              <w:t>-</w:t>
            </w:r>
          </w:p>
        </w:tc>
        <w:tc>
          <w:tcPr>
            <w:tcW w:w="13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Arial" w:hAnsi="Arial" w:cs="Arial" w:eastAsia="Arial" w:hint="default"/>
                <w:sz w:val="18"/>
                <w:szCs w:val="18"/>
              </w:rPr>
            </w:pPr>
            <w:r>
              <w:rPr>
                <w:rFonts w:ascii="Arial"/>
                <w:sz w:val="18"/>
              </w:rPr>
              <w:t>6,206,341.19</w:t>
            </w:r>
          </w:p>
        </w:tc>
        <w:tc>
          <w:tcPr>
            <w:tcW w:w="13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Arial" w:hAnsi="Arial" w:cs="Arial" w:eastAsia="Arial" w:hint="default"/>
                <w:sz w:val="18"/>
                <w:szCs w:val="18"/>
              </w:rPr>
            </w:pPr>
            <w:r>
              <w:rPr>
                <w:rFonts w:ascii="Arial"/>
                <w:sz w:val="18"/>
              </w:rPr>
              <w:t>981,709.20</w:t>
            </w:r>
          </w:p>
        </w:tc>
        <w:tc>
          <w:tcPr>
            <w:tcW w:w="6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9" w:right="0"/>
              <w:jc w:val="left"/>
              <w:rPr>
                <w:rFonts w:ascii="Arial" w:hAnsi="Arial" w:cs="Arial" w:eastAsia="Arial" w:hint="default"/>
                <w:sz w:val="18"/>
                <w:szCs w:val="18"/>
              </w:rPr>
            </w:pPr>
            <w:r>
              <w:rPr>
                <w:rFonts w:ascii="Arial"/>
                <w:w w:val="100"/>
                <w:sz w:val="18"/>
              </w:rPr>
              <w:t>-</w:t>
            </w:r>
          </w:p>
        </w:tc>
        <w:tc>
          <w:tcPr>
            <w:tcW w:w="11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23" w:right="0"/>
              <w:jc w:val="left"/>
              <w:rPr>
                <w:rFonts w:ascii="Arial" w:hAnsi="Arial" w:cs="Arial" w:eastAsia="Arial" w:hint="default"/>
                <w:sz w:val="18"/>
                <w:szCs w:val="18"/>
              </w:rPr>
            </w:pPr>
            <w:r>
              <w:rPr>
                <w:rFonts w:ascii="Arial"/>
                <w:w w:val="100"/>
                <w:sz w:val="18"/>
              </w:rPr>
              <w:t>-</w:t>
            </w:r>
          </w:p>
        </w:tc>
        <w:tc>
          <w:tcPr>
            <w:tcW w:w="6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
              <w:jc w:val="center"/>
              <w:rPr>
                <w:rFonts w:ascii="Arial" w:hAnsi="Arial" w:cs="Arial" w:eastAsia="Arial" w:hint="default"/>
                <w:sz w:val="18"/>
                <w:szCs w:val="18"/>
              </w:rPr>
            </w:pPr>
            <w:r>
              <w:rPr>
                <w:rFonts w:ascii="Arial"/>
                <w:w w:val="100"/>
                <w:sz w:val="18"/>
              </w:rPr>
              <w:t>-</w:t>
            </w:r>
          </w:p>
        </w:tc>
        <w:tc>
          <w:tcPr>
            <w:tcW w:w="7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Arial" w:hAnsi="Arial" w:cs="Arial" w:eastAsia="Arial" w:hint="default"/>
                <w:sz w:val="18"/>
                <w:szCs w:val="18"/>
              </w:rPr>
            </w:pPr>
            <w:r>
              <w:rPr>
                <w:rFonts w:ascii="Arial"/>
                <w:w w:val="100"/>
                <w:sz w:val="18"/>
              </w:rPr>
              <w:t>-</w:t>
            </w:r>
          </w:p>
        </w:tc>
        <w:tc>
          <w:tcPr>
            <w:tcW w:w="9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Arial" w:hAnsi="Arial" w:cs="Arial" w:eastAsia="Arial" w:hint="default"/>
                <w:sz w:val="18"/>
                <w:szCs w:val="18"/>
              </w:rPr>
            </w:pPr>
            <w:r>
              <w:rPr>
                <w:rFonts w:ascii="Arial"/>
                <w:w w:val="100"/>
                <w:sz w:val="18"/>
              </w:rPr>
              <w:t>-</w:t>
            </w:r>
          </w:p>
        </w:tc>
        <w:tc>
          <w:tcPr>
            <w:tcW w:w="9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Arial" w:hAnsi="Arial" w:cs="Arial" w:eastAsia="Arial" w:hint="default"/>
                <w:sz w:val="18"/>
                <w:szCs w:val="18"/>
              </w:rPr>
            </w:pPr>
            <w:r>
              <w:rPr>
                <w:rFonts w:ascii="Arial"/>
                <w:w w:val="100"/>
                <w:sz w:val="18"/>
              </w:rPr>
              <w:t>-</w:t>
            </w:r>
          </w:p>
        </w:tc>
        <w:tc>
          <w:tcPr>
            <w:tcW w:w="7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65" w:right="163"/>
              <w:jc w:val="left"/>
              <w:rPr>
                <w:rFonts w:ascii="宋体" w:hAnsi="宋体" w:cs="宋体" w:eastAsia="宋体" w:hint="default"/>
                <w:sz w:val="18"/>
                <w:szCs w:val="18"/>
              </w:rPr>
            </w:pPr>
            <w:r>
              <w:rPr>
                <w:rFonts w:ascii="宋体" w:hAnsi="宋体" w:cs="宋体" w:eastAsia="宋体" w:hint="default"/>
                <w:sz w:val="18"/>
                <w:szCs w:val="18"/>
              </w:rPr>
              <w:t>募集</w:t>
            </w:r>
            <w:r>
              <w:rPr>
                <w:rFonts w:ascii="宋体" w:hAnsi="宋体" w:cs="宋体" w:eastAsia="宋体" w:hint="default"/>
                <w:w w:val="100"/>
                <w:sz w:val="18"/>
                <w:szCs w:val="18"/>
              </w:rPr>
              <w:t> </w:t>
            </w:r>
            <w:r>
              <w:rPr>
                <w:rFonts w:ascii="宋体" w:hAnsi="宋体" w:cs="宋体" w:eastAsia="宋体" w:hint="default"/>
                <w:sz w:val="18"/>
                <w:szCs w:val="18"/>
              </w:rPr>
              <w:t>资金</w:t>
            </w:r>
          </w:p>
        </w:tc>
        <w:tc>
          <w:tcPr>
            <w:tcW w:w="14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Arial" w:hAnsi="Arial" w:cs="Arial" w:eastAsia="Arial" w:hint="default"/>
                <w:sz w:val="18"/>
                <w:szCs w:val="18"/>
              </w:rPr>
            </w:pPr>
            <w:r>
              <w:rPr>
                <w:rFonts w:ascii="Arial"/>
                <w:sz w:val="18"/>
              </w:rPr>
              <w:t>5,224,631.99</w:t>
            </w:r>
          </w:p>
        </w:tc>
      </w:tr>
      <w:tr>
        <w:trPr>
          <w:trHeight w:val="511" w:hRule="exact"/>
        </w:trPr>
        <w:tc>
          <w:tcPr>
            <w:tcW w:w="13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4"/>
              <w:ind w:right="523"/>
              <w:jc w:val="right"/>
              <w:rPr>
                <w:rFonts w:ascii="宋体" w:hAnsi="宋体" w:cs="宋体" w:eastAsia="宋体" w:hint="default"/>
                <w:sz w:val="18"/>
                <w:szCs w:val="18"/>
              </w:rPr>
            </w:pPr>
            <w:r>
              <w:rPr>
                <w:rFonts w:ascii="宋体" w:hAnsi="宋体" w:cs="宋体" w:eastAsia="宋体" w:hint="default"/>
                <w:spacing w:val="-1"/>
                <w:sz w:val="18"/>
                <w:szCs w:val="18"/>
              </w:rPr>
              <w:t>厂房工程</w:t>
            </w:r>
          </w:p>
        </w:tc>
        <w:tc>
          <w:tcPr>
            <w:tcW w:w="1459" w:type="dxa"/>
            <w:tcBorders>
              <w:top w:val="single" w:sz="12" w:space="0" w:color="000000"/>
              <w:left w:val="single" w:sz="12" w:space="0" w:color="000000"/>
              <w:bottom w:val="single" w:sz="12" w:space="0" w:color="000000"/>
              <w:right w:val="single" w:sz="12" w:space="0" w:color="000000"/>
            </w:tcBorders>
          </w:tcPr>
          <w:p>
            <w:pPr/>
          </w:p>
        </w:tc>
        <w:tc>
          <w:tcPr>
            <w:tcW w:w="12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8"/>
              <w:ind w:right="0"/>
              <w:jc w:val="center"/>
              <w:rPr>
                <w:rFonts w:ascii="Arial" w:hAnsi="Arial" w:cs="Arial" w:eastAsia="Arial" w:hint="default"/>
                <w:sz w:val="18"/>
                <w:szCs w:val="18"/>
              </w:rPr>
            </w:pPr>
            <w:r>
              <w:rPr>
                <w:rFonts w:ascii="Arial"/>
                <w:w w:val="100"/>
                <w:sz w:val="18"/>
              </w:rPr>
              <w:t>-</w:t>
            </w:r>
          </w:p>
        </w:tc>
        <w:tc>
          <w:tcPr>
            <w:tcW w:w="13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8"/>
              <w:ind w:right="0"/>
              <w:jc w:val="center"/>
              <w:rPr>
                <w:rFonts w:ascii="Arial" w:hAnsi="Arial" w:cs="Arial" w:eastAsia="Arial" w:hint="default"/>
                <w:sz w:val="18"/>
                <w:szCs w:val="18"/>
              </w:rPr>
            </w:pPr>
            <w:r>
              <w:rPr>
                <w:rFonts w:ascii="Arial"/>
                <w:sz w:val="18"/>
              </w:rPr>
              <w:t>3,977,664.05</w:t>
            </w:r>
          </w:p>
        </w:tc>
        <w:tc>
          <w:tcPr>
            <w:tcW w:w="13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8"/>
              <w:ind w:right="0"/>
              <w:jc w:val="center"/>
              <w:rPr>
                <w:rFonts w:ascii="Arial" w:hAnsi="Arial" w:cs="Arial" w:eastAsia="Arial" w:hint="default"/>
                <w:sz w:val="18"/>
                <w:szCs w:val="18"/>
              </w:rPr>
            </w:pPr>
            <w:r>
              <w:rPr>
                <w:rFonts w:ascii="Arial"/>
                <w:sz w:val="18"/>
              </w:rPr>
              <w:t>2,950,414.05</w:t>
            </w:r>
          </w:p>
        </w:tc>
        <w:tc>
          <w:tcPr>
            <w:tcW w:w="6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8"/>
              <w:ind w:left="259" w:right="0"/>
              <w:jc w:val="left"/>
              <w:rPr>
                <w:rFonts w:ascii="Arial" w:hAnsi="Arial" w:cs="Arial" w:eastAsia="Arial" w:hint="default"/>
                <w:sz w:val="18"/>
                <w:szCs w:val="18"/>
              </w:rPr>
            </w:pPr>
            <w:r>
              <w:rPr>
                <w:rFonts w:ascii="Arial"/>
                <w:w w:val="100"/>
                <w:sz w:val="18"/>
              </w:rPr>
              <w:t>-</w:t>
            </w:r>
          </w:p>
        </w:tc>
        <w:tc>
          <w:tcPr>
            <w:tcW w:w="11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8"/>
              <w:ind w:left="523" w:right="0"/>
              <w:jc w:val="left"/>
              <w:rPr>
                <w:rFonts w:ascii="Arial" w:hAnsi="Arial" w:cs="Arial" w:eastAsia="Arial" w:hint="default"/>
                <w:sz w:val="18"/>
                <w:szCs w:val="18"/>
              </w:rPr>
            </w:pPr>
            <w:r>
              <w:rPr>
                <w:rFonts w:ascii="Arial"/>
                <w:w w:val="100"/>
                <w:sz w:val="18"/>
              </w:rPr>
              <w:t>-</w:t>
            </w:r>
          </w:p>
        </w:tc>
        <w:tc>
          <w:tcPr>
            <w:tcW w:w="6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8"/>
              <w:ind w:right="2"/>
              <w:jc w:val="center"/>
              <w:rPr>
                <w:rFonts w:ascii="Arial" w:hAnsi="Arial" w:cs="Arial" w:eastAsia="Arial" w:hint="default"/>
                <w:sz w:val="18"/>
                <w:szCs w:val="18"/>
              </w:rPr>
            </w:pPr>
            <w:r>
              <w:rPr>
                <w:rFonts w:ascii="Arial"/>
                <w:w w:val="100"/>
                <w:sz w:val="18"/>
              </w:rPr>
              <w:t>-</w:t>
            </w:r>
          </w:p>
        </w:tc>
        <w:tc>
          <w:tcPr>
            <w:tcW w:w="7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8"/>
              <w:ind w:right="0"/>
              <w:jc w:val="center"/>
              <w:rPr>
                <w:rFonts w:ascii="Arial" w:hAnsi="Arial" w:cs="Arial" w:eastAsia="Arial" w:hint="default"/>
                <w:sz w:val="18"/>
                <w:szCs w:val="18"/>
              </w:rPr>
            </w:pPr>
            <w:r>
              <w:rPr>
                <w:rFonts w:ascii="Arial"/>
                <w:w w:val="100"/>
                <w:sz w:val="18"/>
              </w:rPr>
              <w:t>-</w:t>
            </w:r>
          </w:p>
        </w:tc>
        <w:tc>
          <w:tcPr>
            <w:tcW w:w="9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8"/>
              <w:ind w:right="0"/>
              <w:jc w:val="center"/>
              <w:rPr>
                <w:rFonts w:ascii="Arial" w:hAnsi="Arial" w:cs="Arial" w:eastAsia="Arial" w:hint="default"/>
                <w:sz w:val="18"/>
                <w:szCs w:val="18"/>
              </w:rPr>
            </w:pPr>
            <w:r>
              <w:rPr>
                <w:rFonts w:ascii="Arial"/>
                <w:w w:val="100"/>
                <w:sz w:val="18"/>
              </w:rPr>
              <w:t>-</w:t>
            </w:r>
          </w:p>
        </w:tc>
        <w:tc>
          <w:tcPr>
            <w:tcW w:w="9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8"/>
              <w:ind w:right="0"/>
              <w:jc w:val="center"/>
              <w:rPr>
                <w:rFonts w:ascii="Arial" w:hAnsi="Arial" w:cs="Arial" w:eastAsia="Arial" w:hint="default"/>
                <w:sz w:val="18"/>
                <w:szCs w:val="18"/>
              </w:rPr>
            </w:pPr>
            <w:r>
              <w:rPr>
                <w:rFonts w:ascii="Arial"/>
                <w:w w:val="100"/>
                <w:sz w:val="18"/>
              </w:rPr>
              <w:t>-</w:t>
            </w:r>
          </w:p>
        </w:tc>
        <w:tc>
          <w:tcPr>
            <w:tcW w:w="7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7"/>
              <w:ind w:left="165"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14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8"/>
              <w:ind w:right="0"/>
              <w:jc w:val="center"/>
              <w:rPr>
                <w:rFonts w:ascii="Arial" w:hAnsi="Arial" w:cs="Arial" w:eastAsia="Arial" w:hint="default"/>
                <w:sz w:val="18"/>
                <w:szCs w:val="18"/>
              </w:rPr>
            </w:pPr>
            <w:r>
              <w:rPr>
                <w:rFonts w:ascii="Arial"/>
                <w:sz w:val="18"/>
              </w:rPr>
              <w:t>1,027,250.00</w:t>
            </w:r>
          </w:p>
        </w:tc>
      </w:tr>
      <w:tr>
        <w:trPr>
          <w:trHeight w:val="449" w:hRule="exact"/>
        </w:trPr>
        <w:tc>
          <w:tcPr>
            <w:tcW w:w="13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3"/>
              <w:ind w:right="523"/>
              <w:jc w:val="right"/>
              <w:rPr>
                <w:rFonts w:ascii="宋体" w:hAnsi="宋体" w:cs="宋体" w:eastAsia="宋体" w:hint="default"/>
                <w:sz w:val="18"/>
                <w:szCs w:val="18"/>
              </w:rPr>
            </w:pPr>
            <w:r>
              <w:rPr>
                <w:rFonts w:ascii="宋体" w:hAnsi="宋体" w:cs="宋体" w:eastAsia="宋体" w:hint="default"/>
                <w:spacing w:val="-1"/>
                <w:sz w:val="18"/>
                <w:szCs w:val="18"/>
              </w:rPr>
              <w:t>设备工程</w:t>
            </w:r>
          </w:p>
        </w:tc>
        <w:tc>
          <w:tcPr>
            <w:tcW w:w="1459" w:type="dxa"/>
            <w:tcBorders>
              <w:top w:val="single" w:sz="12" w:space="0" w:color="000000"/>
              <w:left w:val="single" w:sz="12" w:space="0" w:color="000000"/>
              <w:bottom w:val="single" w:sz="12" w:space="0" w:color="000000"/>
              <w:right w:val="single" w:sz="12" w:space="0" w:color="000000"/>
            </w:tcBorders>
          </w:tcPr>
          <w:p>
            <w:pPr/>
          </w:p>
        </w:tc>
        <w:tc>
          <w:tcPr>
            <w:tcW w:w="12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7"/>
              <w:ind w:right="0"/>
              <w:jc w:val="center"/>
              <w:rPr>
                <w:rFonts w:ascii="Arial" w:hAnsi="Arial" w:cs="Arial" w:eastAsia="Arial" w:hint="default"/>
                <w:sz w:val="18"/>
                <w:szCs w:val="18"/>
              </w:rPr>
            </w:pPr>
            <w:r>
              <w:rPr>
                <w:rFonts w:ascii="Arial"/>
                <w:w w:val="100"/>
                <w:sz w:val="18"/>
              </w:rPr>
              <w:t>-</w:t>
            </w:r>
          </w:p>
        </w:tc>
        <w:tc>
          <w:tcPr>
            <w:tcW w:w="13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7"/>
              <w:ind w:right="0"/>
              <w:jc w:val="center"/>
              <w:rPr>
                <w:rFonts w:ascii="Arial" w:hAnsi="Arial" w:cs="Arial" w:eastAsia="Arial" w:hint="default"/>
                <w:sz w:val="18"/>
                <w:szCs w:val="18"/>
              </w:rPr>
            </w:pPr>
            <w:r>
              <w:rPr>
                <w:rFonts w:ascii="Arial"/>
                <w:sz w:val="18"/>
              </w:rPr>
              <w:t>4,516,518.11</w:t>
            </w:r>
          </w:p>
        </w:tc>
        <w:tc>
          <w:tcPr>
            <w:tcW w:w="13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7"/>
              <w:ind w:right="0"/>
              <w:jc w:val="center"/>
              <w:rPr>
                <w:rFonts w:ascii="Arial" w:hAnsi="Arial" w:cs="Arial" w:eastAsia="Arial" w:hint="default"/>
                <w:sz w:val="18"/>
                <w:szCs w:val="18"/>
              </w:rPr>
            </w:pPr>
            <w:r>
              <w:rPr>
                <w:rFonts w:ascii="Arial"/>
                <w:w w:val="100"/>
                <w:sz w:val="18"/>
              </w:rPr>
              <w:t>-</w:t>
            </w:r>
          </w:p>
        </w:tc>
        <w:tc>
          <w:tcPr>
            <w:tcW w:w="6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7"/>
              <w:ind w:left="259" w:right="0"/>
              <w:jc w:val="left"/>
              <w:rPr>
                <w:rFonts w:ascii="Arial" w:hAnsi="Arial" w:cs="Arial" w:eastAsia="Arial" w:hint="default"/>
                <w:sz w:val="18"/>
                <w:szCs w:val="18"/>
              </w:rPr>
            </w:pPr>
            <w:r>
              <w:rPr>
                <w:rFonts w:ascii="Arial"/>
                <w:w w:val="100"/>
                <w:sz w:val="18"/>
              </w:rPr>
              <w:t>-</w:t>
            </w:r>
          </w:p>
        </w:tc>
        <w:tc>
          <w:tcPr>
            <w:tcW w:w="11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7"/>
              <w:ind w:left="523" w:right="0"/>
              <w:jc w:val="left"/>
              <w:rPr>
                <w:rFonts w:ascii="Arial" w:hAnsi="Arial" w:cs="Arial" w:eastAsia="Arial" w:hint="default"/>
                <w:sz w:val="18"/>
                <w:szCs w:val="18"/>
              </w:rPr>
            </w:pPr>
            <w:r>
              <w:rPr>
                <w:rFonts w:ascii="Arial"/>
                <w:w w:val="100"/>
                <w:sz w:val="18"/>
              </w:rPr>
              <w:t>-</w:t>
            </w:r>
          </w:p>
        </w:tc>
        <w:tc>
          <w:tcPr>
            <w:tcW w:w="6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7"/>
              <w:ind w:right="2"/>
              <w:jc w:val="center"/>
              <w:rPr>
                <w:rFonts w:ascii="Arial" w:hAnsi="Arial" w:cs="Arial" w:eastAsia="Arial" w:hint="default"/>
                <w:sz w:val="18"/>
                <w:szCs w:val="18"/>
              </w:rPr>
            </w:pPr>
            <w:r>
              <w:rPr>
                <w:rFonts w:ascii="Arial"/>
                <w:w w:val="100"/>
                <w:sz w:val="18"/>
              </w:rPr>
              <w:t>-</w:t>
            </w:r>
          </w:p>
        </w:tc>
        <w:tc>
          <w:tcPr>
            <w:tcW w:w="7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7"/>
              <w:ind w:right="0"/>
              <w:jc w:val="center"/>
              <w:rPr>
                <w:rFonts w:ascii="Arial" w:hAnsi="Arial" w:cs="Arial" w:eastAsia="Arial" w:hint="default"/>
                <w:sz w:val="18"/>
                <w:szCs w:val="18"/>
              </w:rPr>
            </w:pPr>
            <w:r>
              <w:rPr>
                <w:rFonts w:ascii="Arial"/>
                <w:w w:val="100"/>
                <w:sz w:val="18"/>
              </w:rPr>
              <w:t>-</w:t>
            </w:r>
          </w:p>
        </w:tc>
        <w:tc>
          <w:tcPr>
            <w:tcW w:w="9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7"/>
              <w:ind w:right="0"/>
              <w:jc w:val="center"/>
              <w:rPr>
                <w:rFonts w:ascii="Arial" w:hAnsi="Arial" w:cs="Arial" w:eastAsia="Arial" w:hint="default"/>
                <w:sz w:val="18"/>
                <w:szCs w:val="18"/>
              </w:rPr>
            </w:pPr>
            <w:r>
              <w:rPr>
                <w:rFonts w:ascii="Arial"/>
                <w:w w:val="100"/>
                <w:sz w:val="18"/>
              </w:rPr>
              <w:t>-</w:t>
            </w:r>
          </w:p>
        </w:tc>
        <w:tc>
          <w:tcPr>
            <w:tcW w:w="9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7"/>
              <w:ind w:right="0"/>
              <w:jc w:val="center"/>
              <w:rPr>
                <w:rFonts w:ascii="Arial" w:hAnsi="Arial" w:cs="Arial" w:eastAsia="Arial" w:hint="default"/>
                <w:sz w:val="18"/>
                <w:szCs w:val="18"/>
              </w:rPr>
            </w:pPr>
            <w:r>
              <w:rPr>
                <w:rFonts w:ascii="Arial"/>
                <w:w w:val="100"/>
                <w:sz w:val="18"/>
              </w:rPr>
              <w:t>-</w:t>
            </w:r>
          </w:p>
        </w:tc>
        <w:tc>
          <w:tcPr>
            <w:tcW w:w="7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3"/>
              <w:ind w:left="165"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14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7"/>
              <w:ind w:right="0"/>
              <w:jc w:val="center"/>
              <w:rPr>
                <w:rFonts w:ascii="Arial" w:hAnsi="Arial" w:cs="Arial" w:eastAsia="Arial" w:hint="default"/>
                <w:sz w:val="18"/>
                <w:szCs w:val="18"/>
              </w:rPr>
            </w:pPr>
            <w:r>
              <w:rPr>
                <w:rFonts w:ascii="Arial"/>
                <w:sz w:val="18"/>
              </w:rPr>
              <w:t>4,516,518.11</w:t>
            </w:r>
          </w:p>
        </w:tc>
      </w:tr>
      <w:tr>
        <w:trPr>
          <w:trHeight w:val="302" w:hRule="exact"/>
        </w:trPr>
        <w:tc>
          <w:tcPr>
            <w:tcW w:w="1368" w:type="dxa"/>
            <w:tcBorders>
              <w:top w:val="single" w:sz="12" w:space="0" w:color="000000"/>
              <w:left w:val="single" w:sz="12" w:space="0" w:color="000000"/>
              <w:bottom w:val="single" w:sz="12" w:space="0" w:color="000000"/>
              <w:right w:val="single" w:sz="12" w:space="0" w:color="000000"/>
            </w:tcBorders>
          </w:tcPr>
          <w:p>
            <w:pPr>
              <w:pStyle w:val="TableParagraph"/>
              <w:spacing w:line="227" w:lineRule="exact"/>
              <w:ind w:right="487"/>
              <w:jc w:val="right"/>
              <w:rPr>
                <w:rFonts w:ascii="宋体" w:hAnsi="宋体" w:cs="宋体" w:eastAsia="宋体" w:hint="default"/>
                <w:sz w:val="18"/>
                <w:szCs w:val="18"/>
              </w:rPr>
            </w:pPr>
            <w:r>
              <w:rPr>
                <w:rFonts w:ascii="宋体" w:hAnsi="宋体" w:cs="宋体" w:eastAsia="宋体" w:hint="default"/>
                <w:spacing w:val="-1"/>
                <w:sz w:val="18"/>
                <w:szCs w:val="18"/>
              </w:rPr>
              <w:t>合计</w:t>
            </w:r>
          </w:p>
        </w:tc>
        <w:tc>
          <w:tcPr>
            <w:tcW w:w="1459" w:type="dxa"/>
            <w:tcBorders>
              <w:top w:val="single" w:sz="12" w:space="0" w:color="000000"/>
              <w:left w:val="single" w:sz="12" w:space="0" w:color="000000"/>
              <w:bottom w:val="single" w:sz="12" w:space="0" w:color="000000"/>
              <w:right w:val="single" w:sz="12" w:space="0" w:color="000000"/>
            </w:tcBorders>
          </w:tcPr>
          <w:p>
            <w:pPr/>
          </w:p>
        </w:tc>
        <w:tc>
          <w:tcPr>
            <w:tcW w:w="12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2"/>
              <w:ind w:left="4" w:right="0"/>
              <w:jc w:val="center"/>
              <w:rPr>
                <w:rFonts w:ascii="Arial" w:hAnsi="Arial" w:cs="Arial" w:eastAsia="Arial" w:hint="default"/>
                <w:sz w:val="18"/>
                <w:szCs w:val="18"/>
              </w:rPr>
            </w:pPr>
            <w:r>
              <w:rPr>
                <w:rFonts w:ascii="Arial"/>
                <w:sz w:val="18"/>
              </w:rPr>
              <w:t>7,021,886.34</w:t>
            </w:r>
          </w:p>
        </w:tc>
        <w:tc>
          <w:tcPr>
            <w:tcW w:w="13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2"/>
              <w:ind w:right="0"/>
              <w:jc w:val="center"/>
              <w:rPr>
                <w:rFonts w:ascii="Arial" w:hAnsi="Arial" w:cs="Arial" w:eastAsia="Arial" w:hint="default"/>
                <w:sz w:val="18"/>
                <w:szCs w:val="18"/>
              </w:rPr>
            </w:pPr>
            <w:r>
              <w:rPr>
                <w:rFonts w:ascii="Arial"/>
                <w:sz w:val="18"/>
              </w:rPr>
              <w:t>51,126,555.77</w:t>
            </w:r>
          </w:p>
        </w:tc>
        <w:tc>
          <w:tcPr>
            <w:tcW w:w="13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2"/>
              <w:ind w:right="0"/>
              <w:jc w:val="center"/>
              <w:rPr>
                <w:rFonts w:ascii="Arial" w:hAnsi="Arial" w:cs="Arial" w:eastAsia="Arial" w:hint="default"/>
                <w:sz w:val="18"/>
                <w:szCs w:val="18"/>
              </w:rPr>
            </w:pPr>
            <w:r>
              <w:rPr>
                <w:rFonts w:ascii="Arial"/>
                <w:sz w:val="18"/>
              </w:rPr>
              <w:t>30,307,345.75</w:t>
            </w:r>
          </w:p>
        </w:tc>
        <w:tc>
          <w:tcPr>
            <w:tcW w:w="6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2"/>
              <w:ind w:left="259" w:right="0"/>
              <w:jc w:val="left"/>
              <w:rPr>
                <w:rFonts w:ascii="Arial" w:hAnsi="Arial" w:cs="Arial" w:eastAsia="Arial" w:hint="default"/>
                <w:sz w:val="18"/>
                <w:szCs w:val="18"/>
              </w:rPr>
            </w:pPr>
            <w:r>
              <w:rPr>
                <w:rFonts w:ascii="Arial"/>
                <w:w w:val="100"/>
                <w:sz w:val="18"/>
              </w:rPr>
              <w:t>-</w:t>
            </w:r>
          </w:p>
        </w:tc>
        <w:tc>
          <w:tcPr>
            <w:tcW w:w="11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2"/>
              <w:ind w:left="523" w:right="0"/>
              <w:jc w:val="left"/>
              <w:rPr>
                <w:rFonts w:ascii="Arial" w:hAnsi="Arial" w:cs="Arial" w:eastAsia="Arial" w:hint="default"/>
                <w:sz w:val="18"/>
                <w:szCs w:val="18"/>
              </w:rPr>
            </w:pPr>
            <w:r>
              <w:rPr>
                <w:rFonts w:ascii="Arial"/>
                <w:w w:val="100"/>
                <w:sz w:val="18"/>
              </w:rPr>
              <w:t>-</w:t>
            </w:r>
          </w:p>
        </w:tc>
        <w:tc>
          <w:tcPr>
            <w:tcW w:w="6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2"/>
              <w:ind w:right="2"/>
              <w:jc w:val="center"/>
              <w:rPr>
                <w:rFonts w:ascii="Arial" w:hAnsi="Arial" w:cs="Arial" w:eastAsia="Arial" w:hint="default"/>
                <w:sz w:val="18"/>
                <w:szCs w:val="18"/>
              </w:rPr>
            </w:pPr>
            <w:r>
              <w:rPr>
                <w:rFonts w:ascii="Arial"/>
                <w:w w:val="100"/>
                <w:sz w:val="18"/>
              </w:rPr>
              <w:t>-</w:t>
            </w:r>
          </w:p>
        </w:tc>
        <w:tc>
          <w:tcPr>
            <w:tcW w:w="7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2"/>
              <w:ind w:right="0"/>
              <w:jc w:val="center"/>
              <w:rPr>
                <w:rFonts w:ascii="Arial" w:hAnsi="Arial" w:cs="Arial" w:eastAsia="Arial" w:hint="default"/>
                <w:sz w:val="18"/>
                <w:szCs w:val="18"/>
              </w:rPr>
            </w:pPr>
            <w:r>
              <w:rPr>
                <w:rFonts w:ascii="Arial"/>
                <w:w w:val="100"/>
                <w:sz w:val="18"/>
              </w:rPr>
              <w:t>-</w:t>
            </w:r>
          </w:p>
        </w:tc>
        <w:tc>
          <w:tcPr>
            <w:tcW w:w="9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2"/>
              <w:ind w:right="0"/>
              <w:jc w:val="center"/>
              <w:rPr>
                <w:rFonts w:ascii="Arial" w:hAnsi="Arial" w:cs="Arial" w:eastAsia="Arial" w:hint="default"/>
                <w:sz w:val="18"/>
                <w:szCs w:val="18"/>
              </w:rPr>
            </w:pPr>
            <w:r>
              <w:rPr>
                <w:rFonts w:ascii="Arial"/>
                <w:w w:val="100"/>
                <w:sz w:val="18"/>
              </w:rPr>
              <w:t>-</w:t>
            </w:r>
          </w:p>
        </w:tc>
        <w:tc>
          <w:tcPr>
            <w:tcW w:w="9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2"/>
              <w:ind w:right="0"/>
              <w:jc w:val="center"/>
              <w:rPr>
                <w:rFonts w:ascii="Arial" w:hAnsi="Arial" w:cs="Arial" w:eastAsia="Arial" w:hint="default"/>
                <w:sz w:val="18"/>
                <w:szCs w:val="18"/>
              </w:rPr>
            </w:pPr>
            <w:r>
              <w:rPr>
                <w:rFonts w:ascii="Arial"/>
                <w:w w:val="100"/>
                <w:sz w:val="18"/>
              </w:rPr>
              <w:t>-</w:t>
            </w:r>
          </w:p>
        </w:tc>
        <w:tc>
          <w:tcPr>
            <w:tcW w:w="720" w:type="dxa"/>
            <w:tcBorders>
              <w:top w:val="single" w:sz="12" w:space="0" w:color="000000"/>
              <w:left w:val="single" w:sz="12" w:space="0" w:color="000000"/>
              <w:bottom w:val="single" w:sz="12" w:space="0" w:color="000000"/>
              <w:right w:val="single" w:sz="12" w:space="0" w:color="000000"/>
            </w:tcBorders>
          </w:tcPr>
          <w:p>
            <w:pPr/>
          </w:p>
        </w:tc>
        <w:tc>
          <w:tcPr>
            <w:tcW w:w="14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2"/>
              <w:ind w:right="0"/>
              <w:jc w:val="center"/>
              <w:rPr>
                <w:rFonts w:ascii="Arial" w:hAnsi="Arial" w:cs="Arial" w:eastAsia="Arial" w:hint="default"/>
                <w:sz w:val="18"/>
                <w:szCs w:val="18"/>
              </w:rPr>
            </w:pPr>
            <w:r>
              <w:rPr>
                <w:rFonts w:ascii="Arial"/>
                <w:sz w:val="18"/>
              </w:rPr>
              <w:t>27,841,096.36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76"/>
        <w:ind w:left="0" w:right="140" w:firstLine="0"/>
        <w:jc w:val="right"/>
        <w:rPr>
          <w:rFonts w:ascii="Times New Roman" w:hAnsi="Times New Roman" w:cs="Times New Roman" w:eastAsia="Times New Roman" w:hint="default"/>
          <w:sz w:val="18"/>
          <w:szCs w:val="18"/>
        </w:rPr>
      </w:pPr>
      <w:r>
        <w:rPr>
          <w:rFonts w:ascii="Times New Roman"/>
          <w:sz w:val="18"/>
        </w:rPr>
        <w:t>109</w:t>
      </w:r>
    </w:p>
    <w:p>
      <w:pPr>
        <w:spacing w:after="0"/>
        <w:jc w:val="right"/>
        <w:rPr>
          <w:rFonts w:ascii="Times New Roman" w:hAnsi="Times New Roman" w:cs="Times New Roman" w:eastAsia="Times New Roman" w:hint="default"/>
          <w:sz w:val="18"/>
          <w:szCs w:val="18"/>
        </w:rPr>
        <w:sectPr>
          <w:headerReference w:type="default" r:id="rId67"/>
          <w:footerReference w:type="default" r:id="rId68"/>
          <w:pgSz w:w="16840" w:h="11900" w:orient="landscape"/>
          <w:pgMar w:header="0" w:footer="0" w:top="800" w:bottom="280" w:left="1200" w:right="1300"/>
        </w:sectPr>
      </w:pPr>
    </w:p>
    <w:p>
      <w:pPr>
        <w:spacing w:line="240" w:lineRule="auto" w:before="11"/>
        <w:rPr>
          <w:rFonts w:ascii="Times New Roman" w:hAnsi="Times New Roman" w:cs="Times New Roman" w:eastAsia="Times New Roman" w:hint="default"/>
          <w:sz w:val="21"/>
          <w:szCs w:val="21"/>
        </w:rPr>
      </w:pPr>
    </w:p>
    <w:p>
      <w:pPr>
        <w:pStyle w:val="BodyText"/>
        <w:spacing w:line="338" w:lineRule="auto"/>
        <w:ind w:right="0"/>
        <w:jc w:val="left"/>
      </w:pPr>
      <w:r>
        <w:rPr>
          <w:rFonts w:ascii="Arial" w:hAnsi="Arial" w:cs="Arial" w:eastAsia="Arial" w:hint="default"/>
        </w:rPr>
        <w:t>6.10.3</w:t>
      </w:r>
      <w:r>
        <w:rPr>
          <w:rFonts w:ascii="Arial" w:hAnsi="Arial" w:cs="Arial" w:eastAsia="Arial" w:hint="default"/>
          <w:spacing w:val="-9"/>
        </w:rPr>
        <w:t> </w:t>
      </w:r>
      <w:r>
        <w:rPr/>
        <w:t>在建工程年末数比年初数增加</w:t>
      </w:r>
      <w:r>
        <w:rPr>
          <w:spacing w:val="-58"/>
        </w:rPr>
        <w:t> </w:t>
      </w:r>
      <w:r>
        <w:rPr>
          <w:rFonts w:ascii="Arial" w:hAnsi="Arial" w:cs="Arial" w:eastAsia="Arial" w:hint="default"/>
        </w:rPr>
        <w:t>20,819,210.02</w:t>
      </w:r>
      <w:r>
        <w:rPr>
          <w:rFonts w:ascii="Arial" w:hAnsi="Arial" w:cs="Arial" w:eastAsia="Arial" w:hint="default"/>
          <w:spacing w:val="-9"/>
        </w:rPr>
        <w:t> </w:t>
      </w:r>
      <w:r>
        <w:rPr/>
        <w:t>元，增加比例为</w:t>
      </w:r>
      <w:r>
        <w:rPr>
          <w:spacing w:val="-58"/>
        </w:rPr>
        <w:t> </w:t>
      </w:r>
      <w:r>
        <w:rPr>
          <w:rFonts w:ascii="Arial" w:hAnsi="Arial" w:cs="Arial" w:eastAsia="Arial" w:hint="default"/>
        </w:rPr>
        <w:t>296.49%</w:t>
      </w:r>
      <w:r>
        <w:rPr/>
        <w:t>，增加原因</w:t>
      </w:r>
      <w:r>
        <w:rPr>
          <w:w w:val="100"/>
        </w:rPr>
        <w:t> </w:t>
      </w:r>
      <w:r>
        <w:rPr/>
        <w:t>为：本公司按计划投入募投项目建设所致。</w:t>
      </w:r>
    </w:p>
    <w:p>
      <w:pPr>
        <w:pStyle w:val="BodyText"/>
        <w:spacing w:line="240" w:lineRule="auto" w:before="51"/>
        <w:ind w:right="0"/>
        <w:jc w:val="left"/>
      </w:pPr>
      <w:r>
        <w:rPr>
          <w:rFonts w:ascii="Arial" w:hAnsi="Arial" w:cs="Arial" w:eastAsia="Arial" w:hint="default"/>
          <w:spacing w:val="-5"/>
        </w:rPr>
        <w:t>6.11 </w:t>
      </w:r>
      <w:r>
        <w:rPr/>
        <w:t>工程物资</w:t>
      </w:r>
    </w:p>
    <w:p>
      <w:pPr>
        <w:spacing w:line="240" w:lineRule="auto" w:before="3"/>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1454"/>
        <w:gridCol w:w="2030"/>
        <w:gridCol w:w="1522"/>
        <w:gridCol w:w="1716"/>
        <w:gridCol w:w="1932"/>
      </w:tblGrid>
      <w:tr>
        <w:trPr>
          <w:trHeight w:val="583" w:hRule="exact"/>
        </w:trPr>
        <w:tc>
          <w:tcPr>
            <w:tcW w:w="14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7"/>
              <w:ind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5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本年增加</w:t>
            </w:r>
          </w:p>
        </w:tc>
        <w:tc>
          <w:tcPr>
            <w:tcW w:w="17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本年减少</w:t>
            </w:r>
          </w:p>
        </w:tc>
        <w:tc>
          <w:tcPr>
            <w:tcW w:w="193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7"/>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631" w:hRule="exact"/>
        </w:trPr>
        <w:tc>
          <w:tcPr>
            <w:tcW w:w="14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工程物资</w:t>
            </w:r>
          </w:p>
        </w:tc>
        <w:tc>
          <w:tcPr>
            <w:tcW w:w="20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516,973.46</w:t>
            </w:r>
          </w:p>
        </w:tc>
        <w:tc>
          <w:tcPr>
            <w:tcW w:w="15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sz w:val="18"/>
              </w:rPr>
              <w:t>11,454,203.36</w:t>
            </w:r>
          </w:p>
        </w:tc>
        <w:tc>
          <w:tcPr>
            <w:tcW w:w="17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10,455,760.10</w:t>
            </w:r>
          </w:p>
        </w:tc>
        <w:tc>
          <w:tcPr>
            <w:tcW w:w="193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1,515,416.72</w:t>
            </w:r>
          </w:p>
        </w:tc>
      </w:tr>
    </w:tbl>
    <w:p>
      <w:pPr>
        <w:spacing w:line="240" w:lineRule="auto" w:before="12"/>
        <w:rPr>
          <w:rFonts w:ascii="宋体" w:hAnsi="宋体" w:cs="宋体" w:eastAsia="宋体" w:hint="default"/>
          <w:sz w:val="23"/>
          <w:szCs w:val="23"/>
        </w:rPr>
      </w:pPr>
    </w:p>
    <w:p>
      <w:pPr>
        <w:pStyle w:val="BodyText"/>
        <w:spacing w:line="338" w:lineRule="auto"/>
        <w:ind w:right="0" w:firstLine="439"/>
        <w:jc w:val="left"/>
      </w:pPr>
      <w:r>
        <w:rPr/>
        <w:t>工程物资年末数比年初数增加 </w:t>
      </w:r>
      <w:r>
        <w:rPr>
          <w:rFonts w:ascii="Arial" w:hAnsi="Arial" w:cs="Arial" w:eastAsia="Arial" w:hint="default"/>
        </w:rPr>
        <w:t>998,443.26 </w:t>
      </w:r>
      <w:r>
        <w:rPr/>
        <w:t>元，增加比例为</w:t>
      </w:r>
      <w:r>
        <w:rPr>
          <w:spacing w:val="-37"/>
        </w:rPr>
        <w:t> </w:t>
      </w:r>
      <w:r>
        <w:rPr>
          <w:rFonts w:ascii="Arial" w:hAnsi="Arial" w:cs="Arial" w:eastAsia="Arial" w:hint="default"/>
        </w:rPr>
        <w:t>193.13%</w:t>
      </w:r>
      <w:r>
        <w:rPr/>
        <w:t>，增加原因为：</w:t>
      </w:r>
      <w:r>
        <w:rPr>
          <w:w w:val="100"/>
        </w:rPr>
        <w:t> </w:t>
      </w:r>
      <w:r>
        <w:rPr/>
        <w:t>本公司本年项目建设所需工程物资增加所致。</w:t>
      </w:r>
    </w:p>
    <w:p>
      <w:pPr>
        <w:pStyle w:val="BodyText"/>
        <w:spacing w:line="240" w:lineRule="auto" w:before="49"/>
        <w:ind w:right="0"/>
        <w:jc w:val="left"/>
      </w:pPr>
      <w:r>
        <w:rPr>
          <w:rFonts w:ascii="Arial" w:hAnsi="Arial" w:cs="Arial" w:eastAsia="Arial" w:hint="default"/>
        </w:rPr>
        <w:t>6.12</w:t>
      </w:r>
      <w:r>
        <w:rPr>
          <w:rFonts w:ascii="Arial" w:hAnsi="Arial" w:cs="Arial" w:eastAsia="Arial" w:hint="default"/>
          <w:spacing w:val="-8"/>
        </w:rPr>
        <w:t> </w:t>
      </w:r>
      <w:r>
        <w:rPr/>
        <w:t>无形资产</w:t>
      </w:r>
    </w:p>
    <w:p>
      <w:pPr>
        <w:pStyle w:val="BodyText"/>
        <w:spacing w:line="240" w:lineRule="auto" w:before="126"/>
        <w:ind w:right="0"/>
        <w:jc w:val="left"/>
      </w:pPr>
      <w:r>
        <w:rPr>
          <w:rFonts w:ascii="Arial" w:hAnsi="Arial" w:cs="Arial" w:eastAsia="Arial" w:hint="default"/>
        </w:rPr>
        <w:t>6.12.1</w:t>
      </w:r>
      <w:r>
        <w:rPr>
          <w:rFonts w:ascii="Arial" w:hAnsi="Arial" w:cs="Arial" w:eastAsia="Arial" w:hint="default"/>
          <w:spacing w:val="47"/>
        </w:rPr>
        <w:t> </w:t>
      </w:r>
      <w:r>
        <w:rPr/>
        <w:t>无形资产情况</w:t>
      </w:r>
    </w:p>
    <w:p>
      <w:pPr>
        <w:spacing w:line="240" w:lineRule="auto" w:before="3"/>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1958"/>
        <w:gridCol w:w="1951"/>
        <w:gridCol w:w="1560"/>
        <w:gridCol w:w="1248"/>
        <w:gridCol w:w="1951"/>
      </w:tblGrid>
      <w:tr>
        <w:trPr>
          <w:trHeight w:val="598" w:hRule="exact"/>
        </w:trPr>
        <w:tc>
          <w:tcPr>
            <w:tcW w:w="19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420"/>
              <w:jc w:val="right"/>
              <w:rPr>
                <w:rFonts w:ascii="宋体" w:hAnsi="宋体" w:cs="宋体" w:eastAsia="宋体" w:hint="default"/>
                <w:sz w:val="18"/>
                <w:szCs w:val="18"/>
              </w:rPr>
            </w:pPr>
            <w:r>
              <w:rPr>
                <w:rFonts w:ascii="宋体" w:hAnsi="宋体" w:cs="宋体" w:eastAsia="宋体" w:hint="default"/>
                <w:w w:val="95"/>
                <w:sz w:val="18"/>
                <w:szCs w:val="18"/>
              </w:rPr>
              <w:t>年初账面余额</w:t>
            </w:r>
            <w:r>
              <w:rPr>
                <w:rFonts w:ascii="宋体" w:hAnsi="宋体" w:cs="宋体" w:eastAsia="宋体" w:hint="default"/>
                <w:sz w:val="18"/>
                <w:szCs w:val="18"/>
              </w:rPr>
            </w:r>
          </w:p>
        </w:tc>
        <w:tc>
          <w:tcPr>
            <w:tcW w:w="15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2"/>
              <w:jc w:val="center"/>
              <w:rPr>
                <w:rFonts w:ascii="宋体" w:hAnsi="宋体" w:cs="宋体" w:eastAsia="宋体" w:hint="default"/>
                <w:sz w:val="18"/>
                <w:szCs w:val="18"/>
              </w:rPr>
            </w:pPr>
            <w:r>
              <w:rPr>
                <w:rFonts w:ascii="宋体" w:hAnsi="宋体" w:cs="宋体" w:eastAsia="宋体" w:hint="default"/>
                <w:sz w:val="18"/>
                <w:szCs w:val="18"/>
              </w:rPr>
              <w:t>本年增加</w:t>
            </w:r>
          </w:p>
        </w:tc>
        <w:tc>
          <w:tcPr>
            <w:tcW w:w="12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本年减少</w:t>
            </w:r>
          </w:p>
        </w:tc>
        <w:tc>
          <w:tcPr>
            <w:tcW w:w="19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420"/>
              <w:jc w:val="right"/>
              <w:rPr>
                <w:rFonts w:ascii="宋体" w:hAnsi="宋体" w:cs="宋体" w:eastAsia="宋体" w:hint="default"/>
                <w:sz w:val="18"/>
                <w:szCs w:val="18"/>
              </w:rPr>
            </w:pPr>
            <w:r>
              <w:rPr>
                <w:rFonts w:ascii="宋体" w:hAnsi="宋体" w:cs="宋体" w:eastAsia="宋体" w:hint="default"/>
                <w:w w:val="95"/>
                <w:sz w:val="18"/>
                <w:szCs w:val="18"/>
              </w:rPr>
              <w:t>年末账面余额</w:t>
            </w:r>
            <w:r>
              <w:rPr>
                <w:rFonts w:ascii="宋体" w:hAnsi="宋体" w:cs="宋体" w:eastAsia="宋体" w:hint="default"/>
                <w:sz w:val="18"/>
                <w:szCs w:val="18"/>
              </w:rPr>
            </w:r>
          </w:p>
        </w:tc>
      </w:tr>
      <w:tr>
        <w:trPr>
          <w:trHeight w:val="598" w:hRule="exact"/>
        </w:trPr>
        <w:tc>
          <w:tcPr>
            <w:tcW w:w="19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left="-1"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9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0"/>
              <w:ind w:right="413"/>
              <w:jc w:val="right"/>
              <w:rPr>
                <w:rFonts w:ascii="Arial" w:hAnsi="Arial" w:cs="Arial" w:eastAsia="Arial" w:hint="default"/>
                <w:sz w:val="18"/>
                <w:szCs w:val="18"/>
              </w:rPr>
            </w:pPr>
            <w:r>
              <w:rPr>
                <w:rFonts w:ascii="Arial"/>
                <w:spacing w:val="-1"/>
                <w:sz w:val="18"/>
              </w:rPr>
              <w:t>13,032,183.00</w:t>
            </w:r>
          </w:p>
        </w:tc>
        <w:tc>
          <w:tcPr>
            <w:tcW w:w="15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0"/>
              <w:ind w:right="67"/>
              <w:jc w:val="center"/>
              <w:rPr>
                <w:rFonts w:ascii="Arial" w:hAnsi="Arial" w:cs="Arial" w:eastAsia="Arial" w:hint="default"/>
                <w:sz w:val="18"/>
                <w:szCs w:val="18"/>
              </w:rPr>
            </w:pPr>
            <w:r>
              <w:rPr>
                <w:rFonts w:ascii="Arial"/>
                <w:w w:val="99"/>
                <w:sz w:val="18"/>
              </w:rPr>
              <w:t>-</w:t>
            </w:r>
            <w:r>
              <w:rPr>
                <w:rFonts w:ascii="Arial"/>
                <w:sz w:val="18"/>
              </w:rPr>
            </w:r>
          </w:p>
        </w:tc>
        <w:tc>
          <w:tcPr>
            <w:tcW w:w="12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0"/>
              <w:ind w:right="62"/>
              <w:jc w:val="center"/>
              <w:rPr>
                <w:rFonts w:ascii="Arial" w:hAnsi="Arial" w:cs="Arial" w:eastAsia="Arial" w:hint="default"/>
                <w:sz w:val="18"/>
                <w:szCs w:val="18"/>
              </w:rPr>
            </w:pPr>
            <w:r>
              <w:rPr>
                <w:rFonts w:ascii="Arial"/>
                <w:w w:val="99"/>
                <w:sz w:val="18"/>
              </w:rPr>
              <w:t>-</w:t>
            </w:r>
            <w:r>
              <w:rPr>
                <w:rFonts w:ascii="Arial"/>
                <w:sz w:val="18"/>
              </w:rPr>
            </w:r>
          </w:p>
        </w:tc>
        <w:tc>
          <w:tcPr>
            <w:tcW w:w="19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0"/>
              <w:ind w:right="413"/>
              <w:jc w:val="right"/>
              <w:rPr>
                <w:rFonts w:ascii="Arial" w:hAnsi="Arial" w:cs="Arial" w:eastAsia="Arial" w:hint="default"/>
                <w:sz w:val="18"/>
                <w:szCs w:val="18"/>
              </w:rPr>
            </w:pPr>
            <w:r>
              <w:rPr>
                <w:rFonts w:ascii="Arial"/>
                <w:spacing w:val="-1"/>
                <w:sz w:val="18"/>
              </w:rPr>
              <w:t>13,032,183.00</w:t>
            </w:r>
          </w:p>
        </w:tc>
      </w:tr>
      <w:tr>
        <w:trPr>
          <w:trHeight w:val="595" w:hRule="exact"/>
        </w:trPr>
        <w:tc>
          <w:tcPr>
            <w:tcW w:w="19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left="35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0"/>
              <w:ind w:right="415"/>
              <w:jc w:val="right"/>
              <w:rPr>
                <w:rFonts w:ascii="Arial" w:hAnsi="Arial" w:cs="Arial" w:eastAsia="Arial" w:hint="default"/>
                <w:sz w:val="18"/>
                <w:szCs w:val="18"/>
              </w:rPr>
            </w:pPr>
            <w:r>
              <w:rPr>
                <w:rFonts w:ascii="Arial"/>
                <w:spacing w:val="-1"/>
                <w:sz w:val="18"/>
              </w:rPr>
              <w:t>13,032,183.00</w:t>
            </w:r>
          </w:p>
        </w:tc>
        <w:tc>
          <w:tcPr>
            <w:tcW w:w="15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0"/>
              <w:ind w:right="67"/>
              <w:jc w:val="center"/>
              <w:rPr>
                <w:rFonts w:ascii="Arial" w:hAnsi="Arial" w:cs="Arial" w:eastAsia="Arial" w:hint="default"/>
                <w:sz w:val="18"/>
                <w:szCs w:val="18"/>
              </w:rPr>
            </w:pPr>
            <w:r>
              <w:rPr>
                <w:rFonts w:ascii="Arial"/>
                <w:w w:val="99"/>
                <w:sz w:val="18"/>
              </w:rPr>
              <w:t>-</w:t>
            </w:r>
            <w:r>
              <w:rPr>
                <w:rFonts w:ascii="Arial"/>
                <w:sz w:val="18"/>
              </w:rPr>
            </w:r>
          </w:p>
        </w:tc>
        <w:tc>
          <w:tcPr>
            <w:tcW w:w="12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0"/>
              <w:ind w:right="62"/>
              <w:jc w:val="center"/>
              <w:rPr>
                <w:rFonts w:ascii="Arial" w:hAnsi="Arial" w:cs="Arial" w:eastAsia="Arial" w:hint="default"/>
                <w:sz w:val="18"/>
                <w:szCs w:val="18"/>
              </w:rPr>
            </w:pPr>
            <w:r>
              <w:rPr>
                <w:rFonts w:ascii="Arial"/>
                <w:w w:val="99"/>
                <w:sz w:val="18"/>
              </w:rPr>
              <w:t>-</w:t>
            </w:r>
            <w:r>
              <w:rPr>
                <w:rFonts w:ascii="Arial"/>
                <w:sz w:val="18"/>
              </w:rPr>
            </w:r>
          </w:p>
        </w:tc>
        <w:tc>
          <w:tcPr>
            <w:tcW w:w="19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0"/>
              <w:ind w:right="413"/>
              <w:jc w:val="right"/>
              <w:rPr>
                <w:rFonts w:ascii="Arial" w:hAnsi="Arial" w:cs="Arial" w:eastAsia="Arial" w:hint="default"/>
                <w:sz w:val="18"/>
                <w:szCs w:val="18"/>
              </w:rPr>
            </w:pPr>
            <w:r>
              <w:rPr>
                <w:rFonts w:ascii="Arial"/>
                <w:spacing w:val="-1"/>
                <w:sz w:val="18"/>
              </w:rPr>
              <w:t>13,032,183.00</w:t>
            </w:r>
          </w:p>
        </w:tc>
      </w:tr>
      <w:tr>
        <w:trPr>
          <w:trHeight w:val="598" w:hRule="exact"/>
        </w:trPr>
        <w:tc>
          <w:tcPr>
            <w:tcW w:w="19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left="-1"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9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0"/>
              <w:ind w:left="477" w:right="0"/>
              <w:jc w:val="left"/>
              <w:rPr>
                <w:rFonts w:ascii="Arial" w:hAnsi="Arial" w:cs="Arial" w:eastAsia="Arial" w:hint="default"/>
                <w:sz w:val="18"/>
                <w:szCs w:val="18"/>
              </w:rPr>
            </w:pPr>
            <w:r>
              <w:rPr>
                <w:rFonts w:ascii="Arial"/>
                <w:sz w:val="18"/>
              </w:rPr>
              <w:t>369,368.12</w:t>
            </w:r>
          </w:p>
        </w:tc>
        <w:tc>
          <w:tcPr>
            <w:tcW w:w="15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0"/>
              <w:ind w:right="65"/>
              <w:jc w:val="center"/>
              <w:rPr>
                <w:rFonts w:ascii="Arial" w:hAnsi="Arial" w:cs="Arial" w:eastAsia="Arial" w:hint="default"/>
                <w:sz w:val="18"/>
                <w:szCs w:val="18"/>
              </w:rPr>
            </w:pPr>
            <w:r>
              <w:rPr>
                <w:rFonts w:ascii="Arial"/>
                <w:sz w:val="18"/>
              </w:rPr>
              <w:t>266,642.04</w:t>
            </w:r>
          </w:p>
        </w:tc>
        <w:tc>
          <w:tcPr>
            <w:tcW w:w="12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0"/>
              <w:ind w:right="62"/>
              <w:jc w:val="center"/>
              <w:rPr>
                <w:rFonts w:ascii="Arial" w:hAnsi="Arial" w:cs="Arial" w:eastAsia="Arial" w:hint="default"/>
                <w:sz w:val="18"/>
                <w:szCs w:val="18"/>
              </w:rPr>
            </w:pPr>
            <w:r>
              <w:rPr>
                <w:rFonts w:ascii="Arial"/>
                <w:w w:val="99"/>
                <w:sz w:val="18"/>
              </w:rPr>
              <w:t>-</w:t>
            </w:r>
            <w:r>
              <w:rPr>
                <w:rFonts w:ascii="Arial"/>
                <w:sz w:val="18"/>
              </w:rPr>
            </w:r>
          </w:p>
        </w:tc>
        <w:tc>
          <w:tcPr>
            <w:tcW w:w="19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0"/>
              <w:ind w:left="477" w:right="0"/>
              <w:jc w:val="left"/>
              <w:rPr>
                <w:rFonts w:ascii="Arial" w:hAnsi="Arial" w:cs="Arial" w:eastAsia="Arial" w:hint="default"/>
                <w:sz w:val="18"/>
                <w:szCs w:val="18"/>
              </w:rPr>
            </w:pPr>
            <w:r>
              <w:rPr>
                <w:rFonts w:ascii="Arial"/>
                <w:sz w:val="18"/>
              </w:rPr>
              <w:t>636,010.16</w:t>
            </w:r>
          </w:p>
        </w:tc>
      </w:tr>
      <w:tr>
        <w:trPr>
          <w:trHeight w:val="598" w:hRule="exact"/>
        </w:trPr>
        <w:tc>
          <w:tcPr>
            <w:tcW w:w="19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left="35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0"/>
              <w:ind w:left="477" w:right="0"/>
              <w:jc w:val="left"/>
              <w:rPr>
                <w:rFonts w:ascii="Arial" w:hAnsi="Arial" w:cs="Arial" w:eastAsia="Arial" w:hint="default"/>
                <w:sz w:val="18"/>
                <w:szCs w:val="18"/>
              </w:rPr>
            </w:pPr>
            <w:r>
              <w:rPr>
                <w:rFonts w:ascii="Arial"/>
                <w:sz w:val="18"/>
              </w:rPr>
              <w:t>369,368.12</w:t>
            </w:r>
          </w:p>
        </w:tc>
        <w:tc>
          <w:tcPr>
            <w:tcW w:w="15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0"/>
              <w:ind w:right="67"/>
              <w:jc w:val="center"/>
              <w:rPr>
                <w:rFonts w:ascii="Arial" w:hAnsi="Arial" w:cs="Arial" w:eastAsia="Arial" w:hint="default"/>
                <w:sz w:val="18"/>
                <w:szCs w:val="18"/>
              </w:rPr>
            </w:pPr>
            <w:r>
              <w:rPr>
                <w:rFonts w:ascii="Arial"/>
                <w:sz w:val="18"/>
              </w:rPr>
              <w:t>266,642.04</w:t>
            </w:r>
          </w:p>
        </w:tc>
        <w:tc>
          <w:tcPr>
            <w:tcW w:w="12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0"/>
              <w:ind w:right="62"/>
              <w:jc w:val="center"/>
              <w:rPr>
                <w:rFonts w:ascii="Arial" w:hAnsi="Arial" w:cs="Arial" w:eastAsia="Arial" w:hint="default"/>
                <w:sz w:val="18"/>
                <w:szCs w:val="18"/>
              </w:rPr>
            </w:pPr>
            <w:r>
              <w:rPr>
                <w:rFonts w:ascii="Arial"/>
                <w:w w:val="99"/>
                <w:sz w:val="18"/>
              </w:rPr>
              <w:t>-</w:t>
            </w:r>
            <w:r>
              <w:rPr>
                <w:rFonts w:ascii="Arial"/>
                <w:sz w:val="18"/>
              </w:rPr>
            </w:r>
          </w:p>
        </w:tc>
        <w:tc>
          <w:tcPr>
            <w:tcW w:w="19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0"/>
              <w:ind w:left="477" w:right="0"/>
              <w:jc w:val="left"/>
              <w:rPr>
                <w:rFonts w:ascii="Arial" w:hAnsi="Arial" w:cs="Arial" w:eastAsia="Arial" w:hint="default"/>
                <w:sz w:val="18"/>
                <w:szCs w:val="18"/>
              </w:rPr>
            </w:pPr>
            <w:r>
              <w:rPr>
                <w:rFonts w:ascii="Arial"/>
                <w:sz w:val="18"/>
              </w:rPr>
              <w:t>636,010.16</w:t>
            </w:r>
          </w:p>
        </w:tc>
      </w:tr>
      <w:tr>
        <w:trPr>
          <w:trHeight w:val="636" w:hRule="exact"/>
        </w:trPr>
        <w:tc>
          <w:tcPr>
            <w:tcW w:w="1958"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1" w:right="0"/>
              <w:jc w:val="left"/>
              <w:rPr>
                <w:rFonts w:ascii="宋体" w:hAnsi="宋体" w:cs="宋体" w:eastAsia="宋体" w:hint="default"/>
                <w:sz w:val="18"/>
                <w:szCs w:val="18"/>
              </w:rPr>
            </w:pPr>
            <w:r>
              <w:rPr>
                <w:rFonts w:ascii="宋体" w:hAnsi="宋体" w:cs="宋体" w:eastAsia="宋体" w:hint="default"/>
                <w:spacing w:val="-5"/>
                <w:sz w:val="18"/>
                <w:szCs w:val="18"/>
              </w:rPr>
              <w:t>三、无形资产账面净值合</w:t>
            </w:r>
          </w:p>
          <w:p>
            <w:pPr>
              <w:pStyle w:val="TableParagraph"/>
              <w:spacing w:line="240" w:lineRule="auto" w:before="67"/>
              <w:ind w:left="-1" w:right="0"/>
              <w:jc w:val="left"/>
              <w:rPr>
                <w:rFonts w:ascii="宋体" w:hAnsi="宋体" w:cs="宋体" w:eastAsia="宋体" w:hint="default"/>
                <w:sz w:val="18"/>
                <w:szCs w:val="18"/>
              </w:rPr>
            </w:pPr>
            <w:r>
              <w:rPr>
                <w:rFonts w:ascii="宋体" w:hAnsi="宋体" w:cs="宋体" w:eastAsia="宋体" w:hint="default"/>
                <w:w w:val="99"/>
                <w:sz w:val="18"/>
                <w:szCs w:val="18"/>
              </w:rPr>
              <w:t>计</w:t>
            </w:r>
            <w:r>
              <w:rPr>
                <w:rFonts w:ascii="宋体" w:hAnsi="宋体" w:cs="宋体" w:eastAsia="宋体" w:hint="default"/>
                <w:sz w:val="18"/>
                <w:szCs w:val="18"/>
              </w:rPr>
            </w:r>
          </w:p>
        </w:tc>
        <w:tc>
          <w:tcPr>
            <w:tcW w:w="19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415"/>
              <w:jc w:val="right"/>
              <w:rPr>
                <w:rFonts w:ascii="Arial" w:hAnsi="Arial" w:cs="Arial" w:eastAsia="Arial" w:hint="default"/>
                <w:sz w:val="18"/>
                <w:szCs w:val="18"/>
              </w:rPr>
            </w:pPr>
            <w:r>
              <w:rPr>
                <w:rFonts w:ascii="Arial"/>
                <w:spacing w:val="-1"/>
                <w:sz w:val="18"/>
              </w:rPr>
              <w:t>12,662,814.88</w:t>
            </w:r>
          </w:p>
        </w:tc>
        <w:tc>
          <w:tcPr>
            <w:tcW w:w="15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67"/>
              <w:jc w:val="center"/>
              <w:rPr>
                <w:rFonts w:ascii="Arial" w:hAnsi="Arial" w:cs="Arial" w:eastAsia="Arial" w:hint="default"/>
                <w:sz w:val="18"/>
                <w:szCs w:val="18"/>
              </w:rPr>
            </w:pPr>
            <w:r>
              <w:rPr>
                <w:rFonts w:ascii="Arial"/>
                <w:w w:val="99"/>
                <w:sz w:val="18"/>
              </w:rPr>
              <w:t>-</w:t>
            </w:r>
            <w:r>
              <w:rPr>
                <w:rFonts w:ascii="Arial"/>
                <w:sz w:val="18"/>
              </w:rPr>
            </w:r>
          </w:p>
        </w:tc>
        <w:tc>
          <w:tcPr>
            <w:tcW w:w="12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62"/>
              <w:jc w:val="center"/>
              <w:rPr>
                <w:rFonts w:ascii="Arial" w:hAnsi="Arial" w:cs="Arial" w:eastAsia="Arial" w:hint="default"/>
                <w:sz w:val="18"/>
                <w:szCs w:val="18"/>
              </w:rPr>
            </w:pPr>
            <w:r>
              <w:rPr>
                <w:rFonts w:ascii="Arial"/>
                <w:w w:val="99"/>
                <w:sz w:val="18"/>
              </w:rPr>
              <w:t>-</w:t>
            </w:r>
            <w:r>
              <w:rPr>
                <w:rFonts w:ascii="Arial"/>
                <w:sz w:val="18"/>
              </w:rPr>
            </w:r>
          </w:p>
        </w:tc>
        <w:tc>
          <w:tcPr>
            <w:tcW w:w="19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415"/>
              <w:jc w:val="right"/>
              <w:rPr>
                <w:rFonts w:ascii="Arial" w:hAnsi="Arial" w:cs="Arial" w:eastAsia="Arial" w:hint="default"/>
                <w:sz w:val="18"/>
                <w:szCs w:val="18"/>
              </w:rPr>
            </w:pPr>
            <w:r>
              <w:rPr>
                <w:rFonts w:ascii="Arial"/>
                <w:spacing w:val="-1"/>
                <w:sz w:val="18"/>
              </w:rPr>
              <w:t>12,396,172.84</w:t>
            </w:r>
          </w:p>
        </w:tc>
      </w:tr>
      <w:tr>
        <w:trPr>
          <w:trHeight w:val="598" w:hRule="exact"/>
        </w:trPr>
        <w:tc>
          <w:tcPr>
            <w:tcW w:w="19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left="35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0"/>
              <w:ind w:right="415"/>
              <w:jc w:val="right"/>
              <w:rPr>
                <w:rFonts w:ascii="Arial" w:hAnsi="Arial" w:cs="Arial" w:eastAsia="Arial" w:hint="default"/>
                <w:sz w:val="18"/>
                <w:szCs w:val="18"/>
              </w:rPr>
            </w:pPr>
            <w:r>
              <w:rPr>
                <w:rFonts w:ascii="Arial"/>
                <w:spacing w:val="-1"/>
                <w:sz w:val="18"/>
              </w:rPr>
              <w:t>12,662,814.88</w:t>
            </w:r>
          </w:p>
        </w:tc>
        <w:tc>
          <w:tcPr>
            <w:tcW w:w="15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0"/>
              <w:ind w:right="67"/>
              <w:jc w:val="center"/>
              <w:rPr>
                <w:rFonts w:ascii="Arial" w:hAnsi="Arial" w:cs="Arial" w:eastAsia="Arial" w:hint="default"/>
                <w:sz w:val="18"/>
                <w:szCs w:val="18"/>
              </w:rPr>
            </w:pPr>
            <w:r>
              <w:rPr>
                <w:rFonts w:ascii="Arial"/>
                <w:w w:val="99"/>
                <w:sz w:val="18"/>
              </w:rPr>
              <w:t>-</w:t>
            </w:r>
            <w:r>
              <w:rPr>
                <w:rFonts w:ascii="Arial"/>
                <w:sz w:val="18"/>
              </w:rPr>
            </w:r>
          </w:p>
        </w:tc>
        <w:tc>
          <w:tcPr>
            <w:tcW w:w="12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0"/>
              <w:ind w:right="62"/>
              <w:jc w:val="center"/>
              <w:rPr>
                <w:rFonts w:ascii="Arial" w:hAnsi="Arial" w:cs="Arial" w:eastAsia="Arial" w:hint="default"/>
                <w:sz w:val="18"/>
                <w:szCs w:val="18"/>
              </w:rPr>
            </w:pPr>
            <w:r>
              <w:rPr>
                <w:rFonts w:ascii="Arial"/>
                <w:w w:val="99"/>
                <w:sz w:val="18"/>
              </w:rPr>
              <w:t>-</w:t>
            </w:r>
            <w:r>
              <w:rPr>
                <w:rFonts w:ascii="Arial"/>
                <w:sz w:val="18"/>
              </w:rPr>
            </w:r>
          </w:p>
        </w:tc>
        <w:tc>
          <w:tcPr>
            <w:tcW w:w="19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0"/>
              <w:ind w:right="413"/>
              <w:jc w:val="right"/>
              <w:rPr>
                <w:rFonts w:ascii="Arial" w:hAnsi="Arial" w:cs="Arial" w:eastAsia="Arial" w:hint="default"/>
                <w:sz w:val="18"/>
                <w:szCs w:val="18"/>
              </w:rPr>
            </w:pPr>
            <w:r>
              <w:rPr>
                <w:rFonts w:ascii="Arial"/>
                <w:spacing w:val="-1"/>
                <w:sz w:val="18"/>
              </w:rPr>
              <w:t>12,396,172.84</w:t>
            </w:r>
          </w:p>
        </w:tc>
      </w:tr>
      <w:tr>
        <w:trPr>
          <w:trHeight w:val="598" w:hRule="exact"/>
        </w:trPr>
        <w:tc>
          <w:tcPr>
            <w:tcW w:w="19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left="-1"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9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0"/>
              <w:ind w:right="60"/>
              <w:jc w:val="center"/>
              <w:rPr>
                <w:rFonts w:ascii="Arial" w:hAnsi="Arial" w:cs="Arial" w:eastAsia="Arial" w:hint="default"/>
                <w:sz w:val="18"/>
                <w:szCs w:val="18"/>
              </w:rPr>
            </w:pPr>
            <w:r>
              <w:rPr>
                <w:rFonts w:ascii="Arial"/>
                <w:w w:val="99"/>
                <w:sz w:val="18"/>
              </w:rPr>
              <w:t>-</w:t>
            </w:r>
            <w:r>
              <w:rPr>
                <w:rFonts w:ascii="Arial"/>
                <w:sz w:val="18"/>
              </w:rPr>
            </w:r>
          </w:p>
        </w:tc>
        <w:tc>
          <w:tcPr>
            <w:tcW w:w="15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0"/>
              <w:ind w:right="67"/>
              <w:jc w:val="center"/>
              <w:rPr>
                <w:rFonts w:ascii="Arial" w:hAnsi="Arial" w:cs="Arial" w:eastAsia="Arial" w:hint="default"/>
                <w:sz w:val="18"/>
                <w:szCs w:val="18"/>
              </w:rPr>
            </w:pPr>
            <w:r>
              <w:rPr>
                <w:rFonts w:ascii="Arial"/>
                <w:w w:val="99"/>
                <w:sz w:val="18"/>
              </w:rPr>
              <w:t>-</w:t>
            </w:r>
            <w:r>
              <w:rPr>
                <w:rFonts w:ascii="Arial"/>
                <w:sz w:val="18"/>
              </w:rPr>
            </w:r>
          </w:p>
        </w:tc>
        <w:tc>
          <w:tcPr>
            <w:tcW w:w="12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0"/>
              <w:ind w:right="62"/>
              <w:jc w:val="center"/>
              <w:rPr>
                <w:rFonts w:ascii="Arial" w:hAnsi="Arial" w:cs="Arial" w:eastAsia="Arial" w:hint="default"/>
                <w:sz w:val="18"/>
                <w:szCs w:val="18"/>
              </w:rPr>
            </w:pPr>
            <w:r>
              <w:rPr>
                <w:rFonts w:ascii="Arial"/>
                <w:w w:val="99"/>
                <w:sz w:val="18"/>
              </w:rPr>
              <w:t>-</w:t>
            </w:r>
            <w:r>
              <w:rPr>
                <w:rFonts w:ascii="Arial"/>
                <w:sz w:val="18"/>
              </w:rPr>
            </w:r>
          </w:p>
        </w:tc>
        <w:tc>
          <w:tcPr>
            <w:tcW w:w="19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0"/>
              <w:ind w:right="60"/>
              <w:jc w:val="center"/>
              <w:rPr>
                <w:rFonts w:ascii="Arial" w:hAnsi="Arial" w:cs="Arial" w:eastAsia="Arial" w:hint="default"/>
                <w:sz w:val="18"/>
                <w:szCs w:val="18"/>
              </w:rPr>
            </w:pPr>
            <w:r>
              <w:rPr>
                <w:rFonts w:ascii="Arial"/>
                <w:w w:val="99"/>
                <w:sz w:val="18"/>
              </w:rPr>
              <w:t>-</w:t>
            </w:r>
            <w:r>
              <w:rPr>
                <w:rFonts w:ascii="Arial"/>
                <w:sz w:val="18"/>
              </w:rPr>
            </w:r>
          </w:p>
        </w:tc>
      </w:tr>
      <w:tr>
        <w:trPr>
          <w:trHeight w:val="595" w:hRule="exact"/>
        </w:trPr>
        <w:tc>
          <w:tcPr>
            <w:tcW w:w="19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left="35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0"/>
              <w:ind w:right="60"/>
              <w:jc w:val="center"/>
              <w:rPr>
                <w:rFonts w:ascii="Arial" w:hAnsi="Arial" w:cs="Arial" w:eastAsia="Arial" w:hint="default"/>
                <w:sz w:val="18"/>
                <w:szCs w:val="18"/>
              </w:rPr>
            </w:pPr>
            <w:r>
              <w:rPr>
                <w:rFonts w:ascii="Arial"/>
                <w:w w:val="99"/>
                <w:sz w:val="18"/>
              </w:rPr>
              <w:t>-</w:t>
            </w:r>
            <w:r>
              <w:rPr>
                <w:rFonts w:ascii="Arial"/>
                <w:sz w:val="18"/>
              </w:rPr>
            </w:r>
          </w:p>
        </w:tc>
        <w:tc>
          <w:tcPr>
            <w:tcW w:w="15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0"/>
              <w:ind w:right="67"/>
              <w:jc w:val="center"/>
              <w:rPr>
                <w:rFonts w:ascii="Arial" w:hAnsi="Arial" w:cs="Arial" w:eastAsia="Arial" w:hint="default"/>
                <w:sz w:val="18"/>
                <w:szCs w:val="18"/>
              </w:rPr>
            </w:pPr>
            <w:r>
              <w:rPr>
                <w:rFonts w:ascii="Arial"/>
                <w:w w:val="99"/>
                <w:sz w:val="18"/>
              </w:rPr>
              <w:t>-</w:t>
            </w:r>
            <w:r>
              <w:rPr>
                <w:rFonts w:ascii="Arial"/>
                <w:sz w:val="18"/>
              </w:rPr>
            </w:r>
          </w:p>
        </w:tc>
        <w:tc>
          <w:tcPr>
            <w:tcW w:w="12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0"/>
              <w:ind w:right="62"/>
              <w:jc w:val="center"/>
              <w:rPr>
                <w:rFonts w:ascii="Arial" w:hAnsi="Arial" w:cs="Arial" w:eastAsia="Arial" w:hint="default"/>
                <w:sz w:val="18"/>
                <w:szCs w:val="18"/>
              </w:rPr>
            </w:pPr>
            <w:r>
              <w:rPr>
                <w:rFonts w:ascii="Arial"/>
                <w:w w:val="99"/>
                <w:sz w:val="18"/>
              </w:rPr>
              <w:t>-</w:t>
            </w:r>
            <w:r>
              <w:rPr>
                <w:rFonts w:ascii="Arial"/>
                <w:sz w:val="18"/>
              </w:rPr>
            </w:r>
          </w:p>
        </w:tc>
        <w:tc>
          <w:tcPr>
            <w:tcW w:w="19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0"/>
              <w:ind w:right="60"/>
              <w:jc w:val="center"/>
              <w:rPr>
                <w:rFonts w:ascii="Arial" w:hAnsi="Arial" w:cs="Arial" w:eastAsia="Arial" w:hint="default"/>
                <w:sz w:val="18"/>
                <w:szCs w:val="18"/>
              </w:rPr>
            </w:pPr>
            <w:r>
              <w:rPr>
                <w:rFonts w:ascii="Arial"/>
                <w:w w:val="99"/>
                <w:sz w:val="18"/>
              </w:rPr>
              <w:t>-</w:t>
            </w:r>
            <w:r>
              <w:rPr>
                <w:rFonts w:ascii="Arial"/>
                <w:sz w:val="18"/>
              </w:rPr>
            </w:r>
          </w:p>
        </w:tc>
      </w:tr>
      <w:tr>
        <w:trPr>
          <w:trHeight w:val="638" w:hRule="exact"/>
        </w:trPr>
        <w:tc>
          <w:tcPr>
            <w:tcW w:w="1958"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1" w:right="0"/>
              <w:jc w:val="left"/>
              <w:rPr>
                <w:rFonts w:ascii="宋体" w:hAnsi="宋体" w:cs="宋体" w:eastAsia="宋体" w:hint="default"/>
                <w:sz w:val="18"/>
                <w:szCs w:val="18"/>
              </w:rPr>
            </w:pPr>
            <w:r>
              <w:rPr>
                <w:rFonts w:ascii="宋体" w:hAnsi="宋体" w:cs="宋体" w:eastAsia="宋体" w:hint="default"/>
                <w:spacing w:val="-5"/>
                <w:sz w:val="18"/>
                <w:szCs w:val="18"/>
              </w:rPr>
              <w:t>五、无形资产账面价值合</w:t>
            </w:r>
          </w:p>
          <w:p>
            <w:pPr>
              <w:pStyle w:val="TableParagraph"/>
              <w:spacing w:line="240" w:lineRule="auto" w:before="69"/>
              <w:ind w:left="-1" w:right="0"/>
              <w:jc w:val="left"/>
              <w:rPr>
                <w:rFonts w:ascii="宋体" w:hAnsi="宋体" w:cs="宋体" w:eastAsia="宋体" w:hint="default"/>
                <w:sz w:val="18"/>
                <w:szCs w:val="18"/>
              </w:rPr>
            </w:pPr>
            <w:r>
              <w:rPr>
                <w:rFonts w:ascii="宋体" w:hAnsi="宋体" w:cs="宋体" w:eastAsia="宋体" w:hint="default"/>
                <w:w w:val="99"/>
                <w:sz w:val="18"/>
                <w:szCs w:val="18"/>
              </w:rPr>
              <w:t>计</w:t>
            </w:r>
            <w:r>
              <w:rPr>
                <w:rFonts w:ascii="宋体" w:hAnsi="宋体" w:cs="宋体" w:eastAsia="宋体" w:hint="default"/>
                <w:sz w:val="18"/>
                <w:szCs w:val="18"/>
              </w:rPr>
            </w:r>
          </w:p>
        </w:tc>
        <w:tc>
          <w:tcPr>
            <w:tcW w:w="19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415"/>
              <w:jc w:val="right"/>
              <w:rPr>
                <w:rFonts w:ascii="Arial" w:hAnsi="Arial" w:cs="Arial" w:eastAsia="Arial" w:hint="default"/>
                <w:sz w:val="18"/>
                <w:szCs w:val="18"/>
              </w:rPr>
            </w:pPr>
            <w:r>
              <w:rPr>
                <w:rFonts w:ascii="Arial"/>
                <w:spacing w:val="-1"/>
                <w:sz w:val="18"/>
              </w:rPr>
              <w:t>12,662,814.88</w:t>
            </w:r>
          </w:p>
        </w:tc>
        <w:tc>
          <w:tcPr>
            <w:tcW w:w="15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67"/>
              <w:jc w:val="center"/>
              <w:rPr>
                <w:rFonts w:ascii="Arial" w:hAnsi="Arial" w:cs="Arial" w:eastAsia="Arial" w:hint="default"/>
                <w:sz w:val="18"/>
                <w:szCs w:val="18"/>
              </w:rPr>
            </w:pPr>
            <w:r>
              <w:rPr>
                <w:rFonts w:ascii="Arial"/>
                <w:w w:val="99"/>
                <w:sz w:val="18"/>
              </w:rPr>
              <w:t>-</w:t>
            </w:r>
            <w:r>
              <w:rPr>
                <w:rFonts w:ascii="Arial"/>
                <w:sz w:val="18"/>
              </w:rPr>
            </w:r>
          </w:p>
        </w:tc>
        <w:tc>
          <w:tcPr>
            <w:tcW w:w="12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62"/>
              <w:jc w:val="center"/>
              <w:rPr>
                <w:rFonts w:ascii="Arial" w:hAnsi="Arial" w:cs="Arial" w:eastAsia="Arial" w:hint="default"/>
                <w:sz w:val="18"/>
                <w:szCs w:val="18"/>
              </w:rPr>
            </w:pPr>
            <w:r>
              <w:rPr>
                <w:rFonts w:ascii="Arial"/>
                <w:w w:val="99"/>
                <w:sz w:val="18"/>
              </w:rPr>
              <w:t>-</w:t>
            </w:r>
            <w:r>
              <w:rPr>
                <w:rFonts w:ascii="Arial"/>
                <w:sz w:val="18"/>
              </w:rPr>
            </w:r>
          </w:p>
        </w:tc>
        <w:tc>
          <w:tcPr>
            <w:tcW w:w="19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415"/>
              <w:jc w:val="right"/>
              <w:rPr>
                <w:rFonts w:ascii="Arial" w:hAnsi="Arial" w:cs="Arial" w:eastAsia="Arial" w:hint="default"/>
                <w:sz w:val="18"/>
                <w:szCs w:val="18"/>
              </w:rPr>
            </w:pPr>
            <w:r>
              <w:rPr>
                <w:rFonts w:ascii="Arial"/>
                <w:spacing w:val="-1"/>
                <w:sz w:val="18"/>
              </w:rPr>
              <w:t>12,396,172.84</w:t>
            </w:r>
          </w:p>
        </w:tc>
      </w:tr>
      <w:tr>
        <w:trPr>
          <w:trHeight w:val="595" w:hRule="exact"/>
        </w:trPr>
        <w:tc>
          <w:tcPr>
            <w:tcW w:w="19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left="35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0"/>
              <w:ind w:right="415"/>
              <w:jc w:val="right"/>
              <w:rPr>
                <w:rFonts w:ascii="Arial" w:hAnsi="Arial" w:cs="Arial" w:eastAsia="Arial" w:hint="default"/>
                <w:sz w:val="18"/>
                <w:szCs w:val="18"/>
              </w:rPr>
            </w:pPr>
            <w:r>
              <w:rPr>
                <w:rFonts w:ascii="Arial"/>
                <w:spacing w:val="-1"/>
                <w:sz w:val="18"/>
              </w:rPr>
              <w:t>12,662,814.88</w:t>
            </w:r>
          </w:p>
        </w:tc>
        <w:tc>
          <w:tcPr>
            <w:tcW w:w="15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0"/>
              <w:ind w:right="67"/>
              <w:jc w:val="center"/>
              <w:rPr>
                <w:rFonts w:ascii="Arial" w:hAnsi="Arial" w:cs="Arial" w:eastAsia="Arial" w:hint="default"/>
                <w:sz w:val="18"/>
                <w:szCs w:val="18"/>
              </w:rPr>
            </w:pPr>
            <w:r>
              <w:rPr>
                <w:rFonts w:ascii="Arial"/>
                <w:w w:val="99"/>
                <w:sz w:val="18"/>
              </w:rPr>
              <w:t>-</w:t>
            </w:r>
            <w:r>
              <w:rPr>
                <w:rFonts w:ascii="Arial"/>
                <w:sz w:val="18"/>
              </w:rPr>
            </w:r>
          </w:p>
        </w:tc>
        <w:tc>
          <w:tcPr>
            <w:tcW w:w="12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0"/>
              <w:ind w:right="62"/>
              <w:jc w:val="center"/>
              <w:rPr>
                <w:rFonts w:ascii="Arial" w:hAnsi="Arial" w:cs="Arial" w:eastAsia="Arial" w:hint="default"/>
                <w:sz w:val="18"/>
                <w:szCs w:val="18"/>
              </w:rPr>
            </w:pPr>
            <w:r>
              <w:rPr>
                <w:rFonts w:ascii="Arial"/>
                <w:w w:val="99"/>
                <w:sz w:val="18"/>
              </w:rPr>
              <w:t>-</w:t>
            </w:r>
            <w:r>
              <w:rPr>
                <w:rFonts w:ascii="Arial"/>
                <w:sz w:val="18"/>
              </w:rPr>
            </w:r>
          </w:p>
        </w:tc>
        <w:tc>
          <w:tcPr>
            <w:tcW w:w="19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0"/>
              <w:ind w:right="413"/>
              <w:jc w:val="right"/>
              <w:rPr>
                <w:rFonts w:ascii="Arial" w:hAnsi="Arial" w:cs="Arial" w:eastAsia="Arial" w:hint="default"/>
                <w:sz w:val="18"/>
                <w:szCs w:val="18"/>
              </w:rPr>
            </w:pPr>
            <w:r>
              <w:rPr>
                <w:rFonts w:ascii="Arial"/>
                <w:spacing w:val="-1"/>
                <w:sz w:val="18"/>
              </w:rPr>
              <w:t>12,396,172.84</w:t>
            </w:r>
          </w:p>
        </w:tc>
      </w:tr>
    </w:tbl>
    <w:p>
      <w:pPr>
        <w:spacing w:line="240" w:lineRule="auto" w:before="12"/>
        <w:rPr>
          <w:rFonts w:ascii="宋体" w:hAnsi="宋体" w:cs="宋体" w:eastAsia="宋体" w:hint="default"/>
          <w:sz w:val="23"/>
          <w:szCs w:val="23"/>
        </w:rPr>
      </w:pPr>
    </w:p>
    <w:p>
      <w:pPr>
        <w:pStyle w:val="BodyText"/>
        <w:spacing w:line="240" w:lineRule="auto"/>
        <w:ind w:right="0"/>
        <w:jc w:val="left"/>
      </w:pPr>
      <w:r>
        <w:rPr>
          <w:rFonts w:ascii="Arial" w:hAnsi="Arial" w:cs="Arial" w:eastAsia="Arial" w:hint="default"/>
        </w:rPr>
        <w:t>6.12.2  </w:t>
      </w:r>
      <w:r>
        <w:rPr/>
        <w:t>本年摊销额：</w:t>
      </w:r>
      <w:r>
        <w:rPr>
          <w:rFonts w:ascii="Arial" w:hAnsi="Arial" w:cs="Arial" w:eastAsia="Arial" w:hint="default"/>
        </w:rPr>
        <w:t>266,642.04</w:t>
      </w:r>
      <w:r>
        <w:rPr>
          <w:rFonts w:ascii="Arial" w:hAnsi="Arial" w:cs="Arial" w:eastAsia="Arial" w:hint="default"/>
          <w:spacing w:val="-25"/>
        </w:rPr>
        <w:t> </w:t>
      </w:r>
      <w:r>
        <w:rPr/>
        <w:t>元。</w:t>
      </w:r>
    </w:p>
    <w:p>
      <w:pPr>
        <w:pStyle w:val="BodyText"/>
        <w:spacing w:line="240" w:lineRule="auto" w:before="126"/>
        <w:ind w:right="0"/>
        <w:jc w:val="left"/>
      </w:pPr>
      <w:r>
        <w:rPr>
          <w:rFonts w:ascii="Arial" w:hAnsi="Arial" w:cs="Arial" w:eastAsia="Arial" w:hint="default"/>
        </w:rPr>
        <w:t>6.12.3</w:t>
      </w:r>
      <w:r>
        <w:rPr>
          <w:rFonts w:ascii="Arial" w:hAnsi="Arial" w:cs="Arial" w:eastAsia="Arial" w:hint="default"/>
          <w:spacing w:val="35"/>
        </w:rPr>
        <w:t> </w:t>
      </w:r>
      <w:r>
        <w:rPr/>
        <w:t>本公司董事会认为：本期公司的无形资产未发现减值迹象，故无需计提减值准备。</w:t>
      </w:r>
    </w:p>
    <w:p>
      <w:pPr>
        <w:pStyle w:val="BodyText"/>
        <w:spacing w:line="348" w:lineRule="auto" w:before="123"/>
        <w:ind w:right="2736"/>
        <w:jc w:val="left"/>
      </w:pPr>
      <w:r>
        <w:rPr>
          <w:rFonts w:ascii="Arial" w:hAnsi="Arial" w:cs="Arial" w:eastAsia="Arial" w:hint="default"/>
        </w:rPr>
        <w:t>6.13</w:t>
      </w:r>
      <w:r>
        <w:rPr>
          <w:rFonts w:ascii="Arial" w:hAnsi="Arial" w:cs="Arial" w:eastAsia="Arial" w:hint="default"/>
          <w:spacing w:val="-7"/>
        </w:rPr>
        <w:t> </w:t>
      </w:r>
      <w:r>
        <w:rPr/>
        <w:t>递延所得税资产</w:t>
      </w:r>
      <w:r>
        <w:rPr>
          <w:w w:val="100"/>
        </w:rPr>
        <w:t> </w:t>
      </w:r>
      <w:r>
        <w:rPr>
          <w:spacing w:val="-1"/>
        </w:rPr>
        <w:t>递延所得税资产和递延所得税负债不以抵消后的净额列示</w:t>
      </w:r>
      <w:r>
        <w:rPr>
          <w:spacing w:val="-93"/>
        </w:rPr>
        <w:t> </w:t>
      </w:r>
      <w:r>
        <w:rPr>
          <w:spacing w:val="-93"/>
        </w:rPr>
      </w:r>
      <w:r>
        <w:rPr>
          <w:rFonts w:ascii="Arial" w:hAnsi="Arial" w:cs="Arial" w:eastAsia="Arial" w:hint="default"/>
        </w:rPr>
        <w:t>6.13.1</w:t>
      </w:r>
      <w:r>
        <w:rPr>
          <w:rFonts w:ascii="Arial" w:hAnsi="Arial" w:cs="Arial" w:eastAsia="Arial" w:hint="default"/>
          <w:spacing w:val="45"/>
        </w:rPr>
        <w:t> </w:t>
      </w:r>
      <w:r>
        <w:rPr/>
        <w:t>已确认的递延所得税资产</w:t>
      </w:r>
    </w:p>
    <w:p>
      <w:pPr>
        <w:spacing w:after="0" w:line="348" w:lineRule="auto"/>
        <w:jc w:val="left"/>
        <w:sectPr>
          <w:footerReference w:type="default" r:id="rId69"/>
          <w:pgSz w:w="11900" w:h="16840"/>
          <w:pgMar w:footer="983" w:header="0" w:top="1100" w:bottom="1180" w:left="1660" w:right="1300"/>
          <w:pgNumType w:start="110"/>
        </w:sectPr>
      </w:pPr>
    </w:p>
    <w:p>
      <w:pPr>
        <w:spacing w:line="240" w:lineRule="auto" w:before="8"/>
        <w:rPr>
          <w:rFonts w:ascii="宋体" w:hAnsi="宋体" w:cs="宋体" w:eastAsia="宋体" w:hint="default"/>
          <w:sz w:val="24"/>
          <w:szCs w:val="24"/>
        </w:rPr>
      </w:pPr>
    </w:p>
    <w:tbl>
      <w:tblPr>
        <w:tblW w:w="0" w:type="auto"/>
        <w:jc w:val="left"/>
        <w:tblInd w:w="286" w:type="dxa"/>
        <w:tblLayout w:type="fixed"/>
        <w:tblCellMar>
          <w:top w:w="0" w:type="dxa"/>
          <w:left w:w="0" w:type="dxa"/>
          <w:bottom w:w="0" w:type="dxa"/>
          <w:right w:w="0" w:type="dxa"/>
        </w:tblCellMar>
        <w:tblLook w:val="01E0"/>
      </w:tblPr>
      <w:tblGrid>
        <w:gridCol w:w="2988"/>
        <w:gridCol w:w="2616"/>
        <w:gridCol w:w="2710"/>
      </w:tblGrid>
      <w:tr>
        <w:trPr>
          <w:trHeight w:val="334" w:hRule="exact"/>
        </w:trPr>
        <w:tc>
          <w:tcPr>
            <w:tcW w:w="2988"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16" w:type="dxa"/>
            <w:tcBorders>
              <w:top w:val="single" w:sz="12" w:space="0" w:color="000000"/>
              <w:left w:val="single" w:sz="12" w:space="0" w:color="000000"/>
              <w:bottom w:val="single" w:sz="12" w:space="0" w:color="000000"/>
              <w:right w:val="single" w:sz="12" w:space="0" w:color="000000"/>
            </w:tcBorders>
          </w:tcPr>
          <w:p>
            <w:pPr>
              <w:pStyle w:val="TableParagraph"/>
              <w:spacing w:line="221" w:lineRule="exact"/>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710" w:type="dxa"/>
            <w:tcBorders>
              <w:top w:val="single" w:sz="12" w:space="0" w:color="000000"/>
              <w:left w:val="single" w:sz="12" w:space="0" w:color="000000"/>
              <w:bottom w:val="single" w:sz="12" w:space="0" w:color="000000"/>
              <w:right w:val="single" w:sz="12" w:space="0" w:color="000000"/>
            </w:tcBorders>
          </w:tcPr>
          <w:p>
            <w:pPr>
              <w:pStyle w:val="TableParagraph"/>
              <w:spacing w:line="221" w:lineRule="exact"/>
              <w:ind w:right="2"/>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334" w:hRule="exact"/>
        </w:trPr>
        <w:tc>
          <w:tcPr>
            <w:tcW w:w="2988"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616" w:type="dxa"/>
            <w:tcBorders>
              <w:top w:val="single" w:sz="12" w:space="0" w:color="000000"/>
              <w:left w:val="single" w:sz="12" w:space="0" w:color="000000"/>
              <w:bottom w:val="single" w:sz="12" w:space="0" w:color="000000"/>
              <w:right w:val="single" w:sz="12" w:space="0" w:color="000000"/>
            </w:tcBorders>
          </w:tcPr>
          <w:p>
            <w:pPr/>
          </w:p>
        </w:tc>
        <w:tc>
          <w:tcPr>
            <w:tcW w:w="2710" w:type="dxa"/>
            <w:tcBorders>
              <w:top w:val="single" w:sz="12" w:space="0" w:color="000000"/>
              <w:left w:val="single" w:sz="12" w:space="0" w:color="000000"/>
              <w:bottom w:val="single" w:sz="12" w:space="0" w:color="000000"/>
              <w:right w:val="single" w:sz="12" w:space="0" w:color="000000"/>
            </w:tcBorders>
          </w:tcPr>
          <w:p>
            <w:pPr/>
          </w:p>
        </w:tc>
      </w:tr>
      <w:tr>
        <w:trPr>
          <w:trHeight w:val="334" w:hRule="exact"/>
        </w:trPr>
        <w:tc>
          <w:tcPr>
            <w:tcW w:w="2988"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6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sz w:val="18"/>
              </w:rPr>
              <w:t>535,817.38</w:t>
            </w:r>
          </w:p>
        </w:tc>
        <w:tc>
          <w:tcPr>
            <w:tcW w:w="27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1"/>
              <w:jc w:val="center"/>
              <w:rPr>
                <w:rFonts w:ascii="Arial" w:hAnsi="Arial" w:cs="Arial" w:eastAsia="Arial" w:hint="default"/>
                <w:sz w:val="18"/>
                <w:szCs w:val="18"/>
              </w:rPr>
            </w:pPr>
            <w:r>
              <w:rPr>
                <w:rFonts w:ascii="Arial"/>
                <w:sz w:val="18"/>
              </w:rPr>
              <w:t>429,633.23</w:t>
            </w:r>
          </w:p>
        </w:tc>
      </w:tr>
      <w:tr>
        <w:trPr>
          <w:trHeight w:val="334" w:hRule="exact"/>
        </w:trPr>
        <w:tc>
          <w:tcPr>
            <w:tcW w:w="2988"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26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sz w:val="18"/>
              </w:rPr>
              <w:t>487,748.25</w:t>
            </w:r>
          </w:p>
        </w:tc>
        <w:tc>
          <w:tcPr>
            <w:tcW w:w="27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2"/>
              <w:jc w:val="center"/>
              <w:rPr>
                <w:rFonts w:ascii="Arial" w:hAnsi="Arial" w:cs="Arial" w:eastAsia="Arial" w:hint="default"/>
                <w:sz w:val="18"/>
                <w:szCs w:val="18"/>
              </w:rPr>
            </w:pPr>
            <w:r>
              <w:rPr>
                <w:rFonts w:ascii="Arial"/>
                <w:w w:val="99"/>
                <w:sz w:val="18"/>
              </w:rPr>
              <w:t>-</w:t>
            </w:r>
            <w:r>
              <w:rPr>
                <w:rFonts w:ascii="Arial"/>
                <w:sz w:val="18"/>
              </w:rPr>
            </w:r>
          </w:p>
        </w:tc>
      </w:tr>
      <w:tr>
        <w:trPr>
          <w:trHeight w:val="331" w:hRule="exact"/>
        </w:trPr>
        <w:tc>
          <w:tcPr>
            <w:tcW w:w="2988"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6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1"/>
              <w:jc w:val="center"/>
              <w:rPr>
                <w:rFonts w:ascii="Arial" w:hAnsi="Arial" w:cs="Arial" w:eastAsia="Arial" w:hint="default"/>
                <w:sz w:val="18"/>
                <w:szCs w:val="18"/>
              </w:rPr>
            </w:pPr>
            <w:r>
              <w:rPr>
                <w:rFonts w:ascii="Arial"/>
                <w:sz w:val="18"/>
              </w:rPr>
              <w:t>1,023,565.63</w:t>
            </w:r>
          </w:p>
        </w:tc>
        <w:tc>
          <w:tcPr>
            <w:tcW w:w="27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1"/>
              <w:jc w:val="center"/>
              <w:rPr>
                <w:rFonts w:ascii="Arial" w:hAnsi="Arial" w:cs="Arial" w:eastAsia="Arial" w:hint="default"/>
                <w:sz w:val="18"/>
                <w:szCs w:val="18"/>
              </w:rPr>
            </w:pPr>
            <w:r>
              <w:rPr>
                <w:rFonts w:ascii="Arial"/>
                <w:sz w:val="18"/>
              </w:rPr>
              <w:t>429,633.23</w:t>
            </w:r>
          </w:p>
        </w:tc>
      </w:tr>
    </w:tbl>
    <w:p>
      <w:pPr>
        <w:spacing w:line="240" w:lineRule="auto" w:before="12"/>
        <w:rPr>
          <w:rFonts w:ascii="宋体" w:hAnsi="宋体" w:cs="宋体" w:eastAsia="宋体" w:hint="default"/>
          <w:sz w:val="23"/>
          <w:szCs w:val="23"/>
        </w:rPr>
      </w:pPr>
    </w:p>
    <w:p>
      <w:pPr>
        <w:pStyle w:val="BodyText"/>
        <w:spacing w:line="240" w:lineRule="auto"/>
        <w:ind w:right="137"/>
        <w:jc w:val="left"/>
      </w:pPr>
      <w:r>
        <w:rPr>
          <w:rFonts w:ascii="Arial" w:hAnsi="Arial" w:cs="Arial" w:eastAsia="Arial" w:hint="default"/>
        </w:rPr>
        <w:t>6.13.2</w:t>
      </w:r>
      <w:r>
        <w:rPr>
          <w:rFonts w:ascii="Arial" w:hAnsi="Arial" w:cs="Arial" w:eastAsia="Arial" w:hint="default"/>
          <w:spacing w:val="38"/>
        </w:rPr>
        <w:t> </w:t>
      </w:r>
      <w:r>
        <w:rPr/>
        <w:t>引起暂时性差异的资产或负债项目对应的暂时性差异</w:t>
      </w:r>
    </w:p>
    <w:p>
      <w:pPr>
        <w:spacing w:line="240" w:lineRule="auto" w:before="5"/>
        <w:rPr>
          <w:rFonts w:ascii="宋体" w:hAnsi="宋体" w:cs="宋体" w:eastAsia="宋体" w:hint="default"/>
          <w:sz w:val="12"/>
          <w:szCs w:val="12"/>
        </w:rPr>
      </w:pPr>
    </w:p>
    <w:tbl>
      <w:tblPr>
        <w:tblW w:w="0" w:type="auto"/>
        <w:jc w:val="left"/>
        <w:tblInd w:w="336" w:type="dxa"/>
        <w:tblLayout w:type="fixed"/>
        <w:tblCellMar>
          <w:top w:w="0" w:type="dxa"/>
          <w:left w:w="0" w:type="dxa"/>
          <w:bottom w:w="0" w:type="dxa"/>
          <w:right w:w="0" w:type="dxa"/>
        </w:tblCellMar>
        <w:tblLook w:val="01E0"/>
      </w:tblPr>
      <w:tblGrid>
        <w:gridCol w:w="2986"/>
        <w:gridCol w:w="2537"/>
        <w:gridCol w:w="2688"/>
      </w:tblGrid>
      <w:tr>
        <w:trPr>
          <w:trHeight w:val="334" w:hRule="exact"/>
        </w:trPr>
        <w:tc>
          <w:tcPr>
            <w:tcW w:w="2986"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1296"/>
              <w:jc w:val="right"/>
              <w:rPr>
                <w:rFonts w:ascii="宋体" w:hAnsi="宋体" w:cs="宋体" w:eastAsia="宋体" w:hint="default"/>
                <w:sz w:val="18"/>
                <w:szCs w:val="18"/>
              </w:rPr>
            </w:pPr>
            <w:r>
              <w:rPr>
                <w:rFonts w:ascii="宋体" w:hAnsi="宋体" w:cs="宋体" w:eastAsia="宋体" w:hint="default"/>
                <w:w w:val="95"/>
                <w:sz w:val="18"/>
                <w:szCs w:val="18"/>
              </w:rPr>
              <w:t>项目</w:t>
            </w:r>
            <w:r>
              <w:rPr>
                <w:rFonts w:ascii="宋体" w:hAnsi="宋体" w:cs="宋体" w:eastAsia="宋体" w:hint="default"/>
                <w:sz w:val="18"/>
                <w:szCs w:val="18"/>
              </w:rPr>
            </w:r>
          </w:p>
        </w:tc>
        <w:tc>
          <w:tcPr>
            <w:tcW w:w="2537" w:type="dxa"/>
            <w:tcBorders>
              <w:top w:val="single" w:sz="12" w:space="0" w:color="000000"/>
              <w:left w:val="single" w:sz="12" w:space="0" w:color="000000"/>
              <w:bottom w:val="single" w:sz="12" w:space="0" w:color="000000"/>
              <w:right w:val="single" w:sz="12" w:space="0" w:color="000000"/>
            </w:tcBorders>
          </w:tcPr>
          <w:p>
            <w:pPr>
              <w:pStyle w:val="TableParagraph"/>
              <w:spacing w:line="221" w:lineRule="exact"/>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688" w:type="dxa"/>
            <w:tcBorders>
              <w:top w:val="single" w:sz="12" w:space="0" w:color="000000"/>
              <w:left w:val="single" w:sz="12" w:space="0" w:color="000000"/>
              <w:bottom w:val="single" w:sz="12" w:space="0" w:color="000000"/>
              <w:right w:val="single" w:sz="12" w:space="0" w:color="000000"/>
            </w:tcBorders>
          </w:tcPr>
          <w:p>
            <w:pPr>
              <w:pStyle w:val="TableParagraph"/>
              <w:spacing w:line="221" w:lineRule="exact"/>
              <w:ind w:left="2"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334" w:hRule="exact"/>
        </w:trPr>
        <w:tc>
          <w:tcPr>
            <w:tcW w:w="2986"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37" w:type="dxa"/>
            <w:tcBorders>
              <w:top w:val="single" w:sz="12" w:space="0" w:color="000000"/>
              <w:left w:val="single" w:sz="12" w:space="0" w:color="000000"/>
              <w:bottom w:val="single" w:sz="12" w:space="0" w:color="000000"/>
              <w:right w:val="single" w:sz="12" w:space="0" w:color="000000"/>
            </w:tcBorders>
          </w:tcPr>
          <w:p>
            <w:pPr/>
          </w:p>
        </w:tc>
        <w:tc>
          <w:tcPr>
            <w:tcW w:w="2688"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986" w:type="dxa"/>
            <w:tcBorders>
              <w:top w:val="single" w:sz="12" w:space="0" w:color="000000"/>
              <w:left w:val="single" w:sz="12" w:space="0" w:color="000000"/>
              <w:bottom w:val="single" w:sz="12" w:space="0" w:color="000000"/>
              <w:right w:val="single" w:sz="12" w:space="0" w:color="000000"/>
            </w:tcBorders>
          </w:tcPr>
          <w:p>
            <w:pPr>
              <w:pStyle w:val="TableParagraph"/>
              <w:spacing w:line="210" w:lineRule="exact"/>
              <w:ind w:left="9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5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3,307,188.61</w:t>
            </w:r>
          </w:p>
        </w:tc>
        <w:tc>
          <w:tcPr>
            <w:tcW w:w="26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 w:right="0"/>
              <w:jc w:val="center"/>
              <w:rPr>
                <w:rFonts w:ascii="Arial" w:hAnsi="Arial" w:cs="Arial" w:eastAsia="Arial" w:hint="default"/>
                <w:sz w:val="18"/>
                <w:szCs w:val="18"/>
              </w:rPr>
            </w:pPr>
            <w:r>
              <w:rPr>
                <w:rFonts w:ascii="Arial"/>
                <w:sz w:val="18"/>
              </w:rPr>
              <w:t>2,843,231.84</w:t>
            </w:r>
          </w:p>
        </w:tc>
      </w:tr>
      <w:tr>
        <w:trPr>
          <w:trHeight w:val="343" w:hRule="exact"/>
        </w:trPr>
        <w:tc>
          <w:tcPr>
            <w:tcW w:w="2986" w:type="dxa"/>
            <w:tcBorders>
              <w:top w:val="single" w:sz="12" w:space="0" w:color="000000"/>
              <w:left w:val="single" w:sz="12" w:space="0" w:color="000000"/>
              <w:bottom w:val="single" w:sz="12" w:space="0" w:color="000000"/>
              <w:right w:val="single" w:sz="12" w:space="0" w:color="000000"/>
            </w:tcBorders>
          </w:tcPr>
          <w:p>
            <w:pPr>
              <w:pStyle w:val="TableParagraph"/>
              <w:spacing w:line="210" w:lineRule="exact"/>
              <w:ind w:left="93"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25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1,950,993.00</w:t>
            </w:r>
          </w:p>
        </w:tc>
        <w:tc>
          <w:tcPr>
            <w:tcW w:w="26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583,003.39</w:t>
            </w:r>
          </w:p>
        </w:tc>
      </w:tr>
      <w:tr>
        <w:trPr>
          <w:trHeight w:val="341" w:hRule="exact"/>
        </w:trPr>
        <w:tc>
          <w:tcPr>
            <w:tcW w:w="2986" w:type="dxa"/>
            <w:tcBorders>
              <w:top w:val="single" w:sz="12" w:space="0" w:color="000000"/>
              <w:left w:val="single" w:sz="12" w:space="0" w:color="000000"/>
              <w:bottom w:val="single" w:sz="12" w:space="0" w:color="000000"/>
              <w:right w:val="single" w:sz="12" w:space="0" w:color="000000"/>
            </w:tcBorders>
          </w:tcPr>
          <w:p>
            <w:pPr>
              <w:pStyle w:val="TableParagraph"/>
              <w:spacing w:line="210" w:lineRule="exact"/>
              <w:ind w:right="1296"/>
              <w:jc w:val="right"/>
              <w:rPr>
                <w:rFonts w:ascii="宋体" w:hAnsi="宋体" w:cs="宋体" w:eastAsia="宋体" w:hint="default"/>
                <w:sz w:val="18"/>
                <w:szCs w:val="18"/>
              </w:rPr>
            </w:pPr>
            <w:r>
              <w:rPr>
                <w:rFonts w:ascii="宋体" w:hAnsi="宋体" w:cs="宋体" w:eastAsia="宋体" w:hint="default"/>
                <w:w w:val="95"/>
                <w:sz w:val="18"/>
                <w:szCs w:val="18"/>
              </w:rPr>
              <w:t>小计</w:t>
            </w:r>
            <w:r>
              <w:rPr>
                <w:rFonts w:ascii="宋体" w:hAnsi="宋体" w:cs="宋体" w:eastAsia="宋体" w:hint="default"/>
                <w:sz w:val="18"/>
                <w:szCs w:val="18"/>
              </w:rPr>
            </w:r>
          </w:p>
        </w:tc>
        <w:tc>
          <w:tcPr>
            <w:tcW w:w="25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5,258,181.61</w:t>
            </w:r>
          </w:p>
        </w:tc>
        <w:tc>
          <w:tcPr>
            <w:tcW w:w="26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 w:right="0"/>
              <w:jc w:val="center"/>
              <w:rPr>
                <w:rFonts w:ascii="Arial" w:hAnsi="Arial" w:cs="Arial" w:eastAsia="Arial" w:hint="default"/>
                <w:sz w:val="18"/>
                <w:szCs w:val="18"/>
              </w:rPr>
            </w:pPr>
            <w:r>
              <w:rPr>
                <w:rFonts w:ascii="Arial"/>
                <w:sz w:val="18"/>
              </w:rPr>
              <w:t>3,426,235.23</w:t>
            </w:r>
          </w:p>
        </w:tc>
      </w:tr>
    </w:tbl>
    <w:p>
      <w:pPr>
        <w:spacing w:line="240" w:lineRule="auto" w:before="12"/>
        <w:rPr>
          <w:rFonts w:ascii="宋体" w:hAnsi="宋体" w:cs="宋体" w:eastAsia="宋体" w:hint="default"/>
          <w:sz w:val="23"/>
          <w:szCs w:val="23"/>
        </w:rPr>
      </w:pPr>
    </w:p>
    <w:p>
      <w:pPr>
        <w:pStyle w:val="BodyText"/>
        <w:spacing w:line="338" w:lineRule="auto"/>
        <w:ind w:right="137"/>
        <w:jc w:val="left"/>
      </w:pPr>
      <w:r>
        <w:rPr>
          <w:rFonts w:ascii="Arial" w:hAnsi="Arial" w:cs="Arial" w:eastAsia="Arial" w:hint="default"/>
        </w:rPr>
        <w:t>6.13.3 </w:t>
      </w:r>
      <w:r>
        <w:rPr/>
        <w:t>递延所得税资产期末数比期初数增加 </w:t>
      </w:r>
      <w:r>
        <w:rPr>
          <w:rFonts w:ascii="Arial" w:hAnsi="Arial" w:cs="Arial" w:eastAsia="Arial" w:hint="default"/>
        </w:rPr>
        <w:t>593,932.40 </w:t>
      </w:r>
      <w:r>
        <w:rPr/>
        <w:t>元，增加比例为</w:t>
      </w:r>
      <w:r>
        <w:rPr>
          <w:spacing w:val="-51"/>
        </w:rPr>
        <w:t> </w:t>
      </w:r>
      <w:r>
        <w:rPr>
          <w:rFonts w:ascii="Arial" w:hAnsi="Arial" w:cs="Arial" w:eastAsia="Arial" w:hint="default"/>
        </w:rPr>
        <w:t>138.24%</w:t>
      </w:r>
      <w:r>
        <w:rPr/>
        <w:t>，增加</w:t>
      </w:r>
      <w:r>
        <w:rPr>
          <w:w w:val="100"/>
        </w:rPr>
        <w:t> </w:t>
      </w:r>
      <w:r>
        <w:rPr/>
        <w:t>主要原因为：本公司本年内部交易未实现利润增加所致。</w:t>
      </w:r>
    </w:p>
    <w:p>
      <w:pPr>
        <w:pStyle w:val="BodyText"/>
        <w:spacing w:line="240" w:lineRule="auto" w:before="49"/>
        <w:ind w:right="137"/>
        <w:jc w:val="left"/>
      </w:pPr>
      <w:r>
        <w:rPr>
          <w:rFonts w:ascii="Arial" w:hAnsi="Arial" w:cs="Arial" w:eastAsia="Arial" w:hint="default"/>
        </w:rPr>
        <w:t>6.14</w:t>
      </w:r>
      <w:r>
        <w:rPr>
          <w:rFonts w:ascii="Arial" w:hAnsi="Arial" w:cs="Arial" w:eastAsia="Arial" w:hint="default"/>
          <w:spacing w:val="-8"/>
        </w:rPr>
        <w:t> </w:t>
      </w:r>
      <w:r>
        <w:rPr/>
        <w:t>资产减值准备明细</w:t>
      </w:r>
    </w:p>
    <w:p>
      <w:pPr>
        <w:spacing w:line="240" w:lineRule="auto" w:before="5"/>
        <w:rPr>
          <w:rFonts w:ascii="宋体" w:hAnsi="宋体" w:cs="宋体" w:eastAsia="宋体" w:hint="default"/>
          <w:sz w:val="12"/>
          <w:szCs w:val="12"/>
        </w:rPr>
      </w:pPr>
    </w:p>
    <w:tbl>
      <w:tblPr>
        <w:tblW w:w="0" w:type="auto"/>
        <w:jc w:val="left"/>
        <w:tblInd w:w="235" w:type="dxa"/>
        <w:tblLayout w:type="fixed"/>
        <w:tblCellMar>
          <w:top w:w="0" w:type="dxa"/>
          <w:left w:w="0" w:type="dxa"/>
          <w:bottom w:w="0" w:type="dxa"/>
          <w:right w:w="0" w:type="dxa"/>
        </w:tblCellMar>
        <w:tblLook w:val="01E0"/>
      </w:tblPr>
      <w:tblGrid>
        <w:gridCol w:w="1327"/>
        <w:gridCol w:w="1438"/>
        <w:gridCol w:w="1250"/>
        <w:gridCol w:w="859"/>
        <w:gridCol w:w="1094"/>
        <w:gridCol w:w="1178"/>
        <w:gridCol w:w="1267"/>
      </w:tblGrid>
      <w:tr>
        <w:trPr>
          <w:trHeight w:val="334" w:hRule="exact"/>
        </w:trPr>
        <w:tc>
          <w:tcPr>
            <w:tcW w:w="1327" w:type="dxa"/>
            <w:vMerge w:val="restart"/>
            <w:tcBorders>
              <w:top w:val="single" w:sz="12" w:space="0" w:color="000000"/>
              <w:left w:val="single" w:sz="12" w:space="0" w:color="000000"/>
              <w:right w:val="single" w:sz="12"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38" w:type="dxa"/>
            <w:vMerge w:val="restart"/>
            <w:tcBorders>
              <w:top w:val="single" w:sz="12" w:space="0" w:color="000000"/>
              <w:left w:val="single" w:sz="12" w:space="0" w:color="000000"/>
              <w:right w:val="single" w:sz="12" w:space="0" w:color="000000"/>
            </w:tcBorders>
          </w:tcPr>
          <w:p>
            <w:pPr>
              <w:pStyle w:val="TableParagraph"/>
              <w:spacing w:line="221" w:lineRule="exact"/>
              <w:ind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54"/>
              <w:ind w:right="0"/>
              <w:jc w:val="center"/>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250" w:type="dxa"/>
            <w:vMerge w:val="restart"/>
            <w:tcBorders>
              <w:top w:val="single" w:sz="12" w:space="0" w:color="000000"/>
              <w:left w:val="single" w:sz="12" w:space="0" w:color="000000"/>
              <w:right w:val="single" w:sz="12" w:space="0" w:color="000000"/>
            </w:tcBorders>
          </w:tcPr>
          <w:p>
            <w:pPr>
              <w:pStyle w:val="TableParagraph"/>
              <w:spacing w:line="208" w:lineRule="exact"/>
              <w:ind w:left="340" w:right="0" w:firstLine="88"/>
              <w:jc w:val="left"/>
              <w:rPr>
                <w:rFonts w:ascii="宋体" w:hAnsi="宋体" w:cs="宋体" w:eastAsia="宋体" w:hint="default"/>
                <w:sz w:val="18"/>
                <w:szCs w:val="18"/>
              </w:rPr>
            </w:pPr>
            <w:r>
              <w:rPr>
                <w:rFonts w:ascii="宋体" w:hAnsi="宋体" w:cs="宋体" w:eastAsia="宋体" w:hint="default"/>
                <w:sz w:val="18"/>
                <w:szCs w:val="18"/>
              </w:rPr>
              <w:t>本期</w:t>
            </w:r>
          </w:p>
          <w:p>
            <w:pPr>
              <w:pStyle w:val="TableParagraph"/>
              <w:spacing w:line="240" w:lineRule="auto" w:before="67"/>
              <w:ind w:left="340" w:right="0"/>
              <w:jc w:val="left"/>
              <w:rPr>
                <w:rFonts w:ascii="宋体" w:hAnsi="宋体" w:cs="宋体" w:eastAsia="宋体" w:hint="default"/>
                <w:sz w:val="18"/>
                <w:szCs w:val="18"/>
              </w:rPr>
            </w:pPr>
            <w:r>
              <w:rPr>
                <w:rFonts w:ascii="宋体" w:hAnsi="宋体" w:cs="宋体" w:eastAsia="宋体" w:hint="default"/>
                <w:sz w:val="18"/>
                <w:szCs w:val="18"/>
              </w:rPr>
              <w:t>计提额</w:t>
            </w:r>
          </w:p>
        </w:tc>
        <w:tc>
          <w:tcPr>
            <w:tcW w:w="3132" w:type="dxa"/>
            <w:gridSpan w:val="3"/>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本期减少额</w:t>
            </w:r>
          </w:p>
        </w:tc>
        <w:tc>
          <w:tcPr>
            <w:tcW w:w="1267" w:type="dxa"/>
            <w:vMerge w:val="restart"/>
            <w:tcBorders>
              <w:top w:val="single" w:sz="12" w:space="0" w:color="000000"/>
              <w:left w:val="single" w:sz="12" w:space="0" w:color="000000"/>
              <w:right w:val="single" w:sz="12" w:space="0" w:color="000000"/>
            </w:tcBorders>
          </w:tcPr>
          <w:p>
            <w:pPr>
              <w:pStyle w:val="TableParagraph"/>
              <w:spacing w:line="221" w:lineRule="exact"/>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54"/>
              <w:ind w:right="0"/>
              <w:jc w:val="center"/>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334" w:hRule="exact"/>
        </w:trPr>
        <w:tc>
          <w:tcPr>
            <w:tcW w:w="1327" w:type="dxa"/>
            <w:vMerge/>
            <w:tcBorders>
              <w:left w:val="single" w:sz="12" w:space="0" w:color="000000"/>
              <w:bottom w:val="single" w:sz="12" w:space="0" w:color="000000"/>
              <w:right w:val="single" w:sz="12" w:space="0" w:color="000000"/>
            </w:tcBorders>
          </w:tcPr>
          <w:p>
            <w:pPr/>
          </w:p>
        </w:tc>
        <w:tc>
          <w:tcPr>
            <w:tcW w:w="1438" w:type="dxa"/>
            <w:vMerge/>
            <w:tcBorders>
              <w:left w:val="single" w:sz="12" w:space="0" w:color="000000"/>
              <w:bottom w:val="single" w:sz="12" w:space="0" w:color="000000"/>
              <w:right w:val="single" w:sz="12" w:space="0" w:color="000000"/>
            </w:tcBorders>
          </w:tcPr>
          <w:p>
            <w:pPr/>
          </w:p>
        </w:tc>
        <w:tc>
          <w:tcPr>
            <w:tcW w:w="1250" w:type="dxa"/>
            <w:vMerge/>
            <w:tcBorders>
              <w:left w:val="single" w:sz="12" w:space="0" w:color="000000"/>
              <w:bottom w:val="single" w:sz="12" w:space="0" w:color="000000"/>
              <w:right w:val="single" w:sz="12" w:space="0" w:color="000000"/>
            </w:tcBorders>
          </w:tcPr>
          <w:p>
            <w:pPr/>
          </w:p>
        </w:tc>
        <w:tc>
          <w:tcPr>
            <w:tcW w:w="859"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094"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178"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67" w:type="dxa"/>
            <w:vMerge/>
            <w:tcBorders>
              <w:left w:val="single" w:sz="12" w:space="0" w:color="000000"/>
              <w:bottom w:val="single" w:sz="12" w:space="0" w:color="000000"/>
              <w:right w:val="single" w:sz="12" w:space="0" w:color="000000"/>
            </w:tcBorders>
          </w:tcPr>
          <w:p>
            <w:pPr/>
          </w:p>
        </w:tc>
      </w:tr>
      <w:tr>
        <w:trPr>
          <w:trHeight w:val="451" w:hRule="exact"/>
        </w:trPr>
        <w:tc>
          <w:tcPr>
            <w:tcW w:w="132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2"/>
              <w:ind w:left="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7"/>
              <w:ind w:right="0"/>
              <w:jc w:val="center"/>
              <w:rPr>
                <w:rFonts w:ascii="Arial" w:hAnsi="Arial" w:cs="Arial" w:eastAsia="Arial" w:hint="default"/>
                <w:sz w:val="18"/>
                <w:szCs w:val="18"/>
              </w:rPr>
            </w:pPr>
            <w:r>
              <w:rPr>
                <w:rFonts w:ascii="Arial"/>
                <w:sz w:val="18"/>
              </w:rPr>
              <w:t>2,702,235.94</w:t>
            </w:r>
          </w:p>
        </w:tc>
        <w:tc>
          <w:tcPr>
            <w:tcW w:w="12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8"/>
              <w:ind w:right="0"/>
              <w:jc w:val="center"/>
              <w:rPr>
                <w:rFonts w:ascii="Arial" w:hAnsi="Arial" w:cs="Arial" w:eastAsia="Arial" w:hint="default"/>
                <w:sz w:val="18"/>
                <w:szCs w:val="18"/>
              </w:rPr>
            </w:pPr>
            <w:r>
              <w:rPr>
                <w:rFonts w:ascii="Arial"/>
                <w:sz w:val="18"/>
              </w:rPr>
              <w:t>463,115.48</w:t>
            </w:r>
          </w:p>
        </w:tc>
        <w:tc>
          <w:tcPr>
            <w:tcW w:w="8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8"/>
              <w:ind w:right="0"/>
              <w:jc w:val="center"/>
              <w:rPr>
                <w:rFonts w:ascii="Arial" w:hAnsi="Arial" w:cs="Arial" w:eastAsia="Arial" w:hint="default"/>
                <w:sz w:val="18"/>
                <w:szCs w:val="18"/>
              </w:rPr>
            </w:pPr>
            <w:r>
              <w:rPr>
                <w:rFonts w:ascii="Arial"/>
                <w:w w:val="99"/>
                <w:sz w:val="18"/>
              </w:rPr>
              <w:t>-</w:t>
            </w:r>
            <w:r>
              <w:rPr>
                <w:rFonts w:ascii="Arial"/>
                <w:sz w:val="18"/>
              </w:rPr>
            </w:r>
          </w:p>
        </w:tc>
        <w:tc>
          <w:tcPr>
            <w:tcW w:w="10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8"/>
              <w:ind w:right="0"/>
              <w:jc w:val="center"/>
              <w:rPr>
                <w:rFonts w:ascii="Arial" w:hAnsi="Arial" w:cs="Arial" w:eastAsia="Arial" w:hint="default"/>
                <w:sz w:val="18"/>
                <w:szCs w:val="18"/>
              </w:rPr>
            </w:pPr>
            <w:r>
              <w:rPr>
                <w:rFonts w:ascii="Arial"/>
                <w:w w:val="99"/>
                <w:sz w:val="18"/>
              </w:rPr>
              <w:t>-</w:t>
            </w:r>
            <w:r>
              <w:rPr>
                <w:rFonts w:ascii="Arial"/>
                <w:sz w:val="18"/>
              </w:rPr>
            </w:r>
          </w:p>
        </w:tc>
        <w:tc>
          <w:tcPr>
            <w:tcW w:w="11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8"/>
              <w:ind w:right="0"/>
              <w:jc w:val="center"/>
              <w:rPr>
                <w:rFonts w:ascii="Arial" w:hAnsi="Arial" w:cs="Arial" w:eastAsia="Arial" w:hint="default"/>
                <w:sz w:val="18"/>
                <w:szCs w:val="18"/>
              </w:rPr>
            </w:pPr>
            <w:r>
              <w:rPr>
                <w:rFonts w:ascii="Arial"/>
                <w:w w:val="99"/>
                <w:sz w:val="18"/>
              </w:rPr>
              <w:t>-</w:t>
            </w:r>
            <w:r>
              <w:rPr>
                <w:rFonts w:ascii="Arial"/>
                <w:sz w:val="18"/>
              </w:rPr>
            </w:r>
          </w:p>
        </w:tc>
        <w:tc>
          <w:tcPr>
            <w:tcW w:w="12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8"/>
              <w:ind w:left="93" w:right="0"/>
              <w:jc w:val="left"/>
              <w:rPr>
                <w:rFonts w:ascii="Arial" w:hAnsi="Arial" w:cs="Arial" w:eastAsia="Arial" w:hint="default"/>
                <w:sz w:val="18"/>
                <w:szCs w:val="18"/>
              </w:rPr>
            </w:pPr>
            <w:r>
              <w:rPr>
                <w:rFonts w:ascii="Arial"/>
                <w:sz w:val="18"/>
              </w:rPr>
              <w:t>3,165,351.42</w:t>
            </w:r>
          </w:p>
        </w:tc>
      </w:tr>
      <w:tr>
        <w:trPr>
          <w:trHeight w:val="473" w:hRule="exact"/>
        </w:trPr>
        <w:tc>
          <w:tcPr>
            <w:tcW w:w="132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1"/>
              <w:ind w:left="93"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4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8"/>
              <w:ind w:right="1"/>
              <w:jc w:val="center"/>
              <w:rPr>
                <w:rFonts w:ascii="Arial" w:hAnsi="Arial" w:cs="Arial" w:eastAsia="Arial" w:hint="default"/>
                <w:sz w:val="18"/>
                <w:szCs w:val="18"/>
              </w:rPr>
            </w:pPr>
            <w:r>
              <w:rPr>
                <w:rFonts w:ascii="Arial"/>
                <w:sz w:val="18"/>
              </w:rPr>
              <w:t>140,995.90</w:t>
            </w:r>
          </w:p>
        </w:tc>
        <w:tc>
          <w:tcPr>
            <w:tcW w:w="12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6"/>
              <w:ind w:right="0"/>
              <w:jc w:val="center"/>
              <w:rPr>
                <w:rFonts w:ascii="Arial" w:hAnsi="Arial" w:cs="Arial" w:eastAsia="Arial" w:hint="default"/>
                <w:sz w:val="18"/>
                <w:szCs w:val="18"/>
              </w:rPr>
            </w:pPr>
            <w:r>
              <w:rPr>
                <w:rFonts w:ascii="Arial"/>
                <w:sz w:val="18"/>
              </w:rPr>
              <w:t>73,617.90</w:t>
            </w:r>
          </w:p>
        </w:tc>
        <w:tc>
          <w:tcPr>
            <w:tcW w:w="8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8"/>
              <w:ind w:right="0"/>
              <w:jc w:val="center"/>
              <w:rPr>
                <w:rFonts w:ascii="Arial" w:hAnsi="Arial" w:cs="Arial" w:eastAsia="Arial" w:hint="default"/>
                <w:sz w:val="18"/>
                <w:szCs w:val="18"/>
              </w:rPr>
            </w:pPr>
            <w:r>
              <w:rPr>
                <w:rFonts w:ascii="Arial"/>
                <w:w w:val="99"/>
                <w:sz w:val="18"/>
              </w:rPr>
              <w:t>-</w:t>
            </w:r>
            <w:r>
              <w:rPr>
                <w:rFonts w:ascii="Arial"/>
                <w:sz w:val="18"/>
              </w:rPr>
            </w:r>
          </w:p>
        </w:tc>
        <w:tc>
          <w:tcPr>
            <w:tcW w:w="10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8"/>
              <w:ind w:right="1"/>
              <w:jc w:val="center"/>
              <w:rPr>
                <w:rFonts w:ascii="Arial" w:hAnsi="Arial" w:cs="Arial" w:eastAsia="Arial" w:hint="default"/>
                <w:sz w:val="18"/>
                <w:szCs w:val="18"/>
              </w:rPr>
            </w:pPr>
            <w:r>
              <w:rPr>
                <w:rFonts w:ascii="Arial"/>
                <w:sz w:val="18"/>
              </w:rPr>
              <w:t>72,776.61</w:t>
            </w:r>
          </w:p>
        </w:tc>
        <w:tc>
          <w:tcPr>
            <w:tcW w:w="11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8"/>
              <w:ind w:right="0"/>
              <w:jc w:val="center"/>
              <w:rPr>
                <w:rFonts w:ascii="Arial" w:hAnsi="Arial" w:cs="Arial" w:eastAsia="Arial" w:hint="default"/>
                <w:sz w:val="18"/>
                <w:szCs w:val="18"/>
              </w:rPr>
            </w:pPr>
            <w:r>
              <w:rPr>
                <w:rFonts w:ascii="Arial"/>
                <w:sz w:val="18"/>
              </w:rPr>
              <w:t>72,776.61</w:t>
            </w:r>
          </w:p>
        </w:tc>
        <w:tc>
          <w:tcPr>
            <w:tcW w:w="12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8"/>
              <w:ind w:left="167" w:right="0"/>
              <w:jc w:val="left"/>
              <w:rPr>
                <w:rFonts w:ascii="Arial" w:hAnsi="Arial" w:cs="Arial" w:eastAsia="Arial" w:hint="default"/>
                <w:sz w:val="18"/>
                <w:szCs w:val="18"/>
              </w:rPr>
            </w:pPr>
            <w:r>
              <w:rPr>
                <w:rFonts w:ascii="Arial"/>
                <w:sz w:val="18"/>
              </w:rPr>
              <w:t>141,837.19</w:t>
            </w:r>
          </w:p>
        </w:tc>
      </w:tr>
      <w:tr>
        <w:trPr>
          <w:trHeight w:val="449" w:hRule="exact"/>
        </w:trPr>
        <w:tc>
          <w:tcPr>
            <w:tcW w:w="132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0"/>
              <w:jc w:val="center"/>
              <w:rPr>
                <w:rFonts w:ascii="Arial" w:hAnsi="Arial" w:cs="Arial" w:eastAsia="Arial" w:hint="default"/>
                <w:sz w:val="18"/>
                <w:szCs w:val="18"/>
              </w:rPr>
            </w:pPr>
            <w:r>
              <w:rPr>
                <w:rFonts w:ascii="Arial"/>
                <w:sz w:val="18"/>
              </w:rPr>
              <w:t>2,843,231.84</w:t>
            </w:r>
          </w:p>
        </w:tc>
        <w:tc>
          <w:tcPr>
            <w:tcW w:w="12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6"/>
              <w:ind w:right="1"/>
              <w:jc w:val="center"/>
              <w:rPr>
                <w:rFonts w:ascii="Arial" w:hAnsi="Arial" w:cs="Arial" w:eastAsia="Arial" w:hint="default"/>
                <w:sz w:val="18"/>
                <w:szCs w:val="18"/>
              </w:rPr>
            </w:pPr>
            <w:r>
              <w:rPr>
                <w:rFonts w:ascii="Arial"/>
                <w:sz w:val="18"/>
              </w:rPr>
              <w:t>536,733.38</w:t>
            </w:r>
          </w:p>
        </w:tc>
        <w:tc>
          <w:tcPr>
            <w:tcW w:w="8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6"/>
              <w:ind w:right="0"/>
              <w:jc w:val="center"/>
              <w:rPr>
                <w:rFonts w:ascii="Arial" w:hAnsi="Arial" w:cs="Arial" w:eastAsia="Arial" w:hint="default"/>
                <w:sz w:val="18"/>
                <w:szCs w:val="18"/>
              </w:rPr>
            </w:pPr>
            <w:r>
              <w:rPr>
                <w:rFonts w:ascii="Arial"/>
                <w:w w:val="99"/>
                <w:sz w:val="18"/>
              </w:rPr>
              <w:t>-</w:t>
            </w:r>
            <w:r>
              <w:rPr>
                <w:rFonts w:ascii="Arial"/>
                <w:sz w:val="18"/>
              </w:rPr>
            </w:r>
          </w:p>
        </w:tc>
        <w:tc>
          <w:tcPr>
            <w:tcW w:w="10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6"/>
              <w:ind w:right="1"/>
              <w:jc w:val="center"/>
              <w:rPr>
                <w:rFonts w:ascii="Arial" w:hAnsi="Arial" w:cs="Arial" w:eastAsia="Arial" w:hint="default"/>
                <w:sz w:val="18"/>
                <w:szCs w:val="18"/>
              </w:rPr>
            </w:pPr>
            <w:r>
              <w:rPr>
                <w:rFonts w:ascii="Arial"/>
                <w:sz w:val="18"/>
              </w:rPr>
              <w:t>72,776.61</w:t>
            </w:r>
          </w:p>
        </w:tc>
        <w:tc>
          <w:tcPr>
            <w:tcW w:w="11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6"/>
              <w:ind w:right="0"/>
              <w:jc w:val="center"/>
              <w:rPr>
                <w:rFonts w:ascii="Arial" w:hAnsi="Arial" w:cs="Arial" w:eastAsia="Arial" w:hint="default"/>
                <w:sz w:val="18"/>
                <w:szCs w:val="18"/>
              </w:rPr>
            </w:pPr>
            <w:r>
              <w:rPr>
                <w:rFonts w:ascii="Arial"/>
                <w:sz w:val="18"/>
              </w:rPr>
              <w:t>72,776.61</w:t>
            </w:r>
          </w:p>
        </w:tc>
        <w:tc>
          <w:tcPr>
            <w:tcW w:w="12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6"/>
              <w:ind w:left="93" w:right="0"/>
              <w:jc w:val="left"/>
              <w:rPr>
                <w:rFonts w:ascii="Arial" w:hAnsi="Arial" w:cs="Arial" w:eastAsia="Arial" w:hint="default"/>
                <w:sz w:val="18"/>
                <w:szCs w:val="18"/>
              </w:rPr>
            </w:pPr>
            <w:r>
              <w:rPr>
                <w:rFonts w:ascii="Arial"/>
                <w:sz w:val="18"/>
              </w:rPr>
              <w:t>3,307,188.61</w:t>
            </w:r>
          </w:p>
        </w:tc>
      </w:tr>
    </w:tbl>
    <w:p>
      <w:pPr>
        <w:spacing w:line="240" w:lineRule="auto" w:before="12"/>
        <w:rPr>
          <w:rFonts w:ascii="宋体" w:hAnsi="宋体" w:cs="宋体" w:eastAsia="宋体" w:hint="default"/>
          <w:sz w:val="23"/>
          <w:szCs w:val="23"/>
        </w:rPr>
      </w:pPr>
    </w:p>
    <w:p>
      <w:pPr>
        <w:pStyle w:val="BodyText"/>
        <w:spacing w:line="240" w:lineRule="auto"/>
        <w:ind w:right="137"/>
        <w:jc w:val="left"/>
      </w:pPr>
      <w:r>
        <w:rPr>
          <w:rFonts w:ascii="Arial" w:hAnsi="Arial" w:cs="Arial" w:eastAsia="Arial" w:hint="default"/>
        </w:rPr>
        <w:t>6.15</w:t>
      </w:r>
      <w:r>
        <w:rPr>
          <w:rFonts w:ascii="Arial" w:hAnsi="Arial" w:cs="Arial" w:eastAsia="Arial" w:hint="default"/>
          <w:spacing w:val="-8"/>
        </w:rPr>
        <w:t> </w:t>
      </w:r>
      <w:r>
        <w:rPr/>
        <w:t>短期借款</w:t>
      </w:r>
    </w:p>
    <w:p>
      <w:pPr>
        <w:pStyle w:val="BodyText"/>
        <w:spacing w:line="240" w:lineRule="auto" w:before="126"/>
        <w:ind w:right="137"/>
        <w:jc w:val="left"/>
      </w:pPr>
      <w:r>
        <w:rPr>
          <w:rFonts w:ascii="Arial" w:hAnsi="Arial" w:cs="Arial" w:eastAsia="Arial" w:hint="default"/>
        </w:rPr>
        <w:t>6.15.1</w:t>
      </w:r>
      <w:r>
        <w:rPr>
          <w:rFonts w:ascii="Arial" w:hAnsi="Arial" w:cs="Arial" w:eastAsia="Arial" w:hint="default"/>
          <w:spacing w:val="47"/>
        </w:rPr>
        <w:t> </w:t>
      </w:r>
      <w:r>
        <w:rPr/>
        <w:t>短期借款分类</w:t>
      </w:r>
    </w:p>
    <w:p>
      <w:pPr>
        <w:spacing w:line="240" w:lineRule="auto" w:before="3"/>
        <w:rPr>
          <w:rFonts w:ascii="宋体" w:hAnsi="宋体" w:cs="宋体" w:eastAsia="宋体" w:hint="default"/>
          <w:sz w:val="12"/>
          <w:szCs w:val="12"/>
        </w:rPr>
      </w:pPr>
    </w:p>
    <w:tbl>
      <w:tblPr>
        <w:tblW w:w="0" w:type="auto"/>
        <w:jc w:val="left"/>
        <w:tblInd w:w="214" w:type="dxa"/>
        <w:tblLayout w:type="fixed"/>
        <w:tblCellMar>
          <w:top w:w="0" w:type="dxa"/>
          <w:left w:w="0" w:type="dxa"/>
          <w:bottom w:w="0" w:type="dxa"/>
          <w:right w:w="0" w:type="dxa"/>
        </w:tblCellMar>
        <w:tblLook w:val="01E0"/>
      </w:tblPr>
      <w:tblGrid>
        <w:gridCol w:w="3046"/>
        <w:gridCol w:w="2782"/>
        <w:gridCol w:w="2630"/>
      </w:tblGrid>
      <w:tr>
        <w:trPr>
          <w:trHeight w:val="458" w:hRule="exact"/>
        </w:trPr>
        <w:tc>
          <w:tcPr>
            <w:tcW w:w="30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left="1149" w:right="0"/>
              <w:jc w:val="left"/>
              <w:rPr>
                <w:rFonts w:ascii="宋体" w:hAnsi="宋体" w:cs="宋体" w:eastAsia="宋体" w:hint="default"/>
                <w:sz w:val="18"/>
                <w:szCs w:val="18"/>
              </w:rPr>
            </w:pPr>
            <w:r>
              <w:rPr>
                <w:rFonts w:ascii="宋体" w:hAnsi="宋体" w:cs="宋体" w:eastAsia="宋体" w:hint="default"/>
                <w:sz w:val="18"/>
                <w:szCs w:val="18"/>
              </w:rPr>
              <w:t>借款类别</w:t>
            </w:r>
          </w:p>
        </w:tc>
        <w:tc>
          <w:tcPr>
            <w:tcW w:w="27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6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463" w:hRule="exact"/>
        </w:trPr>
        <w:tc>
          <w:tcPr>
            <w:tcW w:w="30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7"/>
              <w:ind w:left="1149"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7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3"/>
              <w:ind w:right="0"/>
              <w:jc w:val="center"/>
              <w:rPr>
                <w:rFonts w:ascii="Arial" w:hAnsi="Arial" w:cs="Arial" w:eastAsia="Arial" w:hint="default"/>
                <w:sz w:val="18"/>
                <w:szCs w:val="18"/>
              </w:rPr>
            </w:pPr>
            <w:r>
              <w:rPr>
                <w:rFonts w:ascii="Arial"/>
                <w:w w:val="99"/>
                <w:sz w:val="18"/>
              </w:rPr>
              <w:t>-</w:t>
            </w:r>
            <w:r>
              <w:rPr>
                <w:rFonts w:ascii="Arial"/>
                <w:sz w:val="18"/>
              </w:rPr>
            </w:r>
          </w:p>
        </w:tc>
        <w:tc>
          <w:tcPr>
            <w:tcW w:w="26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3"/>
              <w:ind w:right="1"/>
              <w:jc w:val="center"/>
              <w:rPr>
                <w:rFonts w:ascii="Arial" w:hAnsi="Arial" w:cs="Arial" w:eastAsia="Arial" w:hint="default"/>
                <w:sz w:val="18"/>
                <w:szCs w:val="18"/>
              </w:rPr>
            </w:pPr>
            <w:r>
              <w:rPr>
                <w:rFonts w:ascii="Arial"/>
                <w:sz w:val="18"/>
              </w:rPr>
              <w:t>35,000,000.00</w:t>
            </w:r>
          </w:p>
        </w:tc>
      </w:tr>
    </w:tbl>
    <w:p>
      <w:pPr>
        <w:spacing w:line="240" w:lineRule="auto" w:before="12"/>
        <w:rPr>
          <w:rFonts w:ascii="宋体" w:hAnsi="宋体" w:cs="宋体" w:eastAsia="宋体" w:hint="default"/>
          <w:sz w:val="23"/>
          <w:szCs w:val="23"/>
        </w:rPr>
      </w:pPr>
    </w:p>
    <w:p>
      <w:pPr>
        <w:pStyle w:val="BodyText"/>
        <w:spacing w:line="340" w:lineRule="auto"/>
        <w:ind w:right="164"/>
        <w:jc w:val="left"/>
      </w:pPr>
      <w:r>
        <w:rPr>
          <w:rFonts w:ascii="Arial" w:hAnsi="Arial" w:cs="Arial" w:eastAsia="Arial" w:hint="default"/>
        </w:rPr>
        <w:t>6.15.2 </w:t>
      </w:r>
      <w:r>
        <w:rPr/>
        <w:t>短期借款年末数比年初数减少 </w:t>
      </w:r>
      <w:r>
        <w:rPr>
          <w:rFonts w:ascii="Arial" w:hAnsi="Arial" w:cs="Arial" w:eastAsia="Arial" w:hint="default"/>
        </w:rPr>
        <w:t>3500</w:t>
      </w:r>
      <w:r>
        <w:rPr>
          <w:rFonts w:ascii="Arial" w:hAnsi="Arial" w:cs="Arial" w:eastAsia="Arial" w:hint="default"/>
          <w:spacing w:val="5"/>
        </w:rPr>
        <w:t> </w:t>
      </w:r>
      <w:r>
        <w:rPr/>
        <w:t>万元，减少原因为：本公司本年收到募投资金</w:t>
      </w:r>
      <w:r>
        <w:rPr>
          <w:w w:val="100"/>
        </w:rPr>
        <w:t> </w:t>
      </w:r>
      <w:r>
        <w:rPr/>
        <w:t>后，用超募资金偿还了银行贷款所致。</w:t>
      </w:r>
    </w:p>
    <w:p>
      <w:pPr>
        <w:pStyle w:val="BodyText"/>
        <w:spacing w:line="240" w:lineRule="auto" w:before="47"/>
        <w:ind w:right="137"/>
        <w:jc w:val="left"/>
      </w:pPr>
      <w:r>
        <w:rPr>
          <w:rFonts w:ascii="Arial" w:hAnsi="Arial" w:cs="Arial" w:eastAsia="Arial" w:hint="default"/>
        </w:rPr>
        <w:t>6.16</w:t>
      </w:r>
      <w:r>
        <w:rPr>
          <w:rFonts w:ascii="Arial" w:hAnsi="Arial" w:cs="Arial" w:eastAsia="Arial" w:hint="default"/>
          <w:spacing w:val="-8"/>
        </w:rPr>
        <w:t> </w:t>
      </w:r>
      <w:r>
        <w:rPr/>
        <w:t>应付票据</w:t>
      </w:r>
    </w:p>
    <w:p>
      <w:pPr>
        <w:spacing w:line="240" w:lineRule="auto" w:before="3"/>
        <w:rPr>
          <w:rFonts w:ascii="宋体" w:hAnsi="宋体" w:cs="宋体" w:eastAsia="宋体" w:hint="default"/>
          <w:sz w:val="12"/>
          <w:szCs w:val="12"/>
        </w:rPr>
      </w:pPr>
    </w:p>
    <w:tbl>
      <w:tblPr>
        <w:tblW w:w="0" w:type="auto"/>
        <w:jc w:val="left"/>
        <w:tblInd w:w="252" w:type="dxa"/>
        <w:tblLayout w:type="fixed"/>
        <w:tblCellMar>
          <w:top w:w="0" w:type="dxa"/>
          <w:left w:w="0" w:type="dxa"/>
          <w:bottom w:w="0" w:type="dxa"/>
          <w:right w:w="0" w:type="dxa"/>
        </w:tblCellMar>
        <w:tblLook w:val="01E0"/>
      </w:tblPr>
      <w:tblGrid>
        <w:gridCol w:w="2906"/>
        <w:gridCol w:w="2767"/>
        <w:gridCol w:w="2707"/>
      </w:tblGrid>
      <w:tr>
        <w:trPr>
          <w:trHeight w:val="480" w:hRule="exact"/>
        </w:trPr>
        <w:tc>
          <w:tcPr>
            <w:tcW w:w="29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7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7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70" w:hRule="exact"/>
        </w:trPr>
        <w:tc>
          <w:tcPr>
            <w:tcW w:w="29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银行承兑汇票</w:t>
            </w:r>
          </w:p>
        </w:tc>
        <w:tc>
          <w:tcPr>
            <w:tcW w:w="27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9"/>
              <w:ind w:right="1"/>
              <w:jc w:val="center"/>
              <w:rPr>
                <w:rFonts w:ascii="宋体" w:hAnsi="宋体" w:cs="宋体" w:eastAsia="宋体" w:hint="default"/>
                <w:sz w:val="18"/>
                <w:szCs w:val="18"/>
              </w:rPr>
            </w:pPr>
            <w:r>
              <w:rPr>
                <w:rFonts w:ascii="宋体"/>
                <w:w w:val="99"/>
                <w:sz w:val="18"/>
              </w:rPr>
              <w:t>-</w:t>
            </w:r>
            <w:r>
              <w:rPr>
                <w:rFonts w:ascii="宋体"/>
                <w:sz w:val="18"/>
              </w:rPr>
            </w:r>
          </w:p>
        </w:tc>
        <w:tc>
          <w:tcPr>
            <w:tcW w:w="27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9"/>
              <w:ind w:right="1"/>
              <w:jc w:val="center"/>
              <w:rPr>
                <w:rFonts w:ascii="宋体" w:hAnsi="宋体" w:cs="宋体" w:eastAsia="宋体" w:hint="default"/>
                <w:sz w:val="18"/>
                <w:szCs w:val="18"/>
              </w:rPr>
            </w:pPr>
            <w:r>
              <w:rPr>
                <w:rFonts w:ascii="宋体"/>
                <w:sz w:val="18"/>
              </w:rPr>
              <w:t>2,900,000.00</w:t>
            </w:r>
          </w:p>
        </w:tc>
      </w:tr>
    </w:tbl>
    <w:p>
      <w:pPr>
        <w:spacing w:line="240" w:lineRule="auto" w:before="12"/>
        <w:rPr>
          <w:rFonts w:ascii="宋体" w:hAnsi="宋体" w:cs="宋体" w:eastAsia="宋体" w:hint="default"/>
          <w:sz w:val="23"/>
          <w:szCs w:val="23"/>
        </w:rPr>
      </w:pPr>
    </w:p>
    <w:p>
      <w:pPr>
        <w:pStyle w:val="BodyText"/>
        <w:spacing w:line="338" w:lineRule="auto"/>
        <w:ind w:right="165" w:firstLine="439"/>
        <w:jc w:val="left"/>
      </w:pPr>
      <w:r>
        <w:rPr/>
        <w:t>应付票据年末数比年初数减少 </w:t>
      </w:r>
      <w:r>
        <w:rPr>
          <w:rFonts w:ascii="Arial" w:hAnsi="Arial" w:cs="Arial" w:eastAsia="Arial" w:hint="default"/>
        </w:rPr>
        <w:t>2,900,000 </w:t>
      </w:r>
      <w:r>
        <w:rPr/>
        <w:t>元，减少比例为</w:t>
      </w:r>
      <w:r>
        <w:rPr>
          <w:spacing w:val="-44"/>
        </w:rPr>
        <w:t> </w:t>
      </w:r>
      <w:r>
        <w:rPr>
          <w:rFonts w:ascii="Arial" w:hAnsi="Arial" w:cs="Arial" w:eastAsia="Arial" w:hint="default"/>
        </w:rPr>
        <w:t>100%</w:t>
      </w:r>
      <w:r>
        <w:rPr/>
        <w:t>，减少原因为：本公</w:t>
      </w:r>
      <w:r>
        <w:rPr>
          <w:w w:val="100"/>
        </w:rPr>
        <w:t> </w:t>
      </w:r>
      <w:r>
        <w:rPr/>
        <w:t>司年末无未到期的票据所致。</w:t>
      </w:r>
    </w:p>
    <w:p>
      <w:pPr>
        <w:spacing w:after="0" w:line="338" w:lineRule="auto"/>
        <w:jc w:val="left"/>
        <w:sectPr>
          <w:pgSz w:w="11900" w:h="16840"/>
          <w:pgMar w:header="0" w:footer="983" w:top="1100" w:bottom="1180" w:left="1660" w:right="1320"/>
        </w:sectPr>
      </w:pPr>
    </w:p>
    <w:p>
      <w:pPr>
        <w:spacing w:line="240" w:lineRule="auto" w:before="4"/>
        <w:rPr>
          <w:rFonts w:ascii="宋体" w:hAnsi="宋体" w:cs="宋体" w:eastAsia="宋体" w:hint="default"/>
          <w:sz w:val="19"/>
          <w:szCs w:val="19"/>
        </w:rPr>
      </w:pPr>
    </w:p>
    <w:p>
      <w:pPr>
        <w:pStyle w:val="BodyText"/>
        <w:spacing w:line="240" w:lineRule="auto"/>
        <w:ind w:right="0"/>
        <w:jc w:val="left"/>
      </w:pPr>
      <w:r>
        <w:rPr>
          <w:rFonts w:ascii="Arial" w:hAnsi="Arial" w:cs="Arial" w:eastAsia="Arial" w:hint="default"/>
        </w:rPr>
        <w:t>6.17</w:t>
      </w:r>
      <w:r>
        <w:rPr>
          <w:rFonts w:ascii="Arial" w:hAnsi="Arial" w:cs="Arial" w:eastAsia="Arial" w:hint="default"/>
          <w:spacing w:val="-8"/>
        </w:rPr>
        <w:t> </w:t>
      </w:r>
      <w:r>
        <w:rPr/>
        <w:t>应付账款</w:t>
      </w:r>
    </w:p>
    <w:p>
      <w:pPr>
        <w:spacing w:line="240" w:lineRule="auto" w:before="3"/>
        <w:rPr>
          <w:rFonts w:ascii="宋体" w:hAnsi="宋体" w:cs="宋体" w:eastAsia="宋体" w:hint="default"/>
          <w:sz w:val="12"/>
          <w:szCs w:val="12"/>
        </w:rPr>
      </w:pPr>
    </w:p>
    <w:tbl>
      <w:tblPr>
        <w:tblW w:w="0" w:type="auto"/>
        <w:jc w:val="left"/>
        <w:tblInd w:w="291" w:type="dxa"/>
        <w:tblLayout w:type="fixed"/>
        <w:tblCellMar>
          <w:top w:w="0" w:type="dxa"/>
          <w:left w:w="0" w:type="dxa"/>
          <w:bottom w:w="0" w:type="dxa"/>
          <w:right w:w="0" w:type="dxa"/>
        </w:tblCellMar>
        <w:tblLook w:val="01E0"/>
      </w:tblPr>
      <w:tblGrid>
        <w:gridCol w:w="2906"/>
        <w:gridCol w:w="2767"/>
        <w:gridCol w:w="2630"/>
      </w:tblGrid>
      <w:tr>
        <w:trPr>
          <w:trHeight w:val="598" w:hRule="exact"/>
        </w:trPr>
        <w:tc>
          <w:tcPr>
            <w:tcW w:w="29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6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598" w:hRule="exact"/>
        </w:trPr>
        <w:tc>
          <w:tcPr>
            <w:tcW w:w="29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0"/>
              <w:jc w:val="center"/>
              <w:rPr>
                <w:rFonts w:ascii="Arial" w:hAnsi="Arial" w:cs="Arial" w:eastAsia="Arial"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年以内</w:t>
            </w:r>
            <w:r>
              <w:rPr>
                <w:rFonts w:ascii="Arial" w:hAnsi="Arial" w:cs="Arial" w:eastAsia="Arial"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年</w:t>
            </w:r>
            <w:r>
              <w:rPr>
                <w:rFonts w:ascii="Arial" w:hAnsi="Arial" w:cs="Arial" w:eastAsia="Arial" w:hint="default"/>
                <w:sz w:val="18"/>
                <w:szCs w:val="18"/>
              </w:rPr>
              <w:t>)</w:t>
            </w:r>
          </w:p>
        </w:tc>
        <w:tc>
          <w:tcPr>
            <w:tcW w:w="27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0"/>
              <w:ind w:right="0"/>
              <w:jc w:val="center"/>
              <w:rPr>
                <w:rFonts w:ascii="Arial" w:hAnsi="Arial" w:cs="Arial" w:eastAsia="Arial" w:hint="default"/>
                <w:sz w:val="18"/>
                <w:szCs w:val="18"/>
              </w:rPr>
            </w:pPr>
            <w:r>
              <w:rPr>
                <w:rFonts w:ascii="Arial"/>
                <w:sz w:val="18"/>
              </w:rPr>
              <w:t>12,683,022.89</w:t>
            </w:r>
          </w:p>
        </w:tc>
        <w:tc>
          <w:tcPr>
            <w:tcW w:w="26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
              <w:jc w:val="center"/>
              <w:rPr>
                <w:rFonts w:ascii="Arial" w:hAnsi="Arial" w:cs="Arial" w:eastAsia="Arial" w:hint="default"/>
                <w:sz w:val="18"/>
                <w:szCs w:val="18"/>
              </w:rPr>
            </w:pPr>
            <w:r>
              <w:rPr>
                <w:rFonts w:ascii="Arial"/>
                <w:sz w:val="18"/>
              </w:rPr>
              <w:t>18,947,399.08</w:t>
            </w:r>
          </w:p>
        </w:tc>
      </w:tr>
      <w:tr>
        <w:trPr>
          <w:trHeight w:val="598" w:hRule="exact"/>
        </w:trPr>
        <w:tc>
          <w:tcPr>
            <w:tcW w:w="29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0"/>
              <w:jc w:val="center"/>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27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0"/>
              <w:ind w:right="0"/>
              <w:jc w:val="center"/>
              <w:rPr>
                <w:rFonts w:ascii="Arial" w:hAnsi="Arial" w:cs="Arial" w:eastAsia="Arial" w:hint="default"/>
                <w:sz w:val="18"/>
                <w:szCs w:val="18"/>
              </w:rPr>
            </w:pPr>
            <w:r>
              <w:rPr>
                <w:rFonts w:ascii="Arial"/>
                <w:w w:val="99"/>
                <w:sz w:val="18"/>
              </w:rPr>
              <w:t>-</w:t>
            </w:r>
            <w:r>
              <w:rPr>
                <w:rFonts w:ascii="Arial"/>
                <w:sz w:val="18"/>
              </w:rPr>
            </w:r>
          </w:p>
        </w:tc>
        <w:tc>
          <w:tcPr>
            <w:tcW w:w="26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0"/>
              <w:jc w:val="center"/>
              <w:rPr>
                <w:rFonts w:ascii="Arial" w:hAnsi="Arial" w:cs="Arial" w:eastAsia="Arial" w:hint="default"/>
                <w:sz w:val="18"/>
                <w:szCs w:val="18"/>
              </w:rPr>
            </w:pPr>
            <w:r>
              <w:rPr>
                <w:rFonts w:ascii="Arial"/>
                <w:sz w:val="18"/>
              </w:rPr>
              <w:t>845,399.78</w:t>
            </w:r>
          </w:p>
        </w:tc>
      </w:tr>
      <w:tr>
        <w:trPr>
          <w:trHeight w:val="595" w:hRule="exact"/>
        </w:trPr>
        <w:tc>
          <w:tcPr>
            <w:tcW w:w="29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0"/>
              <w:ind w:right="0"/>
              <w:jc w:val="center"/>
              <w:rPr>
                <w:rFonts w:ascii="Arial" w:hAnsi="Arial" w:cs="Arial" w:eastAsia="Arial" w:hint="default"/>
                <w:sz w:val="18"/>
                <w:szCs w:val="18"/>
              </w:rPr>
            </w:pPr>
            <w:r>
              <w:rPr>
                <w:rFonts w:ascii="Arial"/>
                <w:sz w:val="18"/>
              </w:rPr>
              <w:t>12,683,022.89</w:t>
            </w:r>
          </w:p>
        </w:tc>
        <w:tc>
          <w:tcPr>
            <w:tcW w:w="26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0"/>
              <w:ind w:right="1"/>
              <w:jc w:val="center"/>
              <w:rPr>
                <w:rFonts w:ascii="Arial" w:hAnsi="Arial" w:cs="Arial" w:eastAsia="Arial" w:hint="default"/>
                <w:sz w:val="18"/>
                <w:szCs w:val="18"/>
              </w:rPr>
            </w:pPr>
            <w:r>
              <w:rPr>
                <w:rFonts w:ascii="Arial"/>
                <w:sz w:val="18"/>
              </w:rPr>
              <w:t>19,792,798.86</w:t>
            </w:r>
          </w:p>
        </w:tc>
      </w:tr>
    </w:tbl>
    <w:p>
      <w:pPr>
        <w:spacing w:line="240" w:lineRule="auto" w:before="12"/>
        <w:rPr>
          <w:rFonts w:ascii="宋体" w:hAnsi="宋体" w:cs="宋体" w:eastAsia="宋体" w:hint="default"/>
          <w:sz w:val="23"/>
          <w:szCs w:val="23"/>
        </w:rPr>
      </w:pPr>
    </w:p>
    <w:p>
      <w:pPr>
        <w:pStyle w:val="BodyText"/>
        <w:spacing w:line="338" w:lineRule="auto"/>
        <w:ind w:right="0"/>
        <w:jc w:val="left"/>
      </w:pPr>
      <w:r>
        <w:rPr>
          <w:rFonts w:ascii="Arial" w:hAnsi="Arial" w:cs="Arial" w:eastAsia="Arial" w:hint="default"/>
        </w:rPr>
        <w:t>6.17.1</w:t>
      </w:r>
      <w:r>
        <w:rPr>
          <w:rFonts w:ascii="Arial" w:hAnsi="Arial" w:cs="Arial" w:eastAsia="Arial" w:hint="default"/>
          <w:spacing w:val="-7"/>
        </w:rPr>
        <w:t> </w:t>
      </w:r>
      <w:r>
        <w:rPr/>
        <w:t>本报告期应付账款中无应付持有公司</w:t>
      </w:r>
      <w:r>
        <w:rPr>
          <w:spacing w:val="-55"/>
        </w:rPr>
        <w:t> </w:t>
      </w:r>
      <w:r>
        <w:rPr>
          <w:rFonts w:ascii="Arial" w:hAnsi="Arial" w:cs="Arial" w:eastAsia="Arial" w:hint="default"/>
        </w:rPr>
        <w:t>5%</w:t>
      </w:r>
      <w:r>
        <w:rPr/>
        <w:t>以上</w:t>
      </w:r>
      <w:r>
        <w:rPr>
          <w:rFonts w:ascii="Arial" w:hAnsi="Arial" w:cs="Arial" w:eastAsia="Arial" w:hint="default"/>
        </w:rPr>
        <w:t>(</w:t>
      </w:r>
      <w:r>
        <w:rPr/>
        <w:t>含</w:t>
      </w:r>
      <w:r>
        <w:rPr>
          <w:spacing w:val="-55"/>
        </w:rPr>
        <w:t> </w:t>
      </w:r>
      <w:r>
        <w:rPr>
          <w:rFonts w:ascii="Arial" w:hAnsi="Arial" w:cs="Arial" w:eastAsia="Arial" w:hint="default"/>
        </w:rPr>
        <w:t>5%)</w:t>
      </w:r>
      <w:r>
        <w:rPr/>
        <w:t>表决权股份的股东款项或关联</w:t>
      </w:r>
      <w:r>
        <w:rPr>
          <w:w w:val="100"/>
        </w:rPr>
        <w:t> </w:t>
      </w:r>
      <w:r>
        <w:rPr/>
        <w:t>方款项。</w:t>
      </w:r>
    </w:p>
    <w:p>
      <w:pPr>
        <w:pStyle w:val="BodyText"/>
        <w:spacing w:line="338" w:lineRule="auto" w:before="51"/>
        <w:ind w:right="0"/>
        <w:jc w:val="left"/>
      </w:pPr>
      <w:r>
        <w:rPr>
          <w:rFonts w:ascii="Arial" w:hAnsi="Arial" w:cs="Arial" w:eastAsia="Arial" w:hint="default"/>
        </w:rPr>
        <w:t>6.17.2</w:t>
      </w:r>
      <w:r>
        <w:rPr>
          <w:rFonts w:ascii="Arial" w:hAnsi="Arial" w:cs="Arial" w:eastAsia="Arial" w:hint="default"/>
          <w:spacing w:val="-5"/>
        </w:rPr>
        <w:t> </w:t>
      </w:r>
      <w:r>
        <w:rPr/>
        <w:t>应付账款年末数比年初数减少</w:t>
      </w:r>
      <w:r>
        <w:rPr>
          <w:spacing w:val="-51"/>
        </w:rPr>
        <w:t> </w:t>
      </w:r>
      <w:r>
        <w:rPr>
          <w:rFonts w:ascii="Arial" w:hAnsi="Arial" w:cs="Arial" w:eastAsia="Arial" w:hint="default"/>
        </w:rPr>
        <w:t>7,109,775.97</w:t>
      </w:r>
      <w:r>
        <w:rPr>
          <w:rFonts w:ascii="Arial" w:hAnsi="Arial" w:cs="Arial" w:eastAsia="Arial" w:hint="default"/>
          <w:spacing w:val="-3"/>
        </w:rPr>
        <w:t> </w:t>
      </w:r>
      <w:r>
        <w:rPr>
          <w:spacing w:val="-7"/>
        </w:rPr>
        <w:t>元，减少比例为</w:t>
      </w:r>
      <w:r>
        <w:rPr>
          <w:spacing w:val="-51"/>
        </w:rPr>
        <w:t> </w:t>
      </w:r>
      <w:r>
        <w:rPr>
          <w:rFonts w:ascii="Arial" w:hAnsi="Arial" w:cs="Arial" w:eastAsia="Arial" w:hint="default"/>
          <w:spacing w:val="-5"/>
        </w:rPr>
        <w:t>35.92%</w:t>
      </w:r>
      <w:r>
        <w:rPr>
          <w:spacing w:val="-5"/>
        </w:rPr>
        <w:t>，减少原因为：</w:t>
      </w:r>
      <w:r>
        <w:rPr>
          <w:w w:val="100"/>
        </w:rPr>
        <w:t> </w:t>
      </w:r>
      <w:r>
        <w:rPr/>
        <w:t>本公司期末采购业务中以票据背书结算的比例增加所致。</w:t>
      </w:r>
    </w:p>
    <w:p>
      <w:pPr>
        <w:pStyle w:val="BodyText"/>
        <w:spacing w:line="240" w:lineRule="auto" w:before="49"/>
        <w:ind w:right="0"/>
        <w:jc w:val="left"/>
      </w:pPr>
      <w:r>
        <w:rPr>
          <w:rFonts w:ascii="Arial" w:hAnsi="Arial" w:cs="Arial" w:eastAsia="Arial" w:hint="default"/>
        </w:rPr>
        <w:t>6.18</w:t>
      </w:r>
      <w:r>
        <w:rPr>
          <w:rFonts w:ascii="Arial" w:hAnsi="Arial" w:cs="Arial" w:eastAsia="Arial" w:hint="default"/>
          <w:spacing w:val="-8"/>
        </w:rPr>
        <w:t> </w:t>
      </w:r>
      <w:r>
        <w:rPr/>
        <w:t>预收款项</w:t>
      </w:r>
    </w:p>
    <w:p>
      <w:pPr>
        <w:spacing w:line="240" w:lineRule="auto" w:before="5"/>
        <w:rPr>
          <w:rFonts w:ascii="宋体" w:hAnsi="宋体" w:cs="宋体" w:eastAsia="宋体" w:hint="default"/>
          <w:sz w:val="12"/>
          <w:szCs w:val="12"/>
        </w:rPr>
      </w:pPr>
    </w:p>
    <w:tbl>
      <w:tblPr>
        <w:tblW w:w="0" w:type="auto"/>
        <w:jc w:val="left"/>
        <w:tblInd w:w="264" w:type="dxa"/>
        <w:tblLayout w:type="fixed"/>
        <w:tblCellMar>
          <w:top w:w="0" w:type="dxa"/>
          <w:left w:w="0" w:type="dxa"/>
          <w:bottom w:w="0" w:type="dxa"/>
          <w:right w:w="0" w:type="dxa"/>
        </w:tblCellMar>
        <w:tblLook w:val="01E0"/>
      </w:tblPr>
      <w:tblGrid>
        <w:gridCol w:w="2498"/>
        <w:gridCol w:w="2726"/>
        <w:gridCol w:w="3132"/>
      </w:tblGrid>
      <w:tr>
        <w:trPr>
          <w:trHeight w:val="482" w:hRule="exact"/>
        </w:trPr>
        <w:tc>
          <w:tcPr>
            <w:tcW w:w="24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313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485" w:hRule="exact"/>
        </w:trPr>
        <w:tc>
          <w:tcPr>
            <w:tcW w:w="24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Arial" w:hAnsi="Arial" w:cs="Arial" w:eastAsia="Arial"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年以内</w:t>
            </w:r>
            <w:r>
              <w:rPr>
                <w:rFonts w:ascii="Arial" w:hAnsi="Arial" w:cs="Arial" w:eastAsia="Arial"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年</w:t>
            </w:r>
            <w:r>
              <w:rPr>
                <w:rFonts w:ascii="Arial" w:hAnsi="Arial" w:cs="Arial" w:eastAsia="Arial" w:hint="default"/>
                <w:sz w:val="18"/>
                <w:szCs w:val="18"/>
              </w:rPr>
              <w:t>)</w:t>
            </w:r>
          </w:p>
        </w:tc>
        <w:tc>
          <w:tcPr>
            <w:tcW w:w="27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1,132,151.71</w:t>
            </w:r>
          </w:p>
        </w:tc>
        <w:tc>
          <w:tcPr>
            <w:tcW w:w="313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177,475.51</w:t>
            </w:r>
          </w:p>
        </w:tc>
      </w:tr>
      <w:tr>
        <w:trPr>
          <w:trHeight w:val="485" w:hRule="exact"/>
        </w:trPr>
        <w:tc>
          <w:tcPr>
            <w:tcW w:w="24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27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w:t>
            </w:r>
            <w:r>
              <w:rPr>
                <w:rFonts w:ascii="Arial"/>
                <w:sz w:val="18"/>
              </w:rPr>
            </w:r>
          </w:p>
        </w:tc>
        <w:tc>
          <w:tcPr>
            <w:tcW w:w="313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82" w:hRule="exact"/>
        </w:trPr>
        <w:tc>
          <w:tcPr>
            <w:tcW w:w="24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1,132,151.71</w:t>
            </w:r>
          </w:p>
        </w:tc>
        <w:tc>
          <w:tcPr>
            <w:tcW w:w="313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177,475.51</w:t>
            </w:r>
          </w:p>
        </w:tc>
      </w:tr>
    </w:tbl>
    <w:p>
      <w:pPr>
        <w:spacing w:line="240" w:lineRule="auto" w:before="12"/>
        <w:rPr>
          <w:rFonts w:ascii="宋体" w:hAnsi="宋体" w:cs="宋体" w:eastAsia="宋体" w:hint="default"/>
          <w:sz w:val="23"/>
          <w:szCs w:val="23"/>
        </w:rPr>
      </w:pPr>
    </w:p>
    <w:p>
      <w:pPr>
        <w:pStyle w:val="BodyText"/>
        <w:spacing w:line="338" w:lineRule="auto"/>
        <w:ind w:right="221"/>
        <w:jc w:val="left"/>
      </w:pPr>
      <w:r>
        <w:rPr>
          <w:rFonts w:ascii="Arial" w:hAnsi="Arial" w:cs="Arial" w:eastAsia="Arial" w:hint="default"/>
        </w:rPr>
        <w:t>6.18.1</w:t>
      </w:r>
      <w:r>
        <w:rPr>
          <w:rFonts w:ascii="Arial" w:hAnsi="Arial" w:cs="Arial" w:eastAsia="Arial" w:hint="default"/>
          <w:spacing w:val="-6"/>
        </w:rPr>
        <w:t> </w:t>
      </w:r>
      <w:r>
        <w:rPr/>
        <w:t>本报告期预收款项中无预收持有本公司</w:t>
      </w:r>
      <w:r>
        <w:rPr>
          <w:spacing w:val="-54"/>
        </w:rPr>
        <w:t> </w:t>
      </w:r>
      <w:r>
        <w:rPr>
          <w:rFonts w:ascii="Arial" w:hAnsi="Arial" w:cs="Arial" w:eastAsia="Arial" w:hint="default"/>
        </w:rPr>
        <w:t>5%</w:t>
      </w:r>
      <w:r>
        <w:rPr/>
        <w:t>以上</w:t>
      </w:r>
      <w:r>
        <w:rPr>
          <w:rFonts w:ascii="Arial" w:hAnsi="Arial" w:cs="Arial" w:eastAsia="Arial" w:hint="default"/>
        </w:rPr>
        <w:t>(</w:t>
      </w:r>
      <w:r>
        <w:rPr/>
        <w:t>含</w:t>
      </w:r>
      <w:r>
        <w:rPr>
          <w:spacing w:val="-54"/>
        </w:rPr>
        <w:t> </w:t>
      </w:r>
      <w:r>
        <w:rPr>
          <w:rFonts w:ascii="Arial" w:hAnsi="Arial" w:cs="Arial" w:eastAsia="Arial" w:hint="default"/>
        </w:rPr>
        <w:t>5%)</w:t>
      </w:r>
      <w:r>
        <w:rPr/>
        <w:t>表决权股份的股东款项或关</w:t>
      </w:r>
      <w:r>
        <w:rPr>
          <w:w w:val="100"/>
        </w:rPr>
        <w:t> </w:t>
      </w:r>
      <w:r>
        <w:rPr/>
        <w:t>联方款项。</w:t>
      </w:r>
    </w:p>
    <w:p>
      <w:pPr>
        <w:pStyle w:val="BodyText"/>
        <w:spacing w:line="340" w:lineRule="auto" w:before="49"/>
        <w:ind w:right="0"/>
        <w:jc w:val="left"/>
      </w:pPr>
      <w:r>
        <w:rPr>
          <w:rFonts w:ascii="Arial" w:hAnsi="Arial" w:cs="Arial" w:eastAsia="Arial" w:hint="default"/>
        </w:rPr>
        <w:t>6.18.2</w:t>
      </w:r>
      <w:r>
        <w:rPr>
          <w:rFonts w:ascii="Arial" w:hAnsi="Arial" w:cs="Arial" w:eastAsia="Arial" w:hint="default"/>
          <w:spacing w:val="-12"/>
        </w:rPr>
        <w:t> </w:t>
      </w:r>
      <w:r>
        <w:rPr/>
        <w:t>预收款项年末数比年初数增加</w:t>
      </w:r>
      <w:r>
        <w:rPr>
          <w:spacing w:val="-58"/>
        </w:rPr>
        <w:t> </w:t>
      </w:r>
      <w:r>
        <w:rPr>
          <w:rFonts w:ascii="Arial" w:hAnsi="Arial" w:cs="Arial" w:eastAsia="Arial" w:hint="default"/>
        </w:rPr>
        <w:t>954,676.20</w:t>
      </w:r>
      <w:r>
        <w:rPr>
          <w:rFonts w:ascii="Arial" w:hAnsi="Arial" w:cs="Arial" w:eastAsia="Arial" w:hint="default"/>
          <w:spacing w:val="-12"/>
        </w:rPr>
        <w:t> </w:t>
      </w:r>
      <w:r>
        <w:rPr>
          <w:spacing w:val="-3"/>
        </w:rPr>
        <w:t>元，增加比例为</w:t>
      </w:r>
      <w:r>
        <w:rPr>
          <w:spacing w:val="-58"/>
        </w:rPr>
        <w:t> </w:t>
      </w:r>
      <w:r>
        <w:rPr>
          <w:rFonts w:ascii="Arial" w:hAnsi="Arial" w:cs="Arial" w:eastAsia="Arial" w:hint="default"/>
        </w:rPr>
        <w:t>537.92%</w:t>
      </w:r>
      <w:r>
        <w:rPr/>
        <w:t>，增加原因为：</w:t>
      </w:r>
      <w:r>
        <w:rPr>
          <w:w w:val="100"/>
        </w:rPr>
        <w:t> </w:t>
      </w:r>
      <w:r>
        <w:rPr/>
        <w:t>本公司的客户预付采购货款增加所致。</w:t>
      </w:r>
    </w:p>
    <w:p>
      <w:pPr>
        <w:pStyle w:val="BodyText"/>
        <w:spacing w:line="240" w:lineRule="auto" w:before="47"/>
        <w:ind w:right="0"/>
        <w:jc w:val="left"/>
      </w:pPr>
      <w:r>
        <w:rPr>
          <w:rFonts w:ascii="Arial" w:hAnsi="Arial" w:cs="Arial" w:eastAsia="Arial" w:hint="default"/>
        </w:rPr>
        <w:t>6.19</w:t>
      </w:r>
      <w:r>
        <w:rPr>
          <w:rFonts w:ascii="Arial" w:hAnsi="Arial" w:cs="Arial" w:eastAsia="Arial" w:hint="default"/>
          <w:spacing w:val="-9"/>
        </w:rPr>
        <w:t> </w:t>
      </w:r>
      <w:r>
        <w:rPr/>
        <w:t>应付职工薪酬</w:t>
      </w:r>
    </w:p>
    <w:p>
      <w:pPr>
        <w:spacing w:line="240" w:lineRule="auto" w:before="3"/>
        <w:rPr>
          <w:rFonts w:ascii="宋体" w:hAnsi="宋体" w:cs="宋体" w:eastAsia="宋体" w:hint="default"/>
          <w:sz w:val="12"/>
          <w:szCs w:val="12"/>
        </w:rPr>
      </w:pPr>
    </w:p>
    <w:tbl>
      <w:tblPr>
        <w:tblW w:w="0" w:type="auto"/>
        <w:jc w:val="left"/>
        <w:tblInd w:w="132" w:type="dxa"/>
        <w:tblLayout w:type="fixed"/>
        <w:tblCellMar>
          <w:top w:w="0" w:type="dxa"/>
          <w:left w:w="0" w:type="dxa"/>
          <w:bottom w:w="0" w:type="dxa"/>
          <w:right w:w="0" w:type="dxa"/>
        </w:tblCellMar>
        <w:tblLook w:val="01E0"/>
      </w:tblPr>
      <w:tblGrid>
        <w:gridCol w:w="2450"/>
        <w:gridCol w:w="1824"/>
        <w:gridCol w:w="1622"/>
        <w:gridCol w:w="1368"/>
        <w:gridCol w:w="1354"/>
      </w:tblGrid>
      <w:tr>
        <w:trPr>
          <w:trHeight w:val="638" w:hRule="exact"/>
        </w:trPr>
        <w:tc>
          <w:tcPr>
            <w:tcW w:w="24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24" w:type="dxa"/>
            <w:tcBorders>
              <w:top w:val="single" w:sz="12" w:space="0" w:color="000000"/>
              <w:left w:val="single" w:sz="12" w:space="0" w:color="000000"/>
              <w:bottom w:val="single" w:sz="12" w:space="0" w:color="000000"/>
              <w:right w:val="single" w:sz="12" w:space="0" w:color="000000"/>
            </w:tcBorders>
          </w:tcPr>
          <w:p>
            <w:pPr>
              <w:pStyle w:val="TableParagraph"/>
              <w:spacing w:line="221" w:lineRule="exact"/>
              <w:ind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56"/>
              <w:ind w:right="0"/>
              <w:jc w:val="center"/>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6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本年增加</w:t>
            </w:r>
          </w:p>
        </w:tc>
        <w:tc>
          <w:tcPr>
            <w:tcW w:w="13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3"/>
              <w:ind w:left="309"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354" w:type="dxa"/>
            <w:tcBorders>
              <w:top w:val="single" w:sz="12" w:space="0" w:color="000000"/>
              <w:left w:val="single" w:sz="12" w:space="0" w:color="000000"/>
              <w:bottom w:val="single" w:sz="12" w:space="0" w:color="000000"/>
              <w:right w:val="single" w:sz="12" w:space="0" w:color="000000"/>
            </w:tcBorders>
          </w:tcPr>
          <w:p>
            <w:pPr>
              <w:pStyle w:val="TableParagraph"/>
              <w:spacing w:line="221" w:lineRule="exact"/>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56"/>
              <w:ind w:right="0"/>
              <w:jc w:val="center"/>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636" w:hRule="exact"/>
        </w:trPr>
        <w:tc>
          <w:tcPr>
            <w:tcW w:w="2450"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spacing w:val="6"/>
                <w:sz w:val="18"/>
                <w:szCs w:val="18"/>
              </w:rPr>
              <w:t>一、工资、奖金、津贴和补</w:t>
            </w:r>
          </w:p>
          <w:p>
            <w:pPr>
              <w:pStyle w:val="TableParagraph"/>
              <w:spacing w:line="240" w:lineRule="auto" w:before="67"/>
              <w:ind w:left="93" w:right="0"/>
              <w:jc w:val="left"/>
              <w:rPr>
                <w:rFonts w:ascii="宋体" w:hAnsi="宋体" w:cs="宋体" w:eastAsia="宋体" w:hint="default"/>
                <w:sz w:val="18"/>
                <w:szCs w:val="18"/>
              </w:rPr>
            </w:pPr>
            <w:r>
              <w:rPr>
                <w:rFonts w:ascii="宋体" w:hAnsi="宋体" w:cs="宋体" w:eastAsia="宋体" w:hint="default"/>
                <w:w w:val="99"/>
                <w:sz w:val="18"/>
                <w:szCs w:val="18"/>
              </w:rPr>
              <w:t>贴</w:t>
            </w:r>
            <w:r>
              <w:rPr>
                <w:rFonts w:ascii="宋体" w:hAnsi="宋体" w:cs="宋体" w:eastAsia="宋体" w:hint="default"/>
                <w:sz w:val="18"/>
                <w:szCs w:val="18"/>
              </w:rPr>
            </w:r>
          </w:p>
        </w:tc>
        <w:tc>
          <w:tcPr>
            <w:tcW w:w="182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16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center"/>
              <w:rPr>
                <w:rFonts w:ascii="Arial" w:hAnsi="Arial" w:cs="Arial" w:eastAsia="Arial" w:hint="default"/>
                <w:sz w:val="18"/>
                <w:szCs w:val="18"/>
              </w:rPr>
            </w:pPr>
            <w:r>
              <w:rPr>
                <w:rFonts w:ascii="Arial"/>
                <w:sz w:val="18"/>
              </w:rPr>
              <w:t>16,047,542.01</w:t>
            </w:r>
          </w:p>
        </w:tc>
        <w:tc>
          <w:tcPr>
            <w:tcW w:w="13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3" w:right="0"/>
              <w:jc w:val="left"/>
              <w:rPr>
                <w:rFonts w:ascii="Arial" w:hAnsi="Arial" w:cs="Arial" w:eastAsia="Arial" w:hint="default"/>
                <w:sz w:val="18"/>
                <w:szCs w:val="18"/>
              </w:rPr>
            </w:pPr>
            <w:r>
              <w:rPr>
                <w:rFonts w:ascii="Arial"/>
                <w:sz w:val="18"/>
              </w:rPr>
              <w:t>16,047,542.01</w:t>
            </w:r>
          </w:p>
        </w:tc>
        <w:tc>
          <w:tcPr>
            <w:tcW w:w="13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34" w:hRule="exact"/>
        </w:trPr>
        <w:tc>
          <w:tcPr>
            <w:tcW w:w="2450"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2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w w:val="99"/>
                <w:sz w:val="18"/>
              </w:rPr>
              <w:t>-</w:t>
            </w:r>
            <w:r>
              <w:rPr>
                <w:rFonts w:ascii="Arial"/>
                <w:sz w:val="18"/>
              </w:rPr>
            </w:r>
          </w:p>
        </w:tc>
        <w:tc>
          <w:tcPr>
            <w:tcW w:w="16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1"/>
              <w:jc w:val="center"/>
              <w:rPr>
                <w:rFonts w:ascii="Arial" w:hAnsi="Arial" w:cs="Arial" w:eastAsia="Arial" w:hint="default"/>
                <w:sz w:val="18"/>
                <w:szCs w:val="18"/>
              </w:rPr>
            </w:pPr>
            <w:r>
              <w:rPr>
                <w:rFonts w:ascii="Arial"/>
                <w:sz w:val="18"/>
              </w:rPr>
              <w:t>1,065,669.28</w:t>
            </w:r>
          </w:p>
        </w:tc>
        <w:tc>
          <w:tcPr>
            <w:tcW w:w="13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left="141" w:right="0"/>
              <w:jc w:val="left"/>
              <w:rPr>
                <w:rFonts w:ascii="Arial" w:hAnsi="Arial" w:cs="Arial" w:eastAsia="Arial" w:hint="default"/>
                <w:sz w:val="18"/>
                <w:szCs w:val="18"/>
              </w:rPr>
            </w:pPr>
            <w:r>
              <w:rPr>
                <w:rFonts w:ascii="Arial"/>
                <w:sz w:val="18"/>
              </w:rPr>
              <w:t>1,065,669.28</w:t>
            </w:r>
          </w:p>
        </w:tc>
        <w:tc>
          <w:tcPr>
            <w:tcW w:w="13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34" w:hRule="exact"/>
        </w:trPr>
        <w:tc>
          <w:tcPr>
            <w:tcW w:w="2450"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2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w w:val="99"/>
                <w:sz w:val="18"/>
              </w:rPr>
              <w:t>-</w:t>
            </w:r>
            <w:r>
              <w:rPr>
                <w:rFonts w:ascii="Arial"/>
                <w:sz w:val="18"/>
              </w:rPr>
            </w:r>
          </w:p>
        </w:tc>
        <w:tc>
          <w:tcPr>
            <w:tcW w:w="16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1"/>
              <w:jc w:val="center"/>
              <w:rPr>
                <w:rFonts w:ascii="Arial" w:hAnsi="Arial" w:cs="Arial" w:eastAsia="Arial" w:hint="default"/>
                <w:sz w:val="18"/>
                <w:szCs w:val="18"/>
              </w:rPr>
            </w:pPr>
            <w:r>
              <w:rPr>
                <w:rFonts w:ascii="Arial"/>
                <w:sz w:val="18"/>
              </w:rPr>
              <w:t>2,960,662.92</w:t>
            </w:r>
          </w:p>
        </w:tc>
        <w:tc>
          <w:tcPr>
            <w:tcW w:w="13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left="141" w:right="0"/>
              <w:jc w:val="left"/>
              <w:rPr>
                <w:rFonts w:ascii="Arial" w:hAnsi="Arial" w:cs="Arial" w:eastAsia="Arial" w:hint="default"/>
                <w:sz w:val="18"/>
                <w:szCs w:val="18"/>
              </w:rPr>
            </w:pPr>
            <w:r>
              <w:rPr>
                <w:rFonts w:ascii="Arial"/>
                <w:sz w:val="18"/>
              </w:rPr>
              <w:t>2,960,662.92</w:t>
            </w:r>
          </w:p>
        </w:tc>
        <w:tc>
          <w:tcPr>
            <w:tcW w:w="13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34" w:hRule="exact"/>
        </w:trPr>
        <w:tc>
          <w:tcPr>
            <w:tcW w:w="2450"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2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w w:val="99"/>
                <w:sz w:val="18"/>
              </w:rPr>
              <w:t>-</w:t>
            </w:r>
            <w:r>
              <w:rPr>
                <w:rFonts w:ascii="Arial"/>
                <w:sz w:val="18"/>
              </w:rPr>
            </w:r>
          </w:p>
        </w:tc>
        <w:tc>
          <w:tcPr>
            <w:tcW w:w="16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sz w:val="18"/>
              </w:rPr>
              <w:t>472,602.00</w:t>
            </w:r>
          </w:p>
        </w:tc>
        <w:tc>
          <w:tcPr>
            <w:tcW w:w="13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left="218" w:right="0"/>
              <w:jc w:val="left"/>
              <w:rPr>
                <w:rFonts w:ascii="Arial" w:hAnsi="Arial" w:cs="Arial" w:eastAsia="Arial" w:hint="default"/>
                <w:sz w:val="18"/>
                <w:szCs w:val="18"/>
              </w:rPr>
            </w:pPr>
            <w:r>
              <w:rPr>
                <w:rFonts w:ascii="Arial"/>
                <w:sz w:val="18"/>
              </w:rPr>
              <w:t>472,602.00</w:t>
            </w:r>
          </w:p>
        </w:tc>
        <w:tc>
          <w:tcPr>
            <w:tcW w:w="13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636" w:hRule="exact"/>
        </w:trPr>
        <w:tc>
          <w:tcPr>
            <w:tcW w:w="2450"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spacing w:val="6"/>
                <w:sz w:val="18"/>
                <w:szCs w:val="18"/>
              </w:rPr>
              <w:t>五、工会经费和职工教育经</w:t>
            </w:r>
          </w:p>
          <w:p>
            <w:pPr>
              <w:pStyle w:val="TableParagraph"/>
              <w:spacing w:line="240" w:lineRule="auto" w:before="67"/>
              <w:ind w:left="93" w:right="0"/>
              <w:jc w:val="left"/>
              <w:rPr>
                <w:rFonts w:ascii="宋体" w:hAnsi="宋体" w:cs="宋体" w:eastAsia="宋体" w:hint="default"/>
                <w:sz w:val="18"/>
                <w:szCs w:val="18"/>
              </w:rPr>
            </w:pPr>
            <w:r>
              <w:rPr>
                <w:rFonts w:ascii="宋体" w:hAnsi="宋体" w:cs="宋体" w:eastAsia="宋体" w:hint="default"/>
                <w:w w:val="99"/>
                <w:sz w:val="18"/>
                <w:szCs w:val="18"/>
              </w:rPr>
              <w:t>费</w:t>
            </w:r>
            <w:r>
              <w:rPr>
                <w:rFonts w:ascii="宋体" w:hAnsi="宋体" w:cs="宋体" w:eastAsia="宋体" w:hint="default"/>
                <w:sz w:val="18"/>
                <w:szCs w:val="18"/>
              </w:rPr>
            </w:r>
          </w:p>
        </w:tc>
        <w:tc>
          <w:tcPr>
            <w:tcW w:w="182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16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13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13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34" w:hRule="exact"/>
        </w:trPr>
        <w:tc>
          <w:tcPr>
            <w:tcW w:w="2450"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sz w:val="18"/>
                <w:szCs w:val="18"/>
              </w:rPr>
              <w:t>六、非货币性福利</w:t>
            </w:r>
          </w:p>
        </w:tc>
        <w:tc>
          <w:tcPr>
            <w:tcW w:w="182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w w:val="99"/>
                <w:sz w:val="18"/>
              </w:rPr>
              <w:t>-</w:t>
            </w:r>
            <w:r>
              <w:rPr>
                <w:rFonts w:ascii="Arial"/>
                <w:sz w:val="18"/>
              </w:rPr>
            </w:r>
          </w:p>
        </w:tc>
        <w:tc>
          <w:tcPr>
            <w:tcW w:w="16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w w:val="99"/>
                <w:sz w:val="18"/>
              </w:rPr>
              <w:t>-</w:t>
            </w:r>
            <w:r>
              <w:rPr>
                <w:rFonts w:ascii="Arial"/>
                <w:sz w:val="18"/>
              </w:rPr>
            </w:r>
          </w:p>
        </w:tc>
        <w:tc>
          <w:tcPr>
            <w:tcW w:w="13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w w:val="99"/>
                <w:sz w:val="18"/>
              </w:rPr>
              <w:t>-</w:t>
            </w:r>
            <w:r>
              <w:rPr>
                <w:rFonts w:ascii="Arial"/>
                <w:sz w:val="18"/>
              </w:rPr>
            </w:r>
          </w:p>
        </w:tc>
        <w:tc>
          <w:tcPr>
            <w:tcW w:w="13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34" w:hRule="exact"/>
        </w:trPr>
        <w:tc>
          <w:tcPr>
            <w:tcW w:w="2450"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sz w:val="18"/>
                <w:szCs w:val="18"/>
              </w:rPr>
              <w:t>七、辞退福利</w:t>
            </w:r>
          </w:p>
        </w:tc>
        <w:tc>
          <w:tcPr>
            <w:tcW w:w="182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w w:val="99"/>
                <w:sz w:val="18"/>
              </w:rPr>
              <w:t>-</w:t>
            </w:r>
            <w:r>
              <w:rPr>
                <w:rFonts w:ascii="Arial"/>
                <w:sz w:val="18"/>
              </w:rPr>
            </w:r>
          </w:p>
        </w:tc>
        <w:tc>
          <w:tcPr>
            <w:tcW w:w="16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w w:val="99"/>
                <w:sz w:val="18"/>
              </w:rPr>
              <w:t>-</w:t>
            </w:r>
            <w:r>
              <w:rPr>
                <w:rFonts w:ascii="Arial"/>
                <w:sz w:val="18"/>
              </w:rPr>
            </w:r>
          </w:p>
        </w:tc>
        <w:tc>
          <w:tcPr>
            <w:tcW w:w="13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w w:val="99"/>
                <w:sz w:val="18"/>
              </w:rPr>
              <w:t>-</w:t>
            </w:r>
            <w:r>
              <w:rPr>
                <w:rFonts w:ascii="Arial"/>
                <w:sz w:val="18"/>
              </w:rPr>
            </w:r>
          </w:p>
        </w:tc>
        <w:tc>
          <w:tcPr>
            <w:tcW w:w="13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34" w:hRule="exact"/>
        </w:trPr>
        <w:tc>
          <w:tcPr>
            <w:tcW w:w="2450"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sz w:val="18"/>
                <w:szCs w:val="18"/>
              </w:rPr>
              <w:t>八、其他</w:t>
            </w:r>
          </w:p>
        </w:tc>
        <w:tc>
          <w:tcPr>
            <w:tcW w:w="182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w w:val="99"/>
                <w:sz w:val="18"/>
              </w:rPr>
              <w:t>-</w:t>
            </w:r>
            <w:r>
              <w:rPr>
                <w:rFonts w:ascii="Arial"/>
                <w:sz w:val="18"/>
              </w:rPr>
            </w:r>
          </w:p>
        </w:tc>
        <w:tc>
          <w:tcPr>
            <w:tcW w:w="16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w w:val="99"/>
                <w:sz w:val="18"/>
              </w:rPr>
              <w:t>-</w:t>
            </w:r>
            <w:r>
              <w:rPr>
                <w:rFonts w:ascii="Arial"/>
                <w:sz w:val="18"/>
              </w:rPr>
            </w:r>
          </w:p>
        </w:tc>
        <w:tc>
          <w:tcPr>
            <w:tcW w:w="13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w w:val="99"/>
                <w:sz w:val="18"/>
              </w:rPr>
              <w:t>-</w:t>
            </w:r>
            <w:r>
              <w:rPr>
                <w:rFonts w:ascii="Arial"/>
                <w:sz w:val="18"/>
              </w:rPr>
            </w:r>
          </w:p>
        </w:tc>
        <w:tc>
          <w:tcPr>
            <w:tcW w:w="13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center"/>
        <w:rPr>
          <w:rFonts w:ascii="Arial" w:hAnsi="Arial" w:cs="Arial" w:eastAsia="Arial" w:hint="default"/>
          <w:sz w:val="18"/>
          <w:szCs w:val="18"/>
        </w:rPr>
        <w:sectPr>
          <w:pgSz w:w="11900" w:h="16840"/>
          <w:pgMar w:header="0" w:footer="983" w:top="1100" w:bottom="1180" w:left="1660" w:right="1260"/>
        </w:sectPr>
      </w:pPr>
    </w:p>
    <w:p>
      <w:pPr>
        <w:spacing w:line="240" w:lineRule="auto" w:before="8"/>
        <w:rPr>
          <w:rFonts w:ascii="宋体" w:hAnsi="宋体" w:cs="宋体" w:eastAsia="宋体" w:hint="default"/>
          <w:sz w:val="24"/>
          <w:szCs w:val="24"/>
        </w:rPr>
      </w:pPr>
    </w:p>
    <w:tbl>
      <w:tblPr>
        <w:tblW w:w="0" w:type="auto"/>
        <w:jc w:val="left"/>
        <w:tblInd w:w="232" w:type="dxa"/>
        <w:tblLayout w:type="fixed"/>
        <w:tblCellMar>
          <w:top w:w="0" w:type="dxa"/>
          <w:left w:w="0" w:type="dxa"/>
          <w:bottom w:w="0" w:type="dxa"/>
          <w:right w:w="0" w:type="dxa"/>
        </w:tblCellMar>
        <w:tblLook w:val="01E0"/>
      </w:tblPr>
      <w:tblGrid>
        <w:gridCol w:w="2450"/>
        <w:gridCol w:w="1824"/>
        <w:gridCol w:w="1622"/>
        <w:gridCol w:w="1368"/>
        <w:gridCol w:w="1354"/>
      </w:tblGrid>
      <w:tr>
        <w:trPr>
          <w:trHeight w:val="331" w:hRule="exact"/>
        </w:trPr>
        <w:tc>
          <w:tcPr>
            <w:tcW w:w="2450"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2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w w:val="99"/>
                <w:sz w:val="18"/>
              </w:rPr>
              <w:t>-</w:t>
            </w:r>
            <w:r>
              <w:rPr>
                <w:rFonts w:ascii="Arial"/>
                <w:sz w:val="18"/>
              </w:rPr>
            </w:r>
          </w:p>
        </w:tc>
        <w:tc>
          <w:tcPr>
            <w:tcW w:w="16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left="218" w:right="0"/>
              <w:jc w:val="left"/>
              <w:rPr>
                <w:rFonts w:ascii="Arial" w:hAnsi="Arial" w:cs="Arial" w:eastAsia="Arial" w:hint="default"/>
                <w:sz w:val="18"/>
                <w:szCs w:val="18"/>
              </w:rPr>
            </w:pPr>
            <w:r>
              <w:rPr>
                <w:rFonts w:ascii="Arial"/>
                <w:sz w:val="18"/>
              </w:rPr>
              <w:t>20,546,476.21</w:t>
            </w:r>
          </w:p>
        </w:tc>
        <w:tc>
          <w:tcPr>
            <w:tcW w:w="13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left="93" w:right="0"/>
              <w:jc w:val="left"/>
              <w:rPr>
                <w:rFonts w:ascii="Arial" w:hAnsi="Arial" w:cs="Arial" w:eastAsia="Arial" w:hint="default"/>
                <w:sz w:val="18"/>
                <w:szCs w:val="18"/>
              </w:rPr>
            </w:pPr>
            <w:r>
              <w:rPr>
                <w:rFonts w:ascii="Arial"/>
                <w:sz w:val="18"/>
              </w:rPr>
              <w:t>20,546,476.21</w:t>
            </w:r>
          </w:p>
        </w:tc>
        <w:tc>
          <w:tcPr>
            <w:tcW w:w="13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w w:val="99"/>
                <w:sz w:val="18"/>
              </w:rPr>
              <w:t>-</w:t>
            </w:r>
            <w:r>
              <w:rPr>
                <w:rFonts w:ascii="Arial"/>
                <w:sz w:val="18"/>
              </w:rPr>
            </w:r>
          </w:p>
        </w:tc>
      </w:tr>
    </w:tbl>
    <w:p>
      <w:pPr>
        <w:spacing w:line="240" w:lineRule="auto" w:before="1"/>
        <w:rPr>
          <w:rFonts w:ascii="宋体" w:hAnsi="宋体" w:cs="宋体" w:eastAsia="宋体" w:hint="default"/>
          <w:sz w:val="24"/>
          <w:szCs w:val="24"/>
        </w:rPr>
      </w:pPr>
    </w:p>
    <w:p>
      <w:pPr>
        <w:pStyle w:val="BodyText"/>
        <w:spacing w:line="240" w:lineRule="auto"/>
        <w:ind w:left="237" w:right="0"/>
        <w:jc w:val="left"/>
      </w:pPr>
      <w:r>
        <w:rPr>
          <w:rFonts w:ascii="Arial" w:hAnsi="Arial" w:cs="Arial" w:eastAsia="Arial" w:hint="default"/>
        </w:rPr>
        <w:t>6.20</w:t>
      </w:r>
      <w:r>
        <w:rPr>
          <w:rFonts w:ascii="Arial" w:hAnsi="Arial" w:cs="Arial" w:eastAsia="Arial" w:hint="default"/>
          <w:spacing w:val="-8"/>
        </w:rPr>
        <w:t> </w:t>
      </w:r>
      <w:r>
        <w:rPr/>
        <w:t>应交税费</w:t>
      </w:r>
    </w:p>
    <w:p>
      <w:pPr>
        <w:spacing w:line="240" w:lineRule="auto" w:before="3"/>
        <w:rPr>
          <w:rFonts w:ascii="宋体" w:hAnsi="宋体" w:cs="宋体" w:eastAsia="宋体" w:hint="default"/>
          <w:sz w:val="12"/>
          <w:szCs w:val="12"/>
        </w:rPr>
      </w:pPr>
    </w:p>
    <w:tbl>
      <w:tblPr>
        <w:tblW w:w="0" w:type="auto"/>
        <w:jc w:val="left"/>
        <w:tblInd w:w="285" w:type="dxa"/>
        <w:tblLayout w:type="fixed"/>
        <w:tblCellMar>
          <w:top w:w="0" w:type="dxa"/>
          <w:left w:w="0" w:type="dxa"/>
          <w:bottom w:w="0" w:type="dxa"/>
          <w:right w:w="0" w:type="dxa"/>
        </w:tblCellMar>
        <w:tblLook w:val="01E0"/>
      </w:tblPr>
      <w:tblGrid>
        <w:gridCol w:w="2681"/>
        <w:gridCol w:w="2880"/>
        <w:gridCol w:w="2954"/>
      </w:tblGrid>
      <w:tr>
        <w:trPr>
          <w:trHeight w:val="485" w:hRule="exact"/>
        </w:trPr>
        <w:tc>
          <w:tcPr>
            <w:tcW w:w="268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1145"/>
              <w:jc w:val="right"/>
              <w:rPr>
                <w:rFonts w:ascii="宋体" w:hAnsi="宋体" w:cs="宋体" w:eastAsia="宋体" w:hint="default"/>
                <w:sz w:val="18"/>
                <w:szCs w:val="18"/>
              </w:rPr>
            </w:pPr>
            <w:r>
              <w:rPr>
                <w:rFonts w:ascii="宋体" w:hAnsi="宋体" w:cs="宋体" w:eastAsia="宋体" w:hint="default"/>
                <w:w w:val="95"/>
                <w:sz w:val="18"/>
                <w:szCs w:val="18"/>
              </w:rPr>
              <w:t>税种</w:t>
            </w:r>
            <w:r>
              <w:rPr>
                <w:rFonts w:ascii="宋体" w:hAnsi="宋体" w:cs="宋体" w:eastAsia="宋体" w:hint="default"/>
                <w:sz w:val="18"/>
                <w:szCs w:val="18"/>
              </w:rPr>
            </w:r>
          </w:p>
        </w:tc>
        <w:tc>
          <w:tcPr>
            <w:tcW w:w="288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640"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9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679"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482" w:hRule="exact"/>
        </w:trPr>
        <w:tc>
          <w:tcPr>
            <w:tcW w:w="268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88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92"/>
              <w:jc w:val="right"/>
              <w:rPr>
                <w:rFonts w:ascii="Arial" w:hAnsi="Arial" w:cs="Arial" w:eastAsia="Arial" w:hint="default"/>
                <w:sz w:val="18"/>
                <w:szCs w:val="18"/>
              </w:rPr>
            </w:pPr>
            <w:r>
              <w:rPr>
                <w:rFonts w:ascii="Arial"/>
                <w:spacing w:val="-1"/>
                <w:sz w:val="18"/>
              </w:rPr>
              <w:t>-8,509,397.04</w:t>
            </w:r>
          </w:p>
        </w:tc>
        <w:tc>
          <w:tcPr>
            <w:tcW w:w="29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92"/>
              <w:jc w:val="right"/>
              <w:rPr>
                <w:rFonts w:ascii="Arial" w:hAnsi="Arial" w:cs="Arial" w:eastAsia="Arial" w:hint="default"/>
                <w:sz w:val="18"/>
                <w:szCs w:val="18"/>
              </w:rPr>
            </w:pPr>
            <w:r>
              <w:rPr>
                <w:rFonts w:ascii="Arial"/>
                <w:spacing w:val="-1"/>
                <w:sz w:val="18"/>
              </w:rPr>
              <w:t>-1,076,471.21</w:t>
            </w:r>
          </w:p>
        </w:tc>
      </w:tr>
      <w:tr>
        <w:trPr>
          <w:trHeight w:val="485" w:hRule="exact"/>
        </w:trPr>
        <w:tc>
          <w:tcPr>
            <w:tcW w:w="268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88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92"/>
              <w:jc w:val="right"/>
              <w:rPr>
                <w:rFonts w:ascii="Arial" w:hAnsi="Arial" w:cs="Arial" w:eastAsia="Arial" w:hint="default"/>
                <w:sz w:val="18"/>
                <w:szCs w:val="18"/>
              </w:rPr>
            </w:pPr>
            <w:r>
              <w:rPr>
                <w:rFonts w:ascii="Arial"/>
                <w:spacing w:val="-2"/>
                <w:sz w:val="18"/>
              </w:rPr>
              <w:t>119,786.42</w:t>
            </w:r>
          </w:p>
        </w:tc>
        <w:tc>
          <w:tcPr>
            <w:tcW w:w="29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92"/>
              <w:jc w:val="right"/>
              <w:rPr>
                <w:rFonts w:ascii="Arial" w:hAnsi="Arial" w:cs="Arial" w:eastAsia="Arial" w:hint="default"/>
                <w:sz w:val="18"/>
                <w:szCs w:val="18"/>
              </w:rPr>
            </w:pPr>
            <w:r>
              <w:rPr>
                <w:rFonts w:ascii="Arial"/>
                <w:spacing w:val="-1"/>
                <w:sz w:val="18"/>
              </w:rPr>
              <w:t>35,186.00</w:t>
            </w:r>
          </w:p>
        </w:tc>
      </w:tr>
      <w:tr>
        <w:trPr>
          <w:trHeight w:val="485" w:hRule="exact"/>
        </w:trPr>
        <w:tc>
          <w:tcPr>
            <w:tcW w:w="268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288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92"/>
              <w:jc w:val="right"/>
              <w:rPr>
                <w:rFonts w:ascii="Arial" w:hAnsi="Arial" w:cs="Arial" w:eastAsia="Arial" w:hint="default"/>
                <w:sz w:val="18"/>
                <w:szCs w:val="18"/>
              </w:rPr>
            </w:pPr>
            <w:r>
              <w:rPr>
                <w:rFonts w:ascii="Arial"/>
                <w:spacing w:val="-1"/>
                <w:sz w:val="18"/>
              </w:rPr>
              <w:t>17,948.23</w:t>
            </w:r>
          </w:p>
        </w:tc>
        <w:tc>
          <w:tcPr>
            <w:tcW w:w="29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92"/>
              <w:jc w:val="right"/>
              <w:rPr>
                <w:rFonts w:ascii="Arial" w:hAnsi="Arial" w:cs="Arial" w:eastAsia="Arial" w:hint="default"/>
                <w:sz w:val="18"/>
                <w:szCs w:val="18"/>
              </w:rPr>
            </w:pPr>
            <w:r>
              <w:rPr>
                <w:rFonts w:ascii="Arial"/>
                <w:spacing w:val="-1"/>
                <w:sz w:val="18"/>
              </w:rPr>
              <w:t>8,469.86</w:t>
            </w:r>
          </w:p>
        </w:tc>
      </w:tr>
      <w:tr>
        <w:trPr>
          <w:trHeight w:val="482" w:hRule="exact"/>
        </w:trPr>
        <w:tc>
          <w:tcPr>
            <w:tcW w:w="268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88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92"/>
              <w:jc w:val="right"/>
              <w:rPr>
                <w:rFonts w:ascii="Arial" w:hAnsi="Arial" w:cs="Arial" w:eastAsia="Arial" w:hint="default"/>
                <w:sz w:val="18"/>
                <w:szCs w:val="18"/>
              </w:rPr>
            </w:pPr>
            <w:r>
              <w:rPr>
                <w:rFonts w:ascii="Arial"/>
                <w:spacing w:val="-1"/>
                <w:sz w:val="18"/>
              </w:rPr>
              <w:t>927.70</w:t>
            </w:r>
          </w:p>
        </w:tc>
        <w:tc>
          <w:tcPr>
            <w:tcW w:w="29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92"/>
              <w:jc w:val="right"/>
              <w:rPr>
                <w:rFonts w:ascii="Arial" w:hAnsi="Arial" w:cs="Arial" w:eastAsia="Arial" w:hint="default"/>
                <w:sz w:val="18"/>
                <w:szCs w:val="18"/>
              </w:rPr>
            </w:pPr>
            <w:r>
              <w:rPr>
                <w:rFonts w:ascii="Arial"/>
                <w:spacing w:val="-1"/>
                <w:sz w:val="18"/>
              </w:rPr>
              <w:t>927.70</w:t>
            </w:r>
          </w:p>
        </w:tc>
      </w:tr>
      <w:tr>
        <w:trPr>
          <w:trHeight w:val="485" w:hRule="exact"/>
        </w:trPr>
        <w:tc>
          <w:tcPr>
            <w:tcW w:w="268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88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92"/>
              <w:jc w:val="right"/>
              <w:rPr>
                <w:rFonts w:ascii="Arial" w:hAnsi="Arial" w:cs="Arial" w:eastAsia="Arial" w:hint="default"/>
                <w:sz w:val="18"/>
                <w:szCs w:val="18"/>
              </w:rPr>
            </w:pPr>
            <w:r>
              <w:rPr>
                <w:rFonts w:ascii="Arial"/>
                <w:spacing w:val="-1"/>
                <w:sz w:val="18"/>
              </w:rPr>
              <w:t>656,427.57</w:t>
            </w:r>
          </w:p>
        </w:tc>
        <w:tc>
          <w:tcPr>
            <w:tcW w:w="29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92"/>
              <w:jc w:val="right"/>
              <w:rPr>
                <w:rFonts w:ascii="Arial" w:hAnsi="Arial" w:cs="Arial" w:eastAsia="Arial" w:hint="default"/>
                <w:sz w:val="18"/>
                <w:szCs w:val="18"/>
              </w:rPr>
            </w:pPr>
            <w:r>
              <w:rPr>
                <w:rFonts w:ascii="Arial"/>
                <w:spacing w:val="-1"/>
                <w:sz w:val="18"/>
              </w:rPr>
              <w:t>2,912,634.67</w:t>
            </w:r>
          </w:p>
        </w:tc>
      </w:tr>
      <w:tr>
        <w:trPr>
          <w:trHeight w:val="485" w:hRule="exact"/>
        </w:trPr>
        <w:tc>
          <w:tcPr>
            <w:tcW w:w="268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88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92"/>
              <w:jc w:val="right"/>
              <w:rPr>
                <w:rFonts w:ascii="Arial" w:hAnsi="Arial" w:cs="Arial" w:eastAsia="Arial" w:hint="default"/>
                <w:sz w:val="18"/>
                <w:szCs w:val="18"/>
              </w:rPr>
            </w:pPr>
            <w:r>
              <w:rPr>
                <w:rFonts w:ascii="Arial"/>
                <w:spacing w:val="-1"/>
                <w:sz w:val="18"/>
              </w:rPr>
              <w:t>107,567.99</w:t>
            </w:r>
          </w:p>
        </w:tc>
        <w:tc>
          <w:tcPr>
            <w:tcW w:w="29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92"/>
              <w:jc w:val="right"/>
              <w:rPr>
                <w:rFonts w:ascii="Arial" w:hAnsi="Arial" w:cs="Arial" w:eastAsia="Arial" w:hint="default"/>
                <w:sz w:val="18"/>
                <w:szCs w:val="18"/>
              </w:rPr>
            </w:pPr>
            <w:r>
              <w:rPr>
                <w:rFonts w:ascii="Arial"/>
                <w:spacing w:val="-1"/>
                <w:sz w:val="18"/>
              </w:rPr>
              <w:t>76,462.56</w:t>
            </w:r>
          </w:p>
        </w:tc>
      </w:tr>
      <w:tr>
        <w:trPr>
          <w:trHeight w:val="482" w:hRule="exact"/>
        </w:trPr>
        <w:tc>
          <w:tcPr>
            <w:tcW w:w="268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88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92"/>
              <w:jc w:val="right"/>
              <w:rPr>
                <w:rFonts w:ascii="Arial" w:hAnsi="Arial" w:cs="Arial" w:eastAsia="Arial" w:hint="default"/>
                <w:sz w:val="18"/>
                <w:szCs w:val="18"/>
              </w:rPr>
            </w:pPr>
            <w:r>
              <w:rPr>
                <w:rFonts w:ascii="Arial"/>
                <w:spacing w:val="-1"/>
                <w:sz w:val="18"/>
              </w:rPr>
              <w:t>35,750.93</w:t>
            </w:r>
          </w:p>
        </w:tc>
        <w:tc>
          <w:tcPr>
            <w:tcW w:w="29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92"/>
              <w:jc w:val="right"/>
              <w:rPr>
                <w:rFonts w:ascii="Arial" w:hAnsi="Arial" w:cs="Arial" w:eastAsia="Arial" w:hint="default"/>
                <w:sz w:val="18"/>
                <w:szCs w:val="18"/>
              </w:rPr>
            </w:pPr>
            <w:r>
              <w:rPr>
                <w:rFonts w:ascii="Arial"/>
                <w:spacing w:val="-1"/>
                <w:sz w:val="18"/>
              </w:rPr>
              <w:t>17,814.61</w:t>
            </w:r>
          </w:p>
        </w:tc>
      </w:tr>
      <w:tr>
        <w:trPr>
          <w:trHeight w:val="485" w:hRule="exact"/>
        </w:trPr>
        <w:tc>
          <w:tcPr>
            <w:tcW w:w="268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88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92"/>
              <w:jc w:val="right"/>
              <w:rPr>
                <w:rFonts w:ascii="Arial" w:hAnsi="Arial" w:cs="Arial" w:eastAsia="Arial" w:hint="default"/>
                <w:sz w:val="18"/>
                <w:szCs w:val="18"/>
              </w:rPr>
            </w:pPr>
            <w:r>
              <w:rPr>
                <w:rFonts w:ascii="Arial"/>
                <w:spacing w:val="-1"/>
                <w:sz w:val="18"/>
              </w:rPr>
              <w:t>65,733.35</w:t>
            </w:r>
          </w:p>
        </w:tc>
        <w:tc>
          <w:tcPr>
            <w:tcW w:w="29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92"/>
              <w:jc w:val="right"/>
              <w:rPr>
                <w:rFonts w:ascii="Arial" w:hAnsi="Arial" w:cs="Arial" w:eastAsia="Arial" w:hint="default"/>
                <w:sz w:val="18"/>
                <w:szCs w:val="18"/>
              </w:rPr>
            </w:pPr>
            <w:r>
              <w:rPr>
                <w:rFonts w:ascii="Arial"/>
                <w:spacing w:val="-1"/>
                <w:sz w:val="18"/>
              </w:rPr>
              <w:t>18,553.50</w:t>
            </w:r>
          </w:p>
        </w:tc>
      </w:tr>
      <w:tr>
        <w:trPr>
          <w:trHeight w:val="485" w:hRule="exact"/>
        </w:trPr>
        <w:tc>
          <w:tcPr>
            <w:tcW w:w="268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288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92"/>
              <w:jc w:val="right"/>
              <w:rPr>
                <w:rFonts w:ascii="Arial" w:hAnsi="Arial" w:cs="Arial" w:eastAsia="Arial" w:hint="default"/>
                <w:sz w:val="18"/>
                <w:szCs w:val="18"/>
              </w:rPr>
            </w:pPr>
            <w:r>
              <w:rPr>
                <w:rFonts w:ascii="Arial"/>
                <w:w w:val="95"/>
                <w:sz w:val="18"/>
              </w:rPr>
              <w:t>9.28</w:t>
            </w:r>
            <w:r>
              <w:rPr>
                <w:rFonts w:ascii="Arial"/>
                <w:sz w:val="18"/>
              </w:rPr>
            </w:r>
          </w:p>
        </w:tc>
        <w:tc>
          <w:tcPr>
            <w:tcW w:w="29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92"/>
              <w:jc w:val="right"/>
              <w:rPr>
                <w:rFonts w:ascii="Arial" w:hAnsi="Arial" w:cs="Arial" w:eastAsia="Arial" w:hint="default"/>
                <w:sz w:val="18"/>
                <w:szCs w:val="18"/>
              </w:rPr>
            </w:pPr>
            <w:r>
              <w:rPr>
                <w:rFonts w:ascii="Arial"/>
                <w:spacing w:val="-1"/>
                <w:sz w:val="18"/>
              </w:rPr>
              <w:t>8,469.86</w:t>
            </w:r>
          </w:p>
        </w:tc>
      </w:tr>
      <w:tr>
        <w:trPr>
          <w:trHeight w:val="482" w:hRule="exact"/>
        </w:trPr>
        <w:tc>
          <w:tcPr>
            <w:tcW w:w="268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1145"/>
              <w:jc w:val="right"/>
              <w:rPr>
                <w:rFonts w:ascii="宋体" w:hAnsi="宋体" w:cs="宋体" w:eastAsia="宋体" w:hint="default"/>
                <w:sz w:val="18"/>
                <w:szCs w:val="18"/>
              </w:rPr>
            </w:pPr>
            <w:r>
              <w:rPr>
                <w:rFonts w:ascii="宋体" w:hAnsi="宋体" w:cs="宋体" w:eastAsia="宋体" w:hint="default"/>
                <w:w w:val="95"/>
                <w:sz w:val="18"/>
                <w:szCs w:val="18"/>
              </w:rPr>
              <w:t>合计</w:t>
            </w:r>
            <w:r>
              <w:rPr>
                <w:rFonts w:ascii="宋体" w:hAnsi="宋体" w:cs="宋体" w:eastAsia="宋体" w:hint="default"/>
                <w:sz w:val="18"/>
                <w:szCs w:val="18"/>
              </w:rPr>
            </w:r>
          </w:p>
        </w:tc>
        <w:tc>
          <w:tcPr>
            <w:tcW w:w="288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92"/>
              <w:jc w:val="right"/>
              <w:rPr>
                <w:rFonts w:ascii="Arial" w:hAnsi="Arial" w:cs="Arial" w:eastAsia="Arial" w:hint="default"/>
                <w:sz w:val="18"/>
                <w:szCs w:val="18"/>
              </w:rPr>
            </w:pPr>
            <w:r>
              <w:rPr>
                <w:rFonts w:ascii="Arial"/>
                <w:spacing w:val="-1"/>
                <w:sz w:val="18"/>
              </w:rPr>
              <w:t>-7,505,245.57</w:t>
            </w:r>
          </w:p>
        </w:tc>
        <w:tc>
          <w:tcPr>
            <w:tcW w:w="29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92"/>
              <w:jc w:val="right"/>
              <w:rPr>
                <w:rFonts w:ascii="Arial" w:hAnsi="Arial" w:cs="Arial" w:eastAsia="Arial" w:hint="default"/>
                <w:sz w:val="18"/>
                <w:szCs w:val="18"/>
              </w:rPr>
            </w:pPr>
            <w:r>
              <w:rPr>
                <w:rFonts w:ascii="Arial"/>
                <w:spacing w:val="-1"/>
                <w:sz w:val="18"/>
              </w:rPr>
              <w:t>2,002,047.55</w:t>
            </w:r>
          </w:p>
        </w:tc>
      </w:tr>
    </w:tbl>
    <w:p>
      <w:pPr>
        <w:spacing w:line="240" w:lineRule="auto" w:before="12"/>
        <w:rPr>
          <w:rFonts w:ascii="宋体" w:hAnsi="宋体" w:cs="宋体" w:eastAsia="宋体" w:hint="default"/>
          <w:sz w:val="23"/>
          <w:szCs w:val="23"/>
        </w:rPr>
      </w:pPr>
    </w:p>
    <w:p>
      <w:pPr>
        <w:pStyle w:val="BodyText"/>
        <w:spacing w:line="338" w:lineRule="auto"/>
        <w:ind w:left="237" w:right="0" w:firstLine="439"/>
        <w:jc w:val="left"/>
      </w:pPr>
      <w:r>
        <w:rPr/>
        <w:t>应交税费年末数比年初数减少</w:t>
      </w:r>
      <w:r>
        <w:rPr>
          <w:spacing w:val="-60"/>
        </w:rPr>
        <w:t> </w:t>
      </w:r>
      <w:r>
        <w:rPr>
          <w:rFonts w:ascii="Arial" w:hAnsi="Arial" w:cs="Arial" w:eastAsia="Arial" w:hint="default"/>
        </w:rPr>
        <w:t>9,507,293.12</w:t>
      </w:r>
      <w:r>
        <w:rPr>
          <w:rFonts w:ascii="Arial" w:hAnsi="Arial" w:cs="Arial" w:eastAsia="Arial" w:hint="default"/>
          <w:spacing w:val="-12"/>
        </w:rPr>
        <w:t> </w:t>
      </w:r>
      <w:r>
        <w:rPr/>
        <w:t>元，减少比例为</w:t>
      </w:r>
      <w:r>
        <w:rPr>
          <w:spacing w:val="-60"/>
        </w:rPr>
        <w:t> </w:t>
      </w:r>
      <w:r>
        <w:rPr>
          <w:rFonts w:ascii="Arial" w:hAnsi="Arial" w:cs="Arial" w:eastAsia="Arial" w:hint="default"/>
        </w:rPr>
        <w:t>474.88%</w:t>
      </w:r>
      <w:r>
        <w:rPr/>
        <w:t>，主要原因为：</w:t>
      </w:r>
      <w:r>
        <w:rPr>
          <w:w w:val="100"/>
        </w:rPr>
        <w:t> </w:t>
      </w:r>
      <w:r>
        <w:rPr/>
        <w:t>本公司采购设备及原材料形成待抵扣增值税进项税额较多所致。</w:t>
      </w:r>
    </w:p>
    <w:p>
      <w:pPr>
        <w:pStyle w:val="BodyText"/>
        <w:spacing w:line="240" w:lineRule="auto" w:before="49"/>
        <w:ind w:left="237" w:right="0"/>
        <w:jc w:val="left"/>
      </w:pPr>
      <w:r>
        <w:rPr>
          <w:rFonts w:ascii="Arial" w:hAnsi="Arial" w:cs="Arial" w:eastAsia="Arial" w:hint="default"/>
        </w:rPr>
        <w:t>6.21</w:t>
      </w:r>
      <w:r>
        <w:rPr>
          <w:rFonts w:ascii="Arial" w:hAnsi="Arial" w:cs="Arial" w:eastAsia="Arial" w:hint="default"/>
          <w:spacing w:val="-7"/>
        </w:rPr>
        <w:t> </w:t>
      </w:r>
      <w:r>
        <w:rPr/>
        <w:t>其他应付款</w:t>
      </w:r>
    </w:p>
    <w:p>
      <w:pPr>
        <w:spacing w:line="240" w:lineRule="auto" w:before="5"/>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2657"/>
        <w:gridCol w:w="2861"/>
        <w:gridCol w:w="3216"/>
      </w:tblGrid>
      <w:tr>
        <w:trPr>
          <w:trHeight w:val="482" w:hRule="exact"/>
        </w:trPr>
        <w:tc>
          <w:tcPr>
            <w:tcW w:w="26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32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485" w:hRule="exact"/>
        </w:trPr>
        <w:tc>
          <w:tcPr>
            <w:tcW w:w="26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28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13,051,151.03</w:t>
            </w:r>
          </w:p>
        </w:tc>
        <w:tc>
          <w:tcPr>
            <w:tcW w:w="32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3,041,097.26</w:t>
            </w:r>
          </w:p>
        </w:tc>
      </w:tr>
      <w:tr>
        <w:trPr>
          <w:trHeight w:val="485" w:hRule="exact"/>
        </w:trPr>
        <w:tc>
          <w:tcPr>
            <w:tcW w:w="26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28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w:t>
            </w:r>
            <w:r>
              <w:rPr>
                <w:rFonts w:ascii="Arial"/>
                <w:sz w:val="18"/>
              </w:rPr>
            </w:r>
          </w:p>
        </w:tc>
        <w:tc>
          <w:tcPr>
            <w:tcW w:w="32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82" w:hRule="exact"/>
        </w:trPr>
        <w:tc>
          <w:tcPr>
            <w:tcW w:w="26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13,051,151.03</w:t>
            </w:r>
          </w:p>
        </w:tc>
        <w:tc>
          <w:tcPr>
            <w:tcW w:w="32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3,041,097.26</w:t>
            </w:r>
          </w:p>
        </w:tc>
      </w:tr>
    </w:tbl>
    <w:p>
      <w:pPr>
        <w:spacing w:line="240" w:lineRule="auto" w:before="12"/>
        <w:rPr>
          <w:rFonts w:ascii="宋体" w:hAnsi="宋体" w:cs="宋体" w:eastAsia="宋体" w:hint="default"/>
          <w:sz w:val="23"/>
          <w:szCs w:val="23"/>
        </w:rPr>
      </w:pPr>
    </w:p>
    <w:p>
      <w:pPr>
        <w:pStyle w:val="BodyText"/>
        <w:spacing w:line="338" w:lineRule="auto"/>
        <w:ind w:left="237" w:right="181"/>
        <w:jc w:val="left"/>
      </w:pPr>
      <w:r>
        <w:rPr>
          <w:rFonts w:ascii="Arial" w:hAnsi="Arial" w:cs="Arial" w:eastAsia="Arial" w:hint="default"/>
        </w:rPr>
        <w:t>6.21.1</w:t>
      </w:r>
      <w:r>
        <w:rPr>
          <w:rFonts w:ascii="Arial" w:hAnsi="Arial" w:cs="Arial" w:eastAsia="Arial" w:hint="default"/>
          <w:spacing w:val="-6"/>
        </w:rPr>
        <w:t> </w:t>
      </w:r>
      <w:r>
        <w:rPr/>
        <w:t>本报告期其他应付款中无应付持有公司</w:t>
      </w:r>
      <w:r>
        <w:rPr>
          <w:spacing w:val="-54"/>
        </w:rPr>
        <w:t> </w:t>
      </w:r>
      <w:r>
        <w:rPr>
          <w:rFonts w:ascii="Arial" w:hAnsi="Arial" w:cs="Arial" w:eastAsia="Arial" w:hint="default"/>
        </w:rPr>
        <w:t>5%</w:t>
      </w:r>
      <w:r>
        <w:rPr/>
        <w:t>以上</w:t>
      </w:r>
      <w:r>
        <w:rPr>
          <w:rFonts w:ascii="Arial" w:hAnsi="Arial" w:cs="Arial" w:eastAsia="Arial" w:hint="default"/>
        </w:rPr>
        <w:t>(</w:t>
      </w:r>
      <w:r>
        <w:rPr/>
        <w:t>含</w:t>
      </w:r>
      <w:r>
        <w:rPr>
          <w:spacing w:val="-54"/>
        </w:rPr>
        <w:t> </w:t>
      </w:r>
      <w:r>
        <w:rPr>
          <w:rFonts w:ascii="Arial" w:hAnsi="Arial" w:cs="Arial" w:eastAsia="Arial" w:hint="default"/>
        </w:rPr>
        <w:t>5%)</w:t>
      </w:r>
      <w:r>
        <w:rPr/>
        <w:t>表决权股份的股东款项或关</w:t>
      </w:r>
      <w:r>
        <w:rPr>
          <w:w w:val="100"/>
        </w:rPr>
        <w:t> </w:t>
      </w:r>
      <w:r>
        <w:rPr/>
        <w:t>联方款项。</w:t>
      </w:r>
    </w:p>
    <w:p>
      <w:pPr>
        <w:pStyle w:val="BodyText"/>
        <w:spacing w:line="338" w:lineRule="auto" w:before="51"/>
        <w:ind w:left="237" w:right="0"/>
        <w:jc w:val="left"/>
      </w:pPr>
      <w:r>
        <w:rPr>
          <w:rFonts w:ascii="Arial" w:hAnsi="Arial" w:cs="Arial" w:eastAsia="Arial" w:hint="default"/>
        </w:rPr>
        <w:t>6.21.2</w:t>
      </w:r>
      <w:r>
        <w:rPr>
          <w:rFonts w:ascii="Arial" w:hAnsi="Arial" w:cs="Arial" w:eastAsia="Arial" w:hint="default"/>
          <w:spacing w:val="-10"/>
        </w:rPr>
        <w:t> </w:t>
      </w:r>
      <w:r>
        <w:rPr/>
        <w:t>其他应付款年末数与年初数增加</w:t>
      </w:r>
      <w:r>
        <w:rPr>
          <w:spacing w:val="-58"/>
        </w:rPr>
        <w:t> </w:t>
      </w:r>
      <w:r>
        <w:rPr>
          <w:rFonts w:ascii="Arial" w:hAnsi="Arial" w:cs="Arial" w:eastAsia="Arial" w:hint="default"/>
        </w:rPr>
        <w:t>10,010,053.77</w:t>
      </w:r>
      <w:r>
        <w:rPr>
          <w:rFonts w:ascii="Arial" w:hAnsi="Arial" w:cs="Arial" w:eastAsia="Arial" w:hint="default"/>
          <w:spacing w:val="-10"/>
        </w:rPr>
        <w:t> </w:t>
      </w:r>
      <w:r>
        <w:rPr/>
        <w:t>元，增加比例为</w:t>
      </w:r>
      <w:r>
        <w:rPr>
          <w:spacing w:val="-58"/>
        </w:rPr>
        <w:t> </w:t>
      </w:r>
      <w:r>
        <w:rPr>
          <w:rFonts w:ascii="Arial" w:hAnsi="Arial" w:cs="Arial" w:eastAsia="Arial" w:hint="default"/>
        </w:rPr>
        <w:t>329.16%</w:t>
      </w:r>
      <w:r>
        <w:rPr/>
        <w:t>，增加原</w:t>
      </w:r>
      <w:r>
        <w:rPr>
          <w:w w:val="100"/>
        </w:rPr>
        <w:t> </w:t>
      </w:r>
      <w:r>
        <w:rPr/>
        <w:t>因为：本公司收购烟台安诺其公司少数股东股权，尚未支付完毕所致。</w:t>
      </w:r>
    </w:p>
    <w:p>
      <w:pPr>
        <w:pStyle w:val="BodyText"/>
        <w:spacing w:line="240" w:lineRule="auto" w:before="49"/>
        <w:ind w:left="237" w:right="0"/>
        <w:jc w:val="left"/>
      </w:pPr>
      <w:r>
        <w:rPr>
          <w:rFonts w:ascii="Arial" w:hAnsi="Arial" w:cs="Arial" w:eastAsia="Arial" w:hint="default"/>
        </w:rPr>
        <w:t>6.22</w:t>
      </w:r>
      <w:r>
        <w:rPr>
          <w:rFonts w:ascii="Arial" w:hAnsi="Arial" w:cs="Arial" w:eastAsia="Arial" w:hint="default"/>
          <w:spacing w:val="-6"/>
        </w:rPr>
        <w:t> </w:t>
      </w:r>
      <w:r>
        <w:rPr/>
        <w:t>股本</w:t>
      </w:r>
    </w:p>
    <w:p>
      <w:pPr>
        <w:spacing w:line="240" w:lineRule="auto" w:before="5"/>
        <w:rPr>
          <w:rFonts w:ascii="宋体" w:hAnsi="宋体" w:cs="宋体" w:eastAsia="宋体" w:hint="default"/>
          <w:sz w:val="12"/>
          <w:szCs w:val="12"/>
        </w:rPr>
      </w:pPr>
    </w:p>
    <w:tbl>
      <w:tblPr>
        <w:tblW w:w="0" w:type="auto"/>
        <w:jc w:val="left"/>
        <w:tblInd w:w="340" w:type="dxa"/>
        <w:tblLayout w:type="fixed"/>
        <w:tblCellMar>
          <w:top w:w="0" w:type="dxa"/>
          <w:left w:w="0" w:type="dxa"/>
          <w:bottom w:w="0" w:type="dxa"/>
          <w:right w:w="0" w:type="dxa"/>
        </w:tblCellMar>
        <w:tblLook w:val="01E0"/>
      </w:tblPr>
      <w:tblGrid>
        <w:gridCol w:w="938"/>
        <w:gridCol w:w="1368"/>
        <w:gridCol w:w="1510"/>
        <w:gridCol w:w="689"/>
        <w:gridCol w:w="1073"/>
        <w:gridCol w:w="691"/>
        <w:gridCol w:w="631"/>
        <w:gridCol w:w="1502"/>
      </w:tblGrid>
      <w:tr>
        <w:trPr>
          <w:trHeight w:val="334" w:hRule="exact"/>
        </w:trPr>
        <w:tc>
          <w:tcPr>
            <w:tcW w:w="938" w:type="dxa"/>
            <w:vMerge w:val="restart"/>
            <w:tcBorders>
              <w:top w:val="single" w:sz="12" w:space="0" w:color="000000"/>
              <w:left w:val="single" w:sz="12" w:space="0" w:color="000000"/>
              <w:right w:val="single" w:sz="12" w:space="0" w:color="000000"/>
            </w:tcBorders>
          </w:tcPr>
          <w:p>
            <w:pPr/>
          </w:p>
        </w:tc>
        <w:tc>
          <w:tcPr>
            <w:tcW w:w="1368" w:type="dxa"/>
            <w:vMerge w:val="restart"/>
            <w:tcBorders>
              <w:top w:val="single" w:sz="12" w:space="0" w:color="000000"/>
              <w:left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4594" w:type="dxa"/>
            <w:gridSpan w:val="5"/>
            <w:tcBorders>
              <w:top w:val="single" w:sz="12" w:space="0" w:color="000000"/>
              <w:left w:val="single" w:sz="12" w:space="0" w:color="000000"/>
              <w:bottom w:val="single" w:sz="12" w:space="0" w:color="000000"/>
              <w:right w:val="single" w:sz="12" w:space="0" w:color="000000"/>
            </w:tcBorders>
          </w:tcPr>
          <w:p>
            <w:pPr>
              <w:pStyle w:val="TableParagraph"/>
              <w:spacing w:line="221" w:lineRule="exact"/>
              <w:ind w:left="1389"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502" w:type="dxa"/>
            <w:vMerge w:val="restart"/>
            <w:tcBorders>
              <w:top w:val="single" w:sz="12" w:space="0" w:color="000000"/>
              <w:left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636" w:hRule="exact"/>
        </w:trPr>
        <w:tc>
          <w:tcPr>
            <w:tcW w:w="938" w:type="dxa"/>
            <w:vMerge/>
            <w:tcBorders>
              <w:left w:val="single" w:sz="12" w:space="0" w:color="000000"/>
              <w:bottom w:val="single" w:sz="12" w:space="0" w:color="000000"/>
              <w:right w:val="single" w:sz="12" w:space="0" w:color="000000"/>
            </w:tcBorders>
          </w:tcPr>
          <w:p>
            <w:pPr/>
          </w:p>
        </w:tc>
        <w:tc>
          <w:tcPr>
            <w:tcW w:w="1368" w:type="dxa"/>
            <w:vMerge/>
            <w:tcBorders>
              <w:left w:val="single" w:sz="12" w:space="0" w:color="000000"/>
              <w:bottom w:val="single" w:sz="12" w:space="0" w:color="000000"/>
              <w:right w:val="single" w:sz="12" w:space="0" w:color="000000"/>
            </w:tcBorders>
          </w:tcPr>
          <w:p>
            <w:pPr/>
          </w:p>
        </w:tc>
        <w:tc>
          <w:tcPr>
            <w:tcW w:w="15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3"/>
              <w:ind w:left="379"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68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3"/>
              <w:ind w:left="14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73"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340" w:right="0" w:hanging="92"/>
              <w:jc w:val="left"/>
              <w:rPr>
                <w:rFonts w:ascii="宋体" w:hAnsi="宋体" w:cs="宋体" w:eastAsia="宋体" w:hint="default"/>
                <w:sz w:val="18"/>
                <w:szCs w:val="18"/>
              </w:rPr>
            </w:pPr>
            <w:r>
              <w:rPr>
                <w:rFonts w:ascii="宋体" w:hAnsi="宋体" w:cs="宋体" w:eastAsia="宋体" w:hint="default"/>
                <w:sz w:val="18"/>
                <w:szCs w:val="18"/>
              </w:rPr>
              <w:t>公积金</w:t>
            </w:r>
          </w:p>
          <w:p>
            <w:pPr>
              <w:pStyle w:val="TableParagraph"/>
              <w:spacing w:line="240" w:lineRule="auto" w:before="67"/>
              <w:ind w:left="340" w:right="0"/>
              <w:jc w:val="left"/>
              <w:rPr>
                <w:rFonts w:ascii="宋体" w:hAnsi="宋体" w:cs="宋体" w:eastAsia="宋体" w:hint="default"/>
                <w:sz w:val="18"/>
                <w:szCs w:val="18"/>
              </w:rPr>
            </w:pPr>
            <w:r>
              <w:rPr>
                <w:rFonts w:ascii="宋体" w:hAnsi="宋体" w:cs="宋体" w:eastAsia="宋体" w:hint="default"/>
                <w:sz w:val="18"/>
                <w:szCs w:val="18"/>
              </w:rPr>
              <w:t>转股</w:t>
            </w:r>
          </w:p>
        </w:tc>
        <w:tc>
          <w:tcPr>
            <w:tcW w:w="6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3"/>
              <w:ind w:left="15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3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3"/>
              <w:ind w:left="11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02" w:type="dxa"/>
            <w:vMerge/>
            <w:tcBorders>
              <w:left w:val="single" w:sz="12" w:space="0" w:color="000000"/>
              <w:bottom w:val="single" w:sz="12" w:space="0" w:color="000000"/>
              <w:right w:val="single" w:sz="12" w:space="0" w:color="000000"/>
            </w:tcBorders>
          </w:tcPr>
          <w:p>
            <w:pPr/>
          </w:p>
        </w:tc>
      </w:tr>
    </w:tbl>
    <w:p>
      <w:pPr>
        <w:spacing w:after="0"/>
        <w:sectPr>
          <w:pgSz w:w="11900" w:h="16840"/>
          <w:pgMar w:header="0" w:footer="983" w:top="1100" w:bottom="1180" w:left="1560" w:right="1300"/>
        </w:sectPr>
      </w:pPr>
    </w:p>
    <w:p>
      <w:pPr>
        <w:spacing w:line="240" w:lineRule="auto" w:before="8"/>
        <w:rPr>
          <w:rFonts w:ascii="宋体" w:hAnsi="宋体" w:cs="宋体" w:eastAsia="宋体" w:hint="default"/>
          <w:sz w:val="24"/>
          <w:szCs w:val="24"/>
        </w:rPr>
      </w:pPr>
    </w:p>
    <w:tbl>
      <w:tblPr>
        <w:tblW w:w="0" w:type="auto"/>
        <w:jc w:val="left"/>
        <w:tblInd w:w="280" w:type="dxa"/>
        <w:tblLayout w:type="fixed"/>
        <w:tblCellMar>
          <w:top w:w="0" w:type="dxa"/>
          <w:left w:w="0" w:type="dxa"/>
          <w:bottom w:w="0" w:type="dxa"/>
          <w:right w:w="0" w:type="dxa"/>
        </w:tblCellMar>
        <w:tblLook w:val="01E0"/>
      </w:tblPr>
      <w:tblGrid>
        <w:gridCol w:w="938"/>
        <w:gridCol w:w="1368"/>
        <w:gridCol w:w="1510"/>
        <w:gridCol w:w="689"/>
        <w:gridCol w:w="1073"/>
        <w:gridCol w:w="691"/>
        <w:gridCol w:w="631"/>
        <w:gridCol w:w="1502"/>
      </w:tblGrid>
      <w:tr>
        <w:trPr>
          <w:trHeight w:val="331" w:hRule="exact"/>
        </w:trPr>
        <w:tc>
          <w:tcPr>
            <w:tcW w:w="938"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3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left="93" w:right="0"/>
              <w:jc w:val="left"/>
              <w:rPr>
                <w:rFonts w:ascii="Arial" w:hAnsi="Arial" w:cs="Arial" w:eastAsia="Arial" w:hint="default"/>
                <w:sz w:val="18"/>
                <w:szCs w:val="18"/>
              </w:rPr>
            </w:pPr>
            <w:r>
              <w:rPr>
                <w:rFonts w:ascii="Arial"/>
                <w:sz w:val="18"/>
              </w:rPr>
              <w:t>80,000,000.00</w:t>
            </w:r>
          </w:p>
        </w:tc>
        <w:tc>
          <w:tcPr>
            <w:tcW w:w="15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left="163" w:right="0"/>
              <w:jc w:val="left"/>
              <w:rPr>
                <w:rFonts w:ascii="Arial" w:hAnsi="Arial" w:cs="Arial" w:eastAsia="Arial" w:hint="default"/>
                <w:sz w:val="18"/>
                <w:szCs w:val="18"/>
              </w:rPr>
            </w:pPr>
            <w:r>
              <w:rPr>
                <w:rFonts w:ascii="Arial"/>
                <w:sz w:val="18"/>
              </w:rPr>
              <w:t>27,000,000.00</w:t>
            </w:r>
          </w:p>
        </w:tc>
        <w:tc>
          <w:tcPr>
            <w:tcW w:w="68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w w:val="99"/>
                <w:sz w:val="18"/>
              </w:rPr>
              <w:t>-</w:t>
            </w:r>
            <w:r>
              <w:rPr>
                <w:rFonts w:ascii="Arial"/>
                <w:sz w:val="18"/>
              </w:rPr>
            </w:r>
          </w:p>
        </w:tc>
        <w:tc>
          <w:tcPr>
            <w:tcW w:w="10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2"/>
              <w:jc w:val="center"/>
              <w:rPr>
                <w:rFonts w:ascii="Arial" w:hAnsi="Arial" w:cs="Arial" w:eastAsia="Arial" w:hint="default"/>
                <w:sz w:val="18"/>
                <w:szCs w:val="18"/>
              </w:rPr>
            </w:pPr>
            <w:r>
              <w:rPr>
                <w:rFonts w:ascii="Arial"/>
                <w:w w:val="99"/>
                <w:sz w:val="18"/>
              </w:rPr>
              <w:t>-</w:t>
            </w:r>
            <w:r>
              <w:rPr>
                <w:rFonts w:ascii="Arial"/>
                <w:sz w:val="18"/>
              </w:rPr>
            </w:r>
          </w:p>
        </w:tc>
        <w:tc>
          <w:tcPr>
            <w:tcW w:w="6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left="2" w:right="0"/>
              <w:jc w:val="center"/>
              <w:rPr>
                <w:rFonts w:ascii="Arial" w:hAnsi="Arial" w:cs="Arial" w:eastAsia="Arial" w:hint="default"/>
                <w:sz w:val="18"/>
                <w:szCs w:val="18"/>
              </w:rPr>
            </w:pPr>
            <w:r>
              <w:rPr>
                <w:rFonts w:ascii="Arial"/>
                <w:w w:val="99"/>
                <w:sz w:val="18"/>
              </w:rPr>
              <w:t>-</w:t>
            </w:r>
            <w:r>
              <w:rPr>
                <w:rFonts w:ascii="Arial"/>
                <w:sz w:val="18"/>
              </w:rPr>
            </w:r>
          </w:p>
        </w:tc>
        <w:tc>
          <w:tcPr>
            <w:tcW w:w="63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right="0"/>
              <w:jc w:val="center"/>
              <w:rPr>
                <w:rFonts w:ascii="Arial" w:hAnsi="Arial" w:cs="Arial" w:eastAsia="Arial" w:hint="default"/>
                <w:sz w:val="18"/>
                <w:szCs w:val="18"/>
              </w:rPr>
            </w:pPr>
            <w:r>
              <w:rPr>
                <w:rFonts w:ascii="Arial"/>
                <w:w w:val="99"/>
                <w:sz w:val="18"/>
              </w:rPr>
              <w:t>-</w:t>
            </w:r>
            <w:r>
              <w:rPr>
                <w:rFonts w:ascii="Arial"/>
                <w:sz w:val="18"/>
              </w:rPr>
            </w:r>
          </w:p>
        </w:tc>
        <w:tc>
          <w:tcPr>
            <w:tcW w:w="15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left="110" w:right="0"/>
              <w:jc w:val="left"/>
              <w:rPr>
                <w:rFonts w:ascii="Arial" w:hAnsi="Arial" w:cs="Arial" w:eastAsia="Arial" w:hint="default"/>
                <w:sz w:val="18"/>
                <w:szCs w:val="18"/>
              </w:rPr>
            </w:pPr>
            <w:r>
              <w:rPr>
                <w:rFonts w:ascii="Arial"/>
                <w:sz w:val="18"/>
              </w:rPr>
              <w:t>107,000,000.00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tbl>
      <w:tblPr>
        <w:tblW w:w="0" w:type="auto"/>
        <w:jc w:val="left"/>
        <w:tblInd w:w="115" w:type="dxa"/>
        <w:tblLayout w:type="fixed"/>
        <w:tblCellMar>
          <w:top w:w="0" w:type="dxa"/>
          <w:left w:w="0" w:type="dxa"/>
          <w:bottom w:w="0" w:type="dxa"/>
          <w:right w:w="0" w:type="dxa"/>
        </w:tblCellMar>
        <w:tblLook w:val="01E0"/>
      </w:tblPr>
      <w:tblGrid>
        <w:gridCol w:w="2405"/>
        <w:gridCol w:w="1541"/>
        <w:gridCol w:w="986"/>
        <w:gridCol w:w="1368"/>
        <w:gridCol w:w="1570"/>
        <w:gridCol w:w="866"/>
      </w:tblGrid>
      <w:tr>
        <w:trPr>
          <w:trHeight w:val="389" w:hRule="exact"/>
        </w:trPr>
        <w:tc>
          <w:tcPr>
            <w:tcW w:w="2405" w:type="dxa"/>
            <w:vMerge w:val="restart"/>
            <w:tcBorders>
              <w:top w:val="single" w:sz="12" w:space="0" w:color="000000"/>
              <w:left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986" w:type="dxa"/>
            <w:vMerge w:val="restart"/>
            <w:tcBorders>
              <w:top w:val="single" w:sz="12" w:space="0" w:color="000000"/>
              <w:left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pacing w:val="-4"/>
                <w:sz w:val="18"/>
                <w:szCs w:val="18"/>
              </w:rPr>
              <w:t>比例（</w:t>
            </w:r>
            <w:r>
              <w:rPr>
                <w:rFonts w:ascii="Arial" w:hAnsi="Arial" w:cs="Arial" w:eastAsia="Arial" w:hint="default"/>
                <w:spacing w:val="-4"/>
                <w:sz w:val="18"/>
                <w:szCs w:val="18"/>
              </w:rPr>
              <w:t>%</w:t>
            </w:r>
            <w:r>
              <w:rPr>
                <w:rFonts w:ascii="宋体" w:hAnsi="宋体" w:cs="宋体" w:eastAsia="宋体" w:hint="default"/>
                <w:spacing w:val="-4"/>
                <w:sz w:val="18"/>
                <w:szCs w:val="18"/>
              </w:rPr>
              <w:t>）</w:t>
            </w:r>
          </w:p>
        </w:tc>
        <w:tc>
          <w:tcPr>
            <w:tcW w:w="13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本年变动</w:t>
            </w:r>
          </w:p>
        </w:tc>
        <w:tc>
          <w:tcPr>
            <w:tcW w:w="15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2"/>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866" w:type="dxa"/>
            <w:vMerge w:val="restart"/>
            <w:tcBorders>
              <w:top w:val="single" w:sz="12" w:space="0" w:color="000000"/>
              <w:left w:val="single" w:sz="12" w:space="0" w:color="000000"/>
              <w:right w:val="single" w:sz="12" w:space="0" w:color="000000"/>
            </w:tcBorders>
          </w:tcPr>
          <w:p>
            <w:pPr>
              <w:pStyle w:val="TableParagraph"/>
              <w:spacing w:line="240" w:lineRule="auto" w:before="80"/>
              <w:ind w:left="23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r>
      <w:tr>
        <w:trPr>
          <w:trHeight w:val="526" w:hRule="exact"/>
        </w:trPr>
        <w:tc>
          <w:tcPr>
            <w:tcW w:w="2405" w:type="dxa"/>
            <w:vMerge/>
            <w:tcBorders>
              <w:left w:val="single" w:sz="12" w:space="0" w:color="000000"/>
              <w:bottom w:val="single" w:sz="12" w:space="0" w:color="000000"/>
              <w:right w:val="single" w:sz="12" w:space="0" w:color="000000"/>
            </w:tcBorders>
          </w:tcPr>
          <w:p>
            <w:pPr/>
          </w:p>
        </w:tc>
        <w:tc>
          <w:tcPr>
            <w:tcW w:w="15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1"/>
              <w:ind w:right="0"/>
              <w:jc w:val="center"/>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986" w:type="dxa"/>
            <w:vMerge/>
            <w:tcBorders>
              <w:left w:val="single" w:sz="12" w:space="0" w:color="000000"/>
              <w:bottom w:val="single" w:sz="12" w:space="0" w:color="000000"/>
              <w:right w:val="single" w:sz="12" w:space="0" w:color="000000"/>
            </w:tcBorders>
          </w:tcPr>
          <w:p>
            <w:pPr/>
          </w:p>
        </w:tc>
        <w:tc>
          <w:tcPr>
            <w:tcW w:w="13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1"/>
              <w:ind w:right="0"/>
              <w:jc w:val="center"/>
              <w:rPr>
                <w:rFonts w:ascii="Arial" w:hAnsi="Arial" w:cs="Arial" w:eastAsia="Arial" w:hint="default"/>
                <w:sz w:val="18"/>
                <w:szCs w:val="18"/>
              </w:rPr>
            </w:pPr>
            <w:r>
              <w:rPr>
                <w:rFonts w:ascii="宋体" w:hAnsi="宋体" w:cs="宋体" w:eastAsia="宋体" w:hint="default"/>
                <w:sz w:val="18"/>
                <w:szCs w:val="18"/>
              </w:rPr>
              <w:t>增</w:t>
            </w:r>
            <w:r>
              <w:rPr>
                <w:rFonts w:ascii="Arial" w:hAnsi="Arial" w:cs="Arial" w:eastAsia="Arial" w:hint="default"/>
                <w:sz w:val="18"/>
                <w:szCs w:val="18"/>
              </w:rPr>
              <w:t>(+)</w:t>
            </w:r>
            <w:r>
              <w:rPr>
                <w:rFonts w:ascii="宋体" w:hAnsi="宋体" w:cs="宋体" w:eastAsia="宋体" w:hint="default"/>
                <w:sz w:val="18"/>
                <w:szCs w:val="18"/>
              </w:rPr>
              <w:t>减</w:t>
            </w:r>
            <w:r>
              <w:rPr>
                <w:rFonts w:ascii="Arial" w:hAnsi="Arial" w:cs="Arial" w:eastAsia="Arial" w:hint="default"/>
                <w:sz w:val="18"/>
                <w:szCs w:val="18"/>
              </w:rPr>
              <w:t>(-)</w:t>
            </w:r>
          </w:p>
        </w:tc>
        <w:tc>
          <w:tcPr>
            <w:tcW w:w="15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1"/>
              <w:ind w:right="2"/>
              <w:jc w:val="center"/>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866" w:type="dxa"/>
            <w:vMerge/>
            <w:tcBorders>
              <w:left w:val="single" w:sz="12" w:space="0" w:color="000000"/>
              <w:bottom w:val="single" w:sz="12" w:space="0" w:color="000000"/>
              <w:right w:val="single" w:sz="12" w:space="0" w:color="000000"/>
            </w:tcBorders>
          </w:tcPr>
          <w:p>
            <w:pPr/>
          </w:p>
        </w:tc>
      </w:tr>
      <w:tr>
        <w:trPr>
          <w:trHeight w:val="312" w:hRule="exact"/>
        </w:trPr>
        <w:tc>
          <w:tcPr>
            <w:tcW w:w="24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left="9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有限售条件股份</w:t>
            </w:r>
          </w:p>
        </w:tc>
        <w:tc>
          <w:tcPr>
            <w:tcW w:w="1541" w:type="dxa"/>
            <w:tcBorders>
              <w:top w:val="single" w:sz="12" w:space="0" w:color="000000"/>
              <w:left w:val="single" w:sz="12" w:space="0" w:color="000000"/>
              <w:bottom w:val="single" w:sz="12" w:space="0" w:color="000000"/>
              <w:right w:val="single" w:sz="12" w:space="0" w:color="000000"/>
            </w:tcBorders>
          </w:tcPr>
          <w:p>
            <w:pPr/>
          </w:p>
        </w:tc>
        <w:tc>
          <w:tcPr>
            <w:tcW w:w="986" w:type="dxa"/>
            <w:tcBorders>
              <w:top w:val="single" w:sz="12" w:space="0" w:color="000000"/>
              <w:left w:val="single" w:sz="12" w:space="0" w:color="000000"/>
              <w:bottom w:val="single" w:sz="12" w:space="0" w:color="000000"/>
              <w:right w:val="single" w:sz="12" w:space="0" w:color="000000"/>
            </w:tcBorders>
          </w:tcPr>
          <w:p>
            <w:pPr/>
          </w:p>
        </w:tc>
        <w:tc>
          <w:tcPr>
            <w:tcW w:w="1368" w:type="dxa"/>
            <w:tcBorders>
              <w:top w:val="single" w:sz="12" w:space="0" w:color="000000"/>
              <w:left w:val="single" w:sz="12" w:space="0" w:color="000000"/>
              <w:bottom w:val="single" w:sz="12" w:space="0" w:color="000000"/>
              <w:right w:val="single" w:sz="12" w:space="0" w:color="000000"/>
            </w:tcBorders>
          </w:tcPr>
          <w:p>
            <w:pPr/>
          </w:p>
        </w:tc>
        <w:tc>
          <w:tcPr>
            <w:tcW w:w="1570" w:type="dxa"/>
            <w:tcBorders>
              <w:top w:val="single" w:sz="12" w:space="0" w:color="000000"/>
              <w:left w:val="single" w:sz="12" w:space="0" w:color="000000"/>
              <w:bottom w:val="single" w:sz="12" w:space="0" w:color="000000"/>
              <w:right w:val="single" w:sz="12" w:space="0" w:color="000000"/>
            </w:tcBorders>
          </w:tcPr>
          <w:p>
            <w:pPr/>
          </w:p>
        </w:tc>
        <w:tc>
          <w:tcPr>
            <w:tcW w:w="866" w:type="dxa"/>
            <w:tcBorders>
              <w:top w:val="single" w:sz="12" w:space="0" w:color="000000"/>
              <w:left w:val="single" w:sz="12" w:space="0" w:color="000000"/>
              <w:bottom w:val="single" w:sz="12" w:space="0" w:color="000000"/>
              <w:right w:val="single" w:sz="12" w:space="0" w:color="000000"/>
            </w:tcBorders>
          </w:tcPr>
          <w:p>
            <w:pPr/>
          </w:p>
        </w:tc>
      </w:tr>
      <w:tr>
        <w:trPr>
          <w:trHeight w:val="312" w:hRule="exact"/>
        </w:trPr>
        <w:tc>
          <w:tcPr>
            <w:tcW w:w="24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left="9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国家持股</w:t>
            </w:r>
          </w:p>
        </w:tc>
        <w:tc>
          <w:tcPr>
            <w:tcW w:w="15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9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13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15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86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12" w:hRule="exact"/>
        </w:trPr>
        <w:tc>
          <w:tcPr>
            <w:tcW w:w="24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left="9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国有法人持股</w:t>
            </w:r>
          </w:p>
        </w:tc>
        <w:tc>
          <w:tcPr>
            <w:tcW w:w="15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9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13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15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86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12" w:hRule="exact"/>
        </w:trPr>
        <w:tc>
          <w:tcPr>
            <w:tcW w:w="24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left="9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其他内资持股</w:t>
            </w:r>
          </w:p>
        </w:tc>
        <w:tc>
          <w:tcPr>
            <w:tcW w:w="15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sz w:val="18"/>
              </w:rPr>
              <w:t>80,000,000.00</w:t>
            </w:r>
          </w:p>
        </w:tc>
        <w:tc>
          <w:tcPr>
            <w:tcW w:w="9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200"/>
              <w:jc w:val="right"/>
              <w:rPr>
                <w:rFonts w:ascii="Arial" w:hAnsi="Arial" w:cs="Arial" w:eastAsia="Arial" w:hint="default"/>
                <w:sz w:val="18"/>
                <w:szCs w:val="18"/>
              </w:rPr>
            </w:pPr>
            <w:r>
              <w:rPr>
                <w:rFonts w:ascii="Arial"/>
                <w:spacing w:val="-1"/>
                <w:sz w:val="18"/>
              </w:rPr>
              <w:t>100.00</w:t>
            </w:r>
          </w:p>
        </w:tc>
        <w:tc>
          <w:tcPr>
            <w:tcW w:w="13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15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sz w:val="18"/>
              </w:rPr>
              <w:t>80,000,000.00</w:t>
            </w:r>
          </w:p>
        </w:tc>
        <w:tc>
          <w:tcPr>
            <w:tcW w:w="86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74.77</w:t>
            </w:r>
          </w:p>
        </w:tc>
      </w:tr>
      <w:tr>
        <w:trPr>
          <w:trHeight w:val="312" w:hRule="exact"/>
        </w:trPr>
        <w:tc>
          <w:tcPr>
            <w:tcW w:w="24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left="9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41" w:type="dxa"/>
            <w:tcBorders>
              <w:top w:val="single" w:sz="12" w:space="0" w:color="000000"/>
              <w:left w:val="single" w:sz="12" w:space="0" w:color="000000"/>
              <w:bottom w:val="single" w:sz="12" w:space="0" w:color="000000"/>
              <w:right w:val="single" w:sz="12" w:space="0" w:color="000000"/>
            </w:tcBorders>
          </w:tcPr>
          <w:p>
            <w:pPr/>
          </w:p>
        </w:tc>
        <w:tc>
          <w:tcPr>
            <w:tcW w:w="986" w:type="dxa"/>
            <w:tcBorders>
              <w:top w:val="single" w:sz="12" w:space="0" w:color="000000"/>
              <w:left w:val="single" w:sz="12" w:space="0" w:color="000000"/>
              <w:bottom w:val="single" w:sz="12" w:space="0" w:color="000000"/>
              <w:right w:val="single" w:sz="12" w:space="0" w:color="000000"/>
            </w:tcBorders>
          </w:tcPr>
          <w:p>
            <w:pPr/>
          </w:p>
        </w:tc>
        <w:tc>
          <w:tcPr>
            <w:tcW w:w="1368" w:type="dxa"/>
            <w:tcBorders>
              <w:top w:val="single" w:sz="12" w:space="0" w:color="000000"/>
              <w:left w:val="single" w:sz="12" w:space="0" w:color="000000"/>
              <w:bottom w:val="single" w:sz="12" w:space="0" w:color="000000"/>
              <w:right w:val="single" w:sz="12" w:space="0" w:color="000000"/>
            </w:tcBorders>
          </w:tcPr>
          <w:p>
            <w:pPr/>
          </w:p>
        </w:tc>
        <w:tc>
          <w:tcPr>
            <w:tcW w:w="1570" w:type="dxa"/>
            <w:tcBorders>
              <w:top w:val="single" w:sz="12" w:space="0" w:color="000000"/>
              <w:left w:val="single" w:sz="12" w:space="0" w:color="000000"/>
              <w:bottom w:val="single" w:sz="12" w:space="0" w:color="000000"/>
              <w:right w:val="single" w:sz="12" w:space="0" w:color="000000"/>
            </w:tcBorders>
          </w:tcPr>
          <w:p>
            <w:pPr/>
          </w:p>
        </w:tc>
        <w:tc>
          <w:tcPr>
            <w:tcW w:w="866" w:type="dxa"/>
            <w:tcBorders>
              <w:top w:val="single" w:sz="12" w:space="0" w:color="000000"/>
              <w:left w:val="single" w:sz="12" w:space="0" w:color="000000"/>
              <w:bottom w:val="single" w:sz="12" w:space="0" w:color="000000"/>
              <w:right w:val="single" w:sz="12" w:space="0" w:color="000000"/>
            </w:tcBorders>
          </w:tcPr>
          <w:p>
            <w:pPr/>
          </w:p>
        </w:tc>
      </w:tr>
      <w:tr>
        <w:trPr>
          <w:trHeight w:val="312" w:hRule="exact"/>
        </w:trPr>
        <w:tc>
          <w:tcPr>
            <w:tcW w:w="24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left="93" w:right="0"/>
              <w:jc w:val="left"/>
              <w:rPr>
                <w:rFonts w:ascii="宋体" w:hAnsi="宋体" w:cs="宋体" w:eastAsia="宋体" w:hint="default"/>
                <w:sz w:val="18"/>
                <w:szCs w:val="18"/>
              </w:rPr>
            </w:pPr>
            <w:r>
              <w:rPr>
                <w:rFonts w:ascii="宋体" w:hAnsi="宋体" w:cs="宋体" w:eastAsia="宋体" w:hint="default"/>
                <w:sz w:val="18"/>
                <w:szCs w:val="18"/>
              </w:rPr>
              <w:t>境内非国有法人持股</w:t>
            </w:r>
          </w:p>
        </w:tc>
        <w:tc>
          <w:tcPr>
            <w:tcW w:w="15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sz w:val="18"/>
              </w:rPr>
              <w:t>3,030,667.00</w:t>
            </w:r>
          </w:p>
        </w:tc>
        <w:tc>
          <w:tcPr>
            <w:tcW w:w="9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301"/>
              <w:jc w:val="right"/>
              <w:rPr>
                <w:rFonts w:ascii="Arial" w:hAnsi="Arial" w:cs="Arial" w:eastAsia="Arial" w:hint="default"/>
                <w:sz w:val="18"/>
                <w:szCs w:val="18"/>
              </w:rPr>
            </w:pPr>
            <w:r>
              <w:rPr>
                <w:rFonts w:ascii="Arial"/>
                <w:w w:val="95"/>
                <w:sz w:val="18"/>
              </w:rPr>
              <w:t>3.79</w:t>
            </w:r>
            <w:r>
              <w:rPr>
                <w:rFonts w:ascii="Arial"/>
                <w:sz w:val="18"/>
              </w:rPr>
            </w:r>
          </w:p>
        </w:tc>
        <w:tc>
          <w:tcPr>
            <w:tcW w:w="13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15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sz w:val="18"/>
              </w:rPr>
              <w:t>3,030,667.00</w:t>
            </w:r>
          </w:p>
        </w:tc>
        <w:tc>
          <w:tcPr>
            <w:tcW w:w="86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2.83</w:t>
            </w:r>
          </w:p>
        </w:tc>
      </w:tr>
      <w:tr>
        <w:trPr>
          <w:trHeight w:val="312" w:hRule="exact"/>
        </w:trPr>
        <w:tc>
          <w:tcPr>
            <w:tcW w:w="24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left="9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5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left="1" w:right="0"/>
              <w:jc w:val="center"/>
              <w:rPr>
                <w:rFonts w:ascii="Arial" w:hAnsi="Arial" w:cs="Arial" w:eastAsia="Arial" w:hint="default"/>
                <w:sz w:val="18"/>
                <w:szCs w:val="18"/>
              </w:rPr>
            </w:pPr>
            <w:r>
              <w:rPr>
                <w:rFonts w:ascii="Arial"/>
                <w:sz w:val="18"/>
              </w:rPr>
              <w:t>76,969,333.00</w:t>
            </w:r>
          </w:p>
        </w:tc>
        <w:tc>
          <w:tcPr>
            <w:tcW w:w="9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250"/>
              <w:jc w:val="right"/>
              <w:rPr>
                <w:rFonts w:ascii="Arial" w:hAnsi="Arial" w:cs="Arial" w:eastAsia="Arial" w:hint="default"/>
                <w:sz w:val="18"/>
                <w:szCs w:val="18"/>
              </w:rPr>
            </w:pPr>
            <w:r>
              <w:rPr>
                <w:rFonts w:ascii="Arial"/>
                <w:w w:val="95"/>
                <w:sz w:val="18"/>
              </w:rPr>
              <w:t>96.21</w:t>
            </w:r>
            <w:r>
              <w:rPr>
                <w:rFonts w:ascii="Arial"/>
                <w:sz w:val="18"/>
              </w:rPr>
            </w:r>
          </w:p>
        </w:tc>
        <w:tc>
          <w:tcPr>
            <w:tcW w:w="13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15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sz w:val="18"/>
              </w:rPr>
              <w:t>76,969,333.00</w:t>
            </w:r>
          </w:p>
        </w:tc>
        <w:tc>
          <w:tcPr>
            <w:tcW w:w="86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71.94</w:t>
            </w:r>
          </w:p>
        </w:tc>
      </w:tr>
      <w:tr>
        <w:trPr>
          <w:trHeight w:val="312" w:hRule="exact"/>
        </w:trPr>
        <w:tc>
          <w:tcPr>
            <w:tcW w:w="24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left="93"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外资持股</w:t>
            </w:r>
          </w:p>
        </w:tc>
        <w:tc>
          <w:tcPr>
            <w:tcW w:w="15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9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13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15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86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12" w:hRule="exact"/>
        </w:trPr>
        <w:tc>
          <w:tcPr>
            <w:tcW w:w="24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left="9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41" w:type="dxa"/>
            <w:tcBorders>
              <w:top w:val="single" w:sz="12" w:space="0" w:color="000000"/>
              <w:left w:val="single" w:sz="12" w:space="0" w:color="000000"/>
              <w:bottom w:val="single" w:sz="12" w:space="0" w:color="000000"/>
              <w:right w:val="single" w:sz="12" w:space="0" w:color="000000"/>
            </w:tcBorders>
          </w:tcPr>
          <w:p>
            <w:pPr/>
          </w:p>
        </w:tc>
        <w:tc>
          <w:tcPr>
            <w:tcW w:w="986" w:type="dxa"/>
            <w:tcBorders>
              <w:top w:val="single" w:sz="12" w:space="0" w:color="000000"/>
              <w:left w:val="single" w:sz="12" w:space="0" w:color="000000"/>
              <w:bottom w:val="single" w:sz="12" w:space="0" w:color="000000"/>
              <w:right w:val="single" w:sz="12" w:space="0" w:color="000000"/>
            </w:tcBorders>
          </w:tcPr>
          <w:p>
            <w:pPr/>
          </w:p>
        </w:tc>
        <w:tc>
          <w:tcPr>
            <w:tcW w:w="1368" w:type="dxa"/>
            <w:tcBorders>
              <w:top w:val="single" w:sz="12" w:space="0" w:color="000000"/>
              <w:left w:val="single" w:sz="12" w:space="0" w:color="000000"/>
              <w:bottom w:val="single" w:sz="12" w:space="0" w:color="000000"/>
              <w:right w:val="single" w:sz="12" w:space="0" w:color="000000"/>
            </w:tcBorders>
          </w:tcPr>
          <w:p>
            <w:pPr/>
          </w:p>
        </w:tc>
        <w:tc>
          <w:tcPr>
            <w:tcW w:w="1570" w:type="dxa"/>
            <w:tcBorders>
              <w:top w:val="single" w:sz="12" w:space="0" w:color="000000"/>
              <w:left w:val="single" w:sz="12" w:space="0" w:color="000000"/>
              <w:bottom w:val="single" w:sz="12" w:space="0" w:color="000000"/>
              <w:right w:val="single" w:sz="12" w:space="0" w:color="000000"/>
            </w:tcBorders>
          </w:tcPr>
          <w:p>
            <w:pPr/>
          </w:p>
        </w:tc>
        <w:tc>
          <w:tcPr>
            <w:tcW w:w="866" w:type="dxa"/>
            <w:tcBorders>
              <w:top w:val="single" w:sz="12" w:space="0" w:color="000000"/>
              <w:left w:val="single" w:sz="12" w:space="0" w:color="000000"/>
              <w:bottom w:val="single" w:sz="12" w:space="0" w:color="000000"/>
              <w:right w:val="single" w:sz="12" w:space="0" w:color="000000"/>
            </w:tcBorders>
          </w:tcPr>
          <w:p>
            <w:pPr/>
          </w:p>
        </w:tc>
      </w:tr>
      <w:tr>
        <w:trPr>
          <w:trHeight w:val="312" w:hRule="exact"/>
        </w:trPr>
        <w:tc>
          <w:tcPr>
            <w:tcW w:w="24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left="93" w:right="0"/>
              <w:jc w:val="left"/>
              <w:rPr>
                <w:rFonts w:ascii="宋体" w:hAnsi="宋体" w:cs="宋体" w:eastAsia="宋体" w:hint="default"/>
                <w:sz w:val="18"/>
                <w:szCs w:val="18"/>
              </w:rPr>
            </w:pPr>
            <w:r>
              <w:rPr>
                <w:rFonts w:ascii="宋体" w:hAnsi="宋体" w:cs="宋体" w:eastAsia="宋体" w:hint="default"/>
                <w:sz w:val="18"/>
                <w:szCs w:val="18"/>
              </w:rPr>
              <w:t>境外法人持股</w:t>
            </w:r>
          </w:p>
        </w:tc>
        <w:tc>
          <w:tcPr>
            <w:tcW w:w="15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9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13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15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86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12" w:hRule="exact"/>
        </w:trPr>
        <w:tc>
          <w:tcPr>
            <w:tcW w:w="24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left="93"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5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9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13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15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86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12" w:hRule="exact"/>
        </w:trPr>
        <w:tc>
          <w:tcPr>
            <w:tcW w:w="24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left="93" w:right="0"/>
              <w:jc w:val="left"/>
              <w:rPr>
                <w:rFonts w:ascii="宋体" w:hAnsi="宋体" w:cs="宋体" w:eastAsia="宋体" w:hint="default"/>
                <w:sz w:val="18"/>
                <w:szCs w:val="18"/>
              </w:rPr>
            </w:pPr>
            <w:r>
              <w:rPr>
                <w:rFonts w:ascii="宋体" w:hAnsi="宋体" w:cs="宋体" w:eastAsia="宋体" w:hint="default"/>
                <w:sz w:val="18"/>
                <w:szCs w:val="18"/>
              </w:rPr>
              <w:t>有限售条件股份合计</w:t>
            </w:r>
          </w:p>
        </w:tc>
        <w:tc>
          <w:tcPr>
            <w:tcW w:w="15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sz w:val="18"/>
              </w:rPr>
              <w:t>80,000,000.00</w:t>
            </w:r>
          </w:p>
        </w:tc>
        <w:tc>
          <w:tcPr>
            <w:tcW w:w="9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200"/>
              <w:jc w:val="right"/>
              <w:rPr>
                <w:rFonts w:ascii="Arial" w:hAnsi="Arial" w:cs="Arial" w:eastAsia="Arial" w:hint="default"/>
                <w:sz w:val="18"/>
                <w:szCs w:val="18"/>
              </w:rPr>
            </w:pPr>
            <w:r>
              <w:rPr>
                <w:rFonts w:ascii="Arial"/>
                <w:spacing w:val="-1"/>
                <w:sz w:val="18"/>
              </w:rPr>
              <w:t>100.00</w:t>
            </w:r>
          </w:p>
        </w:tc>
        <w:tc>
          <w:tcPr>
            <w:tcW w:w="13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15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sz w:val="18"/>
              </w:rPr>
              <w:t>80,000,000.00</w:t>
            </w:r>
          </w:p>
        </w:tc>
        <w:tc>
          <w:tcPr>
            <w:tcW w:w="86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74.77</w:t>
            </w:r>
          </w:p>
        </w:tc>
      </w:tr>
      <w:tr>
        <w:trPr>
          <w:trHeight w:val="403" w:hRule="exact"/>
        </w:trPr>
        <w:tc>
          <w:tcPr>
            <w:tcW w:w="24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1"/>
              <w:ind w:left="9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无限售条件股份</w:t>
            </w:r>
          </w:p>
        </w:tc>
        <w:tc>
          <w:tcPr>
            <w:tcW w:w="1541" w:type="dxa"/>
            <w:tcBorders>
              <w:top w:val="single" w:sz="12" w:space="0" w:color="000000"/>
              <w:left w:val="single" w:sz="12" w:space="0" w:color="000000"/>
              <w:bottom w:val="single" w:sz="12" w:space="0" w:color="000000"/>
              <w:right w:val="single" w:sz="12" w:space="0" w:color="000000"/>
            </w:tcBorders>
          </w:tcPr>
          <w:p>
            <w:pPr/>
          </w:p>
        </w:tc>
        <w:tc>
          <w:tcPr>
            <w:tcW w:w="986" w:type="dxa"/>
            <w:tcBorders>
              <w:top w:val="single" w:sz="12" w:space="0" w:color="000000"/>
              <w:left w:val="single" w:sz="12" w:space="0" w:color="000000"/>
              <w:bottom w:val="single" w:sz="12" w:space="0" w:color="000000"/>
              <w:right w:val="single" w:sz="12" w:space="0" w:color="000000"/>
            </w:tcBorders>
          </w:tcPr>
          <w:p>
            <w:pPr/>
          </w:p>
        </w:tc>
        <w:tc>
          <w:tcPr>
            <w:tcW w:w="1368" w:type="dxa"/>
            <w:tcBorders>
              <w:top w:val="single" w:sz="12" w:space="0" w:color="000000"/>
              <w:left w:val="single" w:sz="12" w:space="0" w:color="000000"/>
              <w:bottom w:val="single" w:sz="12" w:space="0" w:color="000000"/>
              <w:right w:val="single" w:sz="12" w:space="0" w:color="000000"/>
            </w:tcBorders>
          </w:tcPr>
          <w:p>
            <w:pPr/>
          </w:p>
        </w:tc>
        <w:tc>
          <w:tcPr>
            <w:tcW w:w="1570" w:type="dxa"/>
            <w:tcBorders>
              <w:top w:val="single" w:sz="12" w:space="0" w:color="000000"/>
              <w:left w:val="single" w:sz="12" w:space="0" w:color="000000"/>
              <w:bottom w:val="single" w:sz="12" w:space="0" w:color="000000"/>
              <w:right w:val="single" w:sz="12" w:space="0" w:color="000000"/>
            </w:tcBorders>
          </w:tcPr>
          <w:p>
            <w:pPr/>
          </w:p>
        </w:tc>
        <w:tc>
          <w:tcPr>
            <w:tcW w:w="866" w:type="dxa"/>
            <w:tcBorders>
              <w:top w:val="single" w:sz="12" w:space="0" w:color="000000"/>
              <w:left w:val="single" w:sz="12" w:space="0" w:color="000000"/>
              <w:bottom w:val="single" w:sz="12" w:space="0" w:color="000000"/>
              <w:right w:val="single" w:sz="12" w:space="0" w:color="000000"/>
            </w:tcBorders>
          </w:tcPr>
          <w:p>
            <w:pPr/>
          </w:p>
        </w:tc>
      </w:tr>
      <w:tr>
        <w:trPr>
          <w:trHeight w:val="312" w:hRule="exact"/>
        </w:trPr>
        <w:tc>
          <w:tcPr>
            <w:tcW w:w="24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left="9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人民币普通股</w:t>
            </w:r>
          </w:p>
        </w:tc>
        <w:tc>
          <w:tcPr>
            <w:tcW w:w="15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9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13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left="1" w:right="0"/>
              <w:jc w:val="center"/>
              <w:rPr>
                <w:rFonts w:ascii="Arial" w:hAnsi="Arial" w:cs="Arial" w:eastAsia="Arial" w:hint="default"/>
                <w:sz w:val="18"/>
                <w:szCs w:val="18"/>
              </w:rPr>
            </w:pPr>
            <w:r>
              <w:rPr>
                <w:rFonts w:ascii="Arial"/>
                <w:sz w:val="18"/>
              </w:rPr>
              <w:t>27,000,000.00</w:t>
            </w:r>
          </w:p>
        </w:tc>
        <w:tc>
          <w:tcPr>
            <w:tcW w:w="15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sz w:val="18"/>
              </w:rPr>
              <w:t>27,000,000.00</w:t>
            </w:r>
          </w:p>
        </w:tc>
        <w:tc>
          <w:tcPr>
            <w:tcW w:w="86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25.23</w:t>
            </w:r>
          </w:p>
        </w:tc>
      </w:tr>
      <w:tr>
        <w:trPr>
          <w:trHeight w:val="312" w:hRule="exact"/>
        </w:trPr>
        <w:tc>
          <w:tcPr>
            <w:tcW w:w="24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left="9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境内上市的外资股</w:t>
            </w:r>
          </w:p>
        </w:tc>
        <w:tc>
          <w:tcPr>
            <w:tcW w:w="15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9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13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15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86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12" w:hRule="exact"/>
        </w:trPr>
        <w:tc>
          <w:tcPr>
            <w:tcW w:w="24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left="9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境外上市的外资股</w:t>
            </w:r>
          </w:p>
        </w:tc>
        <w:tc>
          <w:tcPr>
            <w:tcW w:w="15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9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13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15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86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12" w:hRule="exact"/>
        </w:trPr>
        <w:tc>
          <w:tcPr>
            <w:tcW w:w="24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left="93"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5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9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13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15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86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12" w:hRule="exact"/>
        </w:trPr>
        <w:tc>
          <w:tcPr>
            <w:tcW w:w="24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left="93" w:right="0"/>
              <w:jc w:val="left"/>
              <w:rPr>
                <w:rFonts w:ascii="宋体" w:hAnsi="宋体" w:cs="宋体" w:eastAsia="宋体" w:hint="default"/>
                <w:sz w:val="18"/>
                <w:szCs w:val="18"/>
              </w:rPr>
            </w:pPr>
            <w:r>
              <w:rPr>
                <w:rFonts w:ascii="宋体" w:hAnsi="宋体" w:cs="宋体" w:eastAsia="宋体" w:hint="default"/>
                <w:sz w:val="18"/>
                <w:szCs w:val="18"/>
              </w:rPr>
              <w:t>无限售条件股份合计</w:t>
            </w:r>
          </w:p>
        </w:tc>
        <w:tc>
          <w:tcPr>
            <w:tcW w:w="15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9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13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left="1" w:right="0"/>
              <w:jc w:val="center"/>
              <w:rPr>
                <w:rFonts w:ascii="Arial" w:hAnsi="Arial" w:cs="Arial" w:eastAsia="Arial" w:hint="default"/>
                <w:sz w:val="18"/>
                <w:szCs w:val="18"/>
              </w:rPr>
            </w:pPr>
            <w:r>
              <w:rPr>
                <w:rFonts w:ascii="Arial"/>
                <w:sz w:val="18"/>
              </w:rPr>
              <w:t>27,000,000.00</w:t>
            </w:r>
          </w:p>
        </w:tc>
        <w:tc>
          <w:tcPr>
            <w:tcW w:w="15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sz w:val="18"/>
              </w:rPr>
              <w:t>27,000,000.00</w:t>
            </w:r>
          </w:p>
        </w:tc>
        <w:tc>
          <w:tcPr>
            <w:tcW w:w="86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25.23</w:t>
            </w:r>
          </w:p>
        </w:tc>
      </w:tr>
      <w:tr>
        <w:trPr>
          <w:trHeight w:val="372" w:hRule="exact"/>
        </w:trPr>
        <w:tc>
          <w:tcPr>
            <w:tcW w:w="24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left="9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股份总数</w:t>
            </w:r>
          </w:p>
        </w:tc>
        <w:tc>
          <w:tcPr>
            <w:tcW w:w="15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sz w:val="18"/>
              </w:rPr>
              <w:t>80,000,000.00</w:t>
            </w:r>
          </w:p>
        </w:tc>
        <w:tc>
          <w:tcPr>
            <w:tcW w:w="9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200"/>
              <w:jc w:val="right"/>
              <w:rPr>
                <w:rFonts w:ascii="Arial" w:hAnsi="Arial" w:cs="Arial" w:eastAsia="Arial" w:hint="default"/>
                <w:sz w:val="18"/>
                <w:szCs w:val="18"/>
              </w:rPr>
            </w:pPr>
            <w:r>
              <w:rPr>
                <w:rFonts w:ascii="Arial"/>
                <w:spacing w:val="-1"/>
                <w:sz w:val="18"/>
              </w:rPr>
              <w:t>100.00</w:t>
            </w:r>
          </w:p>
        </w:tc>
        <w:tc>
          <w:tcPr>
            <w:tcW w:w="13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left="1" w:right="0"/>
              <w:jc w:val="center"/>
              <w:rPr>
                <w:rFonts w:ascii="Arial" w:hAnsi="Arial" w:cs="Arial" w:eastAsia="Arial" w:hint="default"/>
                <w:sz w:val="18"/>
                <w:szCs w:val="18"/>
              </w:rPr>
            </w:pPr>
            <w:r>
              <w:rPr>
                <w:rFonts w:ascii="Arial"/>
                <w:sz w:val="18"/>
              </w:rPr>
              <w:t>27,000,000.00</w:t>
            </w:r>
          </w:p>
        </w:tc>
        <w:tc>
          <w:tcPr>
            <w:tcW w:w="15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107,000,000.000</w:t>
            </w:r>
          </w:p>
        </w:tc>
        <w:tc>
          <w:tcPr>
            <w:tcW w:w="86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sz w:val="18"/>
              </w:rPr>
              <w:t>100.00</w:t>
            </w:r>
          </w:p>
        </w:tc>
      </w:tr>
    </w:tbl>
    <w:p>
      <w:pPr>
        <w:spacing w:line="240" w:lineRule="auto" w:before="12"/>
        <w:rPr>
          <w:rFonts w:ascii="宋体" w:hAnsi="宋体" w:cs="宋体" w:eastAsia="宋体" w:hint="default"/>
          <w:sz w:val="23"/>
          <w:szCs w:val="23"/>
        </w:rPr>
      </w:pPr>
    </w:p>
    <w:p>
      <w:pPr>
        <w:pStyle w:val="BodyText"/>
        <w:spacing w:line="240" w:lineRule="auto"/>
        <w:ind w:left="616" w:right="33"/>
        <w:jc w:val="left"/>
      </w:pPr>
      <w:r>
        <w:rPr/>
        <w:t>上述股本业经上海众华沪银会计师事务所有限公司</w:t>
      </w:r>
      <w:r>
        <w:rPr>
          <w:spacing w:val="-56"/>
        </w:rPr>
        <w:t> </w:t>
      </w:r>
      <w:r>
        <w:rPr>
          <w:rFonts w:ascii="Arial" w:hAnsi="Arial" w:cs="Arial" w:eastAsia="Arial" w:hint="default"/>
        </w:rPr>
        <w:t>2010</w:t>
      </w:r>
      <w:r>
        <w:rPr>
          <w:rFonts w:ascii="Arial" w:hAnsi="Arial" w:cs="Arial" w:eastAsia="Arial" w:hint="default"/>
          <w:spacing w:val="-8"/>
        </w:rPr>
        <w:t> </w:t>
      </w:r>
      <w:r>
        <w:rPr/>
        <w:t>年</w:t>
      </w:r>
      <w:r>
        <w:rPr>
          <w:spacing w:val="-56"/>
        </w:rPr>
        <w:t> </w:t>
      </w:r>
      <w:r>
        <w:rPr>
          <w:rFonts w:ascii="Arial" w:hAnsi="Arial" w:cs="Arial" w:eastAsia="Arial" w:hint="default"/>
        </w:rPr>
        <w:t>4</w:t>
      </w:r>
      <w:r>
        <w:rPr>
          <w:rFonts w:ascii="Arial" w:hAnsi="Arial" w:cs="Arial" w:eastAsia="Arial" w:hint="default"/>
          <w:spacing w:val="-8"/>
        </w:rPr>
        <w:t> </w:t>
      </w:r>
      <w:r>
        <w:rPr/>
        <w:t>月</w:t>
      </w:r>
      <w:r>
        <w:rPr>
          <w:spacing w:val="-56"/>
        </w:rPr>
        <w:t> </w:t>
      </w:r>
      <w:r>
        <w:rPr>
          <w:rFonts w:ascii="Arial" w:hAnsi="Arial" w:cs="Arial" w:eastAsia="Arial" w:hint="default"/>
        </w:rPr>
        <w:t>13</w:t>
      </w:r>
      <w:r>
        <w:rPr>
          <w:rFonts w:ascii="Arial" w:hAnsi="Arial" w:cs="Arial" w:eastAsia="Arial" w:hint="default"/>
          <w:spacing w:val="-8"/>
        </w:rPr>
        <w:t> </w:t>
      </w:r>
      <w:r>
        <w:rPr>
          <w:spacing w:val="-8"/>
        </w:rPr>
        <w:t>日出具的【沪众会</w:t>
      </w:r>
    </w:p>
    <w:p>
      <w:pPr>
        <w:pStyle w:val="BodyText"/>
        <w:spacing w:line="240" w:lineRule="auto" w:before="126"/>
        <w:ind w:left="177" w:right="33"/>
        <w:jc w:val="left"/>
      </w:pPr>
      <w:r>
        <w:rPr/>
        <w:t>字</w:t>
      </w:r>
      <w:r>
        <w:rPr>
          <w:rFonts w:ascii="Arial" w:hAnsi="Arial" w:cs="Arial" w:eastAsia="Arial" w:hint="default"/>
        </w:rPr>
        <w:t>(2010)</w:t>
      </w:r>
      <w:r>
        <w:rPr/>
        <w:t>第</w:t>
      </w:r>
      <w:r>
        <w:rPr>
          <w:spacing w:val="-59"/>
        </w:rPr>
        <w:t> </w:t>
      </w:r>
      <w:r>
        <w:rPr>
          <w:rFonts w:ascii="Arial" w:hAnsi="Arial" w:cs="Arial" w:eastAsia="Arial" w:hint="default"/>
        </w:rPr>
        <w:t>2691</w:t>
      </w:r>
      <w:r>
        <w:rPr>
          <w:rFonts w:ascii="Arial" w:hAnsi="Arial" w:cs="Arial" w:eastAsia="Arial" w:hint="default"/>
          <w:spacing w:val="-11"/>
        </w:rPr>
        <w:t> </w:t>
      </w:r>
      <w:r>
        <w:rPr/>
        <w:t>号】验资报告验证。</w:t>
      </w:r>
    </w:p>
    <w:p>
      <w:pPr>
        <w:pStyle w:val="BodyText"/>
        <w:spacing w:line="240" w:lineRule="auto" w:before="123"/>
        <w:ind w:left="177" w:right="33"/>
        <w:jc w:val="left"/>
      </w:pPr>
      <w:r>
        <w:rPr>
          <w:rFonts w:ascii="Arial" w:hAnsi="Arial" w:cs="Arial" w:eastAsia="Arial" w:hint="default"/>
        </w:rPr>
        <w:t>6.23</w:t>
      </w:r>
      <w:r>
        <w:rPr>
          <w:rFonts w:ascii="Arial" w:hAnsi="Arial" w:cs="Arial" w:eastAsia="Arial" w:hint="default"/>
          <w:spacing w:val="-8"/>
        </w:rPr>
        <w:t> </w:t>
      </w:r>
      <w:r>
        <w:rPr/>
        <w:t>资本公积</w:t>
      </w:r>
    </w:p>
    <w:p>
      <w:pPr>
        <w:spacing w:line="240" w:lineRule="auto" w:before="3"/>
        <w:rPr>
          <w:rFonts w:ascii="宋体" w:hAnsi="宋体" w:cs="宋体" w:eastAsia="宋体" w:hint="default"/>
          <w:sz w:val="12"/>
          <w:szCs w:val="12"/>
        </w:rPr>
      </w:pPr>
    </w:p>
    <w:tbl>
      <w:tblPr>
        <w:tblW w:w="0" w:type="auto"/>
        <w:jc w:val="left"/>
        <w:tblInd w:w="172" w:type="dxa"/>
        <w:tblLayout w:type="fixed"/>
        <w:tblCellMar>
          <w:top w:w="0" w:type="dxa"/>
          <w:left w:w="0" w:type="dxa"/>
          <w:bottom w:w="0" w:type="dxa"/>
          <w:right w:w="0" w:type="dxa"/>
        </w:tblCellMar>
        <w:tblLook w:val="01E0"/>
      </w:tblPr>
      <w:tblGrid>
        <w:gridCol w:w="1402"/>
        <w:gridCol w:w="1932"/>
        <w:gridCol w:w="1673"/>
        <w:gridCol w:w="1452"/>
        <w:gridCol w:w="2162"/>
      </w:tblGrid>
      <w:tr>
        <w:trPr>
          <w:trHeight w:val="485" w:hRule="exact"/>
        </w:trPr>
        <w:tc>
          <w:tcPr>
            <w:tcW w:w="14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本年增加</w:t>
            </w:r>
          </w:p>
        </w:tc>
        <w:tc>
          <w:tcPr>
            <w:tcW w:w="14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本年减少</w:t>
            </w:r>
          </w:p>
        </w:tc>
        <w:tc>
          <w:tcPr>
            <w:tcW w:w="21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82" w:hRule="exact"/>
        </w:trPr>
        <w:tc>
          <w:tcPr>
            <w:tcW w:w="14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股本溢价</w:t>
            </w:r>
          </w:p>
        </w:tc>
        <w:tc>
          <w:tcPr>
            <w:tcW w:w="193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sz w:val="18"/>
              </w:rPr>
              <w:t>28,526,833.47</w:t>
            </w:r>
          </w:p>
        </w:tc>
        <w:tc>
          <w:tcPr>
            <w:tcW w:w="16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sz w:val="18"/>
              </w:rPr>
              <w:t>504,284,200.00</w:t>
            </w:r>
          </w:p>
        </w:tc>
        <w:tc>
          <w:tcPr>
            <w:tcW w:w="14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sz w:val="18"/>
              </w:rPr>
              <w:t>2,509,430.44</w:t>
            </w:r>
          </w:p>
        </w:tc>
        <w:tc>
          <w:tcPr>
            <w:tcW w:w="21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sz w:val="18"/>
              </w:rPr>
              <w:t>530,301,603.03</w:t>
            </w:r>
          </w:p>
        </w:tc>
      </w:tr>
    </w:tbl>
    <w:p>
      <w:pPr>
        <w:spacing w:line="240" w:lineRule="auto" w:before="12"/>
        <w:rPr>
          <w:rFonts w:ascii="宋体" w:hAnsi="宋体" w:cs="宋体" w:eastAsia="宋体" w:hint="default"/>
          <w:sz w:val="23"/>
          <w:szCs w:val="23"/>
        </w:rPr>
      </w:pPr>
    </w:p>
    <w:p>
      <w:pPr>
        <w:pStyle w:val="BodyText"/>
        <w:spacing w:line="240" w:lineRule="auto"/>
        <w:ind w:left="616" w:right="33"/>
        <w:jc w:val="left"/>
      </w:pPr>
      <w:r>
        <w:rPr/>
        <w:t>本年变动：</w:t>
      </w:r>
    </w:p>
    <w:p>
      <w:pPr>
        <w:pStyle w:val="BodyText"/>
        <w:spacing w:line="240" w:lineRule="auto" w:before="141"/>
        <w:ind w:left="616" w:right="33"/>
        <w:jc w:val="left"/>
      </w:pPr>
      <w:r>
        <w:rPr/>
        <w:t>（</w:t>
      </w:r>
      <w:r>
        <w:rPr>
          <w:rFonts w:ascii="Arial" w:hAnsi="Arial" w:cs="Arial" w:eastAsia="Arial" w:hint="default"/>
        </w:rPr>
        <w:t>1</w:t>
      </w:r>
      <w:r>
        <w:rPr/>
        <w:t>）本公司本年发行人民币普通股 </w:t>
      </w:r>
      <w:r>
        <w:rPr>
          <w:rFonts w:ascii="Arial" w:hAnsi="Arial" w:cs="Arial" w:eastAsia="Arial" w:hint="default"/>
        </w:rPr>
        <w:t>2,700 </w:t>
      </w:r>
      <w:r>
        <w:rPr/>
        <w:t>万股，募集资金总额 </w:t>
      </w:r>
      <w:r>
        <w:rPr>
          <w:rFonts w:ascii="Arial" w:hAnsi="Arial" w:cs="Arial" w:eastAsia="Arial" w:hint="default"/>
        </w:rPr>
        <w:t>572,400,000</w:t>
      </w:r>
      <w:r>
        <w:rPr>
          <w:rFonts w:ascii="Arial" w:hAnsi="Arial" w:cs="Arial" w:eastAsia="Arial" w:hint="default"/>
          <w:spacing w:val="-21"/>
        </w:rPr>
        <w:t> </w:t>
      </w:r>
      <w:r>
        <w:rPr/>
        <w:t>元，扣</w:t>
      </w:r>
    </w:p>
    <w:p>
      <w:pPr>
        <w:pStyle w:val="BodyText"/>
        <w:spacing w:line="240" w:lineRule="auto" w:before="123"/>
        <w:ind w:left="177" w:right="33"/>
        <w:jc w:val="left"/>
      </w:pPr>
      <w:r>
        <w:rPr/>
        <w:t>除各项发行费用后实际募集资金净额</w:t>
      </w:r>
      <w:r>
        <w:rPr>
          <w:spacing w:val="-55"/>
        </w:rPr>
        <w:t> </w:t>
      </w:r>
      <w:r>
        <w:rPr>
          <w:rFonts w:ascii="Arial" w:hAnsi="Arial" w:cs="Arial" w:eastAsia="Arial" w:hint="default"/>
        </w:rPr>
        <w:t>531,284,200</w:t>
      </w:r>
      <w:r>
        <w:rPr>
          <w:rFonts w:ascii="Arial" w:hAnsi="Arial" w:cs="Arial" w:eastAsia="Arial" w:hint="default"/>
          <w:spacing w:val="-9"/>
        </w:rPr>
        <w:t> </w:t>
      </w:r>
      <w:r>
        <w:rPr>
          <w:spacing w:val="-7"/>
        </w:rPr>
        <w:t>元。其中新增股本</w:t>
      </w:r>
      <w:r>
        <w:rPr>
          <w:spacing w:val="-55"/>
        </w:rPr>
        <w:t> </w:t>
      </w:r>
      <w:r>
        <w:rPr>
          <w:rFonts w:ascii="Arial" w:hAnsi="Arial" w:cs="Arial" w:eastAsia="Arial" w:hint="default"/>
        </w:rPr>
        <w:t>27,000,000</w:t>
      </w:r>
      <w:r>
        <w:rPr>
          <w:rFonts w:ascii="Arial" w:hAnsi="Arial" w:cs="Arial" w:eastAsia="Arial" w:hint="default"/>
          <w:spacing w:val="-7"/>
        </w:rPr>
        <w:t> </w:t>
      </w:r>
      <w:r>
        <w:rPr>
          <w:spacing w:val="-13"/>
        </w:rPr>
        <w:t>元，增加</w:t>
      </w:r>
    </w:p>
    <w:p>
      <w:pPr>
        <w:pStyle w:val="BodyText"/>
        <w:spacing w:line="240" w:lineRule="auto" w:before="123"/>
        <w:ind w:left="177" w:right="33"/>
        <w:jc w:val="left"/>
      </w:pPr>
      <w:r>
        <w:rPr/>
        <w:t>资本公积</w:t>
      </w:r>
      <w:r>
        <w:rPr>
          <w:spacing w:val="-57"/>
        </w:rPr>
        <w:t> </w:t>
      </w:r>
      <w:r>
        <w:rPr>
          <w:rFonts w:ascii="Arial" w:hAnsi="Arial" w:cs="Arial" w:eastAsia="Arial" w:hint="default"/>
        </w:rPr>
        <w:t>504,284,200</w:t>
      </w:r>
      <w:r>
        <w:rPr>
          <w:rFonts w:ascii="Arial" w:hAnsi="Arial" w:cs="Arial" w:eastAsia="Arial" w:hint="default"/>
          <w:spacing w:val="-9"/>
        </w:rPr>
        <w:t> </w:t>
      </w:r>
      <w:r>
        <w:rPr/>
        <w:t>元</w:t>
      </w:r>
    </w:p>
    <w:p>
      <w:pPr>
        <w:pStyle w:val="BodyText"/>
        <w:spacing w:line="340" w:lineRule="auto" w:before="123"/>
        <w:ind w:left="177" w:right="205" w:firstLine="439"/>
        <w:jc w:val="left"/>
      </w:pPr>
      <w:r>
        <w:rPr>
          <w:spacing w:val="2"/>
        </w:rPr>
        <w:t>（</w:t>
      </w:r>
      <w:r>
        <w:rPr>
          <w:rFonts w:ascii="Arial" w:hAnsi="Arial" w:cs="Arial" w:eastAsia="Arial" w:hint="default"/>
          <w:spacing w:val="2"/>
        </w:rPr>
        <w:t>2</w:t>
      </w:r>
      <w:r>
        <w:rPr>
          <w:spacing w:val="2"/>
        </w:rPr>
        <w:t>）本公司本年以部分超募资金收购烟台安诺其公司自然人股东延元起先生所持股</w:t>
      </w:r>
      <w:r>
        <w:rPr>
          <w:w w:val="100"/>
        </w:rPr>
        <w:t> </w:t>
      </w:r>
      <w:r>
        <w:rPr/>
        <w:t>权，股权收购价格</w:t>
      </w:r>
      <w:r>
        <w:rPr>
          <w:spacing w:val="-65"/>
        </w:rPr>
        <w:t> </w:t>
      </w:r>
      <w:r>
        <w:rPr>
          <w:rFonts w:ascii="Arial" w:hAnsi="Arial" w:cs="Arial" w:eastAsia="Arial" w:hint="default"/>
        </w:rPr>
        <w:t>985</w:t>
      </w:r>
      <w:r>
        <w:rPr>
          <w:rFonts w:ascii="Arial" w:hAnsi="Arial" w:cs="Arial" w:eastAsia="Arial" w:hint="default"/>
          <w:spacing w:val="-16"/>
        </w:rPr>
        <w:t> </w:t>
      </w:r>
      <w:r>
        <w:rPr/>
        <w:t>万元，同公司新增持股比例计算应享有烟台子公司购买日可辨认的</w:t>
      </w:r>
    </w:p>
    <w:p>
      <w:pPr>
        <w:spacing w:after="0" w:line="340" w:lineRule="auto"/>
        <w:jc w:val="left"/>
        <w:sectPr>
          <w:pgSz w:w="11900" w:h="16840"/>
          <w:pgMar w:header="0" w:footer="983" w:top="1100" w:bottom="1180" w:left="1620" w:right="1280"/>
        </w:sectPr>
      </w:pPr>
    </w:p>
    <w:p>
      <w:pPr>
        <w:spacing w:line="240" w:lineRule="auto" w:before="4"/>
        <w:rPr>
          <w:rFonts w:ascii="宋体" w:hAnsi="宋体" w:cs="宋体" w:eastAsia="宋体" w:hint="default"/>
          <w:sz w:val="19"/>
          <w:szCs w:val="19"/>
        </w:rPr>
      </w:pPr>
    </w:p>
    <w:p>
      <w:pPr>
        <w:pStyle w:val="BodyText"/>
        <w:spacing w:line="240" w:lineRule="auto"/>
        <w:ind w:right="137"/>
        <w:jc w:val="left"/>
      </w:pPr>
      <w:r>
        <w:rPr/>
        <w:t>净资产份额的差额</w:t>
      </w:r>
      <w:r>
        <w:rPr>
          <w:spacing w:val="-61"/>
        </w:rPr>
        <w:t> </w:t>
      </w:r>
      <w:r>
        <w:rPr>
          <w:rFonts w:ascii="Arial" w:hAnsi="Arial" w:cs="Arial" w:eastAsia="Arial" w:hint="default"/>
        </w:rPr>
        <w:t>2,509,430.44</w:t>
      </w:r>
      <w:r>
        <w:rPr>
          <w:rFonts w:ascii="Arial" w:hAnsi="Arial" w:cs="Arial" w:eastAsia="Arial" w:hint="default"/>
          <w:spacing w:val="-13"/>
        </w:rPr>
        <w:t> </w:t>
      </w:r>
      <w:r>
        <w:rPr/>
        <w:t>元调减资本公积。</w:t>
      </w:r>
    </w:p>
    <w:p>
      <w:pPr>
        <w:pStyle w:val="BodyText"/>
        <w:spacing w:line="240" w:lineRule="auto" w:before="123"/>
        <w:ind w:right="137"/>
        <w:jc w:val="left"/>
      </w:pPr>
      <w:r>
        <w:rPr>
          <w:rFonts w:ascii="Arial" w:hAnsi="Arial" w:cs="Arial" w:eastAsia="Arial" w:hint="default"/>
        </w:rPr>
        <w:t>6.24</w:t>
      </w:r>
      <w:r>
        <w:rPr>
          <w:rFonts w:ascii="Arial" w:hAnsi="Arial" w:cs="Arial" w:eastAsia="Arial" w:hint="default"/>
          <w:spacing w:val="-8"/>
        </w:rPr>
        <w:t> </w:t>
      </w:r>
      <w:r>
        <w:rPr/>
        <w:t>盈余公积</w:t>
      </w:r>
    </w:p>
    <w:p>
      <w:pPr>
        <w:spacing w:line="240" w:lineRule="auto" w:before="5"/>
        <w:rPr>
          <w:rFonts w:ascii="宋体" w:hAnsi="宋体" w:cs="宋体" w:eastAsia="宋体" w:hint="default"/>
          <w:sz w:val="12"/>
          <w:szCs w:val="12"/>
        </w:rPr>
      </w:pPr>
    </w:p>
    <w:tbl>
      <w:tblPr>
        <w:tblW w:w="0" w:type="auto"/>
        <w:jc w:val="left"/>
        <w:tblInd w:w="161" w:type="dxa"/>
        <w:tblLayout w:type="fixed"/>
        <w:tblCellMar>
          <w:top w:w="0" w:type="dxa"/>
          <w:left w:w="0" w:type="dxa"/>
          <w:bottom w:w="0" w:type="dxa"/>
          <w:right w:w="0" w:type="dxa"/>
        </w:tblCellMar>
        <w:tblLook w:val="01E0"/>
      </w:tblPr>
      <w:tblGrid>
        <w:gridCol w:w="1639"/>
        <w:gridCol w:w="1946"/>
        <w:gridCol w:w="1555"/>
        <w:gridCol w:w="1337"/>
        <w:gridCol w:w="2083"/>
      </w:tblGrid>
      <w:tr>
        <w:trPr>
          <w:trHeight w:val="482" w:hRule="exact"/>
        </w:trPr>
        <w:tc>
          <w:tcPr>
            <w:tcW w:w="163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5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本年增加</w:t>
            </w:r>
          </w:p>
        </w:tc>
        <w:tc>
          <w:tcPr>
            <w:tcW w:w="13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本年减少</w:t>
            </w:r>
          </w:p>
        </w:tc>
        <w:tc>
          <w:tcPr>
            <w:tcW w:w="20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482" w:hRule="exact"/>
        </w:trPr>
        <w:tc>
          <w:tcPr>
            <w:tcW w:w="163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法定盈余公积</w:t>
            </w:r>
          </w:p>
        </w:tc>
        <w:tc>
          <w:tcPr>
            <w:tcW w:w="19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2"/>
              <w:ind w:right="0"/>
              <w:jc w:val="center"/>
              <w:rPr>
                <w:rFonts w:ascii="Arial" w:hAnsi="Arial" w:cs="Arial" w:eastAsia="Arial" w:hint="default"/>
                <w:sz w:val="18"/>
                <w:szCs w:val="18"/>
              </w:rPr>
            </w:pPr>
            <w:r>
              <w:rPr>
                <w:rFonts w:ascii="Arial"/>
                <w:sz w:val="18"/>
              </w:rPr>
              <w:t>6,030,508.74</w:t>
            </w:r>
          </w:p>
        </w:tc>
        <w:tc>
          <w:tcPr>
            <w:tcW w:w="15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2"/>
              <w:ind w:right="1"/>
              <w:jc w:val="center"/>
              <w:rPr>
                <w:rFonts w:ascii="Arial" w:hAnsi="Arial" w:cs="Arial" w:eastAsia="Arial" w:hint="default"/>
                <w:sz w:val="18"/>
                <w:szCs w:val="18"/>
              </w:rPr>
            </w:pPr>
            <w:r>
              <w:rPr>
                <w:rFonts w:ascii="Arial"/>
                <w:sz w:val="18"/>
              </w:rPr>
              <w:t>2,391,844.17</w:t>
            </w:r>
          </w:p>
        </w:tc>
        <w:tc>
          <w:tcPr>
            <w:tcW w:w="13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2"/>
              <w:ind w:right="0"/>
              <w:jc w:val="center"/>
              <w:rPr>
                <w:rFonts w:ascii="Arial" w:hAnsi="Arial" w:cs="Arial" w:eastAsia="Arial" w:hint="default"/>
                <w:sz w:val="18"/>
                <w:szCs w:val="18"/>
              </w:rPr>
            </w:pPr>
            <w:r>
              <w:rPr>
                <w:rFonts w:ascii="Arial"/>
                <w:w w:val="99"/>
                <w:sz w:val="18"/>
              </w:rPr>
              <w:t>-</w:t>
            </w:r>
            <w:r>
              <w:rPr>
                <w:rFonts w:ascii="Arial"/>
                <w:sz w:val="18"/>
              </w:rPr>
            </w:r>
          </w:p>
        </w:tc>
        <w:tc>
          <w:tcPr>
            <w:tcW w:w="20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2"/>
              <w:ind w:left="1" w:right="0"/>
              <w:jc w:val="center"/>
              <w:rPr>
                <w:rFonts w:ascii="Arial" w:hAnsi="Arial" w:cs="Arial" w:eastAsia="Arial" w:hint="default"/>
                <w:sz w:val="18"/>
                <w:szCs w:val="18"/>
              </w:rPr>
            </w:pPr>
            <w:r>
              <w:rPr>
                <w:rFonts w:ascii="Arial"/>
                <w:sz w:val="18"/>
              </w:rPr>
              <w:t>8,422,352.91</w:t>
            </w:r>
          </w:p>
        </w:tc>
      </w:tr>
    </w:tbl>
    <w:p>
      <w:pPr>
        <w:spacing w:line="240" w:lineRule="auto" w:before="1"/>
        <w:rPr>
          <w:rFonts w:ascii="宋体" w:hAnsi="宋体" w:cs="宋体" w:eastAsia="宋体" w:hint="default"/>
          <w:sz w:val="24"/>
          <w:szCs w:val="24"/>
        </w:rPr>
      </w:pPr>
    </w:p>
    <w:p>
      <w:pPr>
        <w:pStyle w:val="BodyText"/>
        <w:spacing w:line="338" w:lineRule="auto"/>
        <w:ind w:right="137" w:firstLine="439"/>
        <w:jc w:val="left"/>
      </w:pPr>
      <w:r>
        <w:rPr/>
        <w:t>盈余公积年末数比年初数增加</w:t>
      </w:r>
      <w:r>
        <w:rPr>
          <w:spacing w:val="-49"/>
        </w:rPr>
        <w:t> </w:t>
      </w:r>
      <w:r>
        <w:rPr>
          <w:rFonts w:ascii="Arial" w:hAnsi="Arial" w:cs="Arial" w:eastAsia="Arial" w:hint="default"/>
        </w:rPr>
        <w:t>2,391,844.17</w:t>
      </w:r>
      <w:r>
        <w:rPr>
          <w:rFonts w:ascii="Arial" w:hAnsi="Arial" w:cs="Arial" w:eastAsia="Arial" w:hint="default"/>
          <w:spacing w:val="-1"/>
        </w:rPr>
        <w:t> </w:t>
      </w:r>
      <w:r>
        <w:rPr/>
        <w:t>元，增加比例为</w:t>
      </w:r>
      <w:r>
        <w:rPr>
          <w:spacing w:val="-49"/>
        </w:rPr>
        <w:t> </w:t>
      </w:r>
      <w:r>
        <w:rPr>
          <w:rFonts w:ascii="Arial" w:hAnsi="Arial" w:cs="Arial" w:eastAsia="Arial" w:hint="default"/>
        </w:rPr>
        <w:t>39.66%</w:t>
      </w:r>
      <w:r>
        <w:rPr/>
        <w:t>，增加原因为：</w:t>
      </w:r>
      <w:r>
        <w:rPr>
          <w:w w:val="100"/>
        </w:rPr>
        <w:t> </w:t>
      </w:r>
      <w:r>
        <w:rPr/>
        <w:t>根据本期实现净利润计提的盈余公积。</w:t>
      </w:r>
    </w:p>
    <w:p>
      <w:pPr>
        <w:pStyle w:val="BodyText"/>
        <w:spacing w:line="240" w:lineRule="auto" w:before="49"/>
        <w:ind w:right="137"/>
        <w:jc w:val="left"/>
      </w:pPr>
      <w:r>
        <w:rPr>
          <w:rFonts w:ascii="Arial" w:hAnsi="Arial" w:cs="Arial" w:eastAsia="Arial" w:hint="default"/>
        </w:rPr>
        <w:t>6.25</w:t>
      </w:r>
      <w:r>
        <w:rPr>
          <w:rFonts w:ascii="Arial" w:hAnsi="Arial" w:cs="Arial" w:eastAsia="Arial" w:hint="default"/>
          <w:spacing w:val="-7"/>
        </w:rPr>
        <w:t> </w:t>
      </w:r>
      <w:r>
        <w:rPr/>
        <w:t>未分配利润</w:t>
      </w:r>
    </w:p>
    <w:p>
      <w:pPr>
        <w:spacing w:line="240" w:lineRule="auto" w:before="5"/>
        <w:rPr>
          <w:rFonts w:ascii="宋体" w:hAnsi="宋体" w:cs="宋体" w:eastAsia="宋体" w:hint="default"/>
          <w:sz w:val="12"/>
          <w:szCs w:val="12"/>
        </w:rPr>
      </w:pPr>
    </w:p>
    <w:tbl>
      <w:tblPr>
        <w:tblW w:w="0" w:type="auto"/>
        <w:jc w:val="left"/>
        <w:tblInd w:w="151" w:type="dxa"/>
        <w:tblLayout w:type="fixed"/>
        <w:tblCellMar>
          <w:top w:w="0" w:type="dxa"/>
          <w:left w:w="0" w:type="dxa"/>
          <w:bottom w:w="0" w:type="dxa"/>
          <w:right w:w="0" w:type="dxa"/>
        </w:tblCellMar>
        <w:tblLook w:val="01E0"/>
      </w:tblPr>
      <w:tblGrid>
        <w:gridCol w:w="4498"/>
        <w:gridCol w:w="4085"/>
      </w:tblGrid>
      <w:tr>
        <w:trPr>
          <w:trHeight w:val="482" w:hRule="exact"/>
        </w:trPr>
        <w:tc>
          <w:tcPr>
            <w:tcW w:w="44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0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年度</w:t>
            </w:r>
          </w:p>
        </w:tc>
      </w:tr>
      <w:tr>
        <w:trPr>
          <w:trHeight w:val="485" w:hRule="exact"/>
        </w:trPr>
        <w:tc>
          <w:tcPr>
            <w:tcW w:w="44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left="93"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40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4"/>
              <w:ind w:right="1"/>
              <w:jc w:val="center"/>
              <w:rPr>
                <w:rFonts w:ascii="Arial" w:hAnsi="Arial" w:cs="Arial" w:eastAsia="Arial" w:hint="default"/>
                <w:sz w:val="18"/>
                <w:szCs w:val="18"/>
              </w:rPr>
            </w:pPr>
            <w:r>
              <w:rPr>
                <w:rFonts w:ascii="Arial"/>
                <w:sz w:val="18"/>
              </w:rPr>
              <w:t>56,121,922.03</w:t>
            </w:r>
          </w:p>
        </w:tc>
      </w:tr>
      <w:tr>
        <w:trPr>
          <w:trHeight w:val="485" w:hRule="exact"/>
        </w:trPr>
        <w:tc>
          <w:tcPr>
            <w:tcW w:w="44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left="93" w:right="0"/>
              <w:jc w:val="left"/>
              <w:rPr>
                <w:rFonts w:ascii="Arial" w:hAnsi="Arial" w:cs="Arial" w:eastAsia="Arial" w:hint="default"/>
                <w:sz w:val="18"/>
                <w:szCs w:val="18"/>
              </w:rPr>
            </w:pPr>
            <w:r>
              <w:rPr>
                <w:rFonts w:ascii="宋体" w:hAnsi="宋体" w:cs="宋体" w:eastAsia="宋体" w:hint="default"/>
                <w:sz w:val="18"/>
                <w:szCs w:val="18"/>
              </w:rPr>
              <w:t>调整年初未分配利润</w:t>
            </w:r>
            <w:r>
              <w:rPr>
                <w:rFonts w:ascii="Arial" w:hAnsi="Arial" w:cs="Arial" w:eastAsia="Arial" w:hint="default"/>
                <w:sz w:val="18"/>
                <w:szCs w:val="18"/>
              </w:rPr>
              <w:t>(</w:t>
            </w:r>
            <w:r>
              <w:rPr>
                <w:rFonts w:ascii="宋体" w:hAnsi="宋体" w:cs="宋体" w:eastAsia="宋体" w:hint="default"/>
                <w:sz w:val="18"/>
                <w:szCs w:val="18"/>
              </w:rPr>
              <w:t>调增</w:t>
            </w:r>
            <w:r>
              <w:rPr>
                <w:rFonts w:ascii="Arial" w:hAnsi="Arial" w:cs="Arial" w:eastAsia="Arial" w:hint="default"/>
                <w:sz w:val="18"/>
                <w:szCs w:val="18"/>
              </w:rPr>
              <w:t>+</w:t>
            </w:r>
            <w:r>
              <w:rPr>
                <w:rFonts w:ascii="宋体" w:hAnsi="宋体" w:cs="宋体" w:eastAsia="宋体" w:hint="default"/>
                <w:sz w:val="18"/>
                <w:szCs w:val="18"/>
              </w:rPr>
              <w:t>，调减</w:t>
            </w:r>
            <w:r>
              <w:rPr>
                <w:rFonts w:ascii="Arial" w:hAnsi="Arial" w:cs="Arial" w:eastAsia="Arial" w:hint="default"/>
                <w:sz w:val="18"/>
                <w:szCs w:val="18"/>
              </w:rPr>
              <w:t>-)</w:t>
            </w:r>
          </w:p>
        </w:tc>
        <w:tc>
          <w:tcPr>
            <w:tcW w:w="40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4"/>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82" w:hRule="exact"/>
        </w:trPr>
        <w:tc>
          <w:tcPr>
            <w:tcW w:w="44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left="93"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40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4"/>
              <w:ind w:right="1"/>
              <w:jc w:val="center"/>
              <w:rPr>
                <w:rFonts w:ascii="Arial" w:hAnsi="Arial" w:cs="Arial" w:eastAsia="Arial" w:hint="default"/>
                <w:sz w:val="18"/>
                <w:szCs w:val="18"/>
              </w:rPr>
            </w:pPr>
            <w:r>
              <w:rPr>
                <w:rFonts w:ascii="Arial"/>
                <w:sz w:val="18"/>
              </w:rPr>
              <w:t>56,121,922.03</w:t>
            </w:r>
          </w:p>
        </w:tc>
      </w:tr>
      <w:tr>
        <w:trPr>
          <w:trHeight w:val="485" w:hRule="exact"/>
        </w:trPr>
        <w:tc>
          <w:tcPr>
            <w:tcW w:w="44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left="93" w:right="0"/>
              <w:jc w:val="left"/>
              <w:rPr>
                <w:rFonts w:ascii="宋体" w:hAnsi="宋体" w:cs="宋体" w:eastAsia="宋体" w:hint="default"/>
                <w:sz w:val="18"/>
                <w:szCs w:val="18"/>
              </w:rPr>
            </w:pPr>
            <w:r>
              <w:rPr>
                <w:rFonts w:ascii="宋体" w:hAnsi="宋体" w:cs="宋体" w:eastAsia="宋体" w:hint="default"/>
                <w:sz w:val="18"/>
                <w:szCs w:val="18"/>
              </w:rPr>
              <w:t>加：本年归属于公司所有者的净利润</w:t>
            </w:r>
          </w:p>
        </w:tc>
        <w:tc>
          <w:tcPr>
            <w:tcW w:w="40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4"/>
              <w:ind w:right="1"/>
              <w:jc w:val="center"/>
              <w:rPr>
                <w:rFonts w:ascii="Arial" w:hAnsi="Arial" w:cs="Arial" w:eastAsia="Arial" w:hint="default"/>
                <w:sz w:val="18"/>
                <w:szCs w:val="18"/>
              </w:rPr>
            </w:pPr>
            <w:r>
              <w:rPr>
                <w:rFonts w:ascii="Arial"/>
                <w:sz w:val="18"/>
              </w:rPr>
              <w:t>27,100,214.31</w:t>
            </w:r>
          </w:p>
        </w:tc>
      </w:tr>
      <w:tr>
        <w:trPr>
          <w:trHeight w:val="485" w:hRule="exact"/>
        </w:trPr>
        <w:tc>
          <w:tcPr>
            <w:tcW w:w="44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left="93"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40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4"/>
              <w:ind w:right="1"/>
              <w:jc w:val="center"/>
              <w:rPr>
                <w:rFonts w:ascii="Arial" w:hAnsi="Arial" w:cs="Arial" w:eastAsia="Arial" w:hint="default"/>
                <w:sz w:val="18"/>
                <w:szCs w:val="18"/>
              </w:rPr>
            </w:pPr>
            <w:r>
              <w:rPr>
                <w:rFonts w:ascii="Arial"/>
                <w:sz w:val="18"/>
              </w:rPr>
              <w:t>2,391,844.17</w:t>
            </w:r>
          </w:p>
        </w:tc>
      </w:tr>
      <w:tr>
        <w:trPr>
          <w:trHeight w:val="482" w:hRule="exact"/>
        </w:trPr>
        <w:tc>
          <w:tcPr>
            <w:tcW w:w="44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left="93"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40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4"/>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85" w:hRule="exact"/>
        </w:trPr>
        <w:tc>
          <w:tcPr>
            <w:tcW w:w="44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left="93"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40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4"/>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85" w:hRule="exact"/>
        </w:trPr>
        <w:tc>
          <w:tcPr>
            <w:tcW w:w="44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left="93"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40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4"/>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82" w:hRule="exact"/>
        </w:trPr>
        <w:tc>
          <w:tcPr>
            <w:tcW w:w="44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left="93" w:right="0"/>
              <w:jc w:val="left"/>
              <w:rPr>
                <w:rFonts w:ascii="宋体" w:hAnsi="宋体" w:cs="宋体" w:eastAsia="宋体" w:hint="default"/>
                <w:sz w:val="18"/>
                <w:szCs w:val="18"/>
              </w:rPr>
            </w:pPr>
            <w:r>
              <w:rPr>
                <w:rFonts w:ascii="宋体" w:hAnsi="宋体" w:cs="宋体" w:eastAsia="宋体" w:hint="default"/>
                <w:sz w:val="18"/>
                <w:szCs w:val="18"/>
              </w:rPr>
              <w:t>年末未分配利润</w:t>
            </w:r>
          </w:p>
        </w:tc>
        <w:tc>
          <w:tcPr>
            <w:tcW w:w="40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4"/>
              <w:ind w:right="1"/>
              <w:jc w:val="center"/>
              <w:rPr>
                <w:rFonts w:ascii="Arial" w:hAnsi="Arial" w:cs="Arial" w:eastAsia="Arial" w:hint="default"/>
                <w:sz w:val="18"/>
                <w:szCs w:val="18"/>
              </w:rPr>
            </w:pPr>
            <w:r>
              <w:rPr>
                <w:rFonts w:ascii="Arial"/>
                <w:sz w:val="18"/>
              </w:rPr>
              <w:t>80,830,292.17</w:t>
            </w:r>
          </w:p>
        </w:tc>
      </w:tr>
    </w:tbl>
    <w:p>
      <w:pPr>
        <w:spacing w:line="240" w:lineRule="auto" w:before="12"/>
        <w:rPr>
          <w:rFonts w:ascii="宋体" w:hAnsi="宋体" w:cs="宋体" w:eastAsia="宋体" w:hint="default"/>
          <w:sz w:val="23"/>
          <w:szCs w:val="23"/>
        </w:rPr>
      </w:pPr>
    </w:p>
    <w:p>
      <w:pPr>
        <w:pStyle w:val="BodyText"/>
        <w:spacing w:line="240" w:lineRule="auto"/>
        <w:ind w:right="137"/>
        <w:jc w:val="left"/>
      </w:pPr>
      <w:r>
        <w:rPr>
          <w:rFonts w:ascii="Arial" w:hAnsi="Arial" w:cs="Arial" w:eastAsia="Arial" w:hint="default"/>
        </w:rPr>
        <w:t>6.26</w:t>
      </w:r>
      <w:r>
        <w:rPr>
          <w:rFonts w:ascii="Arial" w:hAnsi="Arial" w:cs="Arial" w:eastAsia="Arial" w:hint="default"/>
          <w:spacing w:val="-9"/>
        </w:rPr>
        <w:t> </w:t>
      </w:r>
      <w:r>
        <w:rPr/>
        <w:t>少数股东权益</w:t>
      </w:r>
    </w:p>
    <w:p>
      <w:pPr>
        <w:spacing w:line="240" w:lineRule="auto" w:before="3"/>
        <w:rPr>
          <w:rFonts w:ascii="宋体" w:hAnsi="宋体" w:cs="宋体" w:eastAsia="宋体" w:hint="default"/>
          <w:sz w:val="12"/>
          <w:szCs w:val="12"/>
        </w:rPr>
      </w:pPr>
    </w:p>
    <w:tbl>
      <w:tblPr>
        <w:tblW w:w="0" w:type="auto"/>
        <w:jc w:val="left"/>
        <w:tblInd w:w="180" w:type="dxa"/>
        <w:tblLayout w:type="fixed"/>
        <w:tblCellMar>
          <w:top w:w="0" w:type="dxa"/>
          <w:left w:w="0" w:type="dxa"/>
          <w:bottom w:w="0" w:type="dxa"/>
          <w:right w:w="0" w:type="dxa"/>
        </w:tblCellMar>
        <w:tblLook w:val="01E0"/>
      </w:tblPr>
      <w:tblGrid>
        <w:gridCol w:w="3346"/>
        <w:gridCol w:w="2599"/>
        <w:gridCol w:w="2580"/>
      </w:tblGrid>
      <w:tr>
        <w:trPr>
          <w:trHeight w:val="485" w:hRule="exact"/>
        </w:trPr>
        <w:tc>
          <w:tcPr>
            <w:tcW w:w="33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59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8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82" w:hRule="exact"/>
        </w:trPr>
        <w:tc>
          <w:tcPr>
            <w:tcW w:w="33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烟台安诺其纺织材料有限公司</w:t>
            </w:r>
          </w:p>
        </w:tc>
        <w:tc>
          <w:tcPr>
            <w:tcW w:w="259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w w:val="99"/>
                <w:sz w:val="18"/>
              </w:rPr>
              <w:t>-</w:t>
            </w:r>
            <w:r>
              <w:rPr>
                <w:rFonts w:ascii="宋体"/>
                <w:sz w:val="18"/>
              </w:rPr>
            </w:r>
          </w:p>
        </w:tc>
        <w:tc>
          <w:tcPr>
            <w:tcW w:w="258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6,827,960.62</w:t>
            </w:r>
          </w:p>
        </w:tc>
      </w:tr>
    </w:tbl>
    <w:p>
      <w:pPr>
        <w:spacing w:line="240" w:lineRule="auto" w:before="12"/>
        <w:rPr>
          <w:rFonts w:ascii="宋体" w:hAnsi="宋体" w:cs="宋体" w:eastAsia="宋体" w:hint="default"/>
          <w:sz w:val="23"/>
          <w:szCs w:val="23"/>
        </w:rPr>
      </w:pPr>
    </w:p>
    <w:p>
      <w:pPr>
        <w:pStyle w:val="BodyText"/>
        <w:spacing w:line="240" w:lineRule="auto"/>
        <w:ind w:left="576" w:right="137"/>
        <w:jc w:val="left"/>
      </w:pPr>
      <w:r>
        <w:rPr/>
        <w:t>本年变动：本年公司收购烟台公司小股东所持股份，少数股东权益相应减少。</w:t>
      </w:r>
    </w:p>
    <w:p>
      <w:pPr>
        <w:pStyle w:val="BodyText"/>
        <w:spacing w:line="240" w:lineRule="auto" w:before="139"/>
        <w:ind w:right="137"/>
        <w:jc w:val="left"/>
      </w:pPr>
      <w:r>
        <w:rPr>
          <w:rFonts w:ascii="Arial" w:hAnsi="Arial" w:cs="Arial" w:eastAsia="Arial" w:hint="default"/>
        </w:rPr>
        <w:t>6.27</w:t>
      </w:r>
      <w:r>
        <w:rPr>
          <w:rFonts w:ascii="Arial" w:hAnsi="Arial" w:cs="Arial" w:eastAsia="Arial" w:hint="default"/>
          <w:spacing w:val="-10"/>
        </w:rPr>
        <w:t> </w:t>
      </w:r>
      <w:r>
        <w:rPr/>
        <w:t>营业收入及营业成本</w:t>
      </w:r>
    </w:p>
    <w:p>
      <w:pPr>
        <w:pStyle w:val="BodyText"/>
        <w:spacing w:line="240" w:lineRule="auto" w:before="126"/>
        <w:ind w:right="137"/>
        <w:jc w:val="left"/>
      </w:pPr>
      <w:r>
        <w:rPr>
          <w:rFonts w:ascii="Arial" w:hAnsi="Arial" w:cs="Arial" w:eastAsia="Arial" w:hint="default"/>
        </w:rPr>
        <w:t>6.27.1</w:t>
      </w:r>
      <w:r>
        <w:rPr>
          <w:rFonts w:ascii="Arial" w:hAnsi="Arial" w:cs="Arial" w:eastAsia="Arial" w:hint="default"/>
          <w:spacing w:val="-9"/>
        </w:rPr>
        <w:t> </w:t>
      </w:r>
      <w:r>
        <w:rPr/>
        <w:t>营业收入</w:t>
      </w:r>
    </w:p>
    <w:p>
      <w:pPr>
        <w:spacing w:line="240" w:lineRule="auto" w:before="3"/>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2916"/>
        <w:gridCol w:w="2640"/>
        <w:gridCol w:w="3108"/>
      </w:tblGrid>
      <w:tr>
        <w:trPr>
          <w:trHeight w:val="485" w:hRule="exact"/>
        </w:trPr>
        <w:tc>
          <w:tcPr>
            <w:tcW w:w="29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134"/>
              <w:jc w:val="center"/>
              <w:rPr>
                <w:rFonts w:ascii="宋体" w:hAnsi="宋体" w:cs="宋体" w:eastAsia="宋体" w:hint="default"/>
                <w:sz w:val="18"/>
                <w:szCs w:val="18"/>
              </w:rPr>
            </w:pPr>
            <w:r>
              <w:rPr>
                <w:rFonts w:ascii="宋体" w:hAnsi="宋体" w:cs="宋体" w:eastAsia="宋体" w:hint="default"/>
                <w:sz w:val="18"/>
                <w:szCs w:val="18"/>
              </w:rPr>
              <w:t>项目</w:t>
            </w:r>
          </w:p>
        </w:tc>
        <w:tc>
          <w:tcPr>
            <w:tcW w:w="26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134"/>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年度</w:t>
            </w:r>
          </w:p>
        </w:tc>
        <w:tc>
          <w:tcPr>
            <w:tcW w:w="31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137"/>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5"/>
                <w:sz w:val="18"/>
                <w:szCs w:val="18"/>
              </w:rPr>
              <w:t> </w:t>
            </w:r>
            <w:r>
              <w:rPr>
                <w:rFonts w:ascii="宋体" w:hAnsi="宋体" w:cs="宋体" w:eastAsia="宋体" w:hint="default"/>
                <w:sz w:val="18"/>
                <w:szCs w:val="18"/>
              </w:rPr>
              <w:t>年度</w:t>
            </w:r>
          </w:p>
        </w:tc>
      </w:tr>
      <w:tr>
        <w:trPr>
          <w:trHeight w:val="482" w:hRule="exact"/>
        </w:trPr>
        <w:tc>
          <w:tcPr>
            <w:tcW w:w="29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134"/>
              <w:jc w:val="center"/>
              <w:rPr>
                <w:rFonts w:ascii="宋体" w:hAnsi="宋体" w:cs="宋体" w:eastAsia="宋体" w:hint="default"/>
                <w:sz w:val="18"/>
                <w:szCs w:val="18"/>
              </w:rPr>
            </w:pPr>
            <w:r>
              <w:rPr>
                <w:rFonts w:ascii="宋体" w:hAnsi="宋体" w:cs="宋体" w:eastAsia="宋体" w:hint="default"/>
                <w:sz w:val="18"/>
                <w:szCs w:val="18"/>
              </w:rPr>
              <w:t>主营业务收入</w:t>
            </w:r>
          </w:p>
        </w:tc>
        <w:tc>
          <w:tcPr>
            <w:tcW w:w="26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37"/>
              <w:jc w:val="center"/>
              <w:rPr>
                <w:rFonts w:ascii="Arial" w:hAnsi="Arial" w:cs="Arial" w:eastAsia="Arial" w:hint="default"/>
                <w:sz w:val="18"/>
                <w:szCs w:val="18"/>
              </w:rPr>
            </w:pPr>
            <w:r>
              <w:rPr>
                <w:rFonts w:ascii="Arial"/>
                <w:sz w:val="18"/>
              </w:rPr>
              <w:t>187,279,939.54</w:t>
            </w:r>
          </w:p>
        </w:tc>
        <w:tc>
          <w:tcPr>
            <w:tcW w:w="31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35"/>
              <w:jc w:val="center"/>
              <w:rPr>
                <w:rFonts w:ascii="Arial" w:hAnsi="Arial" w:cs="Arial" w:eastAsia="Arial" w:hint="default"/>
                <w:sz w:val="18"/>
                <w:szCs w:val="18"/>
              </w:rPr>
            </w:pPr>
            <w:r>
              <w:rPr>
                <w:rFonts w:ascii="Arial"/>
                <w:sz w:val="18"/>
              </w:rPr>
              <w:t>195,092,400.26</w:t>
            </w:r>
          </w:p>
        </w:tc>
      </w:tr>
      <w:tr>
        <w:trPr>
          <w:trHeight w:val="485" w:hRule="exact"/>
        </w:trPr>
        <w:tc>
          <w:tcPr>
            <w:tcW w:w="29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134"/>
              <w:jc w:val="center"/>
              <w:rPr>
                <w:rFonts w:ascii="宋体" w:hAnsi="宋体" w:cs="宋体" w:eastAsia="宋体" w:hint="default"/>
                <w:sz w:val="18"/>
                <w:szCs w:val="18"/>
              </w:rPr>
            </w:pPr>
            <w:r>
              <w:rPr>
                <w:rFonts w:ascii="宋体" w:hAnsi="宋体" w:cs="宋体" w:eastAsia="宋体" w:hint="default"/>
                <w:sz w:val="18"/>
                <w:szCs w:val="18"/>
              </w:rPr>
              <w:t>其他业务收入</w:t>
            </w:r>
          </w:p>
        </w:tc>
        <w:tc>
          <w:tcPr>
            <w:tcW w:w="26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37"/>
              <w:jc w:val="center"/>
              <w:rPr>
                <w:rFonts w:ascii="Arial" w:hAnsi="Arial" w:cs="Arial" w:eastAsia="Arial" w:hint="default"/>
                <w:sz w:val="18"/>
                <w:szCs w:val="18"/>
              </w:rPr>
            </w:pPr>
            <w:r>
              <w:rPr>
                <w:rFonts w:ascii="Arial"/>
                <w:sz w:val="18"/>
              </w:rPr>
              <w:t>405,552.60</w:t>
            </w:r>
          </w:p>
        </w:tc>
        <w:tc>
          <w:tcPr>
            <w:tcW w:w="31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35"/>
              <w:jc w:val="center"/>
              <w:rPr>
                <w:rFonts w:ascii="Arial" w:hAnsi="Arial" w:cs="Arial" w:eastAsia="Arial" w:hint="default"/>
                <w:sz w:val="18"/>
                <w:szCs w:val="18"/>
              </w:rPr>
            </w:pPr>
            <w:r>
              <w:rPr>
                <w:rFonts w:ascii="Arial"/>
                <w:sz w:val="18"/>
              </w:rPr>
              <w:t>938,282.74</w:t>
            </w:r>
          </w:p>
        </w:tc>
      </w:tr>
      <w:tr>
        <w:trPr>
          <w:trHeight w:val="482" w:hRule="exact"/>
        </w:trPr>
        <w:tc>
          <w:tcPr>
            <w:tcW w:w="29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134"/>
              <w:jc w:val="center"/>
              <w:rPr>
                <w:rFonts w:ascii="宋体" w:hAnsi="宋体" w:cs="宋体" w:eastAsia="宋体" w:hint="default"/>
                <w:sz w:val="18"/>
                <w:szCs w:val="18"/>
              </w:rPr>
            </w:pPr>
            <w:r>
              <w:rPr>
                <w:rFonts w:ascii="宋体" w:hAnsi="宋体" w:cs="宋体" w:eastAsia="宋体" w:hint="default"/>
                <w:sz w:val="18"/>
                <w:szCs w:val="18"/>
              </w:rPr>
              <w:t>主营业务成本</w:t>
            </w:r>
          </w:p>
        </w:tc>
        <w:tc>
          <w:tcPr>
            <w:tcW w:w="26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35"/>
              <w:jc w:val="center"/>
              <w:rPr>
                <w:rFonts w:ascii="Arial" w:hAnsi="Arial" w:cs="Arial" w:eastAsia="Arial" w:hint="default"/>
                <w:sz w:val="18"/>
                <w:szCs w:val="18"/>
              </w:rPr>
            </w:pPr>
            <w:r>
              <w:rPr>
                <w:rFonts w:ascii="Arial"/>
                <w:sz w:val="18"/>
              </w:rPr>
              <w:t>117,007,262.35</w:t>
            </w:r>
          </w:p>
        </w:tc>
        <w:tc>
          <w:tcPr>
            <w:tcW w:w="31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37"/>
              <w:jc w:val="center"/>
              <w:rPr>
                <w:rFonts w:ascii="Arial" w:hAnsi="Arial" w:cs="Arial" w:eastAsia="Arial" w:hint="default"/>
                <w:sz w:val="18"/>
                <w:szCs w:val="18"/>
              </w:rPr>
            </w:pPr>
            <w:r>
              <w:rPr>
                <w:rFonts w:ascii="Arial"/>
                <w:sz w:val="18"/>
              </w:rPr>
              <w:t>112,220,397.89</w:t>
            </w:r>
          </w:p>
        </w:tc>
      </w:tr>
    </w:tbl>
    <w:p>
      <w:pPr>
        <w:spacing w:after="0" w:line="240" w:lineRule="auto"/>
        <w:jc w:val="center"/>
        <w:rPr>
          <w:rFonts w:ascii="Arial" w:hAnsi="Arial" w:cs="Arial" w:eastAsia="Arial" w:hint="default"/>
          <w:sz w:val="18"/>
          <w:szCs w:val="18"/>
        </w:rPr>
        <w:sectPr>
          <w:pgSz w:w="11900" w:h="16840"/>
          <w:pgMar w:header="0" w:footer="983" w:top="1100" w:bottom="1180" w:left="1660" w:right="1320"/>
        </w:sectPr>
      </w:pPr>
    </w:p>
    <w:p>
      <w:pPr>
        <w:spacing w:line="240" w:lineRule="auto" w:before="8"/>
        <w:rPr>
          <w:rFonts w:ascii="宋体" w:hAnsi="宋体" w:cs="宋体" w:eastAsia="宋体" w:hint="default"/>
          <w:sz w:val="24"/>
          <w:szCs w:val="24"/>
        </w:rPr>
      </w:pPr>
    </w:p>
    <w:tbl>
      <w:tblPr>
        <w:tblW w:w="0" w:type="auto"/>
        <w:jc w:val="left"/>
        <w:tblInd w:w="131" w:type="dxa"/>
        <w:tblLayout w:type="fixed"/>
        <w:tblCellMar>
          <w:top w:w="0" w:type="dxa"/>
          <w:left w:w="0" w:type="dxa"/>
          <w:bottom w:w="0" w:type="dxa"/>
          <w:right w:w="0" w:type="dxa"/>
        </w:tblCellMar>
        <w:tblLook w:val="01E0"/>
      </w:tblPr>
      <w:tblGrid>
        <w:gridCol w:w="2916"/>
        <w:gridCol w:w="2640"/>
        <w:gridCol w:w="3108"/>
      </w:tblGrid>
      <w:tr>
        <w:trPr>
          <w:trHeight w:val="482" w:hRule="exact"/>
        </w:trPr>
        <w:tc>
          <w:tcPr>
            <w:tcW w:w="29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835"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26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left="784" w:right="0"/>
              <w:jc w:val="left"/>
              <w:rPr>
                <w:rFonts w:ascii="Arial" w:hAnsi="Arial" w:cs="Arial" w:eastAsia="Arial" w:hint="default"/>
                <w:sz w:val="18"/>
                <w:szCs w:val="18"/>
              </w:rPr>
            </w:pPr>
            <w:r>
              <w:rPr>
                <w:rFonts w:ascii="Arial"/>
                <w:sz w:val="18"/>
              </w:rPr>
              <w:t>272,921.84</w:t>
            </w:r>
          </w:p>
        </w:tc>
        <w:tc>
          <w:tcPr>
            <w:tcW w:w="31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left="1020" w:right="0"/>
              <w:jc w:val="left"/>
              <w:rPr>
                <w:rFonts w:ascii="Arial" w:hAnsi="Arial" w:cs="Arial" w:eastAsia="Arial" w:hint="default"/>
                <w:sz w:val="18"/>
                <w:szCs w:val="18"/>
              </w:rPr>
            </w:pPr>
            <w:r>
              <w:rPr>
                <w:rFonts w:ascii="Arial"/>
                <w:sz w:val="18"/>
              </w:rPr>
              <w:t>558,459.44</w:t>
            </w:r>
          </w:p>
        </w:tc>
      </w:tr>
    </w:tbl>
    <w:p>
      <w:pPr>
        <w:spacing w:line="240" w:lineRule="auto" w:before="12"/>
        <w:rPr>
          <w:rFonts w:ascii="宋体" w:hAnsi="宋体" w:cs="宋体" w:eastAsia="宋体" w:hint="default"/>
          <w:sz w:val="23"/>
          <w:szCs w:val="23"/>
        </w:rPr>
      </w:pPr>
    </w:p>
    <w:p>
      <w:pPr>
        <w:pStyle w:val="BodyText"/>
        <w:spacing w:line="240" w:lineRule="auto"/>
        <w:ind w:left="157" w:right="0"/>
        <w:jc w:val="left"/>
      </w:pPr>
      <w:r>
        <w:rPr>
          <w:rFonts w:ascii="Arial" w:hAnsi="Arial" w:cs="Arial" w:eastAsia="Arial" w:hint="default"/>
        </w:rPr>
        <w:t>6.27.2</w:t>
      </w:r>
      <w:r>
        <w:rPr>
          <w:rFonts w:ascii="Arial" w:hAnsi="Arial" w:cs="Arial" w:eastAsia="Arial" w:hint="default"/>
          <w:spacing w:val="-12"/>
        </w:rPr>
        <w:t> </w:t>
      </w:r>
      <w:r>
        <w:rPr/>
        <w:t>主营业务（分行业）</w:t>
      </w:r>
    </w:p>
    <w:p>
      <w:pPr>
        <w:spacing w:line="240" w:lineRule="auto" w:before="5"/>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284"/>
        <w:gridCol w:w="2004"/>
        <w:gridCol w:w="1644"/>
        <w:gridCol w:w="2102"/>
        <w:gridCol w:w="1654"/>
      </w:tblGrid>
      <w:tr>
        <w:trPr>
          <w:trHeight w:val="482" w:hRule="exact"/>
        </w:trPr>
        <w:tc>
          <w:tcPr>
            <w:tcW w:w="1284" w:type="dxa"/>
            <w:vMerge w:val="restart"/>
            <w:tcBorders>
              <w:top w:val="single" w:sz="12" w:space="0" w:color="000000"/>
              <w:left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648"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年度</w:t>
            </w:r>
          </w:p>
        </w:tc>
        <w:tc>
          <w:tcPr>
            <w:tcW w:w="3756"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年度</w:t>
            </w:r>
          </w:p>
        </w:tc>
      </w:tr>
      <w:tr>
        <w:trPr>
          <w:trHeight w:val="485" w:hRule="exact"/>
        </w:trPr>
        <w:tc>
          <w:tcPr>
            <w:tcW w:w="1284" w:type="dxa"/>
            <w:vMerge/>
            <w:tcBorders>
              <w:left w:val="single" w:sz="12" w:space="0" w:color="000000"/>
              <w:bottom w:val="single" w:sz="12" w:space="0" w:color="000000"/>
              <w:right w:val="single" w:sz="12" w:space="0" w:color="000000"/>
            </w:tcBorders>
          </w:tcPr>
          <w:p>
            <w:pPr/>
          </w:p>
        </w:tc>
        <w:tc>
          <w:tcPr>
            <w:tcW w:w="20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64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21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6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r>
      <w:tr>
        <w:trPr>
          <w:trHeight w:val="482" w:hRule="exact"/>
        </w:trPr>
        <w:tc>
          <w:tcPr>
            <w:tcW w:w="12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266" w:right="0"/>
              <w:jc w:val="left"/>
              <w:rPr>
                <w:rFonts w:ascii="宋体" w:hAnsi="宋体" w:cs="宋体" w:eastAsia="宋体" w:hint="default"/>
                <w:sz w:val="18"/>
                <w:szCs w:val="18"/>
              </w:rPr>
            </w:pPr>
            <w:r>
              <w:rPr>
                <w:rFonts w:ascii="宋体" w:hAnsi="宋体" w:cs="宋体" w:eastAsia="宋体" w:hint="default"/>
                <w:sz w:val="18"/>
                <w:szCs w:val="18"/>
              </w:rPr>
              <w:t>染料行业</w:t>
            </w:r>
          </w:p>
        </w:tc>
        <w:tc>
          <w:tcPr>
            <w:tcW w:w="20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187,279,939.54</w:t>
            </w:r>
          </w:p>
        </w:tc>
        <w:tc>
          <w:tcPr>
            <w:tcW w:w="164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117,007,262.35</w:t>
            </w:r>
          </w:p>
        </w:tc>
        <w:tc>
          <w:tcPr>
            <w:tcW w:w="21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195,092,400.26</w:t>
            </w:r>
          </w:p>
        </w:tc>
        <w:tc>
          <w:tcPr>
            <w:tcW w:w="16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112,220,397.89</w:t>
            </w:r>
          </w:p>
        </w:tc>
      </w:tr>
    </w:tbl>
    <w:p>
      <w:pPr>
        <w:spacing w:line="240" w:lineRule="auto" w:before="12"/>
        <w:rPr>
          <w:rFonts w:ascii="宋体" w:hAnsi="宋体" w:cs="宋体" w:eastAsia="宋体" w:hint="default"/>
          <w:sz w:val="23"/>
          <w:szCs w:val="23"/>
        </w:rPr>
      </w:pPr>
    </w:p>
    <w:p>
      <w:pPr>
        <w:pStyle w:val="BodyText"/>
        <w:spacing w:line="240" w:lineRule="auto"/>
        <w:ind w:left="157" w:right="0"/>
        <w:jc w:val="left"/>
      </w:pPr>
      <w:r>
        <w:rPr>
          <w:rFonts w:ascii="Arial" w:hAnsi="Arial" w:cs="Arial" w:eastAsia="Arial" w:hint="default"/>
        </w:rPr>
        <w:t>6.27.3</w:t>
      </w:r>
      <w:r>
        <w:rPr>
          <w:rFonts w:ascii="Arial" w:hAnsi="Arial" w:cs="Arial" w:eastAsia="Arial" w:hint="default"/>
          <w:spacing w:val="43"/>
        </w:rPr>
        <w:t> </w:t>
      </w:r>
      <w:r>
        <w:rPr/>
        <w:t>主营业务（分产品）</w:t>
      </w:r>
    </w:p>
    <w:p>
      <w:pPr>
        <w:spacing w:line="240" w:lineRule="auto" w:before="5"/>
        <w:rPr>
          <w:rFonts w:ascii="宋体" w:hAnsi="宋体" w:cs="宋体" w:eastAsia="宋体" w:hint="default"/>
          <w:sz w:val="12"/>
          <w:szCs w:val="12"/>
        </w:rPr>
      </w:pPr>
    </w:p>
    <w:tbl>
      <w:tblPr>
        <w:tblW w:w="0" w:type="auto"/>
        <w:jc w:val="left"/>
        <w:tblInd w:w="162" w:type="dxa"/>
        <w:tblLayout w:type="fixed"/>
        <w:tblCellMar>
          <w:top w:w="0" w:type="dxa"/>
          <w:left w:w="0" w:type="dxa"/>
          <w:bottom w:w="0" w:type="dxa"/>
          <w:right w:w="0" w:type="dxa"/>
        </w:tblCellMar>
        <w:tblLook w:val="01E0"/>
      </w:tblPr>
      <w:tblGrid>
        <w:gridCol w:w="1697"/>
        <w:gridCol w:w="1786"/>
        <w:gridCol w:w="1519"/>
        <w:gridCol w:w="1934"/>
        <w:gridCol w:w="1663"/>
      </w:tblGrid>
      <w:tr>
        <w:trPr>
          <w:trHeight w:val="482" w:hRule="exact"/>
        </w:trPr>
        <w:tc>
          <w:tcPr>
            <w:tcW w:w="1697" w:type="dxa"/>
            <w:vMerge w:val="restart"/>
            <w:tcBorders>
              <w:top w:val="single" w:sz="12" w:space="0" w:color="000000"/>
              <w:left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72"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3305"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1"/>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年度</w:t>
            </w:r>
          </w:p>
        </w:tc>
        <w:tc>
          <w:tcPr>
            <w:tcW w:w="3598"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1"/>
              <w:ind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5"/>
                <w:sz w:val="18"/>
                <w:szCs w:val="18"/>
              </w:rPr>
              <w:t> </w:t>
            </w:r>
            <w:r>
              <w:rPr>
                <w:rFonts w:ascii="宋体" w:hAnsi="宋体" w:cs="宋体" w:eastAsia="宋体" w:hint="default"/>
                <w:sz w:val="18"/>
                <w:szCs w:val="18"/>
              </w:rPr>
              <w:t>年度</w:t>
            </w:r>
          </w:p>
        </w:tc>
      </w:tr>
      <w:tr>
        <w:trPr>
          <w:trHeight w:val="485" w:hRule="exact"/>
        </w:trPr>
        <w:tc>
          <w:tcPr>
            <w:tcW w:w="1697" w:type="dxa"/>
            <w:vMerge/>
            <w:tcBorders>
              <w:left w:val="single" w:sz="12" w:space="0" w:color="000000"/>
              <w:bottom w:val="single" w:sz="12" w:space="0" w:color="000000"/>
              <w:right w:val="single" w:sz="12" w:space="0" w:color="000000"/>
            </w:tcBorders>
          </w:tcPr>
          <w:p>
            <w:pPr/>
          </w:p>
        </w:tc>
        <w:tc>
          <w:tcPr>
            <w:tcW w:w="17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5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9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66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营业成本</w:t>
            </w:r>
          </w:p>
        </w:tc>
      </w:tr>
      <w:tr>
        <w:trPr>
          <w:trHeight w:val="485" w:hRule="exact"/>
        </w:trPr>
        <w:tc>
          <w:tcPr>
            <w:tcW w:w="169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分散染料</w:t>
            </w:r>
          </w:p>
        </w:tc>
        <w:tc>
          <w:tcPr>
            <w:tcW w:w="17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121,795,220.41</w:t>
            </w:r>
          </w:p>
        </w:tc>
        <w:tc>
          <w:tcPr>
            <w:tcW w:w="15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right="0"/>
              <w:jc w:val="center"/>
              <w:rPr>
                <w:rFonts w:ascii="Arial" w:hAnsi="Arial" w:cs="Arial" w:eastAsia="Arial" w:hint="default"/>
                <w:sz w:val="18"/>
                <w:szCs w:val="18"/>
              </w:rPr>
            </w:pPr>
            <w:r>
              <w:rPr>
                <w:rFonts w:ascii="Arial"/>
                <w:sz w:val="18"/>
              </w:rPr>
              <w:t>79,442,196.80</w:t>
            </w:r>
          </w:p>
        </w:tc>
        <w:tc>
          <w:tcPr>
            <w:tcW w:w="19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3"/>
              <w:jc w:val="center"/>
              <w:rPr>
                <w:rFonts w:ascii="Arial" w:hAnsi="Arial" w:cs="Arial" w:eastAsia="Arial" w:hint="default"/>
                <w:sz w:val="18"/>
                <w:szCs w:val="18"/>
              </w:rPr>
            </w:pPr>
            <w:r>
              <w:rPr>
                <w:rFonts w:ascii="Arial"/>
                <w:sz w:val="18"/>
              </w:rPr>
              <w:t>121,571,000.15</w:t>
            </w:r>
          </w:p>
        </w:tc>
        <w:tc>
          <w:tcPr>
            <w:tcW w:w="166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73,602,787.23</w:t>
            </w:r>
          </w:p>
        </w:tc>
      </w:tr>
      <w:tr>
        <w:trPr>
          <w:trHeight w:val="482" w:hRule="exact"/>
        </w:trPr>
        <w:tc>
          <w:tcPr>
            <w:tcW w:w="169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活性染料</w:t>
            </w:r>
          </w:p>
        </w:tc>
        <w:tc>
          <w:tcPr>
            <w:tcW w:w="17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left="1" w:right="0"/>
              <w:jc w:val="center"/>
              <w:rPr>
                <w:rFonts w:ascii="Arial" w:hAnsi="Arial" w:cs="Arial" w:eastAsia="Arial" w:hint="default"/>
                <w:sz w:val="18"/>
                <w:szCs w:val="18"/>
              </w:rPr>
            </w:pPr>
            <w:r>
              <w:rPr>
                <w:rFonts w:ascii="Arial"/>
                <w:sz w:val="18"/>
              </w:rPr>
              <w:t>46,007,472.90</w:t>
            </w:r>
          </w:p>
        </w:tc>
        <w:tc>
          <w:tcPr>
            <w:tcW w:w="15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right="0"/>
              <w:jc w:val="center"/>
              <w:rPr>
                <w:rFonts w:ascii="Arial" w:hAnsi="Arial" w:cs="Arial" w:eastAsia="Arial" w:hint="default"/>
                <w:sz w:val="18"/>
                <w:szCs w:val="18"/>
              </w:rPr>
            </w:pPr>
            <w:r>
              <w:rPr>
                <w:rFonts w:ascii="Arial"/>
                <w:sz w:val="18"/>
              </w:rPr>
              <w:t>26,315,017.28</w:t>
            </w:r>
          </w:p>
        </w:tc>
        <w:tc>
          <w:tcPr>
            <w:tcW w:w="19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59,319,454.67</w:t>
            </w:r>
          </w:p>
        </w:tc>
        <w:tc>
          <w:tcPr>
            <w:tcW w:w="166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31,502,096.52</w:t>
            </w:r>
          </w:p>
        </w:tc>
      </w:tr>
      <w:tr>
        <w:trPr>
          <w:trHeight w:val="485" w:hRule="exact"/>
        </w:trPr>
        <w:tc>
          <w:tcPr>
            <w:tcW w:w="169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酸性及其他染料</w:t>
            </w:r>
          </w:p>
        </w:tc>
        <w:tc>
          <w:tcPr>
            <w:tcW w:w="17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left="1" w:right="0"/>
              <w:jc w:val="center"/>
              <w:rPr>
                <w:rFonts w:ascii="Arial" w:hAnsi="Arial" w:cs="Arial" w:eastAsia="Arial" w:hint="default"/>
                <w:sz w:val="18"/>
                <w:szCs w:val="18"/>
              </w:rPr>
            </w:pPr>
            <w:r>
              <w:rPr>
                <w:rFonts w:ascii="Arial"/>
                <w:sz w:val="18"/>
              </w:rPr>
              <w:t>19,477,246.23</w:t>
            </w:r>
          </w:p>
        </w:tc>
        <w:tc>
          <w:tcPr>
            <w:tcW w:w="15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right="0"/>
              <w:jc w:val="center"/>
              <w:rPr>
                <w:rFonts w:ascii="Arial" w:hAnsi="Arial" w:cs="Arial" w:eastAsia="Arial" w:hint="default"/>
                <w:sz w:val="18"/>
                <w:szCs w:val="18"/>
              </w:rPr>
            </w:pPr>
            <w:r>
              <w:rPr>
                <w:rFonts w:ascii="Arial"/>
                <w:sz w:val="18"/>
              </w:rPr>
              <w:t>11,250,048.27</w:t>
            </w:r>
          </w:p>
        </w:tc>
        <w:tc>
          <w:tcPr>
            <w:tcW w:w="19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14,201,945.44</w:t>
            </w:r>
          </w:p>
        </w:tc>
        <w:tc>
          <w:tcPr>
            <w:tcW w:w="166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7,115,514.14</w:t>
            </w:r>
          </w:p>
        </w:tc>
      </w:tr>
      <w:tr>
        <w:trPr>
          <w:trHeight w:val="482" w:hRule="exact"/>
        </w:trPr>
        <w:tc>
          <w:tcPr>
            <w:tcW w:w="169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187,279,939.54</w:t>
            </w:r>
          </w:p>
        </w:tc>
        <w:tc>
          <w:tcPr>
            <w:tcW w:w="15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117,007,262.35</w:t>
            </w:r>
          </w:p>
        </w:tc>
        <w:tc>
          <w:tcPr>
            <w:tcW w:w="19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3"/>
              <w:jc w:val="center"/>
              <w:rPr>
                <w:rFonts w:ascii="Arial" w:hAnsi="Arial" w:cs="Arial" w:eastAsia="Arial" w:hint="default"/>
                <w:sz w:val="18"/>
                <w:szCs w:val="18"/>
              </w:rPr>
            </w:pPr>
            <w:r>
              <w:rPr>
                <w:rFonts w:ascii="Arial"/>
                <w:sz w:val="18"/>
              </w:rPr>
              <w:t>195,092,400.26</w:t>
            </w:r>
          </w:p>
        </w:tc>
        <w:tc>
          <w:tcPr>
            <w:tcW w:w="166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112,220,397.89</w:t>
            </w:r>
          </w:p>
        </w:tc>
      </w:tr>
    </w:tbl>
    <w:p>
      <w:pPr>
        <w:spacing w:line="240" w:lineRule="auto" w:before="12"/>
        <w:rPr>
          <w:rFonts w:ascii="宋体" w:hAnsi="宋体" w:cs="宋体" w:eastAsia="宋体" w:hint="default"/>
          <w:sz w:val="23"/>
          <w:szCs w:val="23"/>
        </w:rPr>
      </w:pPr>
    </w:p>
    <w:p>
      <w:pPr>
        <w:pStyle w:val="BodyText"/>
        <w:spacing w:line="240" w:lineRule="auto"/>
        <w:ind w:left="157" w:right="0"/>
        <w:jc w:val="left"/>
      </w:pPr>
      <w:r>
        <w:rPr>
          <w:rFonts w:ascii="Arial" w:hAnsi="Arial" w:cs="Arial" w:eastAsia="Arial" w:hint="default"/>
        </w:rPr>
        <w:t>6.27.4</w:t>
      </w:r>
      <w:r>
        <w:rPr>
          <w:rFonts w:ascii="Arial" w:hAnsi="Arial" w:cs="Arial" w:eastAsia="Arial" w:hint="default"/>
          <w:spacing w:val="43"/>
        </w:rPr>
        <w:t> </w:t>
      </w:r>
      <w:r>
        <w:rPr/>
        <w:t>主营业务（分地区）</w:t>
      </w:r>
    </w:p>
    <w:p>
      <w:pPr>
        <w:spacing w:line="240" w:lineRule="auto" w:before="3"/>
        <w:rPr>
          <w:rFonts w:ascii="宋体" w:hAnsi="宋体" w:cs="宋体" w:eastAsia="宋体" w:hint="default"/>
          <w:sz w:val="12"/>
          <w:szCs w:val="12"/>
        </w:rPr>
      </w:pPr>
    </w:p>
    <w:tbl>
      <w:tblPr>
        <w:tblW w:w="0" w:type="auto"/>
        <w:jc w:val="left"/>
        <w:tblInd w:w="241" w:type="dxa"/>
        <w:tblLayout w:type="fixed"/>
        <w:tblCellMar>
          <w:top w:w="0" w:type="dxa"/>
          <w:left w:w="0" w:type="dxa"/>
          <w:bottom w:w="0" w:type="dxa"/>
          <w:right w:w="0" w:type="dxa"/>
        </w:tblCellMar>
        <w:tblLook w:val="01E0"/>
      </w:tblPr>
      <w:tblGrid>
        <w:gridCol w:w="1488"/>
        <w:gridCol w:w="1596"/>
        <w:gridCol w:w="1517"/>
        <w:gridCol w:w="2030"/>
        <w:gridCol w:w="1812"/>
      </w:tblGrid>
      <w:tr>
        <w:trPr>
          <w:trHeight w:val="485" w:hRule="exact"/>
        </w:trPr>
        <w:tc>
          <w:tcPr>
            <w:tcW w:w="1488" w:type="dxa"/>
            <w:vMerge w:val="restart"/>
            <w:tcBorders>
              <w:top w:val="single" w:sz="12" w:space="0" w:color="000000"/>
              <w:left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3113"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2"/>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年度</w:t>
            </w:r>
          </w:p>
        </w:tc>
        <w:tc>
          <w:tcPr>
            <w:tcW w:w="3842"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5"/>
                <w:sz w:val="18"/>
                <w:szCs w:val="18"/>
              </w:rPr>
              <w:t> </w:t>
            </w:r>
            <w:r>
              <w:rPr>
                <w:rFonts w:ascii="宋体" w:hAnsi="宋体" w:cs="宋体" w:eastAsia="宋体" w:hint="default"/>
                <w:sz w:val="18"/>
                <w:szCs w:val="18"/>
              </w:rPr>
              <w:t>年度</w:t>
            </w:r>
          </w:p>
        </w:tc>
      </w:tr>
      <w:tr>
        <w:trPr>
          <w:trHeight w:val="485" w:hRule="exact"/>
        </w:trPr>
        <w:tc>
          <w:tcPr>
            <w:tcW w:w="1488" w:type="dxa"/>
            <w:vMerge/>
            <w:tcBorders>
              <w:left w:val="single" w:sz="12" w:space="0" w:color="000000"/>
              <w:bottom w:val="single" w:sz="12" w:space="0" w:color="000000"/>
              <w:right w:val="single" w:sz="12" w:space="0" w:color="000000"/>
            </w:tcBorders>
          </w:tcPr>
          <w:p>
            <w:pPr/>
          </w:p>
        </w:tc>
        <w:tc>
          <w:tcPr>
            <w:tcW w:w="15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51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20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8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530"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82" w:hRule="exact"/>
        </w:trPr>
        <w:tc>
          <w:tcPr>
            <w:tcW w:w="14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浙江区</w:t>
            </w:r>
          </w:p>
        </w:tc>
        <w:tc>
          <w:tcPr>
            <w:tcW w:w="15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right="0"/>
              <w:jc w:val="center"/>
              <w:rPr>
                <w:rFonts w:ascii="Arial" w:hAnsi="Arial" w:cs="Arial" w:eastAsia="Arial" w:hint="default"/>
                <w:sz w:val="18"/>
                <w:szCs w:val="18"/>
              </w:rPr>
            </w:pPr>
            <w:r>
              <w:rPr>
                <w:rFonts w:ascii="Arial"/>
                <w:sz w:val="18"/>
              </w:rPr>
              <w:t>77,555,857.99</w:t>
            </w:r>
          </w:p>
        </w:tc>
        <w:tc>
          <w:tcPr>
            <w:tcW w:w="151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right="1"/>
              <w:jc w:val="center"/>
              <w:rPr>
                <w:rFonts w:ascii="Arial" w:hAnsi="Arial" w:cs="Arial" w:eastAsia="Arial" w:hint="default"/>
                <w:sz w:val="18"/>
                <w:szCs w:val="18"/>
              </w:rPr>
            </w:pPr>
            <w:r>
              <w:rPr>
                <w:rFonts w:ascii="Arial"/>
                <w:sz w:val="18"/>
              </w:rPr>
              <w:t>49,867,741.55</w:t>
            </w:r>
          </w:p>
        </w:tc>
        <w:tc>
          <w:tcPr>
            <w:tcW w:w="20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79,384,307.98</w:t>
            </w:r>
          </w:p>
        </w:tc>
        <w:tc>
          <w:tcPr>
            <w:tcW w:w="18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313"/>
              <w:jc w:val="right"/>
              <w:rPr>
                <w:rFonts w:ascii="Arial" w:hAnsi="Arial" w:cs="Arial" w:eastAsia="Arial" w:hint="default"/>
                <w:sz w:val="18"/>
                <w:szCs w:val="18"/>
              </w:rPr>
            </w:pPr>
            <w:r>
              <w:rPr>
                <w:rFonts w:ascii="Arial"/>
                <w:spacing w:val="-1"/>
                <w:sz w:val="18"/>
              </w:rPr>
              <w:t>50,285,578.38</w:t>
            </w:r>
          </w:p>
        </w:tc>
      </w:tr>
      <w:tr>
        <w:trPr>
          <w:trHeight w:val="485" w:hRule="exact"/>
        </w:trPr>
        <w:tc>
          <w:tcPr>
            <w:tcW w:w="14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江苏区</w:t>
            </w:r>
          </w:p>
        </w:tc>
        <w:tc>
          <w:tcPr>
            <w:tcW w:w="15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right="0"/>
              <w:jc w:val="center"/>
              <w:rPr>
                <w:rFonts w:ascii="Arial" w:hAnsi="Arial" w:cs="Arial" w:eastAsia="Arial" w:hint="default"/>
                <w:sz w:val="18"/>
                <w:szCs w:val="18"/>
              </w:rPr>
            </w:pPr>
            <w:r>
              <w:rPr>
                <w:rFonts w:ascii="Arial"/>
                <w:sz w:val="18"/>
              </w:rPr>
              <w:t>43,784,101.82</w:t>
            </w:r>
          </w:p>
        </w:tc>
        <w:tc>
          <w:tcPr>
            <w:tcW w:w="151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right="1"/>
              <w:jc w:val="center"/>
              <w:rPr>
                <w:rFonts w:ascii="Arial" w:hAnsi="Arial" w:cs="Arial" w:eastAsia="Arial" w:hint="default"/>
                <w:sz w:val="18"/>
                <w:szCs w:val="18"/>
              </w:rPr>
            </w:pPr>
            <w:r>
              <w:rPr>
                <w:rFonts w:ascii="Arial"/>
                <w:sz w:val="18"/>
              </w:rPr>
              <w:t>25,483,266.19</w:t>
            </w:r>
          </w:p>
        </w:tc>
        <w:tc>
          <w:tcPr>
            <w:tcW w:w="20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58,475,224.44</w:t>
            </w:r>
          </w:p>
        </w:tc>
        <w:tc>
          <w:tcPr>
            <w:tcW w:w="18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313"/>
              <w:jc w:val="right"/>
              <w:rPr>
                <w:rFonts w:ascii="Arial" w:hAnsi="Arial" w:cs="Arial" w:eastAsia="Arial" w:hint="default"/>
                <w:sz w:val="18"/>
                <w:szCs w:val="18"/>
              </w:rPr>
            </w:pPr>
            <w:r>
              <w:rPr>
                <w:rFonts w:ascii="Arial"/>
                <w:spacing w:val="-1"/>
                <w:sz w:val="18"/>
              </w:rPr>
              <w:t>32,195,347.38</w:t>
            </w:r>
          </w:p>
        </w:tc>
      </w:tr>
      <w:tr>
        <w:trPr>
          <w:trHeight w:val="485" w:hRule="exact"/>
        </w:trPr>
        <w:tc>
          <w:tcPr>
            <w:tcW w:w="14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华南区</w:t>
            </w:r>
          </w:p>
        </w:tc>
        <w:tc>
          <w:tcPr>
            <w:tcW w:w="15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right="0"/>
              <w:jc w:val="center"/>
              <w:rPr>
                <w:rFonts w:ascii="Arial" w:hAnsi="Arial" w:cs="Arial" w:eastAsia="Arial" w:hint="default"/>
                <w:sz w:val="18"/>
                <w:szCs w:val="18"/>
              </w:rPr>
            </w:pPr>
            <w:r>
              <w:rPr>
                <w:rFonts w:ascii="Arial"/>
                <w:sz w:val="18"/>
              </w:rPr>
              <w:t>24,042,688.16</w:t>
            </w:r>
          </w:p>
        </w:tc>
        <w:tc>
          <w:tcPr>
            <w:tcW w:w="151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right="1"/>
              <w:jc w:val="center"/>
              <w:rPr>
                <w:rFonts w:ascii="Arial" w:hAnsi="Arial" w:cs="Arial" w:eastAsia="Arial" w:hint="default"/>
                <w:sz w:val="18"/>
                <w:szCs w:val="18"/>
              </w:rPr>
            </w:pPr>
            <w:r>
              <w:rPr>
                <w:rFonts w:ascii="Arial"/>
                <w:sz w:val="18"/>
              </w:rPr>
              <w:t>13,898,470.37</w:t>
            </w:r>
          </w:p>
        </w:tc>
        <w:tc>
          <w:tcPr>
            <w:tcW w:w="20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27,443,749.20</w:t>
            </w:r>
          </w:p>
        </w:tc>
        <w:tc>
          <w:tcPr>
            <w:tcW w:w="18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313"/>
              <w:jc w:val="right"/>
              <w:rPr>
                <w:rFonts w:ascii="Arial" w:hAnsi="Arial" w:cs="Arial" w:eastAsia="Arial" w:hint="default"/>
                <w:sz w:val="18"/>
                <w:szCs w:val="18"/>
              </w:rPr>
            </w:pPr>
            <w:r>
              <w:rPr>
                <w:rFonts w:ascii="Arial"/>
                <w:spacing w:val="-1"/>
                <w:sz w:val="18"/>
              </w:rPr>
              <w:t>15,901,133.08</w:t>
            </w:r>
          </w:p>
        </w:tc>
      </w:tr>
      <w:tr>
        <w:trPr>
          <w:trHeight w:val="482" w:hRule="exact"/>
        </w:trPr>
        <w:tc>
          <w:tcPr>
            <w:tcW w:w="14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北方区</w:t>
            </w:r>
          </w:p>
        </w:tc>
        <w:tc>
          <w:tcPr>
            <w:tcW w:w="15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right="0"/>
              <w:jc w:val="center"/>
              <w:rPr>
                <w:rFonts w:ascii="Arial" w:hAnsi="Arial" w:cs="Arial" w:eastAsia="Arial" w:hint="default"/>
                <w:sz w:val="18"/>
                <w:szCs w:val="18"/>
              </w:rPr>
            </w:pPr>
            <w:r>
              <w:rPr>
                <w:rFonts w:ascii="Arial"/>
                <w:sz w:val="18"/>
              </w:rPr>
              <w:t>13,243,094.18</w:t>
            </w:r>
          </w:p>
        </w:tc>
        <w:tc>
          <w:tcPr>
            <w:tcW w:w="151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right="1"/>
              <w:jc w:val="center"/>
              <w:rPr>
                <w:rFonts w:ascii="Arial" w:hAnsi="Arial" w:cs="Arial" w:eastAsia="Arial" w:hint="default"/>
                <w:sz w:val="18"/>
                <w:szCs w:val="18"/>
              </w:rPr>
            </w:pPr>
            <w:r>
              <w:rPr>
                <w:rFonts w:ascii="Arial"/>
                <w:sz w:val="18"/>
              </w:rPr>
              <w:t>5,237,548.93</w:t>
            </w:r>
          </w:p>
        </w:tc>
        <w:tc>
          <w:tcPr>
            <w:tcW w:w="20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13,636,776.46</w:t>
            </w:r>
          </w:p>
        </w:tc>
        <w:tc>
          <w:tcPr>
            <w:tcW w:w="18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left="364" w:right="0"/>
              <w:jc w:val="left"/>
              <w:rPr>
                <w:rFonts w:ascii="Arial" w:hAnsi="Arial" w:cs="Arial" w:eastAsia="Arial" w:hint="default"/>
                <w:sz w:val="18"/>
                <w:szCs w:val="18"/>
              </w:rPr>
            </w:pPr>
            <w:r>
              <w:rPr>
                <w:rFonts w:ascii="Arial"/>
                <w:sz w:val="18"/>
              </w:rPr>
              <w:t>5,683,818.96</w:t>
            </w:r>
          </w:p>
        </w:tc>
      </w:tr>
      <w:tr>
        <w:trPr>
          <w:trHeight w:val="485" w:hRule="exact"/>
        </w:trPr>
        <w:tc>
          <w:tcPr>
            <w:tcW w:w="14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right="0"/>
              <w:jc w:val="center"/>
              <w:rPr>
                <w:rFonts w:ascii="Arial" w:hAnsi="Arial" w:cs="Arial" w:eastAsia="Arial" w:hint="default"/>
                <w:sz w:val="18"/>
                <w:szCs w:val="18"/>
              </w:rPr>
            </w:pPr>
            <w:r>
              <w:rPr>
                <w:rFonts w:ascii="Arial"/>
                <w:sz w:val="18"/>
              </w:rPr>
              <w:t>28,654,197.39</w:t>
            </w:r>
          </w:p>
        </w:tc>
        <w:tc>
          <w:tcPr>
            <w:tcW w:w="151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right="1"/>
              <w:jc w:val="center"/>
              <w:rPr>
                <w:rFonts w:ascii="Arial" w:hAnsi="Arial" w:cs="Arial" w:eastAsia="Arial" w:hint="default"/>
                <w:sz w:val="18"/>
                <w:szCs w:val="18"/>
              </w:rPr>
            </w:pPr>
            <w:r>
              <w:rPr>
                <w:rFonts w:ascii="Arial"/>
                <w:sz w:val="18"/>
              </w:rPr>
              <w:t>22,520,235.31</w:t>
            </w:r>
          </w:p>
        </w:tc>
        <w:tc>
          <w:tcPr>
            <w:tcW w:w="20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16,152,342.18</w:t>
            </w:r>
          </w:p>
        </w:tc>
        <w:tc>
          <w:tcPr>
            <w:tcW w:w="18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left="364" w:right="0"/>
              <w:jc w:val="left"/>
              <w:rPr>
                <w:rFonts w:ascii="Arial" w:hAnsi="Arial" w:cs="Arial" w:eastAsia="Arial" w:hint="default"/>
                <w:sz w:val="18"/>
                <w:szCs w:val="18"/>
              </w:rPr>
            </w:pPr>
            <w:r>
              <w:rPr>
                <w:rFonts w:ascii="Arial"/>
                <w:sz w:val="18"/>
              </w:rPr>
              <w:t>8,154,520.09</w:t>
            </w:r>
          </w:p>
        </w:tc>
      </w:tr>
      <w:tr>
        <w:trPr>
          <w:trHeight w:val="482" w:hRule="exact"/>
        </w:trPr>
        <w:tc>
          <w:tcPr>
            <w:tcW w:w="14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right="1"/>
              <w:jc w:val="center"/>
              <w:rPr>
                <w:rFonts w:ascii="Arial" w:hAnsi="Arial" w:cs="Arial" w:eastAsia="Arial" w:hint="default"/>
                <w:sz w:val="18"/>
                <w:szCs w:val="18"/>
              </w:rPr>
            </w:pPr>
            <w:r>
              <w:rPr>
                <w:rFonts w:ascii="Arial"/>
                <w:sz w:val="18"/>
              </w:rPr>
              <w:t>187,279,939.54</w:t>
            </w:r>
          </w:p>
        </w:tc>
        <w:tc>
          <w:tcPr>
            <w:tcW w:w="151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right="1"/>
              <w:jc w:val="center"/>
              <w:rPr>
                <w:rFonts w:ascii="Arial" w:hAnsi="Arial" w:cs="Arial" w:eastAsia="Arial" w:hint="default"/>
                <w:sz w:val="18"/>
                <w:szCs w:val="18"/>
              </w:rPr>
            </w:pPr>
            <w:r>
              <w:rPr>
                <w:rFonts w:ascii="Arial"/>
                <w:sz w:val="18"/>
              </w:rPr>
              <w:t>117,007,262.35</w:t>
            </w:r>
          </w:p>
        </w:tc>
        <w:tc>
          <w:tcPr>
            <w:tcW w:w="20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195,092,400.26</w:t>
            </w:r>
          </w:p>
        </w:tc>
        <w:tc>
          <w:tcPr>
            <w:tcW w:w="18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269"/>
              <w:jc w:val="right"/>
              <w:rPr>
                <w:rFonts w:ascii="Arial" w:hAnsi="Arial" w:cs="Arial" w:eastAsia="Arial" w:hint="default"/>
                <w:sz w:val="18"/>
                <w:szCs w:val="18"/>
              </w:rPr>
            </w:pPr>
            <w:r>
              <w:rPr>
                <w:rFonts w:ascii="Arial"/>
                <w:spacing w:val="-2"/>
                <w:sz w:val="18"/>
              </w:rPr>
              <w:t>112,220,397.89</w:t>
            </w:r>
          </w:p>
        </w:tc>
      </w:tr>
    </w:tbl>
    <w:p>
      <w:pPr>
        <w:spacing w:line="240" w:lineRule="auto" w:before="12"/>
        <w:rPr>
          <w:rFonts w:ascii="宋体" w:hAnsi="宋体" w:cs="宋体" w:eastAsia="宋体" w:hint="default"/>
          <w:sz w:val="23"/>
          <w:szCs w:val="23"/>
        </w:rPr>
      </w:pPr>
    </w:p>
    <w:p>
      <w:pPr>
        <w:pStyle w:val="BodyText"/>
        <w:spacing w:line="240" w:lineRule="auto"/>
        <w:ind w:left="157" w:right="0"/>
        <w:jc w:val="left"/>
      </w:pPr>
      <w:r>
        <w:rPr>
          <w:rFonts w:ascii="Arial" w:hAnsi="Arial" w:cs="Arial" w:eastAsia="Arial" w:hint="default"/>
        </w:rPr>
        <w:t>6.27.5</w:t>
      </w:r>
      <w:r>
        <w:rPr>
          <w:rFonts w:ascii="Arial" w:hAnsi="Arial" w:cs="Arial" w:eastAsia="Arial" w:hint="default"/>
          <w:spacing w:val="44"/>
        </w:rPr>
        <w:t> </w:t>
      </w:r>
      <w:r>
        <w:rPr/>
        <w:t>公司前五名客户的营业收入情况</w:t>
      </w:r>
    </w:p>
    <w:p>
      <w:pPr>
        <w:spacing w:line="240" w:lineRule="auto" w:before="5"/>
        <w:rPr>
          <w:rFonts w:ascii="宋体" w:hAnsi="宋体" w:cs="宋体" w:eastAsia="宋体" w:hint="default"/>
          <w:sz w:val="12"/>
          <w:szCs w:val="12"/>
        </w:rPr>
      </w:pPr>
    </w:p>
    <w:tbl>
      <w:tblPr>
        <w:tblW w:w="0" w:type="auto"/>
        <w:jc w:val="left"/>
        <w:tblInd w:w="239" w:type="dxa"/>
        <w:tblLayout w:type="fixed"/>
        <w:tblCellMar>
          <w:top w:w="0" w:type="dxa"/>
          <w:left w:w="0" w:type="dxa"/>
          <w:bottom w:w="0" w:type="dxa"/>
          <w:right w:w="0" w:type="dxa"/>
        </w:tblCellMar>
        <w:tblLook w:val="01E0"/>
      </w:tblPr>
      <w:tblGrid>
        <w:gridCol w:w="3041"/>
        <w:gridCol w:w="2724"/>
        <w:gridCol w:w="2683"/>
      </w:tblGrid>
      <w:tr>
        <w:trPr>
          <w:trHeight w:val="636" w:hRule="exact"/>
        </w:trPr>
        <w:tc>
          <w:tcPr>
            <w:tcW w:w="30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3"/>
              <w:ind w:left="777" w:right="0"/>
              <w:jc w:val="left"/>
              <w:rPr>
                <w:rFonts w:ascii="宋体" w:hAnsi="宋体" w:cs="宋体" w:eastAsia="宋体" w:hint="default"/>
                <w:sz w:val="18"/>
                <w:szCs w:val="18"/>
              </w:rPr>
            </w:pPr>
            <w:r>
              <w:rPr>
                <w:rFonts w:ascii="宋体" w:hAnsi="宋体" w:cs="宋体" w:eastAsia="宋体" w:hint="default"/>
                <w:sz w:val="18"/>
                <w:szCs w:val="18"/>
              </w:rPr>
              <w:t>客户名称</w:t>
            </w:r>
          </w:p>
        </w:tc>
        <w:tc>
          <w:tcPr>
            <w:tcW w:w="272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3"/>
              <w:ind w:left="806"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2683"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占公司全部营业收入的</w:t>
            </w:r>
          </w:p>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85" w:hRule="exact"/>
        </w:trPr>
        <w:tc>
          <w:tcPr>
            <w:tcW w:w="30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鲁泰纺织股份有限公司</w:t>
            </w:r>
          </w:p>
        </w:tc>
        <w:tc>
          <w:tcPr>
            <w:tcW w:w="272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0"/>
              <w:ind w:left="806" w:right="0"/>
              <w:jc w:val="left"/>
              <w:rPr>
                <w:rFonts w:ascii="宋体" w:hAnsi="宋体" w:cs="宋体" w:eastAsia="宋体" w:hint="default"/>
                <w:sz w:val="18"/>
                <w:szCs w:val="18"/>
              </w:rPr>
            </w:pPr>
            <w:r>
              <w:rPr>
                <w:rFonts w:ascii="宋体"/>
                <w:sz w:val="18"/>
              </w:rPr>
              <w:t>7,525,726.47</w:t>
            </w:r>
          </w:p>
        </w:tc>
        <w:tc>
          <w:tcPr>
            <w:tcW w:w="26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4.01%</w:t>
            </w:r>
          </w:p>
        </w:tc>
      </w:tr>
      <w:tr>
        <w:trPr>
          <w:trHeight w:val="482" w:hRule="exact"/>
        </w:trPr>
        <w:tc>
          <w:tcPr>
            <w:tcW w:w="30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汕头市龙凤印染有限公司</w:t>
            </w:r>
          </w:p>
        </w:tc>
        <w:tc>
          <w:tcPr>
            <w:tcW w:w="272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0"/>
              <w:ind w:left="806" w:right="0"/>
              <w:jc w:val="left"/>
              <w:rPr>
                <w:rFonts w:ascii="宋体" w:hAnsi="宋体" w:cs="宋体" w:eastAsia="宋体" w:hint="default"/>
                <w:sz w:val="18"/>
                <w:szCs w:val="18"/>
              </w:rPr>
            </w:pPr>
            <w:r>
              <w:rPr>
                <w:rFonts w:ascii="宋体"/>
                <w:sz w:val="18"/>
              </w:rPr>
              <w:t>7,029,679.52</w:t>
            </w:r>
          </w:p>
        </w:tc>
        <w:tc>
          <w:tcPr>
            <w:tcW w:w="26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3.75%</w:t>
            </w:r>
          </w:p>
        </w:tc>
      </w:tr>
    </w:tbl>
    <w:p>
      <w:pPr>
        <w:spacing w:after="0" w:line="240" w:lineRule="auto"/>
        <w:jc w:val="center"/>
        <w:rPr>
          <w:rFonts w:ascii="宋体" w:hAnsi="宋体" w:cs="宋体" w:eastAsia="宋体" w:hint="default"/>
          <w:sz w:val="18"/>
          <w:szCs w:val="18"/>
        </w:rPr>
        <w:sectPr>
          <w:pgSz w:w="11900" w:h="16840"/>
          <w:pgMar w:header="0" w:footer="983" w:top="1100" w:bottom="1180" w:left="1640" w:right="1300"/>
        </w:sectPr>
      </w:pPr>
    </w:p>
    <w:p>
      <w:pPr>
        <w:spacing w:line="240" w:lineRule="auto" w:before="8"/>
        <w:rPr>
          <w:rFonts w:ascii="宋体" w:hAnsi="宋体" w:cs="宋体" w:eastAsia="宋体" w:hint="default"/>
          <w:sz w:val="24"/>
          <w:szCs w:val="24"/>
        </w:rPr>
      </w:pPr>
    </w:p>
    <w:tbl>
      <w:tblPr>
        <w:tblW w:w="0" w:type="auto"/>
        <w:jc w:val="left"/>
        <w:tblInd w:w="319" w:type="dxa"/>
        <w:tblLayout w:type="fixed"/>
        <w:tblCellMar>
          <w:top w:w="0" w:type="dxa"/>
          <w:left w:w="0" w:type="dxa"/>
          <w:bottom w:w="0" w:type="dxa"/>
          <w:right w:w="0" w:type="dxa"/>
        </w:tblCellMar>
        <w:tblLook w:val="01E0"/>
      </w:tblPr>
      <w:tblGrid>
        <w:gridCol w:w="3041"/>
        <w:gridCol w:w="2724"/>
        <w:gridCol w:w="2683"/>
      </w:tblGrid>
      <w:tr>
        <w:trPr>
          <w:trHeight w:val="485" w:hRule="exact"/>
        </w:trPr>
        <w:tc>
          <w:tcPr>
            <w:tcW w:w="30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绍兴县建利印染有限公司</w:t>
            </w:r>
          </w:p>
        </w:tc>
        <w:tc>
          <w:tcPr>
            <w:tcW w:w="272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0"/>
              <w:ind w:left="806" w:right="0"/>
              <w:jc w:val="left"/>
              <w:rPr>
                <w:rFonts w:ascii="宋体" w:hAnsi="宋体" w:cs="宋体" w:eastAsia="宋体" w:hint="default"/>
                <w:sz w:val="18"/>
                <w:szCs w:val="18"/>
              </w:rPr>
            </w:pPr>
            <w:r>
              <w:rPr>
                <w:rFonts w:ascii="宋体"/>
                <w:sz w:val="18"/>
              </w:rPr>
              <w:t>6,442,694.10</w:t>
            </w:r>
          </w:p>
        </w:tc>
        <w:tc>
          <w:tcPr>
            <w:tcW w:w="26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0"/>
              <w:ind w:left="1099" w:right="0"/>
              <w:jc w:val="left"/>
              <w:rPr>
                <w:rFonts w:ascii="宋体" w:hAnsi="宋体" w:cs="宋体" w:eastAsia="宋体" w:hint="default"/>
                <w:sz w:val="18"/>
                <w:szCs w:val="18"/>
              </w:rPr>
            </w:pPr>
            <w:r>
              <w:rPr>
                <w:rFonts w:ascii="宋体"/>
                <w:sz w:val="18"/>
              </w:rPr>
              <w:t>3.43%</w:t>
            </w:r>
          </w:p>
        </w:tc>
      </w:tr>
      <w:tr>
        <w:trPr>
          <w:trHeight w:val="482" w:hRule="exact"/>
        </w:trPr>
        <w:tc>
          <w:tcPr>
            <w:tcW w:w="30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嘉兴富胜达染整有限公司</w:t>
            </w:r>
          </w:p>
        </w:tc>
        <w:tc>
          <w:tcPr>
            <w:tcW w:w="272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0"/>
              <w:ind w:left="806" w:right="0"/>
              <w:jc w:val="left"/>
              <w:rPr>
                <w:rFonts w:ascii="宋体" w:hAnsi="宋体" w:cs="宋体" w:eastAsia="宋体" w:hint="default"/>
                <w:sz w:val="18"/>
                <w:szCs w:val="18"/>
              </w:rPr>
            </w:pPr>
            <w:r>
              <w:rPr>
                <w:rFonts w:ascii="宋体"/>
                <w:sz w:val="18"/>
              </w:rPr>
              <w:t>5,137,243.59</w:t>
            </w:r>
          </w:p>
        </w:tc>
        <w:tc>
          <w:tcPr>
            <w:tcW w:w="26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0"/>
              <w:ind w:left="1099" w:right="0"/>
              <w:jc w:val="left"/>
              <w:rPr>
                <w:rFonts w:ascii="宋体" w:hAnsi="宋体" w:cs="宋体" w:eastAsia="宋体" w:hint="default"/>
                <w:sz w:val="18"/>
                <w:szCs w:val="18"/>
              </w:rPr>
            </w:pPr>
            <w:r>
              <w:rPr>
                <w:rFonts w:ascii="宋体"/>
                <w:sz w:val="18"/>
              </w:rPr>
              <w:t>2.74%</w:t>
            </w:r>
          </w:p>
        </w:tc>
      </w:tr>
      <w:tr>
        <w:trPr>
          <w:trHeight w:val="485" w:hRule="exact"/>
        </w:trPr>
        <w:tc>
          <w:tcPr>
            <w:tcW w:w="30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桐乡市亚太印染有限责任公司</w:t>
            </w:r>
          </w:p>
        </w:tc>
        <w:tc>
          <w:tcPr>
            <w:tcW w:w="272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0"/>
              <w:ind w:left="806" w:right="0"/>
              <w:jc w:val="left"/>
              <w:rPr>
                <w:rFonts w:ascii="宋体" w:hAnsi="宋体" w:cs="宋体" w:eastAsia="宋体" w:hint="default"/>
                <w:sz w:val="18"/>
                <w:szCs w:val="18"/>
              </w:rPr>
            </w:pPr>
            <w:r>
              <w:rPr>
                <w:rFonts w:ascii="宋体"/>
                <w:sz w:val="18"/>
              </w:rPr>
              <w:t>4,862,870.49</w:t>
            </w:r>
          </w:p>
        </w:tc>
        <w:tc>
          <w:tcPr>
            <w:tcW w:w="26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0"/>
              <w:ind w:left="1099" w:right="0"/>
              <w:jc w:val="left"/>
              <w:rPr>
                <w:rFonts w:ascii="宋体" w:hAnsi="宋体" w:cs="宋体" w:eastAsia="宋体" w:hint="default"/>
                <w:sz w:val="18"/>
                <w:szCs w:val="18"/>
              </w:rPr>
            </w:pPr>
            <w:r>
              <w:rPr>
                <w:rFonts w:ascii="宋体"/>
                <w:sz w:val="18"/>
              </w:rPr>
              <w:t>2.59%</w:t>
            </w:r>
          </w:p>
        </w:tc>
      </w:tr>
      <w:tr>
        <w:trPr>
          <w:trHeight w:val="482" w:hRule="exact"/>
        </w:trPr>
        <w:tc>
          <w:tcPr>
            <w:tcW w:w="30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2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0"/>
              <w:ind w:left="760" w:right="0"/>
              <w:jc w:val="left"/>
              <w:rPr>
                <w:rFonts w:ascii="宋体" w:hAnsi="宋体" w:cs="宋体" w:eastAsia="宋体" w:hint="default"/>
                <w:sz w:val="18"/>
                <w:szCs w:val="18"/>
              </w:rPr>
            </w:pPr>
            <w:r>
              <w:rPr>
                <w:rFonts w:ascii="宋体"/>
                <w:sz w:val="18"/>
              </w:rPr>
              <w:t>30,998,214.17</w:t>
            </w:r>
          </w:p>
        </w:tc>
        <w:tc>
          <w:tcPr>
            <w:tcW w:w="26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0"/>
              <w:ind w:left="1056" w:right="0"/>
              <w:jc w:val="left"/>
              <w:rPr>
                <w:rFonts w:ascii="宋体" w:hAnsi="宋体" w:cs="宋体" w:eastAsia="宋体" w:hint="default"/>
                <w:sz w:val="18"/>
                <w:szCs w:val="18"/>
              </w:rPr>
            </w:pPr>
            <w:r>
              <w:rPr>
                <w:rFonts w:ascii="宋体"/>
                <w:sz w:val="18"/>
              </w:rPr>
              <w:t>16.52%</w:t>
            </w:r>
          </w:p>
        </w:tc>
      </w:tr>
    </w:tbl>
    <w:p>
      <w:pPr>
        <w:spacing w:line="240" w:lineRule="auto" w:before="12"/>
        <w:rPr>
          <w:rFonts w:ascii="宋体" w:hAnsi="宋体" w:cs="宋体" w:eastAsia="宋体" w:hint="default"/>
          <w:sz w:val="23"/>
          <w:szCs w:val="23"/>
        </w:rPr>
      </w:pPr>
    </w:p>
    <w:p>
      <w:pPr>
        <w:pStyle w:val="BodyText"/>
        <w:spacing w:line="240" w:lineRule="auto"/>
        <w:ind w:left="237" w:right="0"/>
        <w:jc w:val="left"/>
      </w:pPr>
      <w:r>
        <w:rPr>
          <w:rFonts w:ascii="Arial" w:hAnsi="Arial" w:cs="Arial" w:eastAsia="Arial" w:hint="default"/>
        </w:rPr>
        <w:t>6.28</w:t>
      </w:r>
      <w:r>
        <w:rPr>
          <w:rFonts w:ascii="Arial" w:hAnsi="Arial" w:cs="Arial" w:eastAsia="Arial" w:hint="default"/>
          <w:spacing w:val="-8"/>
        </w:rPr>
        <w:t> </w:t>
      </w:r>
      <w:r>
        <w:rPr/>
        <w:t>销售费用</w:t>
      </w:r>
    </w:p>
    <w:p>
      <w:pPr>
        <w:spacing w:line="240" w:lineRule="auto" w:before="5"/>
        <w:rPr>
          <w:rFonts w:ascii="宋体" w:hAnsi="宋体" w:cs="宋体" w:eastAsia="宋体" w:hint="default"/>
          <w:sz w:val="12"/>
          <w:szCs w:val="12"/>
        </w:rPr>
      </w:pPr>
    </w:p>
    <w:tbl>
      <w:tblPr>
        <w:tblW w:w="0" w:type="auto"/>
        <w:jc w:val="left"/>
        <w:tblInd w:w="259" w:type="dxa"/>
        <w:tblLayout w:type="fixed"/>
        <w:tblCellMar>
          <w:top w:w="0" w:type="dxa"/>
          <w:left w:w="0" w:type="dxa"/>
          <w:bottom w:w="0" w:type="dxa"/>
          <w:right w:w="0" w:type="dxa"/>
        </w:tblCellMar>
        <w:tblLook w:val="01E0"/>
      </w:tblPr>
      <w:tblGrid>
        <w:gridCol w:w="4260"/>
        <w:gridCol w:w="4308"/>
      </w:tblGrid>
      <w:tr>
        <w:trPr>
          <w:trHeight w:val="482" w:hRule="exact"/>
        </w:trPr>
        <w:tc>
          <w:tcPr>
            <w:tcW w:w="42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年度</w:t>
            </w:r>
          </w:p>
        </w:tc>
        <w:tc>
          <w:tcPr>
            <w:tcW w:w="43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5"/>
                <w:sz w:val="18"/>
                <w:szCs w:val="18"/>
              </w:rPr>
              <w:t> </w:t>
            </w:r>
            <w:r>
              <w:rPr>
                <w:rFonts w:ascii="宋体" w:hAnsi="宋体" w:cs="宋体" w:eastAsia="宋体" w:hint="default"/>
                <w:sz w:val="18"/>
                <w:szCs w:val="18"/>
              </w:rPr>
              <w:t>年度</w:t>
            </w:r>
          </w:p>
        </w:tc>
      </w:tr>
      <w:tr>
        <w:trPr>
          <w:trHeight w:val="482" w:hRule="exact"/>
        </w:trPr>
        <w:tc>
          <w:tcPr>
            <w:tcW w:w="42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16,217,503.16</w:t>
            </w:r>
          </w:p>
        </w:tc>
        <w:tc>
          <w:tcPr>
            <w:tcW w:w="43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11,173,833.09</w:t>
            </w:r>
          </w:p>
        </w:tc>
      </w:tr>
    </w:tbl>
    <w:p>
      <w:pPr>
        <w:spacing w:line="240" w:lineRule="auto" w:before="1"/>
        <w:rPr>
          <w:rFonts w:ascii="宋体" w:hAnsi="宋体" w:cs="宋体" w:eastAsia="宋体" w:hint="default"/>
          <w:sz w:val="24"/>
          <w:szCs w:val="24"/>
        </w:rPr>
      </w:pPr>
    </w:p>
    <w:p>
      <w:pPr>
        <w:pStyle w:val="BodyText"/>
        <w:spacing w:line="240" w:lineRule="auto"/>
        <w:ind w:left="237" w:right="0"/>
        <w:jc w:val="left"/>
      </w:pPr>
      <w:r>
        <w:rPr>
          <w:rFonts w:ascii="Arial" w:hAnsi="Arial" w:cs="Arial" w:eastAsia="Arial" w:hint="default"/>
        </w:rPr>
        <w:t>6.28.1</w:t>
      </w:r>
      <w:r>
        <w:rPr>
          <w:rFonts w:ascii="Arial" w:hAnsi="Arial" w:cs="Arial" w:eastAsia="Arial" w:hint="default"/>
          <w:spacing w:val="-9"/>
        </w:rPr>
        <w:t> </w:t>
      </w:r>
      <w:r>
        <w:rPr/>
        <w:t>其中主要类别为：</w:t>
      </w:r>
    </w:p>
    <w:p>
      <w:pPr>
        <w:spacing w:line="240" w:lineRule="auto" w:before="3"/>
        <w:rPr>
          <w:rFonts w:ascii="宋体" w:hAnsi="宋体" w:cs="宋体" w:eastAsia="宋体" w:hint="default"/>
          <w:sz w:val="12"/>
          <w:szCs w:val="12"/>
        </w:rPr>
      </w:pPr>
    </w:p>
    <w:tbl>
      <w:tblPr>
        <w:tblW w:w="0" w:type="auto"/>
        <w:jc w:val="left"/>
        <w:tblInd w:w="292" w:type="dxa"/>
        <w:tblLayout w:type="fixed"/>
        <w:tblCellMar>
          <w:top w:w="0" w:type="dxa"/>
          <w:left w:w="0" w:type="dxa"/>
          <w:bottom w:w="0" w:type="dxa"/>
          <w:right w:w="0" w:type="dxa"/>
        </w:tblCellMar>
        <w:tblLook w:val="01E0"/>
      </w:tblPr>
      <w:tblGrid>
        <w:gridCol w:w="3389"/>
        <w:gridCol w:w="2527"/>
        <w:gridCol w:w="2585"/>
      </w:tblGrid>
      <w:tr>
        <w:trPr>
          <w:trHeight w:val="485" w:hRule="exact"/>
        </w:trPr>
        <w:tc>
          <w:tcPr>
            <w:tcW w:w="338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年度</w:t>
            </w:r>
          </w:p>
        </w:tc>
        <w:tc>
          <w:tcPr>
            <w:tcW w:w="25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5"/>
                <w:sz w:val="18"/>
                <w:szCs w:val="18"/>
              </w:rPr>
              <w:t> </w:t>
            </w:r>
            <w:r>
              <w:rPr>
                <w:rFonts w:ascii="宋体" w:hAnsi="宋体" w:cs="宋体" w:eastAsia="宋体" w:hint="default"/>
                <w:sz w:val="18"/>
                <w:szCs w:val="18"/>
              </w:rPr>
              <w:t>年度</w:t>
            </w:r>
          </w:p>
        </w:tc>
      </w:tr>
      <w:tr>
        <w:trPr>
          <w:trHeight w:val="482" w:hRule="exact"/>
        </w:trPr>
        <w:tc>
          <w:tcPr>
            <w:tcW w:w="338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工资</w:t>
            </w:r>
          </w:p>
        </w:tc>
        <w:tc>
          <w:tcPr>
            <w:tcW w:w="252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5,199,564.61</w:t>
            </w:r>
          </w:p>
        </w:tc>
        <w:tc>
          <w:tcPr>
            <w:tcW w:w="25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3,877,191.95</w:t>
            </w:r>
          </w:p>
        </w:tc>
      </w:tr>
      <w:tr>
        <w:trPr>
          <w:trHeight w:val="485" w:hRule="exact"/>
        </w:trPr>
        <w:tc>
          <w:tcPr>
            <w:tcW w:w="338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运费</w:t>
            </w:r>
          </w:p>
        </w:tc>
        <w:tc>
          <w:tcPr>
            <w:tcW w:w="252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4,402,991.22</w:t>
            </w:r>
          </w:p>
        </w:tc>
        <w:tc>
          <w:tcPr>
            <w:tcW w:w="25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3,112,668.70</w:t>
            </w:r>
          </w:p>
        </w:tc>
      </w:tr>
      <w:tr>
        <w:trPr>
          <w:trHeight w:val="485" w:hRule="exact"/>
        </w:trPr>
        <w:tc>
          <w:tcPr>
            <w:tcW w:w="338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差旅费</w:t>
            </w:r>
          </w:p>
        </w:tc>
        <w:tc>
          <w:tcPr>
            <w:tcW w:w="252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1,129,298.30</w:t>
            </w:r>
          </w:p>
        </w:tc>
        <w:tc>
          <w:tcPr>
            <w:tcW w:w="25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left="1" w:right="0"/>
              <w:jc w:val="center"/>
              <w:rPr>
                <w:rFonts w:ascii="Arial" w:hAnsi="Arial" w:cs="Arial" w:eastAsia="Arial" w:hint="default"/>
                <w:sz w:val="18"/>
                <w:szCs w:val="18"/>
              </w:rPr>
            </w:pPr>
            <w:r>
              <w:rPr>
                <w:rFonts w:ascii="Arial"/>
                <w:sz w:val="18"/>
              </w:rPr>
              <w:t>733,487.49</w:t>
            </w:r>
          </w:p>
        </w:tc>
      </w:tr>
      <w:tr>
        <w:trPr>
          <w:trHeight w:val="482" w:hRule="exact"/>
        </w:trPr>
        <w:tc>
          <w:tcPr>
            <w:tcW w:w="338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包装费</w:t>
            </w:r>
          </w:p>
        </w:tc>
        <w:tc>
          <w:tcPr>
            <w:tcW w:w="252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1,240,974.73</w:t>
            </w:r>
          </w:p>
        </w:tc>
        <w:tc>
          <w:tcPr>
            <w:tcW w:w="25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left="1" w:right="0"/>
              <w:jc w:val="center"/>
              <w:rPr>
                <w:rFonts w:ascii="Arial" w:hAnsi="Arial" w:cs="Arial" w:eastAsia="Arial" w:hint="default"/>
                <w:sz w:val="18"/>
                <w:szCs w:val="18"/>
              </w:rPr>
            </w:pPr>
            <w:r>
              <w:rPr>
                <w:rFonts w:ascii="Arial"/>
                <w:sz w:val="18"/>
              </w:rPr>
              <w:t>694,233.35</w:t>
            </w:r>
          </w:p>
        </w:tc>
      </w:tr>
      <w:tr>
        <w:trPr>
          <w:trHeight w:val="482" w:hRule="exact"/>
        </w:trPr>
        <w:tc>
          <w:tcPr>
            <w:tcW w:w="338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2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right="0"/>
              <w:jc w:val="center"/>
              <w:rPr>
                <w:rFonts w:ascii="Arial" w:hAnsi="Arial" w:cs="Arial" w:eastAsia="Arial" w:hint="default"/>
                <w:sz w:val="18"/>
                <w:szCs w:val="18"/>
              </w:rPr>
            </w:pPr>
            <w:r>
              <w:rPr>
                <w:rFonts w:ascii="Arial"/>
                <w:sz w:val="18"/>
              </w:rPr>
              <w:t>11,972,828.86</w:t>
            </w:r>
          </w:p>
        </w:tc>
        <w:tc>
          <w:tcPr>
            <w:tcW w:w="25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8,417,581.49</w:t>
            </w:r>
          </w:p>
        </w:tc>
      </w:tr>
    </w:tbl>
    <w:p>
      <w:pPr>
        <w:spacing w:line="240" w:lineRule="auto" w:before="12"/>
        <w:rPr>
          <w:rFonts w:ascii="宋体" w:hAnsi="宋体" w:cs="宋体" w:eastAsia="宋体" w:hint="default"/>
          <w:sz w:val="23"/>
          <w:szCs w:val="23"/>
        </w:rPr>
      </w:pPr>
    </w:p>
    <w:p>
      <w:pPr>
        <w:pStyle w:val="BodyText"/>
        <w:spacing w:line="340" w:lineRule="auto"/>
        <w:ind w:left="237" w:right="0"/>
        <w:jc w:val="left"/>
      </w:pPr>
      <w:r>
        <w:rPr>
          <w:rFonts w:ascii="Arial" w:hAnsi="Arial" w:cs="Arial" w:eastAsia="Arial" w:hint="default"/>
          <w:spacing w:val="-1"/>
          <w:w w:val="100"/>
        </w:rPr>
        <w:t>6.28.2</w:t>
      </w:r>
      <w:r>
        <w:rPr>
          <w:rFonts w:ascii="Arial" w:hAnsi="Arial" w:cs="Arial" w:eastAsia="Arial" w:hint="default"/>
          <w:spacing w:val="-25"/>
          <w:w w:val="100"/>
        </w:rPr>
        <w:t> </w:t>
      </w:r>
      <w:r>
        <w:rPr>
          <w:spacing w:val="-1"/>
          <w:w w:val="100"/>
        </w:rPr>
        <w:t>销售费用</w:t>
      </w:r>
      <w:r>
        <w:rPr>
          <w:spacing w:val="-73"/>
          <w:w w:val="100"/>
        </w:rPr>
        <w:t> </w:t>
      </w:r>
      <w:r>
        <w:rPr>
          <w:rFonts w:ascii="Arial" w:hAnsi="Arial" w:cs="Arial" w:eastAsia="Arial" w:hint="default"/>
          <w:spacing w:val="-1"/>
          <w:w w:val="100"/>
        </w:rPr>
        <w:t>2010</w:t>
      </w:r>
      <w:r>
        <w:rPr>
          <w:rFonts w:ascii="Arial" w:hAnsi="Arial" w:cs="Arial" w:eastAsia="Arial" w:hint="default"/>
          <w:spacing w:val="-25"/>
          <w:w w:val="100"/>
        </w:rPr>
        <w:t> </w:t>
      </w:r>
      <w:r>
        <w:rPr>
          <w:w w:val="100"/>
        </w:rPr>
        <w:t>年度发生数比</w:t>
      </w:r>
      <w:r>
        <w:rPr>
          <w:spacing w:val="-73"/>
          <w:w w:val="100"/>
        </w:rPr>
        <w:t> </w:t>
      </w:r>
      <w:r>
        <w:rPr>
          <w:rFonts w:ascii="Arial" w:hAnsi="Arial" w:cs="Arial" w:eastAsia="Arial" w:hint="default"/>
          <w:spacing w:val="-1"/>
          <w:w w:val="100"/>
        </w:rPr>
        <w:t>2009</w:t>
      </w:r>
      <w:r>
        <w:rPr>
          <w:rFonts w:ascii="Arial" w:hAnsi="Arial" w:cs="Arial" w:eastAsia="Arial" w:hint="default"/>
          <w:spacing w:val="-25"/>
          <w:w w:val="100"/>
        </w:rPr>
        <w:t> </w:t>
      </w:r>
      <w:r>
        <w:rPr>
          <w:spacing w:val="-2"/>
          <w:w w:val="100"/>
        </w:rPr>
        <w:t>年度增加</w:t>
      </w:r>
      <w:r>
        <w:rPr>
          <w:spacing w:val="-73"/>
          <w:w w:val="100"/>
        </w:rPr>
        <w:t> </w:t>
      </w:r>
      <w:r>
        <w:rPr>
          <w:rFonts w:ascii="Arial" w:hAnsi="Arial" w:cs="Arial" w:eastAsia="Arial" w:hint="default"/>
          <w:spacing w:val="-1"/>
          <w:w w:val="100"/>
        </w:rPr>
        <w:t>5,043,670.07</w:t>
      </w:r>
      <w:r>
        <w:rPr>
          <w:rFonts w:ascii="Arial" w:hAnsi="Arial" w:cs="Arial" w:eastAsia="Arial" w:hint="default"/>
          <w:spacing w:val="53"/>
          <w:w w:val="100"/>
        </w:rPr>
        <w:t> </w:t>
      </w:r>
      <w:r>
        <w:rPr>
          <w:spacing w:val="-17"/>
          <w:w w:val="100"/>
        </w:rPr>
        <w:t>元，增长比例为</w:t>
      </w:r>
      <w:r>
        <w:rPr>
          <w:spacing w:val="-73"/>
          <w:w w:val="100"/>
        </w:rPr>
        <w:t> </w:t>
      </w:r>
      <w:r>
        <w:rPr>
          <w:rFonts w:ascii="Arial" w:hAnsi="Arial" w:cs="Arial" w:eastAsia="Arial" w:hint="default"/>
          <w:spacing w:val="-1"/>
          <w:w w:val="100"/>
        </w:rPr>
        <w:t>45.14%</w:t>
      </w:r>
      <w:r>
        <w:rPr>
          <w:spacing w:val="-1"/>
          <w:w w:val="100"/>
        </w:rPr>
        <w:t>，</w:t>
      </w:r>
      <w:r>
        <w:rPr>
          <w:w w:val="100"/>
        </w:rPr>
        <w:t> </w:t>
      </w:r>
      <w:r>
        <w:rPr/>
        <w:t>增加原因主要为：工资、运费包装费等费用的增加较多所致。</w:t>
      </w:r>
    </w:p>
    <w:p>
      <w:pPr>
        <w:pStyle w:val="BodyText"/>
        <w:spacing w:line="240" w:lineRule="auto" w:before="47"/>
        <w:ind w:left="237" w:right="0"/>
        <w:jc w:val="left"/>
      </w:pPr>
      <w:r>
        <w:rPr>
          <w:rFonts w:ascii="Arial" w:hAnsi="Arial" w:cs="Arial" w:eastAsia="Arial" w:hint="default"/>
        </w:rPr>
        <w:t>6.29</w:t>
      </w:r>
      <w:r>
        <w:rPr>
          <w:rFonts w:ascii="Arial" w:hAnsi="Arial" w:cs="Arial" w:eastAsia="Arial" w:hint="default"/>
          <w:spacing w:val="-8"/>
        </w:rPr>
        <w:t> </w:t>
      </w:r>
      <w:r>
        <w:rPr/>
        <w:t>管理费用</w:t>
      </w:r>
    </w:p>
    <w:p>
      <w:pPr>
        <w:spacing w:line="240" w:lineRule="auto" w:before="3"/>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4502"/>
        <w:gridCol w:w="4306"/>
      </w:tblGrid>
      <w:tr>
        <w:trPr>
          <w:trHeight w:val="485" w:hRule="exact"/>
        </w:trPr>
        <w:tc>
          <w:tcPr>
            <w:tcW w:w="45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0"/>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年度</w:t>
            </w:r>
          </w:p>
        </w:tc>
        <w:tc>
          <w:tcPr>
            <w:tcW w:w="43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0"/>
              <w:ind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5"/>
                <w:sz w:val="18"/>
                <w:szCs w:val="18"/>
              </w:rPr>
              <w:t> </w:t>
            </w:r>
            <w:r>
              <w:rPr>
                <w:rFonts w:ascii="宋体" w:hAnsi="宋体" w:cs="宋体" w:eastAsia="宋体" w:hint="default"/>
                <w:sz w:val="18"/>
                <w:szCs w:val="18"/>
              </w:rPr>
              <w:t>年度</w:t>
            </w:r>
          </w:p>
        </w:tc>
      </w:tr>
      <w:tr>
        <w:trPr>
          <w:trHeight w:val="482" w:hRule="exact"/>
        </w:trPr>
        <w:tc>
          <w:tcPr>
            <w:tcW w:w="45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1"/>
              <w:jc w:val="center"/>
              <w:rPr>
                <w:rFonts w:ascii="Arial" w:hAnsi="Arial" w:cs="Arial" w:eastAsia="Arial" w:hint="default"/>
                <w:sz w:val="18"/>
                <w:szCs w:val="18"/>
              </w:rPr>
            </w:pPr>
            <w:r>
              <w:rPr>
                <w:rFonts w:ascii="Arial"/>
                <w:sz w:val="18"/>
              </w:rPr>
              <w:t>32,086,671.58</w:t>
            </w:r>
          </w:p>
        </w:tc>
        <w:tc>
          <w:tcPr>
            <w:tcW w:w="43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1"/>
              <w:jc w:val="center"/>
              <w:rPr>
                <w:rFonts w:ascii="Arial" w:hAnsi="Arial" w:cs="Arial" w:eastAsia="Arial" w:hint="default"/>
                <w:sz w:val="18"/>
                <w:szCs w:val="18"/>
              </w:rPr>
            </w:pPr>
            <w:r>
              <w:rPr>
                <w:rFonts w:ascii="Arial"/>
                <w:sz w:val="18"/>
              </w:rPr>
              <w:t>20,987,995.61</w:t>
            </w:r>
          </w:p>
        </w:tc>
      </w:tr>
    </w:tbl>
    <w:p>
      <w:pPr>
        <w:spacing w:line="240" w:lineRule="auto" w:before="12"/>
        <w:rPr>
          <w:rFonts w:ascii="宋体" w:hAnsi="宋体" w:cs="宋体" w:eastAsia="宋体" w:hint="default"/>
          <w:sz w:val="23"/>
          <w:szCs w:val="23"/>
        </w:rPr>
      </w:pPr>
    </w:p>
    <w:p>
      <w:pPr>
        <w:pStyle w:val="BodyText"/>
        <w:spacing w:line="240" w:lineRule="auto"/>
        <w:ind w:left="237" w:right="0"/>
        <w:jc w:val="left"/>
      </w:pPr>
      <w:r>
        <w:rPr>
          <w:rFonts w:ascii="Arial" w:hAnsi="Arial" w:cs="Arial" w:eastAsia="Arial" w:hint="default"/>
        </w:rPr>
        <w:t>6.29.1</w:t>
      </w:r>
      <w:r>
        <w:rPr>
          <w:rFonts w:ascii="Arial" w:hAnsi="Arial" w:cs="Arial" w:eastAsia="Arial" w:hint="default"/>
          <w:spacing w:val="-9"/>
        </w:rPr>
        <w:t> </w:t>
      </w:r>
      <w:r>
        <w:rPr/>
        <w:t>其中主要类别为：</w:t>
      </w:r>
    </w:p>
    <w:p>
      <w:pPr>
        <w:spacing w:line="240" w:lineRule="auto" w:before="5"/>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3336"/>
        <w:gridCol w:w="2693"/>
        <w:gridCol w:w="2774"/>
      </w:tblGrid>
      <w:tr>
        <w:trPr>
          <w:trHeight w:val="482" w:hRule="exact"/>
        </w:trPr>
        <w:tc>
          <w:tcPr>
            <w:tcW w:w="33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9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0"/>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年度</w:t>
            </w:r>
          </w:p>
        </w:tc>
        <w:tc>
          <w:tcPr>
            <w:tcW w:w="27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0"/>
              <w:ind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5"/>
                <w:sz w:val="18"/>
                <w:szCs w:val="18"/>
              </w:rPr>
              <w:t> </w:t>
            </w:r>
            <w:r>
              <w:rPr>
                <w:rFonts w:ascii="宋体" w:hAnsi="宋体" w:cs="宋体" w:eastAsia="宋体" w:hint="default"/>
                <w:sz w:val="18"/>
                <w:szCs w:val="18"/>
              </w:rPr>
              <w:t>年度</w:t>
            </w:r>
          </w:p>
        </w:tc>
      </w:tr>
      <w:tr>
        <w:trPr>
          <w:trHeight w:val="485" w:hRule="exact"/>
        </w:trPr>
        <w:tc>
          <w:tcPr>
            <w:tcW w:w="33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left="93"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269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754"/>
              <w:jc w:val="right"/>
              <w:rPr>
                <w:rFonts w:ascii="Arial" w:hAnsi="Arial" w:cs="Arial" w:eastAsia="Arial" w:hint="default"/>
                <w:sz w:val="18"/>
                <w:szCs w:val="18"/>
              </w:rPr>
            </w:pPr>
            <w:r>
              <w:rPr>
                <w:rFonts w:ascii="Arial"/>
                <w:spacing w:val="-1"/>
                <w:sz w:val="18"/>
              </w:rPr>
              <w:t>12,386,963.77</w:t>
            </w:r>
          </w:p>
        </w:tc>
        <w:tc>
          <w:tcPr>
            <w:tcW w:w="27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1"/>
              <w:jc w:val="center"/>
              <w:rPr>
                <w:rFonts w:ascii="Arial" w:hAnsi="Arial" w:cs="Arial" w:eastAsia="Arial" w:hint="default"/>
                <w:sz w:val="18"/>
                <w:szCs w:val="18"/>
              </w:rPr>
            </w:pPr>
            <w:r>
              <w:rPr>
                <w:rFonts w:ascii="Arial"/>
                <w:sz w:val="18"/>
              </w:rPr>
              <w:t>7,115,277.91</w:t>
            </w:r>
          </w:p>
        </w:tc>
      </w:tr>
      <w:tr>
        <w:trPr>
          <w:trHeight w:val="485" w:hRule="exact"/>
        </w:trPr>
        <w:tc>
          <w:tcPr>
            <w:tcW w:w="33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left="93"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269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805"/>
              <w:jc w:val="right"/>
              <w:rPr>
                <w:rFonts w:ascii="Arial" w:hAnsi="Arial" w:cs="Arial" w:eastAsia="Arial" w:hint="default"/>
                <w:sz w:val="18"/>
                <w:szCs w:val="18"/>
              </w:rPr>
            </w:pPr>
            <w:r>
              <w:rPr>
                <w:rFonts w:ascii="Arial"/>
                <w:spacing w:val="-1"/>
                <w:sz w:val="18"/>
              </w:rPr>
              <w:t>5,338,343.48</w:t>
            </w:r>
          </w:p>
        </w:tc>
        <w:tc>
          <w:tcPr>
            <w:tcW w:w="27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1"/>
              <w:jc w:val="center"/>
              <w:rPr>
                <w:rFonts w:ascii="Arial" w:hAnsi="Arial" w:cs="Arial" w:eastAsia="Arial" w:hint="default"/>
                <w:sz w:val="18"/>
                <w:szCs w:val="18"/>
              </w:rPr>
            </w:pPr>
            <w:r>
              <w:rPr>
                <w:rFonts w:ascii="Arial"/>
                <w:sz w:val="18"/>
              </w:rPr>
              <w:t>4,138,461.68</w:t>
            </w:r>
          </w:p>
        </w:tc>
      </w:tr>
      <w:tr>
        <w:trPr>
          <w:trHeight w:val="482" w:hRule="exact"/>
        </w:trPr>
        <w:tc>
          <w:tcPr>
            <w:tcW w:w="33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left="93"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269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805"/>
              <w:jc w:val="right"/>
              <w:rPr>
                <w:rFonts w:ascii="Arial" w:hAnsi="Arial" w:cs="Arial" w:eastAsia="Arial" w:hint="default"/>
                <w:sz w:val="18"/>
                <w:szCs w:val="18"/>
              </w:rPr>
            </w:pPr>
            <w:r>
              <w:rPr>
                <w:rFonts w:ascii="Arial"/>
                <w:spacing w:val="-1"/>
                <w:sz w:val="18"/>
              </w:rPr>
              <w:t>3,363,555.56</w:t>
            </w:r>
          </w:p>
        </w:tc>
        <w:tc>
          <w:tcPr>
            <w:tcW w:w="27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1"/>
              <w:jc w:val="center"/>
              <w:rPr>
                <w:rFonts w:ascii="Arial" w:hAnsi="Arial" w:cs="Arial" w:eastAsia="Arial" w:hint="default"/>
                <w:sz w:val="18"/>
                <w:szCs w:val="18"/>
              </w:rPr>
            </w:pPr>
            <w:r>
              <w:rPr>
                <w:rFonts w:ascii="Arial"/>
                <w:sz w:val="18"/>
              </w:rPr>
              <w:t>3,084,834.79</w:t>
            </w:r>
          </w:p>
        </w:tc>
      </w:tr>
      <w:tr>
        <w:trPr>
          <w:trHeight w:val="485" w:hRule="exact"/>
        </w:trPr>
        <w:tc>
          <w:tcPr>
            <w:tcW w:w="33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left="93" w:right="0"/>
              <w:jc w:val="left"/>
              <w:rPr>
                <w:rFonts w:ascii="宋体" w:hAnsi="宋体" w:cs="宋体" w:eastAsia="宋体" w:hint="default"/>
                <w:sz w:val="18"/>
                <w:szCs w:val="18"/>
              </w:rPr>
            </w:pPr>
            <w:r>
              <w:rPr>
                <w:rFonts w:ascii="宋体" w:hAnsi="宋体" w:cs="宋体" w:eastAsia="宋体" w:hint="default"/>
                <w:sz w:val="18"/>
                <w:szCs w:val="18"/>
              </w:rPr>
              <w:t>劳动保险费</w:t>
            </w:r>
          </w:p>
        </w:tc>
        <w:tc>
          <w:tcPr>
            <w:tcW w:w="269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left="880" w:right="0"/>
              <w:jc w:val="left"/>
              <w:rPr>
                <w:rFonts w:ascii="Arial" w:hAnsi="Arial" w:cs="Arial" w:eastAsia="Arial" w:hint="default"/>
                <w:sz w:val="18"/>
                <w:szCs w:val="18"/>
              </w:rPr>
            </w:pPr>
            <w:r>
              <w:rPr>
                <w:rFonts w:ascii="Arial"/>
                <w:sz w:val="18"/>
              </w:rPr>
              <w:t>988,584.73</w:t>
            </w:r>
          </w:p>
        </w:tc>
        <w:tc>
          <w:tcPr>
            <w:tcW w:w="27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0"/>
              <w:jc w:val="center"/>
              <w:rPr>
                <w:rFonts w:ascii="Arial" w:hAnsi="Arial" w:cs="Arial" w:eastAsia="Arial" w:hint="default"/>
                <w:sz w:val="18"/>
                <w:szCs w:val="18"/>
              </w:rPr>
            </w:pPr>
            <w:r>
              <w:rPr>
                <w:rFonts w:ascii="Arial"/>
                <w:sz w:val="18"/>
              </w:rPr>
              <w:t>715,945.19</w:t>
            </w:r>
          </w:p>
        </w:tc>
      </w:tr>
      <w:tr>
        <w:trPr>
          <w:trHeight w:val="482" w:hRule="exact"/>
        </w:trPr>
        <w:tc>
          <w:tcPr>
            <w:tcW w:w="33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left="93" w:right="0"/>
              <w:jc w:val="left"/>
              <w:rPr>
                <w:rFonts w:ascii="宋体" w:hAnsi="宋体" w:cs="宋体" w:eastAsia="宋体" w:hint="default"/>
                <w:sz w:val="18"/>
                <w:szCs w:val="18"/>
              </w:rPr>
            </w:pPr>
            <w:r>
              <w:rPr>
                <w:rFonts w:ascii="宋体" w:hAnsi="宋体" w:cs="宋体" w:eastAsia="宋体" w:hint="default"/>
                <w:sz w:val="18"/>
                <w:szCs w:val="18"/>
              </w:rPr>
              <w:t>路演、酒会费用</w:t>
            </w:r>
          </w:p>
        </w:tc>
        <w:tc>
          <w:tcPr>
            <w:tcW w:w="269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right="805"/>
              <w:jc w:val="right"/>
              <w:rPr>
                <w:rFonts w:ascii="Arial" w:hAnsi="Arial" w:cs="Arial" w:eastAsia="Arial" w:hint="default"/>
                <w:sz w:val="18"/>
                <w:szCs w:val="18"/>
              </w:rPr>
            </w:pPr>
            <w:r>
              <w:rPr>
                <w:rFonts w:ascii="Arial"/>
                <w:spacing w:val="-1"/>
                <w:sz w:val="18"/>
              </w:rPr>
              <w:t>2,417,700.00</w:t>
            </w:r>
          </w:p>
        </w:tc>
        <w:tc>
          <w:tcPr>
            <w:tcW w:w="27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0"/>
              <w:jc w:val="center"/>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center"/>
        <w:rPr>
          <w:rFonts w:ascii="Arial" w:hAnsi="Arial" w:cs="Arial" w:eastAsia="Arial" w:hint="default"/>
          <w:sz w:val="18"/>
          <w:szCs w:val="18"/>
        </w:rPr>
        <w:sectPr>
          <w:pgSz w:w="11900" w:h="16840"/>
          <w:pgMar w:header="0" w:footer="983" w:top="1100" w:bottom="1180" w:left="1560" w:right="1260"/>
        </w:sectPr>
      </w:pPr>
    </w:p>
    <w:p>
      <w:pPr>
        <w:spacing w:line="240" w:lineRule="auto" w:before="8"/>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3336"/>
        <w:gridCol w:w="2693"/>
        <w:gridCol w:w="2774"/>
      </w:tblGrid>
      <w:tr>
        <w:trPr>
          <w:trHeight w:val="482" w:hRule="exact"/>
        </w:trPr>
        <w:tc>
          <w:tcPr>
            <w:tcW w:w="33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9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left="753" w:right="0"/>
              <w:jc w:val="left"/>
              <w:rPr>
                <w:rFonts w:ascii="Arial" w:hAnsi="Arial" w:cs="Arial" w:eastAsia="Arial" w:hint="default"/>
                <w:sz w:val="18"/>
                <w:szCs w:val="18"/>
              </w:rPr>
            </w:pPr>
            <w:r>
              <w:rPr>
                <w:rFonts w:ascii="Arial"/>
                <w:sz w:val="18"/>
              </w:rPr>
              <w:t>22,077,447.54</w:t>
            </w:r>
          </w:p>
        </w:tc>
        <w:tc>
          <w:tcPr>
            <w:tcW w:w="27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left="794" w:right="0"/>
              <w:jc w:val="left"/>
              <w:rPr>
                <w:rFonts w:ascii="Arial" w:hAnsi="Arial" w:cs="Arial" w:eastAsia="Arial" w:hint="default"/>
                <w:sz w:val="18"/>
                <w:szCs w:val="18"/>
              </w:rPr>
            </w:pPr>
            <w:r>
              <w:rPr>
                <w:rFonts w:ascii="Arial"/>
                <w:sz w:val="18"/>
              </w:rPr>
              <w:t>15,054,519.57</w:t>
            </w:r>
          </w:p>
        </w:tc>
      </w:tr>
    </w:tbl>
    <w:p>
      <w:pPr>
        <w:spacing w:line="240" w:lineRule="auto" w:before="12"/>
        <w:rPr>
          <w:rFonts w:ascii="宋体" w:hAnsi="宋体" w:cs="宋体" w:eastAsia="宋体" w:hint="default"/>
          <w:sz w:val="23"/>
          <w:szCs w:val="23"/>
        </w:rPr>
      </w:pPr>
    </w:p>
    <w:p>
      <w:pPr>
        <w:pStyle w:val="BodyText"/>
        <w:spacing w:line="240" w:lineRule="auto"/>
        <w:ind w:left="237" w:right="0"/>
        <w:jc w:val="left"/>
      </w:pPr>
      <w:r>
        <w:rPr>
          <w:rFonts w:ascii="Arial" w:hAnsi="Arial" w:cs="Arial" w:eastAsia="Arial" w:hint="default"/>
        </w:rPr>
        <w:t>6.29.2  </w:t>
      </w:r>
      <w:r>
        <w:rPr>
          <w:spacing w:val="5"/>
        </w:rPr>
        <w:t>管理费用 </w:t>
      </w:r>
      <w:r>
        <w:rPr>
          <w:rFonts w:ascii="Arial" w:hAnsi="Arial" w:cs="Arial" w:eastAsia="Arial" w:hint="default"/>
        </w:rPr>
        <w:t>2010  </w:t>
      </w:r>
      <w:r>
        <w:rPr>
          <w:spacing w:val="6"/>
        </w:rPr>
        <w:t>年度发生数比 </w:t>
      </w:r>
      <w:r>
        <w:rPr>
          <w:rFonts w:ascii="Arial" w:hAnsi="Arial" w:cs="Arial" w:eastAsia="Arial" w:hint="default"/>
        </w:rPr>
        <w:t>2009  </w:t>
      </w:r>
      <w:r>
        <w:rPr>
          <w:spacing w:val="5"/>
        </w:rPr>
        <w:t>年度增加 </w:t>
      </w:r>
      <w:r>
        <w:rPr>
          <w:rFonts w:ascii="Arial" w:hAnsi="Arial" w:cs="Arial" w:eastAsia="Arial" w:hint="default"/>
        </w:rPr>
        <w:t>11,098,675.97 </w:t>
      </w:r>
      <w:r>
        <w:rPr>
          <w:rFonts w:ascii="Arial" w:hAnsi="Arial" w:cs="Arial" w:eastAsia="Arial" w:hint="default"/>
          <w:spacing w:val="19"/>
        </w:rPr>
        <w:t> </w:t>
      </w:r>
      <w:r>
        <w:rPr>
          <w:spacing w:val="6"/>
        </w:rPr>
        <w:t>元，增长比例为</w:t>
      </w:r>
    </w:p>
    <w:p>
      <w:pPr>
        <w:pStyle w:val="BodyText"/>
        <w:spacing w:line="338" w:lineRule="auto" w:before="126"/>
        <w:ind w:left="237" w:right="0"/>
        <w:jc w:val="left"/>
      </w:pPr>
      <w:r>
        <w:rPr>
          <w:rFonts w:ascii="Arial" w:hAnsi="Arial" w:cs="Arial" w:eastAsia="Arial" w:hint="default"/>
          <w:spacing w:val="-5"/>
        </w:rPr>
        <w:t>52.88%</w:t>
      </w:r>
      <w:r>
        <w:rPr>
          <w:spacing w:val="-5"/>
        </w:rPr>
        <w:t>，增加原因主要为：公司本年加大了研发投入，加强了管理团队建设，故研发费用、</w:t>
      </w:r>
      <w:r>
        <w:rPr>
          <w:spacing w:val="-77"/>
        </w:rPr>
        <w:t> </w:t>
      </w:r>
      <w:r>
        <w:rPr>
          <w:spacing w:val="-77"/>
        </w:rPr>
      </w:r>
      <w:r>
        <w:rPr/>
        <w:t>工资等人员费用有所增加，此外公司为发行新股增加了路演、酒会费用。</w:t>
      </w:r>
    </w:p>
    <w:p>
      <w:pPr>
        <w:pStyle w:val="BodyText"/>
        <w:spacing w:line="240" w:lineRule="auto" w:before="49"/>
        <w:ind w:left="237" w:right="0"/>
        <w:jc w:val="left"/>
      </w:pPr>
      <w:r>
        <w:rPr>
          <w:rFonts w:ascii="Arial" w:hAnsi="Arial" w:cs="Arial" w:eastAsia="Arial" w:hint="default"/>
        </w:rPr>
        <w:t>6.30</w:t>
      </w:r>
      <w:r>
        <w:rPr>
          <w:rFonts w:ascii="Arial" w:hAnsi="Arial" w:cs="Arial" w:eastAsia="Arial" w:hint="default"/>
          <w:spacing w:val="-8"/>
        </w:rPr>
        <w:t> </w:t>
      </w:r>
      <w:r>
        <w:rPr/>
        <w:t>财务费用</w:t>
      </w:r>
    </w:p>
    <w:p>
      <w:pPr>
        <w:spacing w:line="240" w:lineRule="auto" w:before="5"/>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3336"/>
        <w:gridCol w:w="2690"/>
        <w:gridCol w:w="2623"/>
      </w:tblGrid>
      <w:tr>
        <w:trPr>
          <w:trHeight w:val="482" w:hRule="exact"/>
        </w:trPr>
        <w:tc>
          <w:tcPr>
            <w:tcW w:w="33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1471"/>
              <w:jc w:val="right"/>
              <w:rPr>
                <w:rFonts w:ascii="宋体" w:hAnsi="宋体" w:cs="宋体" w:eastAsia="宋体" w:hint="default"/>
                <w:sz w:val="18"/>
                <w:szCs w:val="18"/>
              </w:rPr>
            </w:pPr>
            <w:r>
              <w:rPr>
                <w:rFonts w:ascii="宋体" w:hAnsi="宋体" w:cs="宋体" w:eastAsia="宋体" w:hint="default"/>
                <w:w w:val="95"/>
                <w:sz w:val="18"/>
                <w:szCs w:val="18"/>
              </w:rPr>
              <w:t>项目</w:t>
            </w:r>
            <w:r>
              <w:rPr>
                <w:rFonts w:ascii="宋体" w:hAnsi="宋体" w:cs="宋体" w:eastAsia="宋体" w:hint="default"/>
                <w:sz w:val="18"/>
                <w:szCs w:val="18"/>
              </w:rPr>
            </w:r>
          </w:p>
        </w:tc>
        <w:tc>
          <w:tcPr>
            <w:tcW w:w="26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0"/>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年度</w:t>
            </w:r>
          </w:p>
        </w:tc>
        <w:tc>
          <w:tcPr>
            <w:tcW w:w="262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0"/>
              <w:ind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5"/>
                <w:sz w:val="18"/>
                <w:szCs w:val="18"/>
              </w:rPr>
              <w:t> </w:t>
            </w:r>
            <w:r>
              <w:rPr>
                <w:rFonts w:ascii="宋体" w:hAnsi="宋体" w:cs="宋体" w:eastAsia="宋体" w:hint="default"/>
                <w:sz w:val="18"/>
                <w:szCs w:val="18"/>
              </w:rPr>
              <w:t>年度</w:t>
            </w:r>
          </w:p>
        </w:tc>
      </w:tr>
      <w:tr>
        <w:trPr>
          <w:trHeight w:val="485" w:hRule="exact"/>
        </w:trPr>
        <w:tc>
          <w:tcPr>
            <w:tcW w:w="33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left="9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6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left="1" w:right="0"/>
              <w:jc w:val="center"/>
              <w:rPr>
                <w:rFonts w:ascii="Arial" w:hAnsi="Arial" w:cs="Arial" w:eastAsia="Arial" w:hint="default"/>
                <w:sz w:val="18"/>
                <w:szCs w:val="18"/>
              </w:rPr>
            </w:pPr>
            <w:r>
              <w:rPr>
                <w:rFonts w:ascii="Arial"/>
                <w:sz w:val="18"/>
              </w:rPr>
              <w:t>828,175.52</w:t>
            </w:r>
          </w:p>
        </w:tc>
        <w:tc>
          <w:tcPr>
            <w:tcW w:w="262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0"/>
              <w:jc w:val="center"/>
              <w:rPr>
                <w:rFonts w:ascii="Arial" w:hAnsi="Arial" w:cs="Arial" w:eastAsia="Arial" w:hint="default"/>
                <w:sz w:val="18"/>
                <w:szCs w:val="18"/>
              </w:rPr>
            </w:pPr>
            <w:r>
              <w:rPr>
                <w:rFonts w:ascii="Arial"/>
                <w:sz w:val="18"/>
              </w:rPr>
              <w:t>1,391,774.76</w:t>
            </w:r>
          </w:p>
        </w:tc>
      </w:tr>
      <w:tr>
        <w:trPr>
          <w:trHeight w:val="485" w:hRule="exact"/>
        </w:trPr>
        <w:tc>
          <w:tcPr>
            <w:tcW w:w="33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left="93"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6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0"/>
              <w:jc w:val="center"/>
              <w:rPr>
                <w:rFonts w:ascii="Arial" w:hAnsi="Arial" w:cs="Arial" w:eastAsia="Arial" w:hint="default"/>
                <w:sz w:val="18"/>
                <w:szCs w:val="18"/>
              </w:rPr>
            </w:pPr>
            <w:r>
              <w:rPr>
                <w:rFonts w:ascii="Arial"/>
                <w:sz w:val="18"/>
              </w:rPr>
              <w:t>3,715,311.96</w:t>
            </w:r>
          </w:p>
        </w:tc>
        <w:tc>
          <w:tcPr>
            <w:tcW w:w="262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0"/>
              <w:jc w:val="center"/>
              <w:rPr>
                <w:rFonts w:ascii="Arial" w:hAnsi="Arial" w:cs="Arial" w:eastAsia="Arial" w:hint="default"/>
                <w:sz w:val="18"/>
                <w:szCs w:val="18"/>
              </w:rPr>
            </w:pPr>
            <w:r>
              <w:rPr>
                <w:rFonts w:ascii="Arial"/>
                <w:spacing w:val="-3"/>
                <w:sz w:val="18"/>
              </w:rPr>
              <w:t>111,434.39</w:t>
            </w:r>
          </w:p>
        </w:tc>
      </w:tr>
      <w:tr>
        <w:trPr>
          <w:trHeight w:val="482" w:hRule="exact"/>
        </w:trPr>
        <w:tc>
          <w:tcPr>
            <w:tcW w:w="33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left="93" w:right="0"/>
              <w:jc w:val="left"/>
              <w:rPr>
                <w:rFonts w:ascii="宋体" w:hAnsi="宋体" w:cs="宋体" w:eastAsia="宋体" w:hint="default"/>
                <w:sz w:val="18"/>
                <w:szCs w:val="18"/>
              </w:rPr>
            </w:pPr>
            <w:r>
              <w:rPr>
                <w:rFonts w:ascii="宋体" w:hAnsi="宋体" w:cs="宋体" w:eastAsia="宋体" w:hint="default"/>
                <w:sz w:val="18"/>
                <w:szCs w:val="18"/>
              </w:rPr>
              <w:t>利息净支出</w:t>
            </w:r>
          </w:p>
        </w:tc>
        <w:tc>
          <w:tcPr>
            <w:tcW w:w="26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left="1" w:right="0"/>
              <w:jc w:val="center"/>
              <w:rPr>
                <w:rFonts w:ascii="Arial" w:hAnsi="Arial" w:cs="Arial" w:eastAsia="Arial" w:hint="default"/>
                <w:sz w:val="18"/>
                <w:szCs w:val="18"/>
              </w:rPr>
            </w:pPr>
            <w:r>
              <w:rPr>
                <w:rFonts w:ascii="Arial"/>
                <w:sz w:val="18"/>
              </w:rPr>
              <w:t>-2,887,136.44</w:t>
            </w:r>
          </w:p>
        </w:tc>
        <w:tc>
          <w:tcPr>
            <w:tcW w:w="262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0"/>
              <w:jc w:val="center"/>
              <w:rPr>
                <w:rFonts w:ascii="Arial" w:hAnsi="Arial" w:cs="Arial" w:eastAsia="Arial" w:hint="default"/>
                <w:sz w:val="18"/>
                <w:szCs w:val="18"/>
              </w:rPr>
            </w:pPr>
            <w:r>
              <w:rPr>
                <w:rFonts w:ascii="Arial"/>
                <w:sz w:val="18"/>
              </w:rPr>
              <w:t>1,280,340.37</w:t>
            </w:r>
          </w:p>
        </w:tc>
      </w:tr>
      <w:tr>
        <w:trPr>
          <w:trHeight w:val="485" w:hRule="exact"/>
        </w:trPr>
        <w:tc>
          <w:tcPr>
            <w:tcW w:w="33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left="93" w:right="0"/>
              <w:jc w:val="left"/>
              <w:rPr>
                <w:rFonts w:ascii="宋体" w:hAnsi="宋体" w:cs="宋体" w:eastAsia="宋体" w:hint="default"/>
                <w:sz w:val="18"/>
                <w:szCs w:val="18"/>
              </w:rPr>
            </w:pPr>
            <w:r>
              <w:rPr>
                <w:rFonts w:ascii="宋体" w:hAnsi="宋体" w:cs="宋体" w:eastAsia="宋体" w:hint="default"/>
                <w:sz w:val="18"/>
                <w:szCs w:val="18"/>
              </w:rPr>
              <w:t>加：汇兑净损失</w:t>
            </w:r>
          </w:p>
        </w:tc>
        <w:tc>
          <w:tcPr>
            <w:tcW w:w="26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0"/>
              <w:jc w:val="center"/>
              <w:rPr>
                <w:rFonts w:ascii="Arial" w:hAnsi="Arial" w:cs="Arial" w:eastAsia="Arial" w:hint="default"/>
                <w:sz w:val="18"/>
                <w:szCs w:val="18"/>
              </w:rPr>
            </w:pPr>
            <w:r>
              <w:rPr>
                <w:rFonts w:ascii="Arial"/>
                <w:sz w:val="18"/>
              </w:rPr>
              <w:t>20,990.54</w:t>
            </w:r>
          </w:p>
        </w:tc>
        <w:tc>
          <w:tcPr>
            <w:tcW w:w="262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0"/>
              <w:jc w:val="center"/>
              <w:rPr>
                <w:rFonts w:ascii="Arial" w:hAnsi="Arial" w:cs="Arial" w:eastAsia="Arial" w:hint="default"/>
                <w:sz w:val="18"/>
                <w:szCs w:val="18"/>
              </w:rPr>
            </w:pPr>
            <w:r>
              <w:rPr>
                <w:rFonts w:ascii="Arial"/>
                <w:sz w:val="18"/>
              </w:rPr>
              <w:t>-199.82</w:t>
            </w:r>
          </w:p>
        </w:tc>
      </w:tr>
      <w:tr>
        <w:trPr>
          <w:trHeight w:val="485" w:hRule="exact"/>
        </w:trPr>
        <w:tc>
          <w:tcPr>
            <w:tcW w:w="33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left="93"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26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0"/>
              <w:jc w:val="center"/>
              <w:rPr>
                <w:rFonts w:ascii="Arial" w:hAnsi="Arial" w:cs="Arial" w:eastAsia="Arial" w:hint="default"/>
                <w:sz w:val="18"/>
                <w:szCs w:val="18"/>
              </w:rPr>
            </w:pPr>
            <w:r>
              <w:rPr>
                <w:rFonts w:ascii="Arial"/>
                <w:sz w:val="18"/>
              </w:rPr>
              <w:t>39,301.21</w:t>
            </w:r>
          </w:p>
        </w:tc>
        <w:tc>
          <w:tcPr>
            <w:tcW w:w="262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0"/>
              <w:jc w:val="center"/>
              <w:rPr>
                <w:rFonts w:ascii="Arial" w:hAnsi="Arial" w:cs="Arial" w:eastAsia="Arial" w:hint="default"/>
                <w:sz w:val="18"/>
                <w:szCs w:val="18"/>
              </w:rPr>
            </w:pPr>
            <w:r>
              <w:rPr>
                <w:rFonts w:ascii="Arial"/>
                <w:sz w:val="18"/>
              </w:rPr>
              <w:t>26,545.33</w:t>
            </w:r>
          </w:p>
        </w:tc>
      </w:tr>
      <w:tr>
        <w:trPr>
          <w:trHeight w:val="482" w:hRule="exact"/>
        </w:trPr>
        <w:tc>
          <w:tcPr>
            <w:tcW w:w="33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1471"/>
              <w:jc w:val="right"/>
              <w:rPr>
                <w:rFonts w:ascii="宋体" w:hAnsi="宋体" w:cs="宋体" w:eastAsia="宋体" w:hint="default"/>
                <w:sz w:val="18"/>
                <w:szCs w:val="18"/>
              </w:rPr>
            </w:pPr>
            <w:r>
              <w:rPr>
                <w:rFonts w:ascii="宋体" w:hAnsi="宋体" w:cs="宋体" w:eastAsia="宋体" w:hint="default"/>
                <w:w w:val="95"/>
                <w:sz w:val="18"/>
                <w:szCs w:val="18"/>
              </w:rPr>
              <w:t>合计</w:t>
            </w:r>
            <w:r>
              <w:rPr>
                <w:rFonts w:ascii="宋体" w:hAnsi="宋体" w:cs="宋体" w:eastAsia="宋体" w:hint="default"/>
                <w:sz w:val="18"/>
                <w:szCs w:val="18"/>
              </w:rPr>
            </w:r>
          </w:p>
        </w:tc>
        <w:tc>
          <w:tcPr>
            <w:tcW w:w="26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left="1" w:right="0"/>
              <w:jc w:val="center"/>
              <w:rPr>
                <w:rFonts w:ascii="Arial" w:hAnsi="Arial" w:cs="Arial" w:eastAsia="Arial" w:hint="default"/>
                <w:sz w:val="18"/>
                <w:szCs w:val="18"/>
              </w:rPr>
            </w:pPr>
            <w:r>
              <w:rPr>
                <w:rFonts w:ascii="Arial"/>
                <w:sz w:val="18"/>
              </w:rPr>
              <w:t>-2,826,844.69</w:t>
            </w:r>
          </w:p>
        </w:tc>
        <w:tc>
          <w:tcPr>
            <w:tcW w:w="262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0"/>
              <w:jc w:val="center"/>
              <w:rPr>
                <w:rFonts w:ascii="Arial" w:hAnsi="Arial" w:cs="Arial" w:eastAsia="Arial" w:hint="default"/>
                <w:sz w:val="18"/>
                <w:szCs w:val="18"/>
              </w:rPr>
            </w:pPr>
            <w:r>
              <w:rPr>
                <w:rFonts w:ascii="Arial"/>
                <w:sz w:val="18"/>
              </w:rPr>
              <w:t>1,306,685.88</w:t>
            </w:r>
          </w:p>
        </w:tc>
      </w:tr>
    </w:tbl>
    <w:p>
      <w:pPr>
        <w:spacing w:line="240" w:lineRule="auto" w:before="12"/>
        <w:rPr>
          <w:rFonts w:ascii="宋体" w:hAnsi="宋体" w:cs="宋体" w:eastAsia="宋体" w:hint="default"/>
          <w:sz w:val="23"/>
          <w:szCs w:val="23"/>
        </w:rPr>
      </w:pPr>
    </w:p>
    <w:p>
      <w:pPr>
        <w:pStyle w:val="BodyText"/>
        <w:spacing w:line="338" w:lineRule="auto"/>
        <w:ind w:left="237" w:right="0" w:firstLine="439"/>
        <w:jc w:val="left"/>
      </w:pPr>
      <w:r>
        <w:rPr/>
        <w:t>财务费用本年发生数比上年发生数减少 </w:t>
      </w:r>
      <w:r>
        <w:rPr>
          <w:rFonts w:ascii="Arial" w:hAnsi="Arial" w:cs="Arial" w:eastAsia="Arial" w:hint="default"/>
        </w:rPr>
        <w:t>4,133,530.57 </w:t>
      </w:r>
      <w:r>
        <w:rPr/>
        <w:t>元，减少比例为</w:t>
      </w:r>
      <w:r>
        <w:rPr>
          <w:spacing w:val="-60"/>
        </w:rPr>
        <w:t> </w:t>
      </w:r>
      <w:r>
        <w:rPr>
          <w:rFonts w:ascii="Arial" w:hAnsi="Arial" w:cs="Arial" w:eastAsia="Arial" w:hint="default"/>
        </w:rPr>
        <w:t>316.34%</w:t>
      </w:r>
      <w:r>
        <w:rPr/>
        <w:t>，主</w:t>
      </w:r>
      <w:r>
        <w:rPr>
          <w:w w:val="100"/>
        </w:rPr>
        <w:t> </w:t>
      </w:r>
      <w:r>
        <w:rPr/>
        <w:t>要原因为：本年公司收到募集资金，利息收入增加所致。</w:t>
      </w:r>
    </w:p>
    <w:p>
      <w:pPr>
        <w:pStyle w:val="BodyText"/>
        <w:spacing w:line="240" w:lineRule="auto" w:before="49"/>
        <w:ind w:left="237" w:right="0"/>
        <w:jc w:val="left"/>
      </w:pPr>
      <w:r>
        <w:rPr>
          <w:rFonts w:ascii="Arial" w:hAnsi="Arial" w:cs="Arial" w:eastAsia="Arial" w:hint="default"/>
        </w:rPr>
        <w:t>6.31</w:t>
      </w:r>
      <w:r>
        <w:rPr>
          <w:rFonts w:ascii="Arial" w:hAnsi="Arial" w:cs="Arial" w:eastAsia="Arial" w:hint="default"/>
          <w:spacing w:val="-9"/>
        </w:rPr>
        <w:t> </w:t>
      </w:r>
      <w:r>
        <w:rPr/>
        <w:t>资产减值损失</w:t>
      </w:r>
    </w:p>
    <w:p>
      <w:pPr>
        <w:spacing w:line="240" w:lineRule="auto" w:before="5"/>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3336"/>
        <w:gridCol w:w="2690"/>
        <w:gridCol w:w="2623"/>
      </w:tblGrid>
      <w:tr>
        <w:trPr>
          <w:trHeight w:val="482" w:hRule="exact"/>
        </w:trPr>
        <w:tc>
          <w:tcPr>
            <w:tcW w:w="33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年度</w:t>
            </w:r>
          </w:p>
        </w:tc>
        <w:tc>
          <w:tcPr>
            <w:tcW w:w="262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5"/>
                <w:sz w:val="18"/>
                <w:szCs w:val="18"/>
              </w:rPr>
              <w:t> </w:t>
            </w:r>
            <w:r>
              <w:rPr>
                <w:rFonts w:ascii="宋体" w:hAnsi="宋体" w:cs="宋体" w:eastAsia="宋体" w:hint="default"/>
                <w:sz w:val="18"/>
                <w:szCs w:val="18"/>
              </w:rPr>
              <w:t>年度</w:t>
            </w:r>
          </w:p>
        </w:tc>
      </w:tr>
      <w:tr>
        <w:trPr>
          <w:trHeight w:val="485" w:hRule="exact"/>
        </w:trPr>
        <w:tc>
          <w:tcPr>
            <w:tcW w:w="33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一、坏账损失</w:t>
            </w:r>
          </w:p>
        </w:tc>
        <w:tc>
          <w:tcPr>
            <w:tcW w:w="26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0"/>
              <w:jc w:val="center"/>
              <w:rPr>
                <w:rFonts w:ascii="Arial" w:hAnsi="Arial" w:cs="Arial" w:eastAsia="Arial" w:hint="default"/>
                <w:sz w:val="18"/>
                <w:szCs w:val="18"/>
              </w:rPr>
            </w:pPr>
            <w:r>
              <w:rPr>
                <w:rFonts w:ascii="Arial"/>
                <w:sz w:val="18"/>
              </w:rPr>
              <w:t>463,115.48</w:t>
            </w:r>
          </w:p>
        </w:tc>
        <w:tc>
          <w:tcPr>
            <w:tcW w:w="262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1"/>
              <w:jc w:val="center"/>
              <w:rPr>
                <w:rFonts w:ascii="Arial" w:hAnsi="Arial" w:cs="Arial" w:eastAsia="Arial" w:hint="default"/>
                <w:sz w:val="18"/>
                <w:szCs w:val="18"/>
              </w:rPr>
            </w:pPr>
            <w:r>
              <w:rPr>
                <w:rFonts w:ascii="Arial"/>
                <w:sz w:val="18"/>
              </w:rPr>
              <w:t>868,925.67</w:t>
            </w:r>
          </w:p>
        </w:tc>
      </w:tr>
      <w:tr>
        <w:trPr>
          <w:trHeight w:val="485" w:hRule="exact"/>
        </w:trPr>
        <w:tc>
          <w:tcPr>
            <w:tcW w:w="33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二、存货跌价损失</w:t>
            </w:r>
          </w:p>
        </w:tc>
        <w:tc>
          <w:tcPr>
            <w:tcW w:w="26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0"/>
              <w:jc w:val="center"/>
              <w:rPr>
                <w:rFonts w:ascii="Arial" w:hAnsi="Arial" w:cs="Arial" w:eastAsia="Arial" w:hint="default"/>
                <w:sz w:val="18"/>
                <w:szCs w:val="18"/>
              </w:rPr>
            </w:pPr>
            <w:r>
              <w:rPr>
                <w:rFonts w:ascii="Arial"/>
                <w:sz w:val="18"/>
              </w:rPr>
              <w:t>73,617.90</w:t>
            </w:r>
          </w:p>
        </w:tc>
        <w:tc>
          <w:tcPr>
            <w:tcW w:w="262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82" w:hRule="exact"/>
        </w:trPr>
        <w:tc>
          <w:tcPr>
            <w:tcW w:w="33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left="1" w:right="0"/>
              <w:jc w:val="center"/>
              <w:rPr>
                <w:rFonts w:ascii="Arial" w:hAnsi="Arial" w:cs="Arial" w:eastAsia="Arial" w:hint="default"/>
                <w:sz w:val="18"/>
                <w:szCs w:val="18"/>
              </w:rPr>
            </w:pPr>
            <w:r>
              <w:rPr>
                <w:rFonts w:ascii="Arial"/>
                <w:sz w:val="18"/>
              </w:rPr>
              <w:t>536,733.38</w:t>
            </w:r>
          </w:p>
        </w:tc>
        <w:tc>
          <w:tcPr>
            <w:tcW w:w="262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1"/>
              <w:jc w:val="center"/>
              <w:rPr>
                <w:rFonts w:ascii="Arial" w:hAnsi="Arial" w:cs="Arial" w:eastAsia="Arial" w:hint="default"/>
                <w:sz w:val="18"/>
                <w:szCs w:val="18"/>
              </w:rPr>
            </w:pPr>
            <w:r>
              <w:rPr>
                <w:rFonts w:ascii="Arial"/>
                <w:sz w:val="18"/>
              </w:rPr>
              <w:t>868,925.67</w:t>
            </w:r>
          </w:p>
        </w:tc>
      </w:tr>
    </w:tbl>
    <w:p>
      <w:pPr>
        <w:spacing w:line="240" w:lineRule="auto" w:before="12"/>
        <w:rPr>
          <w:rFonts w:ascii="宋体" w:hAnsi="宋体" w:cs="宋体" w:eastAsia="宋体" w:hint="default"/>
          <w:sz w:val="23"/>
          <w:szCs w:val="23"/>
        </w:rPr>
      </w:pPr>
    </w:p>
    <w:p>
      <w:pPr>
        <w:pStyle w:val="BodyText"/>
        <w:spacing w:line="240" w:lineRule="auto"/>
        <w:ind w:left="237" w:right="0"/>
        <w:jc w:val="left"/>
      </w:pPr>
      <w:r>
        <w:rPr>
          <w:rFonts w:ascii="Arial" w:hAnsi="Arial" w:cs="Arial" w:eastAsia="Arial" w:hint="default"/>
        </w:rPr>
        <w:t>6.32</w:t>
      </w:r>
      <w:r>
        <w:rPr>
          <w:rFonts w:ascii="Arial" w:hAnsi="Arial" w:cs="Arial" w:eastAsia="Arial" w:hint="default"/>
          <w:spacing w:val="-7"/>
        </w:rPr>
        <w:t> </w:t>
      </w:r>
      <w:r>
        <w:rPr/>
        <w:t>营业外收入</w:t>
      </w:r>
    </w:p>
    <w:p>
      <w:pPr>
        <w:spacing w:line="240" w:lineRule="auto" w:before="3"/>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3401"/>
        <w:gridCol w:w="2626"/>
        <w:gridCol w:w="2618"/>
      </w:tblGrid>
      <w:tr>
        <w:trPr>
          <w:trHeight w:val="485" w:hRule="exact"/>
        </w:trPr>
        <w:tc>
          <w:tcPr>
            <w:tcW w:w="34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年度</w:t>
            </w:r>
          </w:p>
        </w:tc>
        <w:tc>
          <w:tcPr>
            <w:tcW w:w="26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5"/>
                <w:sz w:val="18"/>
                <w:szCs w:val="18"/>
              </w:rPr>
              <w:t> </w:t>
            </w:r>
            <w:r>
              <w:rPr>
                <w:rFonts w:ascii="宋体" w:hAnsi="宋体" w:cs="宋体" w:eastAsia="宋体" w:hint="default"/>
                <w:sz w:val="18"/>
                <w:szCs w:val="18"/>
              </w:rPr>
              <w:t>年度</w:t>
            </w:r>
          </w:p>
        </w:tc>
      </w:tr>
      <w:tr>
        <w:trPr>
          <w:trHeight w:val="485" w:hRule="exact"/>
        </w:trPr>
        <w:tc>
          <w:tcPr>
            <w:tcW w:w="34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政府补助</w:t>
            </w:r>
          </w:p>
        </w:tc>
        <w:tc>
          <w:tcPr>
            <w:tcW w:w="26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2"/>
              <w:ind w:right="1"/>
              <w:jc w:val="center"/>
              <w:rPr>
                <w:rFonts w:ascii="Arial" w:hAnsi="Arial" w:cs="Arial" w:eastAsia="Arial" w:hint="default"/>
                <w:sz w:val="18"/>
                <w:szCs w:val="18"/>
              </w:rPr>
            </w:pPr>
            <w:r>
              <w:rPr>
                <w:rFonts w:ascii="Arial"/>
                <w:sz w:val="18"/>
              </w:rPr>
              <w:t>8,453,700.00</w:t>
            </w:r>
          </w:p>
        </w:tc>
        <w:tc>
          <w:tcPr>
            <w:tcW w:w="26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2"/>
              <w:ind w:right="0"/>
              <w:jc w:val="center"/>
              <w:rPr>
                <w:rFonts w:ascii="Arial" w:hAnsi="Arial" w:cs="Arial" w:eastAsia="Arial" w:hint="default"/>
                <w:sz w:val="18"/>
                <w:szCs w:val="18"/>
              </w:rPr>
            </w:pPr>
            <w:r>
              <w:rPr>
                <w:rFonts w:ascii="Arial"/>
                <w:sz w:val="18"/>
              </w:rPr>
              <w:t>5,883,480.00</w:t>
            </w:r>
          </w:p>
        </w:tc>
      </w:tr>
      <w:tr>
        <w:trPr>
          <w:trHeight w:val="482" w:hRule="exact"/>
        </w:trPr>
        <w:tc>
          <w:tcPr>
            <w:tcW w:w="34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6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2"/>
              <w:ind w:right="1"/>
              <w:jc w:val="center"/>
              <w:rPr>
                <w:rFonts w:ascii="Arial" w:hAnsi="Arial" w:cs="Arial" w:eastAsia="Arial" w:hint="default"/>
                <w:sz w:val="18"/>
                <w:szCs w:val="18"/>
              </w:rPr>
            </w:pPr>
            <w:r>
              <w:rPr>
                <w:rFonts w:ascii="Arial"/>
                <w:sz w:val="18"/>
              </w:rPr>
              <w:t>59,730.37</w:t>
            </w:r>
          </w:p>
        </w:tc>
        <w:tc>
          <w:tcPr>
            <w:tcW w:w="26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2"/>
              <w:ind w:right="0"/>
              <w:jc w:val="center"/>
              <w:rPr>
                <w:rFonts w:ascii="Arial" w:hAnsi="Arial" w:cs="Arial" w:eastAsia="Arial" w:hint="default"/>
                <w:sz w:val="18"/>
                <w:szCs w:val="18"/>
              </w:rPr>
            </w:pPr>
            <w:r>
              <w:rPr>
                <w:rFonts w:ascii="Arial"/>
                <w:sz w:val="18"/>
              </w:rPr>
              <w:t>2,000.00</w:t>
            </w:r>
          </w:p>
        </w:tc>
      </w:tr>
      <w:tr>
        <w:trPr>
          <w:trHeight w:val="485" w:hRule="exact"/>
        </w:trPr>
        <w:tc>
          <w:tcPr>
            <w:tcW w:w="34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2"/>
              <w:ind w:right="1"/>
              <w:jc w:val="center"/>
              <w:rPr>
                <w:rFonts w:ascii="Arial" w:hAnsi="Arial" w:cs="Arial" w:eastAsia="Arial" w:hint="default"/>
                <w:sz w:val="18"/>
                <w:szCs w:val="18"/>
              </w:rPr>
            </w:pPr>
            <w:r>
              <w:rPr>
                <w:rFonts w:ascii="Arial"/>
                <w:sz w:val="18"/>
              </w:rPr>
              <w:t>8,513,430.37</w:t>
            </w:r>
          </w:p>
        </w:tc>
        <w:tc>
          <w:tcPr>
            <w:tcW w:w="26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2"/>
              <w:ind w:right="0"/>
              <w:jc w:val="center"/>
              <w:rPr>
                <w:rFonts w:ascii="Arial" w:hAnsi="Arial" w:cs="Arial" w:eastAsia="Arial" w:hint="default"/>
                <w:sz w:val="18"/>
                <w:szCs w:val="18"/>
              </w:rPr>
            </w:pPr>
            <w:r>
              <w:rPr>
                <w:rFonts w:ascii="Arial"/>
                <w:sz w:val="18"/>
              </w:rPr>
              <w:t>5,885,480.00</w:t>
            </w:r>
          </w:p>
        </w:tc>
      </w:tr>
    </w:tbl>
    <w:p>
      <w:pPr>
        <w:spacing w:line="240" w:lineRule="auto" w:before="12"/>
        <w:rPr>
          <w:rFonts w:ascii="宋体" w:hAnsi="宋体" w:cs="宋体" w:eastAsia="宋体" w:hint="default"/>
          <w:sz w:val="23"/>
          <w:szCs w:val="23"/>
        </w:rPr>
      </w:pPr>
    </w:p>
    <w:p>
      <w:pPr>
        <w:pStyle w:val="BodyText"/>
        <w:spacing w:line="240" w:lineRule="auto"/>
        <w:ind w:left="237" w:right="0"/>
        <w:jc w:val="left"/>
      </w:pPr>
      <w:r>
        <w:rPr>
          <w:rFonts w:ascii="Arial" w:hAnsi="Arial" w:cs="Arial" w:eastAsia="Arial" w:hint="default"/>
        </w:rPr>
        <w:t>6.32.1</w:t>
      </w:r>
      <w:r>
        <w:rPr>
          <w:rFonts w:ascii="Arial" w:hAnsi="Arial" w:cs="Arial" w:eastAsia="Arial" w:hint="default"/>
          <w:spacing w:val="-11"/>
        </w:rPr>
        <w:t> </w:t>
      </w:r>
      <w:r>
        <w:rPr/>
        <w:t>计入当期非经常性损益的金额：</w:t>
      </w:r>
    </w:p>
    <w:p>
      <w:pPr>
        <w:spacing w:line="240" w:lineRule="auto" w:before="3"/>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3398"/>
        <w:gridCol w:w="2626"/>
        <w:gridCol w:w="2647"/>
      </w:tblGrid>
      <w:tr>
        <w:trPr>
          <w:trHeight w:val="482" w:hRule="exact"/>
        </w:trPr>
        <w:tc>
          <w:tcPr>
            <w:tcW w:w="33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年度</w:t>
            </w:r>
          </w:p>
        </w:tc>
        <w:tc>
          <w:tcPr>
            <w:tcW w:w="264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年度</w:t>
            </w:r>
          </w:p>
        </w:tc>
      </w:tr>
    </w:tbl>
    <w:p>
      <w:pPr>
        <w:spacing w:after="0" w:line="240" w:lineRule="auto"/>
        <w:jc w:val="center"/>
        <w:rPr>
          <w:rFonts w:ascii="宋体" w:hAnsi="宋体" w:cs="宋体" w:eastAsia="宋体" w:hint="default"/>
          <w:sz w:val="18"/>
          <w:szCs w:val="18"/>
        </w:rPr>
        <w:sectPr>
          <w:pgSz w:w="11900" w:h="16840"/>
          <w:pgMar w:header="0" w:footer="983" w:top="1100" w:bottom="1180" w:left="1560" w:right="1260"/>
        </w:sectPr>
      </w:pPr>
    </w:p>
    <w:p>
      <w:pPr>
        <w:spacing w:line="240" w:lineRule="auto" w:before="8"/>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3398"/>
        <w:gridCol w:w="2626"/>
        <w:gridCol w:w="2647"/>
      </w:tblGrid>
      <w:tr>
        <w:trPr>
          <w:trHeight w:val="485" w:hRule="exact"/>
        </w:trPr>
        <w:tc>
          <w:tcPr>
            <w:tcW w:w="33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政府补助</w:t>
            </w:r>
          </w:p>
        </w:tc>
        <w:tc>
          <w:tcPr>
            <w:tcW w:w="26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1"/>
              <w:jc w:val="center"/>
              <w:rPr>
                <w:rFonts w:ascii="宋体" w:hAnsi="宋体" w:cs="宋体" w:eastAsia="宋体" w:hint="default"/>
                <w:sz w:val="18"/>
                <w:szCs w:val="18"/>
              </w:rPr>
            </w:pPr>
            <w:r>
              <w:rPr>
                <w:rFonts w:ascii="宋体"/>
                <w:sz w:val="18"/>
              </w:rPr>
              <w:t>8,453,700.00</w:t>
            </w:r>
          </w:p>
        </w:tc>
        <w:tc>
          <w:tcPr>
            <w:tcW w:w="264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1"/>
              <w:jc w:val="center"/>
              <w:rPr>
                <w:rFonts w:ascii="宋体" w:hAnsi="宋体" w:cs="宋体" w:eastAsia="宋体" w:hint="default"/>
                <w:sz w:val="18"/>
                <w:szCs w:val="18"/>
              </w:rPr>
            </w:pPr>
            <w:r>
              <w:rPr>
                <w:rFonts w:ascii="宋体"/>
                <w:sz w:val="18"/>
              </w:rPr>
              <w:t>5,883,480.00</w:t>
            </w:r>
          </w:p>
        </w:tc>
      </w:tr>
      <w:tr>
        <w:trPr>
          <w:trHeight w:val="482" w:hRule="exact"/>
        </w:trPr>
        <w:tc>
          <w:tcPr>
            <w:tcW w:w="33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6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1"/>
              <w:jc w:val="center"/>
              <w:rPr>
                <w:rFonts w:ascii="宋体" w:hAnsi="宋体" w:cs="宋体" w:eastAsia="宋体" w:hint="default"/>
                <w:sz w:val="18"/>
                <w:szCs w:val="18"/>
              </w:rPr>
            </w:pPr>
            <w:r>
              <w:rPr>
                <w:rFonts w:ascii="宋体"/>
                <w:sz w:val="18"/>
              </w:rPr>
              <w:t>59,730.37</w:t>
            </w:r>
          </w:p>
        </w:tc>
        <w:tc>
          <w:tcPr>
            <w:tcW w:w="264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1"/>
              <w:jc w:val="center"/>
              <w:rPr>
                <w:rFonts w:ascii="宋体" w:hAnsi="宋体" w:cs="宋体" w:eastAsia="宋体" w:hint="default"/>
                <w:sz w:val="18"/>
                <w:szCs w:val="18"/>
              </w:rPr>
            </w:pPr>
            <w:r>
              <w:rPr>
                <w:rFonts w:ascii="宋体"/>
                <w:sz w:val="18"/>
              </w:rPr>
              <w:t>2,000.00</w:t>
            </w:r>
          </w:p>
        </w:tc>
      </w:tr>
      <w:tr>
        <w:trPr>
          <w:trHeight w:val="482" w:hRule="exact"/>
        </w:trPr>
        <w:tc>
          <w:tcPr>
            <w:tcW w:w="33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1"/>
              <w:jc w:val="center"/>
              <w:rPr>
                <w:rFonts w:ascii="宋体" w:hAnsi="宋体" w:cs="宋体" w:eastAsia="宋体" w:hint="default"/>
                <w:sz w:val="18"/>
                <w:szCs w:val="18"/>
              </w:rPr>
            </w:pPr>
            <w:r>
              <w:rPr>
                <w:rFonts w:ascii="宋体"/>
                <w:sz w:val="18"/>
              </w:rPr>
              <w:t>8,513,430.37</w:t>
            </w:r>
          </w:p>
        </w:tc>
        <w:tc>
          <w:tcPr>
            <w:tcW w:w="264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1"/>
              <w:jc w:val="center"/>
              <w:rPr>
                <w:rFonts w:ascii="宋体" w:hAnsi="宋体" w:cs="宋体" w:eastAsia="宋体" w:hint="default"/>
                <w:sz w:val="18"/>
                <w:szCs w:val="18"/>
              </w:rPr>
            </w:pPr>
            <w:r>
              <w:rPr>
                <w:rFonts w:ascii="宋体"/>
                <w:sz w:val="18"/>
              </w:rPr>
              <w:t>5,885,480.00</w:t>
            </w:r>
          </w:p>
        </w:tc>
      </w:tr>
    </w:tbl>
    <w:p>
      <w:pPr>
        <w:spacing w:line="240" w:lineRule="auto" w:before="1"/>
        <w:rPr>
          <w:rFonts w:ascii="宋体" w:hAnsi="宋体" w:cs="宋体" w:eastAsia="宋体" w:hint="default"/>
          <w:sz w:val="24"/>
          <w:szCs w:val="24"/>
        </w:rPr>
      </w:pPr>
    </w:p>
    <w:p>
      <w:pPr>
        <w:pStyle w:val="BodyText"/>
        <w:spacing w:line="240" w:lineRule="auto"/>
        <w:ind w:left="237" w:right="0"/>
        <w:jc w:val="left"/>
      </w:pPr>
      <w:r>
        <w:rPr>
          <w:rFonts w:ascii="Arial" w:hAnsi="Arial" w:cs="Arial" w:eastAsia="Arial" w:hint="default"/>
        </w:rPr>
        <w:t>6.32.2</w:t>
      </w:r>
      <w:r>
        <w:rPr>
          <w:rFonts w:ascii="Arial" w:hAnsi="Arial" w:cs="Arial" w:eastAsia="Arial" w:hint="default"/>
          <w:spacing w:val="47"/>
        </w:rPr>
        <w:t> </w:t>
      </w:r>
      <w:r>
        <w:rPr/>
        <w:t>政府补助明细</w:t>
      </w:r>
    </w:p>
    <w:p>
      <w:pPr>
        <w:pStyle w:val="BodyText"/>
        <w:spacing w:line="338" w:lineRule="auto" w:before="123"/>
        <w:ind w:left="237" w:right="0" w:firstLine="439"/>
        <w:jc w:val="left"/>
      </w:pPr>
      <w:r>
        <w:rPr>
          <w:spacing w:val="-4"/>
          <w:w w:val="100"/>
        </w:rPr>
        <w:t>（</w:t>
      </w:r>
      <w:r>
        <w:rPr>
          <w:rFonts w:ascii="Arial" w:hAnsi="Arial" w:cs="Arial" w:eastAsia="Arial" w:hint="default"/>
          <w:spacing w:val="-4"/>
          <w:w w:val="100"/>
        </w:rPr>
        <w:t>1</w:t>
      </w:r>
      <w:r>
        <w:rPr>
          <w:spacing w:val="-4"/>
          <w:w w:val="100"/>
        </w:rPr>
        <w:t>）根据青发改</w:t>
      </w:r>
      <w:r>
        <w:rPr>
          <w:rFonts w:ascii="Arial" w:hAnsi="Arial" w:cs="Arial" w:eastAsia="Arial" w:hint="default"/>
          <w:spacing w:val="-4"/>
          <w:w w:val="100"/>
        </w:rPr>
        <w:t>(2010)41</w:t>
      </w:r>
      <w:r>
        <w:rPr>
          <w:rFonts w:ascii="Arial" w:hAnsi="Arial" w:cs="Arial" w:eastAsia="Arial" w:hint="default"/>
          <w:spacing w:val="-1"/>
          <w:w w:val="100"/>
        </w:rPr>
        <w:t> </w:t>
      </w:r>
      <w:r>
        <w:rPr>
          <w:spacing w:val="-7"/>
          <w:w w:val="100"/>
        </w:rPr>
        <w:t>号文《关于下达</w:t>
      </w:r>
      <w:r>
        <w:rPr>
          <w:spacing w:val="-49"/>
          <w:w w:val="100"/>
        </w:rPr>
        <w:t> </w:t>
      </w:r>
      <w:r>
        <w:rPr>
          <w:rFonts w:ascii="Arial" w:hAnsi="Arial" w:cs="Arial" w:eastAsia="Arial" w:hint="default"/>
          <w:spacing w:val="-2"/>
          <w:w w:val="100"/>
        </w:rPr>
        <w:t>2009</w:t>
      </w:r>
      <w:r>
        <w:rPr>
          <w:rFonts w:ascii="Arial" w:hAnsi="Arial" w:cs="Arial" w:eastAsia="Arial" w:hint="default"/>
          <w:spacing w:val="-3"/>
          <w:w w:val="100"/>
        </w:rPr>
        <w:t> </w:t>
      </w:r>
      <w:r>
        <w:rPr>
          <w:spacing w:val="-8"/>
          <w:w w:val="100"/>
        </w:rPr>
        <w:t>年度循环经济项目结算资金的通知》，</w:t>
      </w:r>
      <w:r>
        <w:rPr>
          <w:w w:val="100"/>
        </w:rPr>
        <w:t> </w:t>
      </w:r>
      <w:r>
        <w:rPr/>
        <w:t>公司本年收到青浦练塘镇拨付补助款</w:t>
      </w:r>
      <w:r>
        <w:rPr>
          <w:spacing w:val="-58"/>
        </w:rPr>
        <w:t> </w:t>
      </w:r>
      <w:r>
        <w:rPr>
          <w:rFonts w:ascii="Arial" w:hAnsi="Arial" w:cs="Arial" w:eastAsia="Arial" w:hint="default"/>
        </w:rPr>
        <w:t>106,100</w:t>
      </w:r>
      <w:r>
        <w:rPr>
          <w:rFonts w:ascii="Arial" w:hAnsi="Arial" w:cs="Arial" w:eastAsia="Arial" w:hint="default"/>
          <w:spacing w:val="-12"/>
        </w:rPr>
        <w:t> </w:t>
      </w:r>
      <w:r>
        <w:rPr/>
        <w:t>元。</w:t>
      </w:r>
    </w:p>
    <w:p>
      <w:pPr>
        <w:pStyle w:val="BodyText"/>
        <w:spacing w:line="348" w:lineRule="auto" w:before="25"/>
        <w:ind w:left="237" w:right="206" w:firstLine="439"/>
        <w:jc w:val="both"/>
      </w:pPr>
      <w:r>
        <w:rPr/>
        <w:t>（</w:t>
      </w:r>
      <w:r>
        <w:rPr>
          <w:rFonts w:ascii="Arial" w:hAnsi="Arial" w:cs="Arial" w:eastAsia="Arial" w:hint="default"/>
        </w:rPr>
        <w:t>2</w:t>
      </w:r>
      <w:r>
        <w:rPr/>
        <w:t>）据青经发（</w:t>
      </w:r>
      <w:r>
        <w:rPr>
          <w:rFonts w:ascii="Arial" w:hAnsi="Arial" w:cs="Arial" w:eastAsia="Arial" w:hint="default"/>
        </w:rPr>
        <w:t>2010</w:t>
      </w:r>
      <w:r>
        <w:rPr/>
        <w:t>）</w:t>
      </w:r>
      <w:r>
        <w:rPr>
          <w:rFonts w:ascii="Arial" w:hAnsi="Arial" w:cs="Arial" w:eastAsia="Arial" w:hint="default"/>
        </w:rPr>
        <w:t>69</w:t>
      </w:r>
      <w:r>
        <w:rPr>
          <w:rFonts w:ascii="Arial" w:hAnsi="Arial" w:cs="Arial" w:eastAsia="Arial" w:hint="default"/>
          <w:spacing w:val="-17"/>
        </w:rPr>
        <w:t> </w:t>
      </w:r>
      <w:r>
        <w:rPr/>
        <w:t>号文《青浦区经委、区财政局关于对上海安诺其纺织化工</w:t>
      </w:r>
      <w:r>
        <w:rPr>
          <w:w w:val="100"/>
        </w:rPr>
        <w:t> </w:t>
      </w:r>
      <w:r>
        <w:rPr>
          <w:spacing w:val="-6"/>
          <w:w w:val="100"/>
        </w:rPr>
        <w:t>股份有限公司下达“推动企业改制上市专项资金”的通知》，公司本年收到青浦练塘镇拨付</w:t>
      </w:r>
      <w:r>
        <w:rPr>
          <w:spacing w:val="-97"/>
          <w:w w:val="100"/>
        </w:rPr>
        <w:t> </w:t>
      </w:r>
      <w:r>
        <w:rPr>
          <w:spacing w:val="-97"/>
          <w:w w:val="100"/>
        </w:rPr>
      </w:r>
      <w:r>
        <w:rPr/>
        <w:t>补助款</w:t>
      </w:r>
      <w:r>
        <w:rPr>
          <w:spacing w:val="-56"/>
        </w:rPr>
        <w:t> </w:t>
      </w:r>
      <w:r>
        <w:rPr>
          <w:rFonts w:ascii="Arial" w:hAnsi="Arial" w:cs="Arial" w:eastAsia="Arial" w:hint="default"/>
        </w:rPr>
        <w:t>272,000</w:t>
      </w:r>
      <w:r>
        <w:rPr>
          <w:rFonts w:ascii="Arial" w:hAnsi="Arial" w:cs="Arial" w:eastAsia="Arial" w:hint="default"/>
          <w:spacing w:val="-8"/>
        </w:rPr>
        <w:t> </w:t>
      </w:r>
      <w:r>
        <w:rPr/>
        <w:t>元。</w:t>
      </w:r>
    </w:p>
    <w:p>
      <w:pPr>
        <w:pStyle w:val="BodyText"/>
        <w:spacing w:line="338" w:lineRule="auto" w:before="15"/>
        <w:ind w:left="237" w:right="206" w:firstLine="439"/>
        <w:jc w:val="both"/>
      </w:pPr>
      <w:r>
        <w:rPr/>
        <w:t>（</w:t>
      </w:r>
      <w:r>
        <w:rPr>
          <w:rFonts w:ascii="Arial" w:hAnsi="Arial" w:cs="Arial" w:eastAsia="Arial" w:hint="default"/>
        </w:rPr>
        <w:t>3</w:t>
      </w:r>
      <w:r>
        <w:rPr/>
        <w:t>）根据国科发计</w:t>
      </w:r>
      <w:r>
        <w:rPr>
          <w:rFonts w:ascii="Arial" w:hAnsi="Arial" w:cs="Arial" w:eastAsia="Arial" w:hint="default"/>
        </w:rPr>
        <w:t>(2009)598</w:t>
      </w:r>
      <w:r>
        <w:rPr>
          <w:rFonts w:ascii="Arial" w:hAnsi="Arial" w:cs="Arial" w:eastAsia="Arial" w:hint="default"/>
          <w:spacing w:val="26"/>
        </w:rPr>
        <w:t> </w:t>
      </w:r>
      <w:r>
        <w:rPr>
          <w:spacing w:val="2"/>
        </w:rPr>
        <w:t>号文《关于组织实施科技人员服务企业行动项目的通</w:t>
      </w:r>
      <w:r>
        <w:rPr>
          <w:w w:val="100"/>
        </w:rPr>
        <w:t> </w:t>
      </w:r>
      <w:r>
        <w:rPr>
          <w:spacing w:val="-7"/>
          <w:w w:val="100"/>
        </w:rPr>
        <w:t>知》，公司本年收到上海市财政拨付补助款</w:t>
      </w:r>
      <w:r>
        <w:rPr>
          <w:spacing w:val="-52"/>
          <w:w w:val="100"/>
        </w:rPr>
        <w:t> </w:t>
      </w:r>
      <w:r>
        <w:rPr>
          <w:rFonts w:ascii="Arial" w:hAnsi="Arial" w:cs="Arial" w:eastAsia="Arial" w:hint="default"/>
          <w:spacing w:val="-1"/>
          <w:w w:val="100"/>
        </w:rPr>
        <w:t>500,000</w:t>
      </w:r>
      <w:r>
        <w:rPr>
          <w:rFonts w:ascii="Arial" w:hAnsi="Arial" w:cs="Arial" w:eastAsia="Arial" w:hint="default"/>
          <w:spacing w:val="-4"/>
          <w:w w:val="100"/>
        </w:rPr>
        <w:t> </w:t>
      </w:r>
      <w:r>
        <w:rPr>
          <w:w w:val="100"/>
        </w:rPr>
        <w:t>元。</w:t>
      </w:r>
    </w:p>
    <w:p>
      <w:pPr>
        <w:pStyle w:val="BodyText"/>
        <w:spacing w:line="338" w:lineRule="auto" w:before="23"/>
        <w:ind w:left="237" w:right="204" w:firstLine="439"/>
        <w:jc w:val="both"/>
      </w:pPr>
      <w:r>
        <w:rPr>
          <w:spacing w:val="-3"/>
        </w:rPr>
        <w:t>（</w:t>
      </w:r>
      <w:r>
        <w:rPr>
          <w:rFonts w:ascii="Arial" w:hAnsi="Arial" w:cs="Arial" w:eastAsia="Arial" w:hint="default"/>
          <w:spacing w:val="-3"/>
        </w:rPr>
        <w:t>4</w:t>
      </w:r>
      <w:r>
        <w:rPr>
          <w:spacing w:val="-3"/>
        </w:rPr>
        <w:t>）根据市科委沪科合</w:t>
      </w:r>
      <w:r>
        <w:rPr>
          <w:rFonts w:ascii="Arial" w:hAnsi="Arial" w:cs="Arial" w:eastAsia="Arial" w:hint="default"/>
          <w:spacing w:val="-3"/>
        </w:rPr>
        <w:t>(2008)</w:t>
      </w:r>
      <w:r>
        <w:rPr>
          <w:spacing w:val="-3"/>
        </w:rPr>
        <w:t>第</w:t>
      </w:r>
      <w:r>
        <w:rPr>
          <w:spacing w:val="-49"/>
        </w:rPr>
        <w:t> </w:t>
      </w:r>
      <w:r>
        <w:rPr>
          <w:rFonts w:ascii="Arial" w:hAnsi="Arial" w:cs="Arial" w:eastAsia="Arial" w:hint="default"/>
        </w:rPr>
        <w:t>033</w:t>
      </w:r>
      <w:r>
        <w:rPr>
          <w:rFonts w:ascii="Arial" w:hAnsi="Arial" w:cs="Arial" w:eastAsia="Arial" w:hint="default"/>
          <w:spacing w:val="-2"/>
        </w:rPr>
        <w:t> </w:t>
      </w:r>
      <w:r>
        <w:rPr>
          <w:spacing w:val="-5"/>
        </w:rPr>
        <w:t>号文《关于公布</w:t>
      </w:r>
      <w:r>
        <w:rPr>
          <w:spacing w:val="-49"/>
        </w:rPr>
        <w:t> </w:t>
      </w:r>
      <w:r>
        <w:rPr>
          <w:rFonts w:ascii="Arial" w:hAnsi="Arial" w:cs="Arial" w:eastAsia="Arial" w:hint="default"/>
        </w:rPr>
        <w:t>2008</w:t>
      </w:r>
      <w:r>
        <w:rPr>
          <w:rFonts w:ascii="Arial" w:hAnsi="Arial" w:cs="Arial" w:eastAsia="Arial" w:hint="default"/>
          <w:spacing w:val="-2"/>
        </w:rPr>
        <w:t> </w:t>
      </w:r>
      <w:r>
        <w:rPr/>
        <w:t>年上海市科技小巨人企业</w:t>
      </w:r>
      <w:r>
        <w:rPr>
          <w:w w:val="100"/>
        </w:rPr>
        <w:t> </w:t>
      </w:r>
      <w:r>
        <w:rPr>
          <w:spacing w:val="2"/>
        </w:rPr>
        <w:t>和科技小巨人培育企业（市区联动）名单并下达资助经费的通知》</w:t>
      </w:r>
      <w:r>
        <w:rPr>
          <w:rFonts w:ascii="Arial" w:hAnsi="Arial" w:cs="Arial" w:eastAsia="Arial" w:hint="default"/>
          <w:spacing w:val="2"/>
        </w:rPr>
        <w:t>,</w:t>
      </w:r>
      <w:r>
        <w:rPr>
          <w:spacing w:val="2"/>
        </w:rPr>
        <w:t>公司本年收到资助款</w:t>
      </w:r>
      <w:r>
        <w:rPr>
          <w:spacing w:val="-26"/>
        </w:rPr>
        <w:t> </w:t>
      </w:r>
      <w:r>
        <w:rPr>
          <w:spacing w:val="-26"/>
        </w:rPr>
      </w:r>
      <w:r>
        <w:rPr>
          <w:rFonts w:ascii="Arial" w:hAnsi="Arial" w:cs="Arial" w:eastAsia="Arial" w:hint="default"/>
        </w:rPr>
        <w:t>500,000</w:t>
      </w:r>
      <w:r>
        <w:rPr>
          <w:rFonts w:ascii="Arial" w:hAnsi="Arial" w:cs="Arial" w:eastAsia="Arial" w:hint="default"/>
          <w:spacing w:val="-8"/>
        </w:rPr>
        <w:t> </w:t>
      </w:r>
      <w:r>
        <w:rPr/>
        <w:t>元。</w:t>
      </w:r>
    </w:p>
    <w:p>
      <w:pPr>
        <w:pStyle w:val="BodyText"/>
        <w:spacing w:line="240" w:lineRule="auto" w:before="23"/>
        <w:ind w:left="676" w:right="0"/>
        <w:jc w:val="left"/>
        <w:rPr>
          <w:rFonts w:ascii="Arial" w:hAnsi="Arial" w:cs="Arial" w:eastAsia="Arial" w:hint="default"/>
        </w:rPr>
      </w:pPr>
      <w:r>
        <w:rPr>
          <w:spacing w:val="-7"/>
        </w:rPr>
        <w:t>（</w:t>
      </w:r>
      <w:r>
        <w:rPr>
          <w:rFonts w:ascii="Arial" w:hAnsi="Arial" w:cs="Arial" w:eastAsia="Arial" w:hint="default"/>
          <w:spacing w:val="-7"/>
        </w:rPr>
        <w:t>5</w:t>
      </w:r>
      <w:r>
        <w:rPr>
          <w:spacing w:val="-7"/>
        </w:rPr>
        <w:t>）根据沪工商标（</w:t>
      </w:r>
      <w:r>
        <w:rPr>
          <w:rFonts w:ascii="Arial" w:hAnsi="Arial" w:cs="Arial" w:eastAsia="Arial" w:hint="default"/>
          <w:spacing w:val="-7"/>
        </w:rPr>
        <w:t>2010</w:t>
      </w:r>
      <w:r>
        <w:rPr>
          <w:spacing w:val="-7"/>
        </w:rPr>
        <w:t>）</w:t>
      </w:r>
      <w:r>
        <w:rPr>
          <w:rFonts w:ascii="Arial" w:hAnsi="Arial" w:cs="Arial" w:eastAsia="Arial" w:hint="default"/>
          <w:spacing w:val="-7"/>
        </w:rPr>
        <w:t>63 </w:t>
      </w:r>
      <w:r>
        <w:rPr>
          <w:spacing w:val="-6"/>
        </w:rPr>
        <w:t>号文《上海市工商行政管理局关于认定“豫园”等</w:t>
      </w:r>
      <w:r>
        <w:rPr>
          <w:spacing w:val="-20"/>
        </w:rPr>
        <w:t> </w:t>
      </w:r>
      <w:r>
        <w:rPr>
          <w:rFonts w:ascii="Arial" w:hAnsi="Arial" w:cs="Arial" w:eastAsia="Arial" w:hint="default"/>
        </w:rPr>
        <w:t>285</w:t>
      </w:r>
    </w:p>
    <w:p>
      <w:pPr>
        <w:pStyle w:val="BodyText"/>
        <w:spacing w:line="240" w:lineRule="auto" w:before="123"/>
        <w:ind w:left="237" w:right="0"/>
        <w:jc w:val="left"/>
      </w:pPr>
      <w:r>
        <w:rPr>
          <w:w w:val="100"/>
        </w:rPr>
        <w:t>件商标</w:t>
      </w:r>
      <w:r>
        <w:rPr>
          <w:spacing w:val="-3"/>
          <w:w w:val="100"/>
        </w:rPr>
        <w:t>为</w:t>
      </w:r>
      <w:r>
        <w:rPr>
          <w:w w:val="100"/>
        </w:rPr>
        <w:t>上海</w:t>
      </w:r>
      <w:r>
        <w:rPr>
          <w:spacing w:val="-3"/>
          <w:w w:val="100"/>
        </w:rPr>
        <w:t>市</w:t>
      </w:r>
      <w:r>
        <w:rPr>
          <w:w w:val="100"/>
        </w:rPr>
        <w:t>著名</w:t>
      </w:r>
      <w:r>
        <w:rPr>
          <w:spacing w:val="-3"/>
          <w:w w:val="100"/>
        </w:rPr>
        <w:t>商标</w:t>
      </w:r>
      <w:r>
        <w:rPr>
          <w:w w:val="100"/>
        </w:rPr>
        <w:t>的通知</w:t>
      </w:r>
      <w:r>
        <w:rPr>
          <w:spacing w:val="-111"/>
          <w:w w:val="100"/>
        </w:rPr>
        <w:t>》</w:t>
      </w:r>
      <w:r>
        <w:rPr>
          <w:spacing w:val="-3"/>
          <w:w w:val="100"/>
        </w:rPr>
        <w:t>，</w:t>
      </w:r>
      <w:r>
        <w:rPr>
          <w:w w:val="100"/>
        </w:rPr>
        <w:t>公司</w:t>
      </w:r>
      <w:r>
        <w:rPr>
          <w:spacing w:val="-3"/>
          <w:w w:val="100"/>
        </w:rPr>
        <w:t>本</w:t>
      </w:r>
      <w:r>
        <w:rPr>
          <w:w w:val="100"/>
        </w:rPr>
        <w:t>年收</w:t>
      </w:r>
      <w:r>
        <w:rPr>
          <w:spacing w:val="-3"/>
          <w:w w:val="100"/>
        </w:rPr>
        <w:t>到</w:t>
      </w:r>
      <w:r>
        <w:rPr>
          <w:w w:val="100"/>
        </w:rPr>
        <w:t>奖励</w:t>
      </w:r>
      <w:r>
        <w:rPr>
          <w:spacing w:val="-55"/>
        </w:rPr>
        <w:t> </w:t>
      </w:r>
      <w:r>
        <w:rPr>
          <w:rFonts w:ascii="Arial" w:hAnsi="Arial" w:cs="Arial" w:eastAsia="Arial" w:hint="default"/>
          <w:spacing w:val="-1"/>
          <w:w w:val="100"/>
        </w:rPr>
        <w:t>100</w:t>
      </w:r>
      <w:r>
        <w:rPr>
          <w:rFonts w:ascii="Arial" w:hAnsi="Arial" w:cs="Arial" w:eastAsia="Arial" w:hint="default"/>
          <w:spacing w:val="1"/>
          <w:w w:val="100"/>
        </w:rPr>
        <w:t>,</w:t>
      </w:r>
      <w:r>
        <w:rPr>
          <w:rFonts w:ascii="Arial" w:hAnsi="Arial" w:cs="Arial" w:eastAsia="Arial" w:hint="default"/>
          <w:spacing w:val="-1"/>
          <w:w w:val="100"/>
        </w:rPr>
        <w:t>00</w:t>
      </w:r>
      <w:r>
        <w:rPr>
          <w:rFonts w:ascii="Arial" w:hAnsi="Arial" w:cs="Arial" w:eastAsia="Arial" w:hint="default"/>
          <w:w w:val="100"/>
        </w:rPr>
        <w:t>0</w:t>
      </w:r>
      <w:r>
        <w:rPr>
          <w:rFonts w:ascii="Arial" w:hAnsi="Arial" w:cs="Arial" w:eastAsia="Arial" w:hint="default"/>
          <w:spacing w:val="-9"/>
        </w:rPr>
        <w:t> </w:t>
      </w:r>
      <w:r>
        <w:rPr>
          <w:w w:val="100"/>
        </w:rPr>
        <w:t>元。</w:t>
      </w:r>
    </w:p>
    <w:p>
      <w:pPr>
        <w:pStyle w:val="BodyText"/>
        <w:spacing w:line="338" w:lineRule="auto" w:before="126"/>
        <w:ind w:left="237" w:right="209" w:firstLine="439"/>
        <w:jc w:val="both"/>
      </w:pPr>
      <w:r>
        <w:rPr/>
        <w:t>（</w:t>
      </w:r>
      <w:r>
        <w:rPr>
          <w:rFonts w:ascii="Arial" w:hAnsi="Arial" w:cs="Arial" w:eastAsia="Arial" w:hint="default"/>
        </w:rPr>
        <w:t>6</w:t>
      </w:r>
      <w:r>
        <w:rPr/>
        <w:t>）根据青科委（</w:t>
      </w:r>
      <w:r>
        <w:rPr>
          <w:rFonts w:ascii="Arial" w:hAnsi="Arial" w:cs="Arial" w:eastAsia="Arial" w:hint="default"/>
        </w:rPr>
        <w:t>2010</w:t>
      </w:r>
      <w:r>
        <w:rPr/>
        <w:t>）</w:t>
      </w:r>
      <w:r>
        <w:rPr>
          <w:rFonts w:ascii="Arial" w:hAnsi="Arial" w:cs="Arial" w:eastAsia="Arial" w:hint="default"/>
        </w:rPr>
        <w:t>39 </w:t>
      </w:r>
      <w:r>
        <w:rPr/>
        <w:t>号文《关于下达 </w:t>
      </w:r>
      <w:r>
        <w:rPr>
          <w:rFonts w:ascii="Arial" w:hAnsi="Arial" w:cs="Arial" w:eastAsia="Arial" w:hint="default"/>
        </w:rPr>
        <w:t>2010</w:t>
      </w:r>
      <w:r>
        <w:rPr>
          <w:rFonts w:ascii="Arial" w:hAnsi="Arial" w:cs="Arial" w:eastAsia="Arial" w:hint="default"/>
          <w:spacing w:val="-20"/>
        </w:rPr>
        <w:t> </w:t>
      </w:r>
      <w:r>
        <w:rPr/>
        <w:t>年度青浦区高新技术研究开发中</w:t>
      </w:r>
      <w:r>
        <w:rPr>
          <w:w w:val="100"/>
        </w:rPr>
        <w:t> </w:t>
      </w:r>
      <w:r>
        <w:rPr>
          <w:spacing w:val="-6"/>
          <w:w w:val="100"/>
        </w:rPr>
        <w:t>心扶持项目和资金的通知》，公司本年收到补助款</w:t>
      </w:r>
      <w:r>
        <w:rPr>
          <w:spacing w:val="-57"/>
          <w:w w:val="100"/>
        </w:rPr>
        <w:t> </w:t>
      </w:r>
      <w:r>
        <w:rPr>
          <w:rFonts w:ascii="Arial" w:hAnsi="Arial" w:cs="Arial" w:eastAsia="Arial" w:hint="default"/>
          <w:spacing w:val="-1"/>
          <w:w w:val="100"/>
        </w:rPr>
        <w:t>30,000</w:t>
      </w:r>
      <w:r>
        <w:rPr>
          <w:rFonts w:ascii="Arial" w:hAnsi="Arial" w:cs="Arial" w:eastAsia="Arial" w:hint="default"/>
          <w:spacing w:val="-6"/>
          <w:w w:val="100"/>
        </w:rPr>
        <w:t> </w:t>
      </w:r>
      <w:r>
        <w:rPr>
          <w:w w:val="100"/>
        </w:rPr>
        <w:t>元。</w:t>
      </w:r>
    </w:p>
    <w:p>
      <w:pPr>
        <w:pStyle w:val="BodyText"/>
        <w:spacing w:line="340" w:lineRule="auto" w:before="23"/>
        <w:ind w:left="237" w:right="206" w:firstLine="439"/>
        <w:jc w:val="both"/>
      </w:pPr>
      <w:r>
        <w:rPr>
          <w:w w:val="100"/>
        </w:rPr>
        <w:t>（</w:t>
      </w:r>
      <w:r>
        <w:rPr>
          <w:rFonts w:ascii="Arial" w:hAnsi="Arial" w:cs="Arial" w:eastAsia="Arial" w:hint="default"/>
          <w:w w:val="100"/>
        </w:rPr>
        <w:t>7</w:t>
      </w:r>
      <w:r>
        <w:rPr>
          <w:w w:val="100"/>
        </w:rPr>
        <w:t>）根据沪府发（</w:t>
      </w:r>
      <w:r>
        <w:rPr>
          <w:rFonts w:ascii="Arial" w:hAnsi="Arial" w:cs="Arial" w:eastAsia="Arial" w:hint="default"/>
          <w:w w:val="100"/>
        </w:rPr>
        <w:t>2004</w:t>
      </w:r>
      <w:r>
        <w:rPr>
          <w:w w:val="100"/>
        </w:rPr>
        <w:t>）</w:t>
      </w:r>
      <w:r>
        <w:rPr>
          <w:rFonts w:ascii="Arial" w:hAnsi="Arial" w:cs="Arial" w:eastAsia="Arial" w:hint="default"/>
          <w:w w:val="100"/>
        </w:rPr>
        <w:t>52</w:t>
      </w:r>
      <w:r>
        <w:rPr>
          <w:rFonts w:ascii="Arial" w:hAnsi="Arial" w:cs="Arial" w:eastAsia="Arial" w:hint="default"/>
          <w:spacing w:val="52"/>
          <w:w w:val="100"/>
        </w:rPr>
        <w:t> </w:t>
      </w:r>
      <w:r>
        <w:rPr>
          <w:spacing w:val="-4"/>
          <w:w w:val="100"/>
        </w:rPr>
        <w:t>号文《上海市促进高新技术成果转化的若干规定》，公</w:t>
      </w:r>
      <w:r>
        <w:rPr>
          <w:w w:val="100"/>
        </w:rPr>
        <w:t> </w:t>
      </w:r>
      <w:r>
        <w:rPr/>
        <w:t>司本年收到补助款</w:t>
      </w:r>
      <w:r>
        <w:rPr>
          <w:spacing w:val="-57"/>
        </w:rPr>
        <w:t> </w:t>
      </w:r>
      <w:r>
        <w:rPr>
          <w:rFonts w:ascii="Arial" w:hAnsi="Arial" w:cs="Arial" w:eastAsia="Arial" w:hint="default"/>
        </w:rPr>
        <w:t>84,000</w:t>
      </w:r>
      <w:r>
        <w:rPr>
          <w:rFonts w:ascii="Arial" w:hAnsi="Arial" w:cs="Arial" w:eastAsia="Arial" w:hint="default"/>
          <w:spacing w:val="-9"/>
        </w:rPr>
        <w:t> </w:t>
      </w:r>
      <w:r>
        <w:rPr/>
        <w:t>元。</w:t>
      </w:r>
    </w:p>
    <w:p>
      <w:pPr>
        <w:pStyle w:val="BodyText"/>
        <w:spacing w:line="338" w:lineRule="auto" w:before="20"/>
        <w:ind w:left="237" w:right="206" w:firstLine="439"/>
        <w:jc w:val="both"/>
      </w:pPr>
      <w:r>
        <w:rPr>
          <w:spacing w:val="-4"/>
        </w:rPr>
        <w:t>（</w:t>
      </w:r>
      <w:r>
        <w:rPr>
          <w:rFonts w:ascii="Arial" w:hAnsi="Arial" w:cs="Arial" w:eastAsia="Arial" w:hint="default"/>
          <w:spacing w:val="-4"/>
        </w:rPr>
        <w:t>8</w:t>
      </w:r>
      <w:r>
        <w:rPr>
          <w:spacing w:val="-4"/>
        </w:rPr>
        <w:t>）根据沪发改服务（</w:t>
      </w:r>
      <w:r>
        <w:rPr>
          <w:rFonts w:ascii="Arial" w:hAnsi="Arial" w:cs="Arial" w:eastAsia="Arial" w:hint="default"/>
          <w:spacing w:val="-4"/>
        </w:rPr>
        <w:t>2010</w:t>
      </w:r>
      <w:r>
        <w:rPr>
          <w:spacing w:val="-4"/>
        </w:rPr>
        <w:t>）</w:t>
      </w:r>
      <w:r>
        <w:rPr>
          <w:rFonts w:ascii="Arial" w:hAnsi="Arial" w:cs="Arial" w:eastAsia="Arial" w:hint="default"/>
          <w:spacing w:val="-4"/>
        </w:rPr>
        <w:t>014 </w:t>
      </w:r>
      <w:r>
        <w:rPr>
          <w:spacing w:val="-4"/>
        </w:rPr>
        <w:t>号文《关于下达 </w:t>
      </w:r>
      <w:r>
        <w:rPr>
          <w:rFonts w:ascii="Arial" w:hAnsi="Arial" w:cs="Arial" w:eastAsia="Arial" w:hint="default"/>
        </w:rPr>
        <w:t>2010</w:t>
      </w:r>
      <w:r>
        <w:rPr>
          <w:rFonts w:ascii="Arial" w:hAnsi="Arial" w:cs="Arial" w:eastAsia="Arial" w:hint="default"/>
          <w:spacing w:val="-38"/>
        </w:rPr>
        <w:t> </w:t>
      </w:r>
      <w:r>
        <w:rPr/>
        <w:t>年度第二批上海市服务业发</w:t>
      </w:r>
      <w:r>
        <w:rPr>
          <w:w w:val="100"/>
        </w:rPr>
        <w:t> </w:t>
      </w:r>
      <w:r>
        <w:rPr>
          <w:spacing w:val="-6"/>
          <w:w w:val="100"/>
        </w:rPr>
        <w:t>展引导资金支持项目的通知》，公司本年收到补助款</w:t>
      </w:r>
      <w:r>
        <w:rPr>
          <w:spacing w:val="-51"/>
          <w:w w:val="100"/>
        </w:rPr>
        <w:t> </w:t>
      </w:r>
      <w:r>
        <w:rPr>
          <w:rFonts w:ascii="Arial" w:hAnsi="Arial" w:cs="Arial" w:eastAsia="Arial" w:hint="default"/>
          <w:spacing w:val="-1"/>
          <w:w w:val="100"/>
        </w:rPr>
        <w:t>1,500,000</w:t>
      </w:r>
      <w:r>
        <w:rPr>
          <w:rFonts w:ascii="Arial" w:hAnsi="Arial" w:cs="Arial" w:eastAsia="Arial" w:hint="default"/>
          <w:spacing w:val="-3"/>
          <w:w w:val="100"/>
        </w:rPr>
        <w:t> </w:t>
      </w:r>
      <w:r>
        <w:rPr>
          <w:w w:val="100"/>
        </w:rPr>
        <w:t>元。</w:t>
      </w:r>
    </w:p>
    <w:p>
      <w:pPr>
        <w:pStyle w:val="BodyText"/>
        <w:spacing w:line="338" w:lineRule="auto" w:before="25"/>
        <w:ind w:left="237" w:right="0"/>
        <w:jc w:val="left"/>
      </w:pPr>
      <w:r>
        <w:rPr>
          <w:rFonts w:ascii="Arial" w:hAnsi="Arial" w:cs="Arial" w:eastAsia="Arial" w:hint="default"/>
        </w:rPr>
        <w:t>6.32.3 </w:t>
      </w:r>
      <w:r>
        <w:rPr/>
        <w:t>营业外收入本年发生数比上年发生数增加 </w:t>
      </w:r>
      <w:r>
        <w:rPr>
          <w:rFonts w:ascii="Arial" w:hAnsi="Arial" w:cs="Arial" w:eastAsia="Arial" w:hint="default"/>
        </w:rPr>
        <w:t>2,627,950.37 </w:t>
      </w:r>
      <w:r>
        <w:rPr/>
        <w:t>元，增加比例为</w:t>
      </w:r>
      <w:r>
        <w:rPr>
          <w:spacing w:val="-84"/>
        </w:rPr>
        <w:t> </w:t>
      </w:r>
      <w:r>
        <w:rPr>
          <w:rFonts w:ascii="Arial" w:hAnsi="Arial" w:cs="Arial" w:eastAsia="Arial" w:hint="default"/>
        </w:rPr>
        <w:t>44.65%</w:t>
      </w:r>
      <w:r>
        <w:rPr/>
        <w:t>，</w:t>
      </w:r>
      <w:r>
        <w:rPr>
          <w:w w:val="100"/>
        </w:rPr>
        <w:t> </w:t>
      </w:r>
      <w:r>
        <w:rPr/>
        <w:t>主要原因为：本年公司收到各项政府补助较多所致。</w:t>
      </w:r>
    </w:p>
    <w:p>
      <w:pPr>
        <w:pStyle w:val="BodyText"/>
        <w:spacing w:line="240" w:lineRule="auto" w:before="49"/>
        <w:ind w:left="237" w:right="0"/>
        <w:jc w:val="left"/>
      </w:pPr>
      <w:r>
        <w:rPr>
          <w:rFonts w:ascii="Arial" w:hAnsi="Arial" w:cs="Arial" w:eastAsia="Arial" w:hint="default"/>
        </w:rPr>
        <w:t>6.33</w:t>
      </w:r>
      <w:r>
        <w:rPr>
          <w:rFonts w:ascii="Arial" w:hAnsi="Arial" w:cs="Arial" w:eastAsia="Arial" w:hint="default"/>
          <w:spacing w:val="-7"/>
        </w:rPr>
        <w:t> </w:t>
      </w:r>
      <w:r>
        <w:rPr/>
        <w:t>营业外支出</w:t>
      </w:r>
    </w:p>
    <w:p>
      <w:pPr>
        <w:spacing w:line="240" w:lineRule="auto" w:before="5"/>
        <w:rPr>
          <w:rFonts w:ascii="宋体" w:hAnsi="宋体" w:cs="宋体" w:eastAsia="宋体" w:hint="default"/>
          <w:sz w:val="12"/>
          <w:szCs w:val="12"/>
        </w:rPr>
      </w:pPr>
    </w:p>
    <w:tbl>
      <w:tblPr>
        <w:tblW w:w="0" w:type="auto"/>
        <w:jc w:val="left"/>
        <w:tblInd w:w="203" w:type="dxa"/>
        <w:tblLayout w:type="fixed"/>
        <w:tblCellMar>
          <w:top w:w="0" w:type="dxa"/>
          <w:left w:w="0" w:type="dxa"/>
          <w:bottom w:w="0" w:type="dxa"/>
          <w:right w:w="0" w:type="dxa"/>
        </w:tblCellMar>
        <w:tblLook w:val="01E0"/>
      </w:tblPr>
      <w:tblGrid>
        <w:gridCol w:w="3547"/>
        <w:gridCol w:w="2611"/>
        <w:gridCol w:w="2520"/>
      </w:tblGrid>
      <w:tr>
        <w:trPr>
          <w:trHeight w:val="482" w:hRule="exact"/>
        </w:trPr>
        <w:tc>
          <w:tcPr>
            <w:tcW w:w="354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年度</w:t>
            </w:r>
          </w:p>
        </w:tc>
        <w:tc>
          <w:tcPr>
            <w:tcW w:w="25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5"/>
                <w:sz w:val="18"/>
                <w:szCs w:val="18"/>
              </w:rPr>
              <w:t> </w:t>
            </w:r>
            <w:r>
              <w:rPr>
                <w:rFonts w:ascii="宋体" w:hAnsi="宋体" w:cs="宋体" w:eastAsia="宋体" w:hint="default"/>
                <w:sz w:val="18"/>
                <w:szCs w:val="18"/>
              </w:rPr>
              <w:t>年度</w:t>
            </w:r>
          </w:p>
        </w:tc>
      </w:tr>
      <w:tr>
        <w:trPr>
          <w:trHeight w:val="485" w:hRule="exact"/>
        </w:trPr>
        <w:tc>
          <w:tcPr>
            <w:tcW w:w="354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6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74,241.50</w:t>
            </w:r>
          </w:p>
        </w:tc>
        <w:tc>
          <w:tcPr>
            <w:tcW w:w="25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85" w:hRule="exact"/>
        </w:trPr>
        <w:tc>
          <w:tcPr>
            <w:tcW w:w="354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6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74,241.50</w:t>
            </w:r>
          </w:p>
        </w:tc>
        <w:tc>
          <w:tcPr>
            <w:tcW w:w="25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82" w:hRule="exact"/>
        </w:trPr>
        <w:tc>
          <w:tcPr>
            <w:tcW w:w="354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6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1,175,000.00</w:t>
            </w:r>
          </w:p>
        </w:tc>
        <w:tc>
          <w:tcPr>
            <w:tcW w:w="25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3"/>
              <w:jc w:val="center"/>
              <w:rPr>
                <w:rFonts w:ascii="Arial" w:hAnsi="Arial" w:cs="Arial" w:eastAsia="Arial" w:hint="default"/>
                <w:sz w:val="18"/>
                <w:szCs w:val="18"/>
              </w:rPr>
            </w:pPr>
            <w:r>
              <w:rPr>
                <w:rFonts w:ascii="Arial"/>
                <w:sz w:val="18"/>
              </w:rPr>
              <w:t>315,000.00</w:t>
            </w:r>
          </w:p>
        </w:tc>
      </w:tr>
      <w:tr>
        <w:trPr>
          <w:trHeight w:val="482" w:hRule="exact"/>
        </w:trPr>
        <w:tc>
          <w:tcPr>
            <w:tcW w:w="354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1,840.00</w:t>
            </w:r>
          </w:p>
        </w:tc>
        <w:tc>
          <w:tcPr>
            <w:tcW w:w="25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center"/>
        <w:rPr>
          <w:rFonts w:ascii="Arial" w:hAnsi="Arial" w:cs="Arial" w:eastAsia="Arial" w:hint="default"/>
          <w:sz w:val="18"/>
          <w:szCs w:val="18"/>
        </w:rPr>
        <w:sectPr>
          <w:pgSz w:w="11900" w:h="16840"/>
          <w:pgMar w:header="0" w:footer="983" w:top="1100" w:bottom="1180" w:left="1560" w:right="1280"/>
        </w:sectPr>
      </w:pPr>
    </w:p>
    <w:p>
      <w:pPr>
        <w:spacing w:line="240" w:lineRule="auto" w:before="8"/>
        <w:rPr>
          <w:rFonts w:ascii="宋体" w:hAnsi="宋体" w:cs="宋体" w:eastAsia="宋体" w:hint="default"/>
          <w:sz w:val="24"/>
          <w:szCs w:val="24"/>
        </w:rPr>
      </w:pPr>
    </w:p>
    <w:tbl>
      <w:tblPr>
        <w:tblW w:w="0" w:type="auto"/>
        <w:jc w:val="left"/>
        <w:tblInd w:w="203" w:type="dxa"/>
        <w:tblLayout w:type="fixed"/>
        <w:tblCellMar>
          <w:top w:w="0" w:type="dxa"/>
          <w:left w:w="0" w:type="dxa"/>
          <w:bottom w:w="0" w:type="dxa"/>
          <w:right w:w="0" w:type="dxa"/>
        </w:tblCellMar>
        <w:tblLook w:val="01E0"/>
      </w:tblPr>
      <w:tblGrid>
        <w:gridCol w:w="3547"/>
        <w:gridCol w:w="2611"/>
        <w:gridCol w:w="2520"/>
      </w:tblGrid>
      <w:tr>
        <w:trPr>
          <w:trHeight w:val="482" w:hRule="exact"/>
        </w:trPr>
        <w:tc>
          <w:tcPr>
            <w:tcW w:w="354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left="763" w:right="0"/>
              <w:jc w:val="left"/>
              <w:rPr>
                <w:rFonts w:ascii="Arial" w:hAnsi="Arial" w:cs="Arial" w:eastAsia="Arial" w:hint="default"/>
                <w:sz w:val="18"/>
                <w:szCs w:val="18"/>
              </w:rPr>
            </w:pPr>
            <w:r>
              <w:rPr>
                <w:rFonts w:ascii="Arial"/>
                <w:sz w:val="18"/>
              </w:rPr>
              <w:t>1,251,081.50</w:t>
            </w:r>
          </w:p>
        </w:tc>
        <w:tc>
          <w:tcPr>
            <w:tcW w:w="25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left="791" w:right="0"/>
              <w:jc w:val="left"/>
              <w:rPr>
                <w:rFonts w:ascii="Arial" w:hAnsi="Arial" w:cs="Arial" w:eastAsia="Arial" w:hint="default"/>
                <w:sz w:val="18"/>
                <w:szCs w:val="18"/>
              </w:rPr>
            </w:pPr>
            <w:r>
              <w:rPr>
                <w:rFonts w:ascii="Arial"/>
                <w:sz w:val="18"/>
              </w:rPr>
              <w:t>315,000.00</w:t>
            </w:r>
          </w:p>
        </w:tc>
      </w:tr>
    </w:tbl>
    <w:p>
      <w:pPr>
        <w:spacing w:line="240" w:lineRule="auto" w:before="12"/>
        <w:rPr>
          <w:rFonts w:ascii="宋体" w:hAnsi="宋体" w:cs="宋体" w:eastAsia="宋体" w:hint="default"/>
          <w:sz w:val="23"/>
          <w:szCs w:val="23"/>
        </w:rPr>
      </w:pPr>
    </w:p>
    <w:p>
      <w:pPr>
        <w:pStyle w:val="BodyText"/>
        <w:spacing w:line="340" w:lineRule="auto"/>
        <w:ind w:left="237" w:right="217"/>
        <w:jc w:val="left"/>
      </w:pPr>
      <w:r>
        <w:rPr/>
        <w:t>营业外支出本年数比上年数增加 </w:t>
      </w:r>
      <w:r>
        <w:rPr>
          <w:rFonts w:ascii="Arial" w:hAnsi="Arial" w:cs="Arial" w:eastAsia="Arial" w:hint="default"/>
        </w:rPr>
        <w:t>936,081.50 </w:t>
      </w:r>
      <w:r>
        <w:rPr/>
        <w:t>元，增加比例为</w:t>
      </w:r>
      <w:r>
        <w:rPr>
          <w:spacing w:val="-34"/>
        </w:rPr>
        <w:t> </w:t>
      </w:r>
      <w:r>
        <w:rPr>
          <w:rFonts w:ascii="Arial" w:hAnsi="Arial" w:cs="Arial" w:eastAsia="Arial" w:hint="default"/>
        </w:rPr>
        <w:t>297.17%</w:t>
      </w:r>
      <w:r>
        <w:rPr/>
        <w:t>，增加原因为：本</w:t>
      </w:r>
      <w:r>
        <w:rPr>
          <w:w w:val="100"/>
        </w:rPr>
        <w:t> </w:t>
      </w:r>
      <w:r>
        <w:rPr/>
        <w:t>年公司对外公益性捐赠较多。</w:t>
      </w:r>
    </w:p>
    <w:p>
      <w:pPr>
        <w:pStyle w:val="BodyText"/>
        <w:spacing w:line="240" w:lineRule="auto" w:before="47"/>
        <w:ind w:left="237" w:right="217"/>
        <w:jc w:val="left"/>
      </w:pPr>
      <w:r>
        <w:rPr>
          <w:rFonts w:ascii="Arial" w:hAnsi="Arial" w:cs="Arial" w:eastAsia="Arial" w:hint="default"/>
        </w:rPr>
        <w:t>6.34</w:t>
      </w:r>
      <w:r>
        <w:rPr>
          <w:rFonts w:ascii="Arial" w:hAnsi="Arial" w:cs="Arial" w:eastAsia="Arial" w:hint="default"/>
          <w:spacing w:val="-7"/>
        </w:rPr>
        <w:t> </w:t>
      </w:r>
      <w:r>
        <w:rPr/>
        <w:t>所得税费用</w:t>
      </w:r>
    </w:p>
    <w:p>
      <w:pPr>
        <w:spacing w:line="240" w:lineRule="auto" w:before="3"/>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3557"/>
        <w:gridCol w:w="2638"/>
        <w:gridCol w:w="2518"/>
      </w:tblGrid>
      <w:tr>
        <w:trPr>
          <w:trHeight w:val="485" w:hRule="exact"/>
        </w:trPr>
        <w:tc>
          <w:tcPr>
            <w:tcW w:w="35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年度</w:t>
            </w:r>
          </w:p>
        </w:tc>
        <w:tc>
          <w:tcPr>
            <w:tcW w:w="25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2"/>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5"/>
                <w:sz w:val="18"/>
                <w:szCs w:val="18"/>
              </w:rPr>
              <w:t> </w:t>
            </w:r>
            <w:r>
              <w:rPr>
                <w:rFonts w:ascii="宋体" w:hAnsi="宋体" w:cs="宋体" w:eastAsia="宋体" w:hint="default"/>
                <w:sz w:val="18"/>
                <w:szCs w:val="18"/>
              </w:rPr>
              <w:t>年度</w:t>
            </w:r>
          </w:p>
        </w:tc>
      </w:tr>
      <w:tr>
        <w:trPr>
          <w:trHeight w:val="485" w:hRule="exact"/>
        </w:trPr>
        <w:tc>
          <w:tcPr>
            <w:tcW w:w="35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6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right="776"/>
              <w:jc w:val="right"/>
              <w:rPr>
                <w:rFonts w:ascii="Arial" w:hAnsi="Arial" w:cs="Arial" w:eastAsia="Arial" w:hint="default"/>
                <w:sz w:val="18"/>
                <w:szCs w:val="18"/>
              </w:rPr>
            </w:pPr>
            <w:r>
              <w:rPr>
                <w:rFonts w:ascii="Arial"/>
                <w:spacing w:val="-1"/>
                <w:sz w:val="18"/>
              </w:rPr>
              <w:t>4,575,997.33</w:t>
            </w:r>
          </w:p>
        </w:tc>
        <w:tc>
          <w:tcPr>
            <w:tcW w:w="25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3"/>
              <w:jc w:val="center"/>
              <w:rPr>
                <w:rFonts w:ascii="Arial" w:hAnsi="Arial" w:cs="Arial" w:eastAsia="Arial" w:hint="default"/>
                <w:sz w:val="18"/>
                <w:szCs w:val="18"/>
              </w:rPr>
            </w:pPr>
            <w:r>
              <w:rPr>
                <w:rFonts w:ascii="Arial"/>
                <w:sz w:val="18"/>
              </w:rPr>
              <w:t>6,421,903.10</w:t>
            </w:r>
          </w:p>
        </w:tc>
      </w:tr>
      <w:tr>
        <w:trPr>
          <w:trHeight w:val="482" w:hRule="exact"/>
        </w:trPr>
        <w:tc>
          <w:tcPr>
            <w:tcW w:w="35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递延所得税调整</w:t>
            </w:r>
          </w:p>
        </w:tc>
        <w:tc>
          <w:tcPr>
            <w:tcW w:w="26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821"/>
              <w:jc w:val="right"/>
              <w:rPr>
                <w:rFonts w:ascii="Arial" w:hAnsi="Arial" w:cs="Arial" w:eastAsia="Arial" w:hint="default"/>
                <w:sz w:val="18"/>
                <w:szCs w:val="18"/>
              </w:rPr>
            </w:pPr>
            <w:r>
              <w:rPr>
                <w:rFonts w:ascii="Arial"/>
                <w:spacing w:val="-1"/>
                <w:sz w:val="18"/>
              </w:rPr>
              <w:t>-593,932.40</w:t>
            </w:r>
          </w:p>
        </w:tc>
        <w:tc>
          <w:tcPr>
            <w:tcW w:w="25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right="1"/>
              <w:jc w:val="center"/>
              <w:rPr>
                <w:rFonts w:ascii="Arial" w:hAnsi="Arial" w:cs="Arial" w:eastAsia="Arial" w:hint="default"/>
                <w:sz w:val="18"/>
                <w:szCs w:val="18"/>
              </w:rPr>
            </w:pPr>
            <w:r>
              <w:rPr>
                <w:rFonts w:ascii="Arial"/>
                <w:sz w:val="18"/>
              </w:rPr>
              <w:t>582,464.39</w:t>
            </w:r>
          </w:p>
        </w:tc>
      </w:tr>
      <w:tr>
        <w:trPr>
          <w:trHeight w:val="482" w:hRule="exact"/>
        </w:trPr>
        <w:tc>
          <w:tcPr>
            <w:tcW w:w="35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776"/>
              <w:jc w:val="right"/>
              <w:rPr>
                <w:rFonts w:ascii="Arial" w:hAnsi="Arial" w:cs="Arial" w:eastAsia="Arial" w:hint="default"/>
                <w:sz w:val="18"/>
                <w:szCs w:val="18"/>
              </w:rPr>
            </w:pPr>
            <w:r>
              <w:rPr>
                <w:rFonts w:ascii="Arial"/>
                <w:spacing w:val="-1"/>
                <w:sz w:val="18"/>
              </w:rPr>
              <w:t>3,982,064.93</w:t>
            </w:r>
          </w:p>
        </w:tc>
        <w:tc>
          <w:tcPr>
            <w:tcW w:w="25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right="3"/>
              <w:jc w:val="center"/>
              <w:rPr>
                <w:rFonts w:ascii="Arial" w:hAnsi="Arial" w:cs="Arial" w:eastAsia="Arial" w:hint="default"/>
                <w:sz w:val="18"/>
                <w:szCs w:val="18"/>
              </w:rPr>
            </w:pPr>
            <w:r>
              <w:rPr>
                <w:rFonts w:ascii="Arial"/>
                <w:sz w:val="18"/>
              </w:rPr>
              <w:t>7,004,367.49</w:t>
            </w:r>
          </w:p>
        </w:tc>
      </w:tr>
    </w:tbl>
    <w:p>
      <w:pPr>
        <w:spacing w:line="240" w:lineRule="auto" w:before="1"/>
        <w:rPr>
          <w:rFonts w:ascii="宋体" w:hAnsi="宋体" w:cs="宋体" w:eastAsia="宋体" w:hint="default"/>
          <w:sz w:val="24"/>
          <w:szCs w:val="24"/>
        </w:rPr>
      </w:pPr>
    </w:p>
    <w:p>
      <w:pPr>
        <w:pStyle w:val="BodyText"/>
        <w:spacing w:line="338" w:lineRule="auto"/>
        <w:ind w:left="237" w:right="217" w:firstLine="439"/>
        <w:jc w:val="left"/>
      </w:pPr>
      <w:r>
        <w:rPr/>
        <w:t>所得税费用本年发生数比上年发生减少 </w:t>
      </w:r>
      <w:r>
        <w:rPr>
          <w:rFonts w:ascii="Arial" w:hAnsi="Arial" w:cs="Arial" w:eastAsia="Arial" w:hint="default"/>
        </w:rPr>
        <w:t>3,022,302.56 </w:t>
      </w:r>
      <w:r>
        <w:rPr>
          <w:spacing w:val="-3"/>
        </w:rPr>
        <w:t>元，减少比例为</w:t>
      </w:r>
      <w:r>
        <w:rPr>
          <w:spacing w:val="-77"/>
        </w:rPr>
        <w:t> </w:t>
      </w:r>
      <w:r>
        <w:rPr>
          <w:rFonts w:ascii="Arial" w:hAnsi="Arial" w:cs="Arial" w:eastAsia="Arial" w:hint="default"/>
        </w:rPr>
        <w:t>43.15%</w:t>
      </w:r>
      <w:r>
        <w:rPr/>
        <w:t>，主要</w:t>
      </w:r>
      <w:r>
        <w:rPr>
          <w:w w:val="100"/>
        </w:rPr>
        <w:t> </w:t>
      </w:r>
      <w:r>
        <w:rPr/>
        <w:t>原因为：本年公司利润总额比上年减少，当期所得税费用相应减少所致。</w:t>
      </w:r>
    </w:p>
    <w:p>
      <w:pPr>
        <w:pStyle w:val="BodyText"/>
        <w:spacing w:line="240" w:lineRule="auto" w:before="49"/>
        <w:ind w:left="237" w:right="217"/>
        <w:jc w:val="left"/>
      </w:pPr>
      <w:r>
        <w:rPr>
          <w:rFonts w:ascii="Arial" w:hAnsi="Arial" w:cs="Arial" w:eastAsia="Arial" w:hint="default"/>
        </w:rPr>
        <w:t>6.35</w:t>
      </w:r>
      <w:r>
        <w:rPr>
          <w:rFonts w:ascii="Arial" w:hAnsi="Arial" w:cs="Arial" w:eastAsia="Arial" w:hint="default"/>
          <w:spacing w:val="-10"/>
        </w:rPr>
        <w:t> </w:t>
      </w:r>
      <w:r>
        <w:rPr/>
        <w:t>基本每股收益和稀释每股收益的计算过程</w:t>
      </w:r>
    </w:p>
    <w:p>
      <w:pPr>
        <w:pStyle w:val="BodyText"/>
        <w:tabs>
          <w:tab w:pos="1072" w:val="left" w:leader="none"/>
        </w:tabs>
        <w:spacing w:line="240" w:lineRule="auto" w:before="123"/>
        <w:ind w:left="237" w:right="217"/>
        <w:jc w:val="left"/>
      </w:pPr>
      <w:r>
        <w:rPr>
          <w:rFonts w:ascii="Arial" w:hAnsi="Arial" w:cs="Arial" w:eastAsia="Arial" w:hint="default"/>
          <w:spacing w:val="-1"/>
        </w:rPr>
        <w:t>6.35.1</w:t>
        <w:tab/>
      </w:r>
      <w:r>
        <w:rPr>
          <w:rFonts w:ascii="Arial" w:hAnsi="Arial" w:cs="Arial" w:eastAsia="Arial" w:hint="default"/>
          <w:spacing w:val="-2"/>
        </w:rPr>
        <w:t>2010</w:t>
      </w:r>
      <w:r>
        <w:rPr>
          <w:rFonts w:ascii="Arial" w:hAnsi="Arial" w:cs="Arial" w:eastAsia="Arial" w:hint="default"/>
          <w:spacing w:val="1"/>
        </w:rPr>
        <w:t> </w:t>
      </w:r>
      <w:r>
        <w:rPr>
          <w:spacing w:val="-1"/>
        </w:rPr>
        <w:t>年度每股收益</w:t>
      </w:r>
    </w:p>
    <w:p>
      <w:pPr>
        <w:spacing w:line="240" w:lineRule="auto" w:before="5"/>
        <w:rPr>
          <w:rFonts w:ascii="宋体" w:hAnsi="宋体" w:cs="宋体" w:eastAsia="宋体" w:hint="default"/>
          <w:sz w:val="12"/>
          <w:szCs w:val="12"/>
        </w:rPr>
      </w:pPr>
    </w:p>
    <w:tbl>
      <w:tblPr>
        <w:tblW w:w="0" w:type="auto"/>
        <w:jc w:val="left"/>
        <w:tblInd w:w="153" w:type="dxa"/>
        <w:tblLayout w:type="fixed"/>
        <w:tblCellMar>
          <w:top w:w="0" w:type="dxa"/>
          <w:left w:w="0" w:type="dxa"/>
          <w:bottom w:w="0" w:type="dxa"/>
          <w:right w:w="0" w:type="dxa"/>
        </w:tblCellMar>
        <w:tblLook w:val="01E0"/>
      </w:tblPr>
      <w:tblGrid>
        <w:gridCol w:w="5045"/>
        <w:gridCol w:w="2026"/>
        <w:gridCol w:w="1709"/>
      </w:tblGrid>
      <w:tr>
        <w:trPr>
          <w:trHeight w:val="482" w:hRule="exact"/>
        </w:trPr>
        <w:tc>
          <w:tcPr>
            <w:tcW w:w="5045" w:type="dxa"/>
            <w:tcBorders>
              <w:top w:val="single" w:sz="12" w:space="0" w:color="000000"/>
              <w:left w:val="single" w:sz="12" w:space="0" w:color="000000"/>
              <w:bottom w:val="single" w:sz="12" w:space="0" w:color="000000"/>
              <w:right w:val="single" w:sz="12" w:space="0" w:color="000000"/>
            </w:tcBorders>
          </w:tcPr>
          <w:p>
            <w:pPr/>
          </w:p>
        </w:tc>
        <w:tc>
          <w:tcPr>
            <w:tcW w:w="3734"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85" w:hRule="exact"/>
        </w:trPr>
        <w:tc>
          <w:tcPr>
            <w:tcW w:w="504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20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7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485" w:hRule="exact"/>
        </w:trPr>
        <w:tc>
          <w:tcPr>
            <w:tcW w:w="504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0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0.2765</w:t>
            </w:r>
          </w:p>
        </w:tc>
        <w:tc>
          <w:tcPr>
            <w:tcW w:w="17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0.2765</w:t>
            </w:r>
          </w:p>
        </w:tc>
      </w:tr>
      <w:tr>
        <w:trPr>
          <w:trHeight w:val="482" w:hRule="exact"/>
        </w:trPr>
        <w:tc>
          <w:tcPr>
            <w:tcW w:w="504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20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0.2147</w:t>
            </w:r>
          </w:p>
        </w:tc>
        <w:tc>
          <w:tcPr>
            <w:tcW w:w="17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0.2147</w:t>
            </w:r>
          </w:p>
        </w:tc>
      </w:tr>
    </w:tbl>
    <w:p>
      <w:pPr>
        <w:spacing w:line="240" w:lineRule="auto" w:before="12"/>
        <w:rPr>
          <w:rFonts w:ascii="宋体" w:hAnsi="宋体" w:cs="宋体" w:eastAsia="宋体" w:hint="default"/>
          <w:sz w:val="23"/>
          <w:szCs w:val="23"/>
        </w:rPr>
      </w:pPr>
    </w:p>
    <w:p>
      <w:pPr>
        <w:pStyle w:val="BodyText"/>
        <w:spacing w:line="240" w:lineRule="auto"/>
        <w:ind w:left="237" w:right="217"/>
        <w:jc w:val="left"/>
      </w:pPr>
      <w:r>
        <w:rPr>
          <w:rFonts w:ascii="Arial" w:hAnsi="Arial" w:cs="Arial" w:eastAsia="Arial" w:hint="default"/>
        </w:rPr>
        <w:t>6.35.2 2009</w:t>
      </w:r>
      <w:r>
        <w:rPr>
          <w:rFonts w:ascii="Arial" w:hAnsi="Arial" w:cs="Arial" w:eastAsia="Arial" w:hint="default"/>
          <w:spacing w:val="-12"/>
        </w:rPr>
        <w:t> </w:t>
      </w:r>
      <w:r>
        <w:rPr/>
        <w:t>年度每股收益</w:t>
      </w:r>
    </w:p>
    <w:p>
      <w:pPr>
        <w:spacing w:line="240" w:lineRule="auto" w:before="3"/>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5062"/>
        <w:gridCol w:w="2083"/>
        <w:gridCol w:w="1682"/>
      </w:tblGrid>
      <w:tr>
        <w:trPr>
          <w:trHeight w:val="485" w:hRule="exact"/>
        </w:trPr>
        <w:tc>
          <w:tcPr>
            <w:tcW w:w="5062" w:type="dxa"/>
            <w:tcBorders>
              <w:top w:val="single" w:sz="12" w:space="0" w:color="000000"/>
              <w:left w:val="single" w:sz="12" w:space="0" w:color="000000"/>
              <w:bottom w:val="single" w:sz="12" w:space="0" w:color="000000"/>
              <w:right w:val="single" w:sz="12" w:space="0" w:color="000000"/>
            </w:tcBorders>
          </w:tcPr>
          <w:p>
            <w:pPr/>
          </w:p>
        </w:tc>
        <w:tc>
          <w:tcPr>
            <w:tcW w:w="3766"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85" w:hRule="exact"/>
        </w:trPr>
        <w:tc>
          <w:tcPr>
            <w:tcW w:w="50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20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6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2" w:right="0"/>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482" w:hRule="exact"/>
        </w:trPr>
        <w:tc>
          <w:tcPr>
            <w:tcW w:w="50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0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0.5788</w:t>
            </w:r>
          </w:p>
        </w:tc>
        <w:tc>
          <w:tcPr>
            <w:tcW w:w="16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left="1" w:right="0"/>
              <w:jc w:val="center"/>
              <w:rPr>
                <w:rFonts w:ascii="Arial" w:hAnsi="Arial" w:cs="Arial" w:eastAsia="Arial" w:hint="default"/>
                <w:sz w:val="18"/>
                <w:szCs w:val="18"/>
              </w:rPr>
            </w:pPr>
            <w:r>
              <w:rPr>
                <w:rFonts w:ascii="Arial"/>
                <w:sz w:val="18"/>
              </w:rPr>
              <w:t>0.5788</w:t>
            </w:r>
          </w:p>
        </w:tc>
      </w:tr>
      <w:tr>
        <w:trPr>
          <w:trHeight w:val="485" w:hRule="exact"/>
        </w:trPr>
        <w:tc>
          <w:tcPr>
            <w:tcW w:w="50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20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0.5127</w:t>
            </w:r>
          </w:p>
        </w:tc>
        <w:tc>
          <w:tcPr>
            <w:tcW w:w="16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left="1" w:right="0"/>
              <w:jc w:val="center"/>
              <w:rPr>
                <w:rFonts w:ascii="Arial" w:hAnsi="Arial" w:cs="Arial" w:eastAsia="Arial" w:hint="default"/>
                <w:sz w:val="18"/>
                <w:szCs w:val="18"/>
              </w:rPr>
            </w:pPr>
            <w:r>
              <w:rPr>
                <w:rFonts w:ascii="Arial"/>
                <w:sz w:val="18"/>
              </w:rPr>
              <w:t>0.5127</w:t>
            </w:r>
          </w:p>
        </w:tc>
      </w:tr>
    </w:tbl>
    <w:p>
      <w:pPr>
        <w:spacing w:line="240" w:lineRule="auto" w:before="12"/>
        <w:rPr>
          <w:rFonts w:ascii="宋体" w:hAnsi="宋体" w:cs="宋体" w:eastAsia="宋体" w:hint="default"/>
          <w:sz w:val="23"/>
          <w:szCs w:val="23"/>
        </w:rPr>
      </w:pPr>
    </w:p>
    <w:p>
      <w:pPr>
        <w:pStyle w:val="BodyText"/>
        <w:spacing w:line="355" w:lineRule="auto"/>
        <w:ind w:left="676" w:right="2636"/>
        <w:jc w:val="left"/>
        <w:rPr>
          <w:rFonts w:ascii="Arial" w:hAnsi="Arial" w:cs="Arial" w:eastAsia="Arial" w:hint="default"/>
        </w:rPr>
      </w:pPr>
      <w:r>
        <w:rPr>
          <w:spacing w:val="-1"/>
        </w:rPr>
        <w:t>上述数据采用以下计算公式计算而得：</w:t>
      </w:r>
      <w:r>
        <w:rPr>
          <w:spacing w:val="-97"/>
        </w:rPr>
        <w:t> </w:t>
      </w:r>
      <w:r>
        <w:rPr>
          <w:spacing w:val="-97"/>
        </w:rPr>
      </w:r>
      <w:r>
        <w:rPr/>
        <w:t>基本每股收益</w:t>
      </w:r>
      <w:r>
        <w:rPr>
          <w:rFonts w:ascii="Arial" w:hAnsi="Arial" w:cs="Arial" w:eastAsia="Arial" w:hint="default"/>
        </w:rPr>
        <w:t>=P0</w:t>
      </w:r>
      <w:r>
        <w:rPr/>
        <w:t>÷</w:t>
      </w:r>
      <w:r>
        <w:rPr>
          <w:rFonts w:ascii="Arial" w:hAnsi="Arial" w:cs="Arial" w:eastAsia="Arial" w:hint="default"/>
        </w:rPr>
        <w:t>S</w:t>
      </w:r>
    </w:p>
    <w:p>
      <w:pPr>
        <w:pStyle w:val="BodyText"/>
        <w:spacing w:line="240" w:lineRule="auto" w:before="5"/>
        <w:ind w:left="676" w:right="217"/>
        <w:jc w:val="left"/>
        <w:rPr>
          <w:rFonts w:ascii="Arial" w:hAnsi="Arial" w:cs="Arial" w:eastAsia="Arial" w:hint="default"/>
        </w:rPr>
      </w:pPr>
      <w:r>
        <w:rPr>
          <w:rFonts w:ascii="Arial" w:hAnsi="Arial" w:cs="Arial" w:eastAsia="Arial" w:hint="default"/>
        </w:rPr>
        <w:t>S= S0</w:t>
      </w:r>
      <w:r>
        <w:rPr/>
        <w:t>＋</w:t>
      </w:r>
      <w:r>
        <w:rPr>
          <w:rFonts w:ascii="Arial" w:hAnsi="Arial" w:cs="Arial" w:eastAsia="Arial" w:hint="default"/>
        </w:rPr>
        <w:t>S1</w:t>
      </w:r>
      <w:r>
        <w:rPr/>
        <w:t>＋</w:t>
      </w:r>
      <w:r>
        <w:rPr>
          <w:rFonts w:ascii="Arial" w:hAnsi="Arial" w:cs="Arial" w:eastAsia="Arial" w:hint="default"/>
        </w:rPr>
        <w:t>Si</w:t>
      </w:r>
      <w:r>
        <w:rPr/>
        <w:t>×</w:t>
      </w:r>
      <w:r>
        <w:rPr>
          <w:rFonts w:ascii="Arial" w:hAnsi="Arial" w:cs="Arial" w:eastAsia="Arial" w:hint="default"/>
        </w:rPr>
        <w:t>Mi</w:t>
      </w:r>
      <w:r>
        <w:rPr/>
        <w:t>÷</w:t>
      </w:r>
      <w:r>
        <w:rPr>
          <w:rFonts w:ascii="Arial" w:hAnsi="Arial" w:cs="Arial" w:eastAsia="Arial" w:hint="default"/>
        </w:rPr>
        <w:t>M0</w:t>
      </w:r>
      <w:r>
        <w:rPr/>
        <w:t>–</w:t>
      </w:r>
      <w:r>
        <w:rPr>
          <w:spacing w:val="-8"/>
        </w:rPr>
        <w:t> </w:t>
      </w:r>
      <w:r>
        <w:rPr>
          <w:rFonts w:ascii="Arial" w:hAnsi="Arial" w:cs="Arial" w:eastAsia="Arial" w:hint="default"/>
        </w:rPr>
        <w:t>Sj</w:t>
      </w:r>
      <w:r>
        <w:rPr/>
        <w:t>×</w:t>
      </w:r>
      <w:r>
        <w:rPr>
          <w:rFonts w:ascii="Arial" w:hAnsi="Arial" w:cs="Arial" w:eastAsia="Arial" w:hint="default"/>
        </w:rPr>
        <w:t>Mj</w:t>
      </w:r>
      <w:r>
        <w:rPr/>
        <w:t>÷</w:t>
      </w:r>
      <w:r>
        <w:rPr>
          <w:rFonts w:ascii="Arial" w:hAnsi="Arial" w:cs="Arial" w:eastAsia="Arial" w:hint="default"/>
        </w:rPr>
        <w:t>M0-Sk</w:t>
      </w:r>
    </w:p>
    <w:p>
      <w:pPr>
        <w:pStyle w:val="BodyText"/>
        <w:spacing w:line="338" w:lineRule="auto" w:before="126"/>
        <w:ind w:left="237" w:right="138" w:firstLine="439"/>
        <w:jc w:val="both"/>
      </w:pPr>
      <w:r>
        <w:rPr>
          <w:spacing w:val="-15"/>
        </w:rPr>
        <w:t>其中：</w:t>
      </w:r>
      <w:r>
        <w:rPr>
          <w:rFonts w:ascii="Arial" w:hAnsi="Arial" w:cs="Arial" w:eastAsia="Arial" w:hint="default"/>
          <w:spacing w:val="-15"/>
        </w:rPr>
        <w:t>P0</w:t>
      </w:r>
      <w:r>
        <w:rPr>
          <w:rFonts w:ascii="Arial" w:hAnsi="Arial" w:cs="Arial" w:eastAsia="Arial" w:hint="default"/>
          <w:spacing w:val="-11"/>
        </w:rPr>
        <w:t> </w:t>
      </w:r>
      <w:r>
        <w:rPr/>
        <w:t>为归属于公司普通股股东的净利润或扣除非经常性损益后归属于普通股股东</w:t>
      </w:r>
      <w:r>
        <w:rPr>
          <w:w w:val="100"/>
        </w:rPr>
        <w:t> </w:t>
      </w:r>
      <w:r>
        <w:rPr/>
        <w:t>的净利润；</w:t>
      </w:r>
      <w:r>
        <w:rPr>
          <w:rFonts w:ascii="Arial" w:hAnsi="Arial" w:cs="Arial" w:eastAsia="Arial" w:hint="default"/>
        </w:rPr>
        <w:t>S </w:t>
      </w:r>
      <w:r>
        <w:rPr/>
        <w:t>为发行在外的普通股加权平均数；</w:t>
      </w:r>
      <w:r>
        <w:rPr>
          <w:rFonts w:ascii="Arial" w:hAnsi="Arial" w:cs="Arial" w:eastAsia="Arial" w:hint="default"/>
        </w:rPr>
        <w:t>S0 </w:t>
      </w:r>
      <w:r>
        <w:rPr/>
        <w:t>为期初股份总数；</w:t>
      </w:r>
      <w:r>
        <w:rPr>
          <w:rFonts w:ascii="Arial" w:hAnsi="Arial" w:cs="Arial" w:eastAsia="Arial" w:hint="default"/>
        </w:rPr>
        <w:t>S1</w:t>
      </w:r>
      <w:r>
        <w:rPr>
          <w:rFonts w:ascii="Arial" w:hAnsi="Arial" w:cs="Arial" w:eastAsia="Arial" w:hint="default"/>
          <w:spacing w:val="34"/>
        </w:rPr>
        <w:t> </w:t>
      </w:r>
      <w:r>
        <w:rPr/>
        <w:t>为报告期因公积</w:t>
      </w:r>
      <w:r>
        <w:rPr>
          <w:w w:val="100"/>
        </w:rPr>
        <w:t> </w:t>
      </w:r>
      <w:r>
        <w:rPr>
          <w:spacing w:val="-7"/>
          <w:w w:val="100"/>
        </w:rPr>
        <w:t>金转增股本或股票股利分配等增加股份数；</w:t>
      </w:r>
      <w:r>
        <w:rPr>
          <w:rFonts w:ascii="Arial" w:hAnsi="Arial" w:cs="Arial" w:eastAsia="Arial" w:hint="default"/>
          <w:spacing w:val="-7"/>
          <w:w w:val="100"/>
        </w:rPr>
        <w:t>Si</w:t>
      </w:r>
      <w:r>
        <w:rPr>
          <w:rFonts w:ascii="Arial" w:hAnsi="Arial" w:cs="Arial" w:eastAsia="Arial" w:hint="default"/>
          <w:spacing w:val="32"/>
          <w:w w:val="100"/>
        </w:rPr>
        <w:t> </w:t>
      </w:r>
      <w:r>
        <w:rPr>
          <w:spacing w:val="-2"/>
          <w:w w:val="100"/>
        </w:rPr>
        <w:t>为报告期因发行新股或债转股等增加股份数；</w:t>
      </w:r>
    </w:p>
    <w:p>
      <w:pPr>
        <w:spacing w:after="0" w:line="338" w:lineRule="auto"/>
        <w:jc w:val="both"/>
        <w:sectPr>
          <w:footerReference w:type="default" r:id="rId70"/>
          <w:pgSz w:w="11900" w:h="16840"/>
          <w:pgMar w:footer="983" w:header="0" w:top="1100" w:bottom="1180" w:left="1560" w:right="1240"/>
          <w:pgNumType w:start="120"/>
        </w:sectPr>
      </w:pPr>
    </w:p>
    <w:p>
      <w:pPr>
        <w:spacing w:line="240" w:lineRule="auto" w:before="4"/>
        <w:rPr>
          <w:rFonts w:ascii="宋体" w:hAnsi="宋体" w:cs="宋体" w:eastAsia="宋体" w:hint="default"/>
          <w:sz w:val="19"/>
          <w:szCs w:val="19"/>
        </w:rPr>
      </w:pPr>
    </w:p>
    <w:p>
      <w:pPr>
        <w:pStyle w:val="BodyText"/>
        <w:spacing w:line="338" w:lineRule="auto"/>
        <w:ind w:right="137"/>
        <w:jc w:val="left"/>
      </w:pPr>
      <w:r>
        <w:rPr>
          <w:rFonts w:ascii="Arial" w:hAnsi="Arial" w:cs="Arial" w:eastAsia="Arial" w:hint="default"/>
        </w:rPr>
        <w:t>Sj</w:t>
      </w:r>
      <w:r>
        <w:rPr>
          <w:rFonts w:ascii="Arial" w:hAnsi="Arial" w:cs="Arial" w:eastAsia="Arial" w:hint="default"/>
          <w:spacing w:val="4"/>
        </w:rPr>
        <w:t> </w:t>
      </w:r>
      <w:r>
        <w:rPr>
          <w:spacing w:val="-3"/>
        </w:rPr>
        <w:t>为报告期因回购等减少股份数；</w:t>
      </w:r>
      <w:r>
        <w:rPr>
          <w:rFonts w:ascii="Arial" w:hAnsi="Arial" w:cs="Arial" w:eastAsia="Arial" w:hint="default"/>
          <w:spacing w:val="-3"/>
        </w:rPr>
        <w:t>Sk</w:t>
      </w:r>
      <w:r>
        <w:rPr>
          <w:rFonts w:ascii="Arial" w:hAnsi="Arial" w:cs="Arial" w:eastAsia="Arial" w:hint="default"/>
          <w:spacing w:val="3"/>
        </w:rPr>
        <w:t> </w:t>
      </w:r>
      <w:r>
        <w:rPr>
          <w:spacing w:val="-4"/>
        </w:rPr>
        <w:t>为报告期缩股数；</w:t>
      </w:r>
      <w:r>
        <w:rPr>
          <w:rFonts w:ascii="Arial" w:hAnsi="Arial" w:cs="Arial" w:eastAsia="Arial" w:hint="default"/>
          <w:spacing w:val="-4"/>
        </w:rPr>
        <w:t>M0</w:t>
      </w:r>
      <w:r>
        <w:rPr>
          <w:rFonts w:ascii="Arial" w:hAnsi="Arial" w:cs="Arial" w:eastAsia="Arial" w:hint="default"/>
          <w:spacing w:val="2"/>
        </w:rPr>
        <w:t> </w:t>
      </w:r>
      <w:r>
        <w:rPr>
          <w:spacing w:val="-5"/>
        </w:rPr>
        <w:t>报告期月份数；</w:t>
      </w:r>
      <w:r>
        <w:rPr>
          <w:rFonts w:ascii="Arial" w:hAnsi="Arial" w:cs="Arial" w:eastAsia="Arial" w:hint="default"/>
          <w:spacing w:val="-5"/>
        </w:rPr>
        <w:t>Mi</w:t>
      </w:r>
      <w:r>
        <w:rPr>
          <w:rFonts w:ascii="Arial" w:hAnsi="Arial" w:cs="Arial" w:eastAsia="Arial" w:hint="default"/>
          <w:spacing w:val="2"/>
        </w:rPr>
        <w:t> </w:t>
      </w:r>
      <w:r>
        <w:rPr/>
        <w:t>为增加股份</w:t>
      </w:r>
      <w:r>
        <w:rPr>
          <w:spacing w:val="-108"/>
        </w:rPr>
        <w:t> </w:t>
      </w:r>
      <w:r>
        <w:rPr/>
        <w:t>次月起至报告期期末的累计月数；</w:t>
      </w:r>
      <w:r>
        <w:rPr>
          <w:rFonts w:ascii="Arial" w:hAnsi="Arial" w:cs="Arial" w:eastAsia="Arial" w:hint="default"/>
        </w:rPr>
        <w:t>Mj</w:t>
      </w:r>
      <w:r>
        <w:rPr>
          <w:rFonts w:ascii="Arial" w:hAnsi="Arial" w:cs="Arial" w:eastAsia="Arial" w:hint="default"/>
          <w:spacing w:val="-15"/>
        </w:rPr>
        <w:t> </w:t>
      </w:r>
      <w:r>
        <w:rPr/>
        <w:t>为减少股份次月起至报告期期末的累计月数。</w:t>
      </w:r>
    </w:p>
    <w:p>
      <w:pPr>
        <w:pStyle w:val="BodyText"/>
        <w:spacing w:line="355" w:lineRule="auto" w:before="25"/>
        <w:ind w:right="171" w:firstLine="439"/>
        <w:jc w:val="both"/>
      </w:pPr>
      <w:r>
        <w:rPr/>
        <w:t>公司若存在发行可转换债券、股份期权、认股权证等稀释性潜在普通股情况下，稀释</w:t>
      </w:r>
      <w:r>
        <w:rPr>
          <w:w w:val="100"/>
        </w:rPr>
        <w:t> </w:t>
      </w:r>
      <w:r>
        <w:rPr/>
        <w:t>每股收益可参照如下公式计算：</w:t>
      </w:r>
    </w:p>
    <w:p>
      <w:pPr>
        <w:pStyle w:val="BodyText"/>
        <w:spacing w:line="340" w:lineRule="auto" w:before="33"/>
        <w:ind w:right="133" w:firstLine="439"/>
        <w:jc w:val="both"/>
        <w:rPr>
          <w:rFonts w:ascii="Arial" w:hAnsi="Arial" w:cs="Arial" w:eastAsia="Arial" w:hint="default"/>
        </w:rPr>
      </w:pPr>
      <w:r>
        <w:rPr>
          <w:spacing w:val="-1"/>
        </w:rPr>
        <w:t>稀释每股收益</w:t>
      </w:r>
      <w:r>
        <w:rPr>
          <w:rFonts w:ascii="Arial" w:hAnsi="Arial" w:cs="Arial" w:eastAsia="Arial" w:hint="default"/>
          <w:spacing w:val="-1"/>
        </w:rPr>
        <w:t>=P1.(S0</w:t>
      </w:r>
      <w:r>
        <w:rPr>
          <w:spacing w:val="-1"/>
        </w:rPr>
        <w:t>＋</w:t>
      </w:r>
      <w:r>
        <w:rPr>
          <w:rFonts w:ascii="Arial" w:hAnsi="Arial" w:cs="Arial" w:eastAsia="Arial" w:hint="default"/>
          <w:spacing w:val="-1"/>
        </w:rPr>
        <w:t>S1</w:t>
      </w:r>
      <w:r>
        <w:rPr>
          <w:spacing w:val="-1"/>
        </w:rPr>
        <w:t>＋</w:t>
      </w:r>
      <w:r>
        <w:rPr>
          <w:rFonts w:ascii="Arial" w:hAnsi="Arial" w:cs="Arial" w:eastAsia="Arial" w:hint="default"/>
          <w:spacing w:val="-1"/>
        </w:rPr>
        <w:t>Si</w:t>
      </w:r>
      <w:r>
        <w:rPr>
          <w:spacing w:val="-1"/>
        </w:rPr>
        <w:t>×</w:t>
      </w:r>
      <w:r>
        <w:rPr>
          <w:rFonts w:ascii="Arial" w:hAnsi="Arial" w:cs="Arial" w:eastAsia="Arial" w:hint="default"/>
          <w:spacing w:val="-1"/>
        </w:rPr>
        <w:t>Mi</w:t>
      </w:r>
      <w:r>
        <w:rPr>
          <w:spacing w:val="-1"/>
        </w:rPr>
        <w:t>÷</w:t>
      </w:r>
      <w:r>
        <w:rPr>
          <w:rFonts w:ascii="Arial" w:hAnsi="Arial" w:cs="Arial" w:eastAsia="Arial" w:hint="default"/>
          <w:spacing w:val="-1"/>
        </w:rPr>
        <w:t>M0</w:t>
      </w:r>
      <w:r>
        <w:rPr>
          <w:spacing w:val="-1"/>
        </w:rPr>
        <w:t>–</w:t>
      </w:r>
      <w:r>
        <w:rPr>
          <w:rFonts w:ascii="Arial" w:hAnsi="Arial" w:cs="Arial" w:eastAsia="Arial" w:hint="default"/>
          <w:spacing w:val="-1"/>
        </w:rPr>
        <w:t>Sj</w:t>
      </w:r>
      <w:r>
        <w:rPr>
          <w:spacing w:val="-1"/>
        </w:rPr>
        <w:t>×</w:t>
      </w:r>
      <w:r>
        <w:rPr>
          <w:rFonts w:ascii="Arial" w:hAnsi="Arial" w:cs="Arial" w:eastAsia="Arial" w:hint="default"/>
          <w:spacing w:val="-1"/>
        </w:rPr>
        <w:t>Mj</w:t>
      </w:r>
      <w:r>
        <w:rPr>
          <w:spacing w:val="-1"/>
        </w:rPr>
        <w:t>÷</w:t>
      </w:r>
      <w:r>
        <w:rPr>
          <w:rFonts w:ascii="Arial" w:hAnsi="Arial" w:cs="Arial" w:eastAsia="Arial" w:hint="default"/>
          <w:spacing w:val="-1"/>
        </w:rPr>
        <w:t>M0</w:t>
      </w:r>
      <w:r>
        <w:rPr>
          <w:spacing w:val="-1"/>
        </w:rPr>
        <w:t>–</w:t>
      </w:r>
      <w:r>
        <w:rPr>
          <w:rFonts w:ascii="Arial" w:hAnsi="Arial" w:cs="Arial" w:eastAsia="Arial" w:hint="default"/>
          <w:spacing w:val="-1"/>
        </w:rPr>
        <w:t>Sk+</w:t>
      </w:r>
      <w:r>
        <w:rPr>
          <w:spacing w:val="-1"/>
        </w:rPr>
        <w:t>认股权证、股份期权、</w:t>
      </w:r>
      <w:r>
        <w:rPr>
          <w:w w:val="100"/>
        </w:rPr>
        <w:t> </w:t>
      </w:r>
      <w:r>
        <w:rPr/>
        <w:t>可转换债券等增加的普通股加权平均数</w:t>
      </w:r>
      <w:r>
        <w:rPr>
          <w:rFonts w:ascii="Arial" w:hAnsi="Arial" w:cs="Arial" w:eastAsia="Arial" w:hint="default"/>
        </w:rPr>
        <w:t>)</w:t>
      </w:r>
    </w:p>
    <w:p>
      <w:pPr>
        <w:pStyle w:val="BodyText"/>
        <w:spacing w:line="352" w:lineRule="auto" w:before="20"/>
        <w:ind w:right="166" w:firstLine="439"/>
        <w:jc w:val="both"/>
      </w:pPr>
      <w:r>
        <w:rPr>
          <w:spacing w:val="-15"/>
        </w:rPr>
        <w:t>其中，</w:t>
      </w:r>
      <w:r>
        <w:rPr>
          <w:rFonts w:ascii="Arial" w:hAnsi="Arial" w:cs="Arial" w:eastAsia="Arial" w:hint="default"/>
          <w:spacing w:val="-15"/>
        </w:rPr>
        <w:t>P1</w:t>
      </w:r>
      <w:r>
        <w:rPr>
          <w:rFonts w:ascii="Arial" w:hAnsi="Arial" w:cs="Arial" w:eastAsia="Arial" w:hint="default"/>
          <w:spacing w:val="-14"/>
        </w:rPr>
        <w:t> </w:t>
      </w:r>
      <w:r>
        <w:rPr/>
        <w:t>为归属于公司普通股股东的净利润或扣除非经常性损益后归属于公司普通股</w:t>
      </w:r>
      <w:r>
        <w:rPr>
          <w:w w:val="100"/>
        </w:rPr>
        <w:t> </w:t>
      </w:r>
      <w:r>
        <w:rPr/>
        <w:t>股东的净利润，并考虑稀释性潜在普通股对其影响，按《企业会计准则》及有关规定进行</w:t>
      </w:r>
      <w:r>
        <w:rPr>
          <w:spacing w:val="-85"/>
        </w:rPr>
        <w:t> </w:t>
      </w:r>
      <w:r>
        <w:rPr/>
        <w:t>调整。公司在计算稀释每股收益时，应考虑所有稀释性潜在普通股对归属于公司普通股股</w:t>
      </w:r>
      <w:r>
        <w:rPr>
          <w:spacing w:val="-85"/>
        </w:rPr>
        <w:t> </w:t>
      </w:r>
      <w:r>
        <w:rPr>
          <w:spacing w:val="4"/>
        </w:rPr>
        <w:t>东的净利润或扣除非经常性损益后归属于公司普通股股东的净利润和加权平均股数的影</w:t>
      </w:r>
      <w:r>
        <w:rPr>
          <w:spacing w:val="-33"/>
        </w:rPr>
        <w:t> </w:t>
      </w:r>
      <w:r>
        <w:rPr>
          <w:spacing w:val="-33"/>
        </w:rPr>
      </w:r>
      <w:r>
        <w:rPr>
          <w:spacing w:val="-1"/>
        </w:rPr>
        <w:t>响，按照其稀释程度从大到小的顺序计入稀释每股收益，直至稀释每股收益达到最小值。</w:t>
      </w:r>
      <w:r>
        <w:rPr>
          <w:spacing w:val="-84"/>
        </w:rPr>
        <w:t> </w:t>
      </w:r>
      <w:r>
        <w:rPr>
          <w:spacing w:val="-84"/>
        </w:rPr>
      </w:r>
      <w:r>
        <w:rPr>
          <w:rFonts w:ascii="Arial" w:hAnsi="Arial" w:cs="Arial" w:eastAsia="Arial" w:hint="default"/>
        </w:rPr>
        <w:t>6.36</w:t>
      </w:r>
      <w:r>
        <w:rPr>
          <w:rFonts w:ascii="Arial" w:hAnsi="Arial" w:cs="Arial" w:eastAsia="Arial" w:hint="default"/>
          <w:spacing w:val="-10"/>
        </w:rPr>
        <w:t> </w:t>
      </w:r>
      <w:r>
        <w:rPr/>
        <w:t>现金流量表项目注释</w:t>
      </w:r>
    </w:p>
    <w:p>
      <w:pPr>
        <w:pStyle w:val="BodyText"/>
        <w:spacing w:line="240" w:lineRule="auto" w:before="8"/>
        <w:ind w:right="137"/>
        <w:jc w:val="left"/>
      </w:pPr>
      <w:r>
        <w:rPr>
          <w:rFonts w:ascii="Arial" w:hAnsi="Arial" w:cs="Arial" w:eastAsia="Arial" w:hint="default"/>
        </w:rPr>
        <w:t>6.36.1</w:t>
      </w:r>
      <w:r>
        <w:rPr>
          <w:rFonts w:ascii="Arial" w:hAnsi="Arial" w:cs="Arial" w:eastAsia="Arial" w:hint="default"/>
          <w:spacing w:val="41"/>
        </w:rPr>
        <w:t> </w:t>
      </w:r>
      <w:r>
        <w:rPr/>
        <w:t>收到的其他与经营活动有关的现金</w:t>
      </w:r>
    </w:p>
    <w:p>
      <w:pPr>
        <w:spacing w:line="240" w:lineRule="auto" w:before="3"/>
        <w:rPr>
          <w:rFonts w:ascii="宋体" w:hAnsi="宋体" w:cs="宋体" w:eastAsia="宋体" w:hint="default"/>
          <w:sz w:val="12"/>
          <w:szCs w:val="12"/>
        </w:rPr>
      </w:pPr>
    </w:p>
    <w:tbl>
      <w:tblPr>
        <w:tblW w:w="0" w:type="auto"/>
        <w:jc w:val="left"/>
        <w:tblInd w:w="161" w:type="dxa"/>
        <w:tblLayout w:type="fixed"/>
        <w:tblCellMar>
          <w:top w:w="0" w:type="dxa"/>
          <w:left w:w="0" w:type="dxa"/>
          <w:bottom w:w="0" w:type="dxa"/>
          <w:right w:w="0" w:type="dxa"/>
        </w:tblCellMar>
        <w:tblLook w:val="01E0"/>
      </w:tblPr>
      <w:tblGrid>
        <w:gridCol w:w="3278"/>
        <w:gridCol w:w="2748"/>
        <w:gridCol w:w="2537"/>
      </w:tblGrid>
      <w:tr>
        <w:trPr>
          <w:trHeight w:val="485" w:hRule="exact"/>
        </w:trPr>
        <w:tc>
          <w:tcPr>
            <w:tcW w:w="32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年度</w:t>
            </w:r>
          </w:p>
        </w:tc>
        <w:tc>
          <w:tcPr>
            <w:tcW w:w="25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5"/>
                <w:sz w:val="18"/>
                <w:szCs w:val="18"/>
              </w:rPr>
              <w:t> </w:t>
            </w:r>
            <w:r>
              <w:rPr>
                <w:rFonts w:ascii="宋体" w:hAnsi="宋体" w:cs="宋体" w:eastAsia="宋体" w:hint="default"/>
                <w:sz w:val="18"/>
                <w:szCs w:val="18"/>
              </w:rPr>
              <w:t>年度</w:t>
            </w:r>
          </w:p>
        </w:tc>
      </w:tr>
      <w:tr>
        <w:trPr>
          <w:trHeight w:val="482" w:hRule="exact"/>
        </w:trPr>
        <w:tc>
          <w:tcPr>
            <w:tcW w:w="32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7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right="0"/>
              <w:jc w:val="center"/>
              <w:rPr>
                <w:rFonts w:ascii="Arial" w:hAnsi="Arial" w:cs="Arial" w:eastAsia="Arial" w:hint="default"/>
                <w:sz w:val="18"/>
                <w:szCs w:val="18"/>
              </w:rPr>
            </w:pPr>
            <w:r>
              <w:rPr>
                <w:rFonts w:ascii="Arial"/>
                <w:sz w:val="18"/>
              </w:rPr>
              <w:t>3,301,792.52</w:t>
            </w:r>
          </w:p>
        </w:tc>
        <w:tc>
          <w:tcPr>
            <w:tcW w:w="25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pacing w:val="-3"/>
                <w:sz w:val="18"/>
              </w:rPr>
              <w:t>111,434.39</w:t>
            </w:r>
          </w:p>
        </w:tc>
      </w:tr>
      <w:tr>
        <w:trPr>
          <w:trHeight w:val="485" w:hRule="exact"/>
        </w:trPr>
        <w:tc>
          <w:tcPr>
            <w:tcW w:w="32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河口开发区土地使用保证金</w:t>
            </w:r>
          </w:p>
        </w:tc>
        <w:tc>
          <w:tcPr>
            <w:tcW w:w="2748" w:type="dxa"/>
            <w:tcBorders>
              <w:top w:val="single" w:sz="12" w:space="0" w:color="000000"/>
              <w:left w:val="single" w:sz="12" w:space="0" w:color="000000"/>
              <w:bottom w:val="single" w:sz="12" w:space="0" w:color="000000"/>
              <w:right w:val="single" w:sz="12" w:space="0" w:color="000000"/>
            </w:tcBorders>
          </w:tcPr>
          <w:p>
            <w:pPr/>
          </w:p>
        </w:tc>
        <w:tc>
          <w:tcPr>
            <w:tcW w:w="25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4,568,400.00</w:t>
            </w:r>
          </w:p>
        </w:tc>
      </w:tr>
      <w:tr>
        <w:trPr>
          <w:trHeight w:val="485" w:hRule="exact"/>
        </w:trPr>
        <w:tc>
          <w:tcPr>
            <w:tcW w:w="32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其他单位往来</w:t>
            </w:r>
          </w:p>
        </w:tc>
        <w:tc>
          <w:tcPr>
            <w:tcW w:w="27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right="1"/>
              <w:jc w:val="center"/>
              <w:rPr>
                <w:rFonts w:ascii="Arial" w:hAnsi="Arial" w:cs="Arial" w:eastAsia="Arial" w:hint="default"/>
                <w:sz w:val="18"/>
                <w:szCs w:val="18"/>
              </w:rPr>
            </w:pPr>
            <w:r>
              <w:rPr>
                <w:rFonts w:ascii="Arial"/>
                <w:sz w:val="18"/>
              </w:rPr>
              <w:t>522,704.99</w:t>
            </w:r>
          </w:p>
        </w:tc>
        <w:tc>
          <w:tcPr>
            <w:tcW w:w="25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left="1" w:right="0"/>
              <w:jc w:val="center"/>
              <w:rPr>
                <w:rFonts w:ascii="Arial" w:hAnsi="Arial" w:cs="Arial" w:eastAsia="Arial" w:hint="default"/>
                <w:sz w:val="18"/>
                <w:szCs w:val="18"/>
              </w:rPr>
            </w:pPr>
            <w:r>
              <w:rPr>
                <w:rFonts w:ascii="Arial"/>
                <w:sz w:val="18"/>
              </w:rPr>
              <w:t>240,597.52</w:t>
            </w:r>
          </w:p>
        </w:tc>
      </w:tr>
      <w:tr>
        <w:trPr>
          <w:trHeight w:val="482" w:hRule="exact"/>
        </w:trPr>
        <w:tc>
          <w:tcPr>
            <w:tcW w:w="32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收到的政府补助</w:t>
            </w:r>
          </w:p>
        </w:tc>
        <w:tc>
          <w:tcPr>
            <w:tcW w:w="27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right="0"/>
              <w:jc w:val="center"/>
              <w:rPr>
                <w:rFonts w:ascii="Arial" w:hAnsi="Arial" w:cs="Arial" w:eastAsia="Arial" w:hint="default"/>
                <w:sz w:val="18"/>
                <w:szCs w:val="18"/>
              </w:rPr>
            </w:pPr>
            <w:r>
              <w:rPr>
                <w:rFonts w:ascii="Arial"/>
                <w:sz w:val="18"/>
              </w:rPr>
              <w:t>8,453,700.00</w:t>
            </w:r>
          </w:p>
        </w:tc>
        <w:tc>
          <w:tcPr>
            <w:tcW w:w="25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5,883,480.00</w:t>
            </w:r>
          </w:p>
        </w:tc>
      </w:tr>
      <w:tr>
        <w:trPr>
          <w:trHeight w:val="485" w:hRule="exact"/>
        </w:trPr>
        <w:tc>
          <w:tcPr>
            <w:tcW w:w="32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right="0"/>
              <w:jc w:val="center"/>
              <w:rPr>
                <w:rFonts w:ascii="Arial" w:hAnsi="Arial" w:cs="Arial" w:eastAsia="Arial" w:hint="default"/>
                <w:sz w:val="18"/>
                <w:szCs w:val="18"/>
              </w:rPr>
            </w:pPr>
            <w:r>
              <w:rPr>
                <w:rFonts w:ascii="Arial"/>
                <w:sz w:val="18"/>
              </w:rPr>
              <w:t>12,278,197.51</w:t>
            </w:r>
          </w:p>
        </w:tc>
        <w:tc>
          <w:tcPr>
            <w:tcW w:w="25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10,803,911.91</w:t>
            </w:r>
          </w:p>
        </w:tc>
      </w:tr>
    </w:tbl>
    <w:p>
      <w:pPr>
        <w:spacing w:line="240" w:lineRule="auto" w:before="12"/>
        <w:rPr>
          <w:rFonts w:ascii="宋体" w:hAnsi="宋体" w:cs="宋体" w:eastAsia="宋体" w:hint="default"/>
          <w:sz w:val="23"/>
          <w:szCs w:val="23"/>
        </w:rPr>
      </w:pPr>
    </w:p>
    <w:p>
      <w:pPr>
        <w:pStyle w:val="BodyText"/>
        <w:spacing w:line="240" w:lineRule="auto"/>
        <w:ind w:right="137"/>
        <w:jc w:val="left"/>
      </w:pPr>
      <w:r>
        <w:rPr>
          <w:rFonts w:ascii="Arial" w:hAnsi="Arial" w:cs="Arial" w:eastAsia="Arial" w:hint="default"/>
        </w:rPr>
        <w:t>6.36.2</w:t>
      </w:r>
      <w:r>
        <w:rPr>
          <w:rFonts w:ascii="Arial" w:hAnsi="Arial" w:cs="Arial" w:eastAsia="Arial" w:hint="default"/>
          <w:spacing w:val="41"/>
        </w:rPr>
        <w:t> </w:t>
      </w:r>
      <w:r>
        <w:rPr/>
        <w:t>支付的其他与经营活动有关的现金</w:t>
      </w:r>
    </w:p>
    <w:p>
      <w:pPr>
        <w:spacing w:line="240" w:lineRule="auto" w:before="3"/>
        <w:rPr>
          <w:rFonts w:ascii="宋体" w:hAnsi="宋体" w:cs="宋体" w:eastAsia="宋体" w:hint="default"/>
          <w:sz w:val="12"/>
          <w:szCs w:val="12"/>
        </w:rPr>
      </w:pPr>
    </w:p>
    <w:tbl>
      <w:tblPr>
        <w:tblW w:w="0" w:type="auto"/>
        <w:jc w:val="left"/>
        <w:tblInd w:w="204" w:type="dxa"/>
        <w:tblLayout w:type="fixed"/>
        <w:tblCellMar>
          <w:top w:w="0" w:type="dxa"/>
          <w:left w:w="0" w:type="dxa"/>
          <w:bottom w:w="0" w:type="dxa"/>
          <w:right w:w="0" w:type="dxa"/>
        </w:tblCellMar>
        <w:tblLook w:val="01E0"/>
      </w:tblPr>
      <w:tblGrid>
        <w:gridCol w:w="3254"/>
        <w:gridCol w:w="2743"/>
        <w:gridCol w:w="2479"/>
      </w:tblGrid>
      <w:tr>
        <w:trPr>
          <w:trHeight w:val="485" w:hRule="exact"/>
        </w:trPr>
        <w:tc>
          <w:tcPr>
            <w:tcW w:w="32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年度</w:t>
            </w:r>
          </w:p>
        </w:tc>
        <w:tc>
          <w:tcPr>
            <w:tcW w:w="24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5"/>
                <w:sz w:val="18"/>
                <w:szCs w:val="18"/>
              </w:rPr>
              <w:t> </w:t>
            </w:r>
            <w:r>
              <w:rPr>
                <w:rFonts w:ascii="宋体" w:hAnsi="宋体" w:cs="宋体" w:eastAsia="宋体" w:hint="default"/>
                <w:sz w:val="18"/>
                <w:szCs w:val="18"/>
              </w:rPr>
              <w:t>年度</w:t>
            </w:r>
          </w:p>
        </w:tc>
      </w:tr>
      <w:tr>
        <w:trPr>
          <w:trHeight w:val="482" w:hRule="exact"/>
        </w:trPr>
        <w:tc>
          <w:tcPr>
            <w:tcW w:w="32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与其他单位的资金往来</w:t>
            </w:r>
          </w:p>
        </w:tc>
        <w:tc>
          <w:tcPr>
            <w:tcW w:w="27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589"/>
              <w:jc w:val="right"/>
              <w:rPr>
                <w:rFonts w:ascii="Arial" w:hAnsi="Arial" w:cs="Arial" w:eastAsia="Arial" w:hint="default"/>
                <w:sz w:val="18"/>
                <w:szCs w:val="18"/>
              </w:rPr>
            </w:pPr>
            <w:r>
              <w:rPr>
                <w:rFonts w:ascii="Arial"/>
                <w:spacing w:val="-1"/>
                <w:sz w:val="18"/>
              </w:rPr>
              <w:t>212,142.00</w:t>
            </w:r>
          </w:p>
        </w:tc>
        <w:tc>
          <w:tcPr>
            <w:tcW w:w="24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2,144,052.33</w:t>
            </w:r>
          </w:p>
        </w:tc>
      </w:tr>
      <w:tr>
        <w:trPr>
          <w:trHeight w:val="485" w:hRule="exact"/>
        </w:trPr>
        <w:tc>
          <w:tcPr>
            <w:tcW w:w="32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运费</w:t>
            </w:r>
          </w:p>
        </w:tc>
        <w:tc>
          <w:tcPr>
            <w:tcW w:w="27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607"/>
              <w:jc w:val="right"/>
              <w:rPr>
                <w:rFonts w:ascii="Arial" w:hAnsi="Arial" w:cs="Arial" w:eastAsia="Arial" w:hint="default"/>
                <w:sz w:val="18"/>
                <w:szCs w:val="18"/>
              </w:rPr>
            </w:pPr>
            <w:r>
              <w:rPr>
                <w:rFonts w:ascii="Arial"/>
                <w:spacing w:val="-1"/>
                <w:sz w:val="18"/>
              </w:rPr>
              <w:t>4,402,991.22</w:t>
            </w:r>
          </w:p>
        </w:tc>
        <w:tc>
          <w:tcPr>
            <w:tcW w:w="24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3,112,668.70</w:t>
            </w:r>
          </w:p>
        </w:tc>
      </w:tr>
      <w:tr>
        <w:trPr>
          <w:trHeight w:val="485" w:hRule="exact"/>
        </w:trPr>
        <w:tc>
          <w:tcPr>
            <w:tcW w:w="32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研发费</w:t>
            </w:r>
          </w:p>
        </w:tc>
        <w:tc>
          <w:tcPr>
            <w:tcW w:w="27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605"/>
              <w:jc w:val="right"/>
              <w:rPr>
                <w:rFonts w:ascii="Arial" w:hAnsi="Arial" w:cs="Arial" w:eastAsia="Arial" w:hint="default"/>
                <w:sz w:val="18"/>
                <w:szCs w:val="18"/>
              </w:rPr>
            </w:pPr>
            <w:r>
              <w:rPr>
                <w:rFonts w:ascii="Arial"/>
                <w:spacing w:val="-1"/>
                <w:sz w:val="18"/>
              </w:rPr>
              <w:t>7,972,995.77</w:t>
            </w:r>
          </w:p>
        </w:tc>
        <w:tc>
          <w:tcPr>
            <w:tcW w:w="24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4,148,092.01</w:t>
            </w:r>
          </w:p>
        </w:tc>
      </w:tr>
      <w:tr>
        <w:trPr>
          <w:trHeight w:val="482" w:hRule="exact"/>
        </w:trPr>
        <w:tc>
          <w:tcPr>
            <w:tcW w:w="32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差旅费</w:t>
            </w:r>
          </w:p>
        </w:tc>
        <w:tc>
          <w:tcPr>
            <w:tcW w:w="27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605"/>
              <w:jc w:val="right"/>
              <w:rPr>
                <w:rFonts w:ascii="Arial" w:hAnsi="Arial" w:cs="Arial" w:eastAsia="Arial" w:hint="default"/>
                <w:sz w:val="18"/>
                <w:szCs w:val="18"/>
              </w:rPr>
            </w:pPr>
            <w:r>
              <w:rPr>
                <w:rFonts w:ascii="Arial"/>
                <w:spacing w:val="-1"/>
                <w:sz w:val="18"/>
              </w:rPr>
              <w:t>1,619,464.90</w:t>
            </w:r>
          </w:p>
        </w:tc>
        <w:tc>
          <w:tcPr>
            <w:tcW w:w="24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957,355.79</w:t>
            </w:r>
          </w:p>
        </w:tc>
      </w:tr>
      <w:tr>
        <w:trPr>
          <w:trHeight w:val="485" w:hRule="exact"/>
        </w:trPr>
        <w:tc>
          <w:tcPr>
            <w:tcW w:w="32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包装费</w:t>
            </w:r>
          </w:p>
        </w:tc>
        <w:tc>
          <w:tcPr>
            <w:tcW w:w="27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605"/>
              <w:jc w:val="right"/>
              <w:rPr>
                <w:rFonts w:ascii="Arial" w:hAnsi="Arial" w:cs="Arial" w:eastAsia="Arial" w:hint="default"/>
                <w:sz w:val="18"/>
                <w:szCs w:val="18"/>
              </w:rPr>
            </w:pPr>
            <w:r>
              <w:rPr>
                <w:rFonts w:ascii="Arial"/>
                <w:spacing w:val="-1"/>
                <w:sz w:val="18"/>
              </w:rPr>
              <w:t>1,240,974.73</w:t>
            </w:r>
          </w:p>
        </w:tc>
        <w:tc>
          <w:tcPr>
            <w:tcW w:w="24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694,233.35</w:t>
            </w:r>
          </w:p>
        </w:tc>
      </w:tr>
      <w:tr>
        <w:trPr>
          <w:trHeight w:val="485" w:hRule="exact"/>
        </w:trPr>
        <w:tc>
          <w:tcPr>
            <w:tcW w:w="32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办公费</w:t>
            </w:r>
          </w:p>
        </w:tc>
        <w:tc>
          <w:tcPr>
            <w:tcW w:w="27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605"/>
              <w:jc w:val="right"/>
              <w:rPr>
                <w:rFonts w:ascii="Arial" w:hAnsi="Arial" w:cs="Arial" w:eastAsia="Arial" w:hint="default"/>
                <w:sz w:val="18"/>
                <w:szCs w:val="18"/>
              </w:rPr>
            </w:pPr>
            <w:r>
              <w:rPr>
                <w:rFonts w:ascii="Arial"/>
                <w:spacing w:val="-1"/>
                <w:sz w:val="18"/>
              </w:rPr>
              <w:t>2,601,863.50</w:t>
            </w:r>
          </w:p>
        </w:tc>
        <w:tc>
          <w:tcPr>
            <w:tcW w:w="24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1,467,363.03</w:t>
            </w:r>
          </w:p>
        </w:tc>
      </w:tr>
      <w:tr>
        <w:trPr>
          <w:trHeight w:val="482" w:hRule="exact"/>
        </w:trPr>
        <w:tc>
          <w:tcPr>
            <w:tcW w:w="32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路演服务费</w:t>
            </w:r>
          </w:p>
        </w:tc>
        <w:tc>
          <w:tcPr>
            <w:tcW w:w="27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605"/>
              <w:jc w:val="right"/>
              <w:rPr>
                <w:rFonts w:ascii="Arial" w:hAnsi="Arial" w:cs="Arial" w:eastAsia="Arial" w:hint="default"/>
                <w:sz w:val="18"/>
                <w:szCs w:val="18"/>
              </w:rPr>
            </w:pPr>
            <w:r>
              <w:rPr>
                <w:rFonts w:ascii="Arial"/>
                <w:spacing w:val="-1"/>
                <w:sz w:val="18"/>
              </w:rPr>
              <w:t>2,417,700.00</w:t>
            </w:r>
          </w:p>
        </w:tc>
        <w:tc>
          <w:tcPr>
            <w:tcW w:w="24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85" w:hRule="exact"/>
        </w:trPr>
        <w:tc>
          <w:tcPr>
            <w:tcW w:w="32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其他费用及支出</w:t>
            </w:r>
          </w:p>
        </w:tc>
        <w:tc>
          <w:tcPr>
            <w:tcW w:w="27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605"/>
              <w:jc w:val="right"/>
              <w:rPr>
                <w:rFonts w:ascii="Arial" w:hAnsi="Arial" w:cs="Arial" w:eastAsia="Arial" w:hint="default"/>
                <w:sz w:val="18"/>
                <w:szCs w:val="18"/>
              </w:rPr>
            </w:pPr>
            <w:r>
              <w:rPr>
                <w:rFonts w:ascii="Arial"/>
                <w:spacing w:val="-1"/>
                <w:sz w:val="18"/>
              </w:rPr>
              <w:t>4,667,533.78</w:t>
            </w:r>
          </w:p>
        </w:tc>
        <w:tc>
          <w:tcPr>
            <w:tcW w:w="24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right="0"/>
              <w:jc w:val="center"/>
              <w:rPr>
                <w:rFonts w:ascii="Arial" w:hAnsi="Arial" w:cs="Arial" w:eastAsia="Arial" w:hint="default"/>
                <w:sz w:val="18"/>
                <w:szCs w:val="18"/>
              </w:rPr>
            </w:pPr>
            <w:r>
              <w:rPr>
                <w:rFonts w:ascii="Arial"/>
                <w:sz w:val="18"/>
              </w:rPr>
              <w:t>3,898,797.17</w:t>
            </w:r>
          </w:p>
        </w:tc>
      </w:tr>
    </w:tbl>
    <w:p>
      <w:pPr>
        <w:spacing w:after="0" w:line="240" w:lineRule="auto"/>
        <w:jc w:val="center"/>
        <w:rPr>
          <w:rFonts w:ascii="Arial" w:hAnsi="Arial" w:cs="Arial" w:eastAsia="Arial" w:hint="default"/>
          <w:sz w:val="18"/>
          <w:szCs w:val="18"/>
        </w:rPr>
        <w:sectPr>
          <w:pgSz w:w="11900" w:h="16840"/>
          <w:pgMar w:header="0" w:footer="983" w:top="1100" w:bottom="1180" w:left="1660" w:right="1320"/>
        </w:sectPr>
      </w:pPr>
    </w:p>
    <w:p>
      <w:pPr>
        <w:spacing w:line="240" w:lineRule="auto" w:before="8"/>
        <w:rPr>
          <w:rFonts w:ascii="宋体" w:hAnsi="宋体" w:cs="宋体" w:eastAsia="宋体" w:hint="default"/>
          <w:sz w:val="24"/>
          <w:szCs w:val="24"/>
        </w:rPr>
      </w:pPr>
    </w:p>
    <w:tbl>
      <w:tblPr>
        <w:tblW w:w="0" w:type="auto"/>
        <w:jc w:val="left"/>
        <w:tblInd w:w="304" w:type="dxa"/>
        <w:tblLayout w:type="fixed"/>
        <w:tblCellMar>
          <w:top w:w="0" w:type="dxa"/>
          <w:left w:w="0" w:type="dxa"/>
          <w:bottom w:w="0" w:type="dxa"/>
          <w:right w:w="0" w:type="dxa"/>
        </w:tblCellMar>
        <w:tblLook w:val="01E0"/>
      </w:tblPr>
      <w:tblGrid>
        <w:gridCol w:w="3254"/>
        <w:gridCol w:w="2743"/>
        <w:gridCol w:w="2479"/>
      </w:tblGrid>
      <w:tr>
        <w:trPr>
          <w:trHeight w:val="482" w:hRule="exact"/>
        </w:trPr>
        <w:tc>
          <w:tcPr>
            <w:tcW w:w="32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left="916" w:right="0"/>
              <w:jc w:val="left"/>
              <w:rPr>
                <w:rFonts w:ascii="Arial" w:hAnsi="Arial" w:cs="Arial" w:eastAsia="Arial" w:hint="default"/>
                <w:sz w:val="18"/>
                <w:szCs w:val="18"/>
              </w:rPr>
            </w:pPr>
            <w:r>
              <w:rPr>
                <w:rFonts w:ascii="Arial"/>
                <w:sz w:val="18"/>
              </w:rPr>
              <w:t>25,135,665.90</w:t>
            </w:r>
          </w:p>
        </w:tc>
        <w:tc>
          <w:tcPr>
            <w:tcW w:w="24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left="647" w:right="0"/>
              <w:jc w:val="left"/>
              <w:rPr>
                <w:rFonts w:ascii="Arial" w:hAnsi="Arial" w:cs="Arial" w:eastAsia="Arial" w:hint="default"/>
                <w:sz w:val="18"/>
                <w:szCs w:val="18"/>
              </w:rPr>
            </w:pPr>
            <w:r>
              <w:rPr>
                <w:rFonts w:ascii="Arial"/>
                <w:sz w:val="18"/>
              </w:rPr>
              <w:t>16,422,562.38</w:t>
            </w:r>
          </w:p>
        </w:tc>
      </w:tr>
    </w:tbl>
    <w:p>
      <w:pPr>
        <w:spacing w:line="240" w:lineRule="auto" w:before="12"/>
        <w:rPr>
          <w:rFonts w:ascii="宋体" w:hAnsi="宋体" w:cs="宋体" w:eastAsia="宋体" w:hint="default"/>
          <w:sz w:val="23"/>
          <w:szCs w:val="23"/>
        </w:rPr>
      </w:pPr>
    </w:p>
    <w:p>
      <w:pPr>
        <w:pStyle w:val="BodyText"/>
        <w:spacing w:line="240" w:lineRule="auto"/>
        <w:ind w:left="237" w:right="0"/>
        <w:jc w:val="left"/>
      </w:pPr>
      <w:r>
        <w:rPr>
          <w:rFonts w:ascii="Arial" w:hAnsi="Arial" w:cs="Arial" w:eastAsia="Arial" w:hint="default"/>
        </w:rPr>
        <w:t>6.36.3</w:t>
      </w:r>
      <w:r>
        <w:rPr>
          <w:rFonts w:ascii="Arial" w:hAnsi="Arial" w:cs="Arial" w:eastAsia="Arial" w:hint="default"/>
          <w:spacing w:val="-11"/>
        </w:rPr>
        <w:t> </w:t>
      </w:r>
      <w:r>
        <w:rPr/>
        <w:t>支付的其他与筹资活动有关的现金</w:t>
      </w:r>
    </w:p>
    <w:p>
      <w:pPr>
        <w:spacing w:line="240" w:lineRule="auto" w:before="5"/>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3463"/>
        <w:gridCol w:w="2734"/>
        <w:gridCol w:w="2494"/>
      </w:tblGrid>
      <w:tr>
        <w:trPr>
          <w:trHeight w:val="482" w:hRule="exact"/>
        </w:trPr>
        <w:tc>
          <w:tcPr>
            <w:tcW w:w="346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年度</w:t>
            </w:r>
          </w:p>
        </w:tc>
        <w:tc>
          <w:tcPr>
            <w:tcW w:w="24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5"/>
                <w:sz w:val="18"/>
                <w:szCs w:val="18"/>
              </w:rPr>
              <w:t> </w:t>
            </w:r>
            <w:r>
              <w:rPr>
                <w:rFonts w:ascii="宋体" w:hAnsi="宋体" w:cs="宋体" w:eastAsia="宋体" w:hint="default"/>
                <w:sz w:val="18"/>
                <w:szCs w:val="18"/>
              </w:rPr>
              <w:t>年度</w:t>
            </w:r>
          </w:p>
        </w:tc>
      </w:tr>
      <w:tr>
        <w:trPr>
          <w:trHeight w:val="482" w:hRule="exact"/>
        </w:trPr>
        <w:tc>
          <w:tcPr>
            <w:tcW w:w="346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上市费用</w:t>
            </w:r>
          </w:p>
        </w:tc>
        <w:tc>
          <w:tcPr>
            <w:tcW w:w="27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right="0"/>
              <w:jc w:val="center"/>
              <w:rPr>
                <w:rFonts w:ascii="Arial" w:hAnsi="Arial" w:cs="Arial" w:eastAsia="Arial" w:hint="default"/>
                <w:sz w:val="18"/>
                <w:szCs w:val="18"/>
              </w:rPr>
            </w:pPr>
            <w:r>
              <w:rPr>
                <w:rFonts w:ascii="Arial"/>
                <w:sz w:val="18"/>
              </w:rPr>
              <w:t>5,729,800.00</w:t>
            </w:r>
          </w:p>
        </w:tc>
        <w:tc>
          <w:tcPr>
            <w:tcW w:w="24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w:t>
            </w:r>
            <w:r>
              <w:rPr>
                <w:rFonts w:ascii="Arial"/>
                <w:sz w:val="18"/>
              </w:rPr>
            </w:r>
          </w:p>
        </w:tc>
      </w:tr>
    </w:tbl>
    <w:p>
      <w:pPr>
        <w:spacing w:line="240" w:lineRule="auto" w:before="1"/>
        <w:rPr>
          <w:rFonts w:ascii="宋体" w:hAnsi="宋体" w:cs="宋体" w:eastAsia="宋体" w:hint="default"/>
          <w:sz w:val="24"/>
          <w:szCs w:val="24"/>
        </w:rPr>
      </w:pPr>
    </w:p>
    <w:p>
      <w:pPr>
        <w:pStyle w:val="BodyText"/>
        <w:spacing w:line="240" w:lineRule="auto"/>
        <w:ind w:left="237" w:right="0"/>
        <w:jc w:val="left"/>
      </w:pPr>
      <w:r>
        <w:rPr>
          <w:rFonts w:ascii="Arial" w:hAnsi="Arial" w:cs="Arial" w:eastAsia="Arial" w:hint="default"/>
        </w:rPr>
        <w:t>6.37</w:t>
      </w:r>
      <w:r>
        <w:rPr>
          <w:rFonts w:ascii="Arial" w:hAnsi="Arial" w:cs="Arial" w:eastAsia="Arial" w:hint="default"/>
          <w:spacing w:val="-10"/>
        </w:rPr>
        <w:t> </w:t>
      </w:r>
      <w:r>
        <w:rPr/>
        <w:t>现金流量表补充资料</w:t>
      </w:r>
    </w:p>
    <w:p>
      <w:pPr>
        <w:pStyle w:val="BodyText"/>
        <w:spacing w:line="240" w:lineRule="auto" w:before="123"/>
        <w:ind w:left="237" w:right="0"/>
        <w:jc w:val="left"/>
      </w:pPr>
      <w:r>
        <w:rPr>
          <w:rFonts w:ascii="Arial" w:hAnsi="Arial" w:cs="Arial" w:eastAsia="Arial" w:hint="default"/>
        </w:rPr>
        <w:t>6.37.1</w:t>
      </w:r>
      <w:r>
        <w:rPr>
          <w:rFonts w:ascii="Arial" w:hAnsi="Arial" w:cs="Arial" w:eastAsia="Arial" w:hint="default"/>
          <w:spacing w:val="43"/>
        </w:rPr>
        <w:t> </w:t>
      </w:r>
      <w:r>
        <w:rPr/>
        <w:t>现金流量表补充资料</w:t>
      </w:r>
    </w:p>
    <w:p>
      <w:pPr>
        <w:spacing w:line="240" w:lineRule="auto" w:before="3"/>
        <w:rPr>
          <w:rFonts w:ascii="宋体" w:hAnsi="宋体" w:cs="宋体" w:eastAsia="宋体" w:hint="default"/>
          <w:sz w:val="12"/>
          <w:szCs w:val="12"/>
        </w:rPr>
      </w:pPr>
    </w:p>
    <w:tbl>
      <w:tblPr>
        <w:tblW w:w="0" w:type="auto"/>
        <w:jc w:val="left"/>
        <w:tblInd w:w="211" w:type="dxa"/>
        <w:tblLayout w:type="fixed"/>
        <w:tblCellMar>
          <w:top w:w="0" w:type="dxa"/>
          <w:left w:w="0" w:type="dxa"/>
          <w:bottom w:w="0" w:type="dxa"/>
          <w:right w:w="0" w:type="dxa"/>
        </w:tblCellMar>
        <w:tblLook w:val="01E0"/>
      </w:tblPr>
      <w:tblGrid>
        <w:gridCol w:w="4730"/>
        <w:gridCol w:w="2033"/>
        <w:gridCol w:w="1898"/>
      </w:tblGrid>
      <w:tr>
        <w:trPr>
          <w:trHeight w:val="485" w:hRule="exact"/>
        </w:trPr>
        <w:tc>
          <w:tcPr>
            <w:tcW w:w="47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年度</w:t>
            </w:r>
          </w:p>
        </w:tc>
        <w:tc>
          <w:tcPr>
            <w:tcW w:w="18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5"/>
                <w:sz w:val="18"/>
                <w:szCs w:val="18"/>
              </w:rPr>
              <w:t> </w:t>
            </w:r>
            <w:r>
              <w:rPr>
                <w:rFonts w:ascii="宋体" w:hAnsi="宋体" w:cs="宋体" w:eastAsia="宋体" w:hint="default"/>
                <w:sz w:val="18"/>
                <w:szCs w:val="18"/>
              </w:rPr>
              <w:t>年度</w:t>
            </w:r>
          </w:p>
        </w:tc>
      </w:tr>
      <w:tr>
        <w:trPr>
          <w:trHeight w:val="485" w:hRule="exact"/>
        </w:trPr>
        <w:tc>
          <w:tcPr>
            <w:tcW w:w="47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Arial" w:hAnsi="Arial" w:cs="Arial" w:eastAsia="Arial" w:hint="default"/>
                <w:b/>
                <w:bCs/>
                <w:sz w:val="18"/>
                <w:szCs w:val="18"/>
              </w:rPr>
              <w:t>1.</w:t>
            </w:r>
            <w:r>
              <w:rPr>
                <w:rFonts w:ascii="宋体" w:hAnsi="宋体" w:cs="宋体" w:eastAsia="宋体" w:hint="default"/>
                <w:sz w:val="18"/>
                <w:szCs w:val="18"/>
              </w:rPr>
              <w:t>将净利润调节为经营活动现金流量：</w:t>
            </w:r>
          </w:p>
        </w:tc>
        <w:tc>
          <w:tcPr>
            <w:tcW w:w="2033" w:type="dxa"/>
            <w:tcBorders>
              <w:top w:val="single" w:sz="12" w:space="0" w:color="000000"/>
              <w:left w:val="single" w:sz="12" w:space="0" w:color="000000"/>
              <w:bottom w:val="single" w:sz="12" w:space="0" w:color="000000"/>
              <w:right w:val="single" w:sz="12" w:space="0" w:color="000000"/>
            </w:tcBorders>
          </w:tcPr>
          <w:p>
            <w:pPr/>
          </w:p>
        </w:tc>
        <w:tc>
          <w:tcPr>
            <w:tcW w:w="1898" w:type="dxa"/>
            <w:tcBorders>
              <w:top w:val="single" w:sz="12" w:space="0" w:color="000000"/>
              <w:left w:val="single" w:sz="12" w:space="0" w:color="000000"/>
              <w:bottom w:val="single" w:sz="12" w:space="0" w:color="000000"/>
              <w:right w:val="single" w:sz="12" w:space="0" w:color="000000"/>
            </w:tcBorders>
          </w:tcPr>
          <w:p>
            <w:pPr/>
          </w:p>
        </w:tc>
      </w:tr>
      <w:tr>
        <w:trPr>
          <w:trHeight w:val="482" w:hRule="exact"/>
        </w:trPr>
        <w:tc>
          <w:tcPr>
            <w:tcW w:w="47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0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27,612,823.25</w:t>
            </w:r>
          </w:p>
        </w:tc>
        <w:tc>
          <w:tcPr>
            <w:tcW w:w="18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47,279,102.40</w:t>
            </w:r>
          </w:p>
        </w:tc>
      </w:tr>
      <w:tr>
        <w:trPr>
          <w:trHeight w:val="485" w:hRule="exact"/>
        </w:trPr>
        <w:tc>
          <w:tcPr>
            <w:tcW w:w="47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0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463,956.77</w:t>
            </w:r>
          </w:p>
        </w:tc>
        <w:tc>
          <w:tcPr>
            <w:tcW w:w="18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868,925.67</w:t>
            </w:r>
          </w:p>
        </w:tc>
      </w:tr>
      <w:tr>
        <w:trPr>
          <w:trHeight w:val="485" w:hRule="exact"/>
        </w:trPr>
        <w:tc>
          <w:tcPr>
            <w:tcW w:w="47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453"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0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7,732,731.28</w:t>
            </w:r>
          </w:p>
        </w:tc>
        <w:tc>
          <w:tcPr>
            <w:tcW w:w="18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5,169,949.84</w:t>
            </w:r>
          </w:p>
        </w:tc>
      </w:tr>
      <w:tr>
        <w:trPr>
          <w:trHeight w:val="482" w:hRule="exact"/>
        </w:trPr>
        <w:tc>
          <w:tcPr>
            <w:tcW w:w="47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45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0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266,642.04</w:t>
            </w:r>
          </w:p>
        </w:tc>
        <w:tc>
          <w:tcPr>
            <w:tcW w:w="18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169,419.25</w:t>
            </w:r>
          </w:p>
        </w:tc>
      </w:tr>
      <w:tr>
        <w:trPr>
          <w:trHeight w:val="485" w:hRule="exact"/>
        </w:trPr>
        <w:tc>
          <w:tcPr>
            <w:tcW w:w="47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45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0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w:t>
            </w:r>
            <w:r>
              <w:rPr>
                <w:rFonts w:ascii="Arial"/>
                <w:sz w:val="18"/>
              </w:rPr>
            </w:r>
          </w:p>
        </w:tc>
        <w:tc>
          <w:tcPr>
            <w:tcW w:w="18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636" w:hRule="exact"/>
        </w:trPr>
        <w:tc>
          <w:tcPr>
            <w:tcW w:w="4730"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45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w:t>
            </w:r>
          </w:p>
          <w:p>
            <w:pPr>
              <w:pStyle w:val="TableParagraph"/>
              <w:spacing w:line="240" w:lineRule="auto" w:before="67"/>
              <w:ind w:left="93" w:right="0"/>
              <w:jc w:val="left"/>
              <w:rPr>
                <w:rFonts w:ascii="宋体" w:hAnsi="宋体" w:cs="宋体" w:eastAsia="宋体" w:hint="default"/>
                <w:sz w:val="18"/>
                <w:szCs w:val="18"/>
              </w:rPr>
            </w:pPr>
            <w:r>
              <w:rPr>
                <w:rFonts w:ascii="宋体" w:hAnsi="宋体" w:cs="宋体" w:eastAsia="宋体" w:hint="default"/>
                <w:sz w:val="18"/>
                <w:szCs w:val="18"/>
              </w:rPr>
              <w:t>益以</w:t>
            </w:r>
            <w:r>
              <w:rPr>
                <w:rFonts w:ascii="Arial" w:hAnsi="Arial" w:cs="Arial" w:eastAsia="Arial" w:hint="default"/>
                <w:sz w:val="18"/>
                <w:szCs w:val="18"/>
              </w:rPr>
              <w:t>“-”</w:t>
            </w:r>
            <w:r>
              <w:rPr>
                <w:rFonts w:ascii="宋体" w:hAnsi="宋体" w:cs="宋体" w:eastAsia="宋体" w:hint="default"/>
                <w:sz w:val="18"/>
                <w:szCs w:val="18"/>
              </w:rPr>
              <w:t>号填列）</w:t>
            </w:r>
          </w:p>
        </w:tc>
        <w:tc>
          <w:tcPr>
            <w:tcW w:w="20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Arial" w:hAnsi="Arial" w:cs="Arial" w:eastAsia="Arial" w:hint="default"/>
                <w:sz w:val="18"/>
                <w:szCs w:val="18"/>
              </w:rPr>
            </w:pPr>
            <w:r>
              <w:rPr>
                <w:rFonts w:ascii="Arial"/>
                <w:sz w:val="18"/>
              </w:rPr>
              <w:t>74,241.50</w:t>
            </w:r>
          </w:p>
        </w:tc>
        <w:tc>
          <w:tcPr>
            <w:tcW w:w="18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85" w:hRule="exact"/>
        </w:trPr>
        <w:tc>
          <w:tcPr>
            <w:tcW w:w="47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453"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Arial" w:hAnsi="Arial" w:cs="Arial" w:eastAsia="Arial" w:hint="default"/>
                <w:sz w:val="18"/>
                <w:szCs w:val="18"/>
              </w:rPr>
              <w:t>“-”</w:t>
            </w:r>
            <w:r>
              <w:rPr>
                <w:rFonts w:ascii="宋体" w:hAnsi="宋体" w:cs="宋体" w:eastAsia="宋体" w:hint="default"/>
                <w:sz w:val="18"/>
                <w:szCs w:val="18"/>
              </w:rPr>
              <w:t>号填列）</w:t>
            </w:r>
          </w:p>
        </w:tc>
        <w:tc>
          <w:tcPr>
            <w:tcW w:w="20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w:t>
            </w:r>
            <w:r>
              <w:rPr>
                <w:rFonts w:ascii="Arial"/>
                <w:sz w:val="18"/>
              </w:rPr>
            </w:r>
          </w:p>
        </w:tc>
        <w:tc>
          <w:tcPr>
            <w:tcW w:w="18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85" w:hRule="exact"/>
        </w:trPr>
        <w:tc>
          <w:tcPr>
            <w:tcW w:w="47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453"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Arial" w:hAnsi="Arial" w:cs="Arial" w:eastAsia="Arial" w:hint="default"/>
                <w:sz w:val="18"/>
                <w:szCs w:val="18"/>
              </w:rPr>
              <w:t>“-”</w:t>
            </w:r>
            <w:r>
              <w:rPr>
                <w:rFonts w:ascii="宋体" w:hAnsi="宋体" w:cs="宋体" w:eastAsia="宋体" w:hint="default"/>
                <w:sz w:val="18"/>
                <w:szCs w:val="18"/>
              </w:rPr>
              <w:t>号填列）</w:t>
            </w:r>
          </w:p>
        </w:tc>
        <w:tc>
          <w:tcPr>
            <w:tcW w:w="20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-25,583.34</w:t>
            </w:r>
          </w:p>
        </w:tc>
        <w:tc>
          <w:tcPr>
            <w:tcW w:w="18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82" w:hRule="exact"/>
        </w:trPr>
        <w:tc>
          <w:tcPr>
            <w:tcW w:w="47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453"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Arial" w:hAnsi="Arial" w:cs="Arial" w:eastAsia="Arial" w:hint="default"/>
                <w:sz w:val="18"/>
                <w:szCs w:val="18"/>
              </w:rPr>
              <w:t>“-”</w:t>
            </w:r>
            <w:r>
              <w:rPr>
                <w:rFonts w:ascii="宋体" w:hAnsi="宋体" w:cs="宋体" w:eastAsia="宋体" w:hint="default"/>
                <w:sz w:val="18"/>
                <w:szCs w:val="18"/>
              </w:rPr>
              <w:t>号填列）</w:t>
            </w:r>
          </w:p>
        </w:tc>
        <w:tc>
          <w:tcPr>
            <w:tcW w:w="20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833,410.81</w:t>
            </w:r>
          </w:p>
        </w:tc>
        <w:tc>
          <w:tcPr>
            <w:tcW w:w="18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1,391,774.76</w:t>
            </w:r>
          </w:p>
        </w:tc>
      </w:tr>
      <w:tr>
        <w:trPr>
          <w:trHeight w:val="485" w:hRule="exact"/>
        </w:trPr>
        <w:tc>
          <w:tcPr>
            <w:tcW w:w="47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453"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Arial" w:hAnsi="Arial" w:cs="Arial" w:eastAsia="Arial" w:hint="default"/>
                <w:sz w:val="18"/>
                <w:szCs w:val="18"/>
              </w:rPr>
              <w:t>“-”</w:t>
            </w:r>
            <w:r>
              <w:rPr>
                <w:rFonts w:ascii="宋体" w:hAnsi="宋体" w:cs="宋体" w:eastAsia="宋体" w:hint="default"/>
                <w:sz w:val="18"/>
                <w:szCs w:val="18"/>
              </w:rPr>
              <w:t>号填列）</w:t>
            </w:r>
          </w:p>
        </w:tc>
        <w:tc>
          <w:tcPr>
            <w:tcW w:w="20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-69,333.36</w:t>
            </w:r>
          </w:p>
        </w:tc>
        <w:tc>
          <w:tcPr>
            <w:tcW w:w="18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85" w:hRule="exact"/>
        </w:trPr>
        <w:tc>
          <w:tcPr>
            <w:tcW w:w="47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453"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Arial" w:hAnsi="Arial" w:cs="Arial" w:eastAsia="Arial" w:hint="default"/>
                <w:sz w:val="18"/>
                <w:szCs w:val="18"/>
              </w:rPr>
              <w:t>“-”</w:t>
            </w:r>
            <w:r>
              <w:rPr>
                <w:rFonts w:ascii="宋体" w:hAnsi="宋体" w:cs="宋体" w:eastAsia="宋体" w:hint="default"/>
                <w:sz w:val="18"/>
                <w:szCs w:val="18"/>
              </w:rPr>
              <w:t>号填列）</w:t>
            </w:r>
          </w:p>
        </w:tc>
        <w:tc>
          <w:tcPr>
            <w:tcW w:w="20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-593,932.40</w:t>
            </w:r>
          </w:p>
        </w:tc>
        <w:tc>
          <w:tcPr>
            <w:tcW w:w="18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582,464.39</w:t>
            </w:r>
          </w:p>
        </w:tc>
      </w:tr>
      <w:tr>
        <w:trPr>
          <w:trHeight w:val="482" w:hRule="exact"/>
        </w:trPr>
        <w:tc>
          <w:tcPr>
            <w:tcW w:w="47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453"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Arial" w:hAnsi="Arial" w:cs="Arial" w:eastAsia="Arial" w:hint="default"/>
                <w:sz w:val="18"/>
                <w:szCs w:val="18"/>
              </w:rPr>
              <w:t>“-”</w:t>
            </w:r>
            <w:r>
              <w:rPr>
                <w:rFonts w:ascii="宋体" w:hAnsi="宋体" w:cs="宋体" w:eastAsia="宋体" w:hint="default"/>
                <w:sz w:val="18"/>
                <w:szCs w:val="18"/>
              </w:rPr>
              <w:t>号填列）</w:t>
            </w:r>
          </w:p>
        </w:tc>
        <w:tc>
          <w:tcPr>
            <w:tcW w:w="20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w:t>
            </w:r>
            <w:r>
              <w:rPr>
                <w:rFonts w:ascii="Arial"/>
                <w:sz w:val="18"/>
              </w:rPr>
            </w:r>
          </w:p>
        </w:tc>
        <w:tc>
          <w:tcPr>
            <w:tcW w:w="18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85" w:hRule="exact"/>
        </w:trPr>
        <w:tc>
          <w:tcPr>
            <w:tcW w:w="47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453"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Arial" w:hAnsi="Arial" w:cs="Arial" w:eastAsia="Arial" w:hint="default"/>
                <w:sz w:val="18"/>
                <w:szCs w:val="18"/>
              </w:rPr>
              <w:t>“-”</w:t>
            </w:r>
            <w:r>
              <w:rPr>
                <w:rFonts w:ascii="宋体" w:hAnsi="宋体" w:cs="宋体" w:eastAsia="宋体" w:hint="default"/>
                <w:sz w:val="18"/>
                <w:szCs w:val="18"/>
              </w:rPr>
              <w:t>号填列）</w:t>
            </w:r>
          </w:p>
        </w:tc>
        <w:tc>
          <w:tcPr>
            <w:tcW w:w="20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right="1"/>
              <w:jc w:val="center"/>
              <w:rPr>
                <w:rFonts w:ascii="Arial" w:hAnsi="Arial" w:cs="Arial" w:eastAsia="Arial" w:hint="default"/>
                <w:sz w:val="18"/>
                <w:szCs w:val="18"/>
              </w:rPr>
            </w:pPr>
            <w:r>
              <w:rPr>
                <w:rFonts w:ascii="Arial"/>
                <w:sz w:val="18"/>
              </w:rPr>
              <w:t>-43,942,575.92</w:t>
            </w:r>
          </w:p>
        </w:tc>
        <w:tc>
          <w:tcPr>
            <w:tcW w:w="18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-1,460,252.99</w:t>
            </w:r>
          </w:p>
        </w:tc>
      </w:tr>
      <w:tr>
        <w:trPr>
          <w:trHeight w:val="485" w:hRule="exact"/>
        </w:trPr>
        <w:tc>
          <w:tcPr>
            <w:tcW w:w="47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453"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Arial" w:hAnsi="Arial" w:cs="Arial" w:eastAsia="Arial" w:hint="default"/>
                <w:sz w:val="18"/>
                <w:szCs w:val="18"/>
              </w:rPr>
              <w:t>“-”</w:t>
            </w:r>
            <w:r>
              <w:rPr>
                <w:rFonts w:ascii="宋体" w:hAnsi="宋体" w:cs="宋体" w:eastAsia="宋体" w:hint="default"/>
                <w:sz w:val="18"/>
                <w:szCs w:val="18"/>
              </w:rPr>
              <w:t>号填列）</w:t>
            </w:r>
          </w:p>
        </w:tc>
        <w:tc>
          <w:tcPr>
            <w:tcW w:w="20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right="0"/>
              <w:jc w:val="center"/>
              <w:rPr>
                <w:rFonts w:ascii="Arial" w:hAnsi="Arial" w:cs="Arial" w:eastAsia="Arial" w:hint="default"/>
                <w:sz w:val="18"/>
                <w:szCs w:val="18"/>
              </w:rPr>
            </w:pPr>
            <w:r>
              <w:rPr>
                <w:rFonts w:ascii="Arial"/>
                <w:sz w:val="18"/>
              </w:rPr>
              <w:t>14,770,196.84</w:t>
            </w:r>
          </w:p>
        </w:tc>
        <w:tc>
          <w:tcPr>
            <w:tcW w:w="18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-37,536,835.69</w:t>
            </w:r>
          </w:p>
        </w:tc>
      </w:tr>
      <w:tr>
        <w:trPr>
          <w:trHeight w:val="482" w:hRule="exact"/>
        </w:trPr>
        <w:tc>
          <w:tcPr>
            <w:tcW w:w="47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453"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Arial" w:hAnsi="Arial" w:cs="Arial" w:eastAsia="Arial" w:hint="default"/>
                <w:sz w:val="18"/>
                <w:szCs w:val="18"/>
              </w:rPr>
              <w:t>“-”</w:t>
            </w:r>
            <w:r>
              <w:rPr>
                <w:rFonts w:ascii="宋体" w:hAnsi="宋体" w:cs="宋体" w:eastAsia="宋体" w:hint="default"/>
                <w:sz w:val="18"/>
                <w:szCs w:val="18"/>
              </w:rPr>
              <w:t>号填列）</w:t>
            </w:r>
          </w:p>
        </w:tc>
        <w:tc>
          <w:tcPr>
            <w:tcW w:w="20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right="1"/>
              <w:jc w:val="center"/>
              <w:rPr>
                <w:rFonts w:ascii="Arial" w:hAnsi="Arial" w:cs="Arial" w:eastAsia="Arial" w:hint="default"/>
                <w:sz w:val="18"/>
                <w:szCs w:val="18"/>
              </w:rPr>
            </w:pPr>
            <w:r>
              <w:rPr>
                <w:rFonts w:ascii="Arial"/>
                <w:sz w:val="18"/>
              </w:rPr>
              <w:t>-13,800,244.57</w:t>
            </w:r>
          </w:p>
        </w:tc>
        <w:tc>
          <w:tcPr>
            <w:tcW w:w="18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20,880,074.51</w:t>
            </w:r>
          </w:p>
        </w:tc>
      </w:tr>
      <w:tr>
        <w:trPr>
          <w:trHeight w:val="485" w:hRule="exact"/>
        </w:trPr>
        <w:tc>
          <w:tcPr>
            <w:tcW w:w="47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45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w:t>
            </w:r>
            <w:r>
              <w:rPr>
                <w:rFonts w:ascii="Arial"/>
                <w:sz w:val="18"/>
              </w:rPr>
            </w:r>
          </w:p>
        </w:tc>
        <w:tc>
          <w:tcPr>
            <w:tcW w:w="18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85" w:hRule="exact"/>
        </w:trPr>
        <w:tc>
          <w:tcPr>
            <w:tcW w:w="47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45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0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right="1"/>
              <w:jc w:val="center"/>
              <w:rPr>
                <w:rFonts w:ascii="Arial" w:hAnsi="Arial" w:cs="Arial" w:eastAsia="Arial" w:hint="default"/>
                <w:sz w:val="18"/>
                <w:szCs w:val="18"/>
              </w:rPr>
            </w:pPr>
            <w:r>
              <w:rPr>
                <w:rFonts w:ascii="Arial"/>
                <w:sz w:val="18"/>
              </w:rPr>
              <w:t>-6,677,667.10</w:t>
            </w:r>
          </w:p>
        </w:tc>
        <w:tc>
          <w:tcPr>
            <w:tcW w:w="18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37,344,622.14</w:t>
            </w:r>
          </w:p>
        </w:tc>
      </w:tr>
      <w:tr>
        <w:trPr>
          <w:trHeight w:val="482" w:hRule="exact"/>
        </w:trPr>
        <w:tc>
          <w:tcPr>
            <w:tcW w:w="47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Arial" w:hAnsi="Arial" w:cs="Arial" w:eastAsia="Arial" w:hint="default"/>
                <w:b/>
                <w:bCs/>
                <w:sz w:val="18"/>
                <w:szCs w:val="18"/>
              </w:rPr>
              <w:t>2.</w:t>
            </w:r>
            <w:r>
              <w:rPr>
                <w:rFonts w:ascii="Arial" w:hAnsi="Arial" w:cs="Arial" w:eastAsia="Arial" w:hint="default"/>
                <w:b/>
                <w:bCs/>
                <w:spacing w:val="49"/>
                <w:sz w:val="18"/>
                <w:szCs w:val="18"/>
              </w:rPr>
              <w:t> </w:t>
            </w:r>
            <w:r>
              <w:rPr>
                <w:rFonts w:ascii="宋体" w:hAnsi="宋体" w:cs="宋体" w:eastAsia="宋体" w:hint="default"/>
                <w:sz w:val="18"/>
                <w:szCs w:val="18"/>
              </w:rPr>
              <w:t>不涉及现金收支的重大投资和筹资活动：</w:t>
            </w:r>
          </w:p>
        </w:tc>
        <w:tc>
          <w:tcPr>
            <w:tcW w:w="20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w:t>
            </w:r>
            <w:r>
              <w:rPr>
                <w:rFonts w:ascii="Arial"/>
                <w:sz w:val="18"/>
              </w:rPr>
            </w:r>
          </w:p>
        </w:tc>
        <w:tc>
          <w:tcPr>
            <w:tcW w:w="18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82" w:hRule="exact"/>
        </w:trPr>
        <w:tc>
          <w:tcPr>
            <w:tcW w:w="47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453"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0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w:t>
            </w:r>
            <w:r>
              <w:rPr>
                <w:rFonts w:ascii="Arial"/>
                <w:sz w:val="18"/>
              </w:rPr>
            </w:r>
          </w:p>
        </w:tc>
        <w:tc>
          <w:tcPr>
            <w:tcW w:w="18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center"/>
        <w:rPr>
          <w:rFonts w:ascii="Arial" w:hAnsi="Arial" w:cs="Arial" w:eastAsia="Arial" w:hint="default"/>
          <w:sz w:val="18"/>
          <w:szCs w:val="18"/>
        </w:rPr>
        <w:sectPr>
          <w:pgSz w:w="11900" w:h="16840"/>
          <w:pgMar w:header="0" w:footer="983" w:top="1100" w:bottom="1180" w:left="1560" w:right="1320"/>
        </w:sectPr>
      </w:pPr>
    </w:p>
    <w:p>
      <w:pPr>
        <w:spacing w:line="240" w:lineRule="auto" w:before="8"/>
        <w:rPr>
          <w:rFonts w:ascii="宋体" w:hAnsi="宋体" w:cs="宋体" w:eastAsia="宋体" w:hint="default"/>
          <w:sz w:val="24"/>
          <w:szCs w:val="24"/>
        </w:rPr>
      </w:pPr>
    </w:p>
    <w:tbl>
      <w:tblPr>
        <w:tblW w:w="0" w:type="auto"/>
        <w:jc w:val="left"/>
        <w:tblInd w:w="211" w:type="dxa"/>
        <w:tblLayout w:type="fixed"/>
        <w:tblCellMar>
          <w:top w:w="0" w:type="dxa"/>
          <w:left w:w="0" w:type="dxa"/>
          <w:bottom w:w="0" w:type="dxa"/>
          <w:right w:w="0" w:type="dxa"/>
        </w:tblCellMar>
        <w:tblLook w:val="01E0"/>
      </w:tblPr>
      <w:tblGrid>
        <w:gridCol w:w="4730"/>
        <w:gridCol w:w="2033"/>
        <w:gridCol w:w="1898"/>
      </w:tblGrid>
      <w:tr>
        <w:trPr>
          <w:trHeight w:val="485" w:hRule="exact"/>
        </w:trPr>
        <w:tc>
          <w:tcPr>
            <w:tcW w:w="47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453"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0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w:t>
            </w:r>
            <w:r>
              <w:rPr>
                <w:rFonts w:ascii="Arial"/>
                <w:sz w:val="18"/>
              </w:rPr>
            </w:r>
          </w:p>
        </w:tc>
        <w:tc>
          <w:tcPr>
            <w:tcW w:w="18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82" w:hRule="exact"/>
        </w:trPr>
        <w:tc>
          <w:tcPr>
            <w:tcW w:w="47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453"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0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w:t>
            </w:r>
            <w:r>
              <w:rPr>
                <w:rFonts w:ascii="Arial"/>
                <w:sz w:val="18"/>
              </w:rPr>
            </w:r>
          </w:p>
        </w:tc>
        <w:tc>
          <w:tcPr>
            <w:tcW w:w="18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85" w:hRule="exact"/>
        </w:trPr>
        <w:tc>
          <w:tcPr>
            <w:tcW w:w="47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Arial" w:hAnsi="Arial" w:cs="Arial" w:eastAsia="Arial" w:hint="default"/>
                <w:b/>
                <w:bCs/>
                <w:sz w:val="18"/>
                <w:szCs w:val="18"/>
              </w:rPr>
              <w:t>3.</w:t>
            </w:r>
            <w:r>
              <w:rPr>
                <w:rFonts w:ascii="Arial" w:hAnsi="Arial" w:cs="Arial" w:eastAsia="Arial" w:hint="default"/>
                <w:b/>
                <w:bCs/>
                <w:spacing w:val="47"/>
                <w:sz w:val="18"/>
                <w:szCs w:val="18"/>
              </w:rPr>
              <w:t> </w:t>
            </w:r>
            <w:r>
              <w:rPr>
                <w:rFonts w:ascii="宋体" w:hAnsi="宋体" w:cs="宋体" w:eastAsia="宋体" w:hint="default"/>
                <w:sz w:val="18"/>
                <w:szCs w:val="18"/>
              </w:rPr>
              <w:t>现金及现金等价物净变动情况：</w:t>
            </w:r>
          </w:p>
        </w:tc>
        <w:tc>
          <w:tcPr>
            <w:tcW w:w="2033" w:type="dxa"/>
            <w:tcBorders>
              <w:top w:val="single" w:sz="12" w:space="0" w:color="000000"/>
              <w:left w:val="single" w:sz="12" w:space="0" w:color="000000"/>
              <w:bottom w:val="single" w:sz="12" w:space="0" w:color="000000"/>
              <w:right w:val="single" w:sz="12" w:space="0" w:color="000000"/>
            </w:tcBorders>
          </w:tcPr>
          <w:p>
            <w:pPr/>
          </w:p>
        </w:tc>
        <w:tc>
          <w:tcPr>
            <w:tcW w:w="1898" w:type="dxa"/>
            <w:tcBorders>
              <w:top w:val="single" w:sz="12" w:space="0" w:color="000000"/>
              <w:left w:val="single" w:sz="12" w:space="0" w:color="000000"/>
              <w:bottom w:val="single" w:sz="12" w:space="0" w:color="000000"/>
              <w:right w:val="single" w:sz="12" w:space="0" w:color="000000"/>
            </w:tcBorders>
          </w:tcPr>
          <w:p>
            <w:pPr/>
          </w:p>
        </w:tc>
      </w:tr>
      <w:tr>
        <w:trPr>
          <w:trHeight w:val="485" w:hRule="exact"/>
        </w:trPr>
        <w:tc>
          <w:tcPr>
            <w:tcW w:w="47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453" w:right="0"/>
              <w:jc w:val="left"/>
              <w:rPr>
                <w:rFonts w:ascii="宋体" w:hAnsi="宋体" w:cs="宋体" w:eastAsia="宋体" w:hint="default"/>
                <w:sz w:val="18"/>
                <w:szCs w:val="18"/>
              </w:rPr>
            </w:pPr>
            <w:r>
              <w:rPr>
                <w:rFonts w:ascii="宋体" w:hAnsi="宋体" w:cs="宋体" w:eastAsia="宋体" w:hint="default"/>
                <w:sz w:val="18"/>
                <w:szCs w:val="18"/>
              </w:rPr>
              <w:t>现金的年末余额</w:t>
            </w:r>
          </w:p>
        </w:tc>
        <w:tc>
          <w:tcPr>
            <w:tcW w:w="20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228,527,645.58</w:t>
            </w:r>
          </w:p>
        </w:tc>
        <w:tc>
          <w:tcPr>
            <w:tcW w:w="18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29,347,601.34</w:t>
            </w:r>
          </w:p>
        </w:tc>
      </w:tr>
      <w:tr>
        <w:trPr>
          <w:trHeight w:val="482" w:hRule="exact"/>
        </w:trPr>
        <w:tc>
          <w:tcPr>
            <w:tcW w:w="47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453"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20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29,347,601.34</w:t>
            </w:r>
          </w:p>
        </w:tc>
        <w:tc>
          <w:tcPr>
            <w:tcW w:w="18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18,106,882.33</w:t>
            </w:r>
          </w:p>
        </w:tc>
      </w:tr>
      <w:tr>
        <w:trPr>
          <w:trHeight w:val="485" w:hRule="exact"/>
        </w:trPr>
        <w:tc>
          <w:tcPr>
            <w:tcW w:w="47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453" w:right="0"/>
              <w:jc w:val="left"/>
              <w:rPr>
                <w:rFonts w:ascii="宋体" w:hAnsi="宋体" w:cs="宋体" w:eastAsia="宋体" w:hint="default"/>
                <w:sz w:val="18"/>
                <w:szCs w:val="18"/>
              </w:rPr>
            </w:pPr>
            <w:r>
              <w:rPr>
                <w:rFonts w:ascii="宋体" w:hAnsi="宋体" w:cs="宋体" w:eastAsia="宋体" w:hint="default"/>
                <w:sz w:val="18"/>
                <w:szCs w:val="18"/>
              </w:rPr>
              <w:t>加：现金等价物的年末余额</w:t>
            </w:r>
          </w:p>
        </w:tc>
        <w:tc>
          <w:tcPr>
            <w:tcW w:w="20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w:t>
            </w:r>
            <w:r>
              <w:rPr>
                <w:rFonts w:ascii="Arial"/>
                <w:sz w:val="18"/>
              </w:rPr>
            </w:r>
          </w:p>
        </w:tc>
        <w:tc>
          <w:tcPr>
            <w:tcW w:w="18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85" w:hRule="exact"/>
        </w:trPr>
        <w:tc>
          <w:tcPr>
            <w:tcW w:w="47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453"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20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w:t>
            </w:r>
            <w:r>
              <w:rPr>
                <w:rFonts w:ascii="Arial"/>
                <w:sz w:val="18"/>
              </w:rPr>
            </w:r>
          </w:p>
        </w:tc>
        <w:tc>
          <w:tcPr>
            <w:tcW w:w="18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82" w:hRule="exact"/>
        </w:trPr>
        <w:tc>
          <w:tcPr>
            <w:tcW w:w="47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45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0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199,180,044.24</w:t>
            </w:r>
          </w:p>
        </w:tc>
        <w:tc>
          <w:tcPr>
            <w:tcW w:w="18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11,240,719.01</w:t>
            </w:r>
          </w:p>
        </w:tc>
      </w:tr>
    </w:tbl>
    <w:p>
      <w:pPr>
        <w:spacing w:line="240" w:lineRule="auto" w:before="12"/>
        <w:rPr>
          <w:rFonts w:ascii="宋体" w:hAnsi="宋体" w:cs="宋体" w:eastAsia="宋体" w:hint="default"/>
          <w:sz w:val="23"/>
          <w:szCs w:val="23"/>
        </w:rPr>
      </w:pPr>
    </w:p>
    <w:p>
      <w:pPr>
        <w:pStyle w:val="BodyText"/>
        <w:spacing w:line="240" w:lineRule="auto"/>
        <w:ind w:left="237" w:right="0"/>
        <w:jc w:val="left"/>
      </w:pPr>
      <w:r>
        <w:rPr>
          <w:rFonts w:ascii="Arial" w:hAnsi="Arial" w:cs="Arial" w:eastAsia="Arial" w:hint="default"/>
        </w:rPr>
        <w:t>6.37.2</w:t>
      </w:r>
      <w:r>
        <w:rPr>
          <w:rFonts w:ascii="Arial" w:hAnsi="Arial" w:cs="Arial" w:eastAsia="Arial" w:hint="default"/>
          <w:spacing w:val="-10"/>
        </w:rPr>
        <w:t> </w:t>
      </w:r>
      <w:r>
        <w:rPr/>
        <w:t>现金和现金等价物的构成</w:t>
      </w:r>
    </w:p>
    <w:p>
      <w:pPr>
        <w:spacing w:line="240" w:lineRule="auto" w:before="3"/>
        <w:rPr>
          <w:rFonts w:ascii="宋体" w:hAnsi="宋体" w:cs="宋体" w:eastAsia="宋体" w:hint="default"/>
          <w:sz w:val="12"/>
          <w:szCs w:val="12"/>
        </w:rPr>
      </w:pPr>
    </w:p>
    <w:tbl>
      <w:tblPr>
        <w:tblW w:w="0" w:type="auto"/>
        <w:jc w:val="left"/>
        <w:tblInd w:w="175" w:type="dxa"/>
        <w:tblLayout w:type="fixed"/>
        <w:tblCellMar>
          <w:top w:w="0" w:type="dxa"/>
          <w:left w:w="0" w:type="dxa"/>
          <w:bottom w:w="0" w:type="dxa"/>
          <w:right w:w="0" w:type="dxa"/>
        </w:tblCellMar>
        <w:tblLook w:val="01E0"/>
      </w:tblPr>
      <w:tblGrid>
        <w:gridCol w:w="3660"/>
        <w:gridCol w:w="2707"/>
        <w:gridCol w:w="2369"/>
      </w:tblGrid>
      <w:tr>
        <w:trPr>
          <w:trHeight w:val="485" w:hRule="exact"/>
        </w:trPr>
        <w:tc>
          <w:tcPr>
            <w:tcW w:w="36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right="24"/>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3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right="26"/>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485" w:hRule="exact"/>
        </w:trPr>
        <w:tc>
          <w:tcPr>
            <w:tcW w:w="36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left="9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7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27"/>
              <w:jc w:val="center"/>
              <w:rPr>
                <w:rFonts w:ascii="Arial" w:hAnsi="Arial" w:cs="Arial" w:eastAsia="Arial" w:hint="default"/>
                <w:sz w:val="18"/>
                <w:szCs w:val="18"/>
              </w:rPr>
            </w:pPr>
            <w:r>
              <w:rPr>
                <w:rFonts w:ascii="Arial"/>
                <w:sz w:val="18"/>
              </w:rPr>
              <w:t>228,527,645.58</w:t>
            </w:r>
          </w:p>
        </w:tc>
        <w:tc>
          <w:tcPr>
            <w:tcW w:w="23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27"/>
              <w:jc w:val="center"/>
              <w:rPr>
                <w:rFonts w:ascii="Arial" w:hAnsi="Arial" w:cs="Arial" w:eastAsia="Arial" w:hint="default"/>
                <w:sz w:val="18"/>
                <w:szCs w:val="18"/>
              </w:rPr>
            </w:pPr>
            <w:r>
              <w:rPr>
                <w:rFonts w:ascii="Arial"/>
                <w:sz w:val="18"/>
              </w:rPr>
              <w:t>29,347,601.34</w:t>
            </w:r>
          </w:p>
        </w:tc>
      </w:tr>
      <w:tr>
        <w:trPr>
          <w:trHeight w:val="482" w:hRule="exact"/>
        </w:trPr>
        <w:tc>
          <w:tcPr>
            <w:tcW w:w="36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left="9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7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25"/>
              <w:jc w:val="center"/>
              <w:rPr>
                <w:rFonts w:ascii="Arial" w:hAnsi="Arial" w:cs="Arial" w:eastAsia="Arial" w:hint="default"/>
                <w:sz w:val="18"/>
                <w:szCs w:val="18"/>
              </w:rPr>
            </w:pPr>
            <w:r>
              <w:rPr>
                <w:rFonts w:ascii="Arial"/>
                <w:sz w:val="18"/>
              </w:rPr>
              <w:t>15,527.38</w:t>
            </w:r>
          </w:p>
        </w:tc>
        <w:tc>
          <w:tcPr>
            <w:tcW w:w="23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27"/>
              <w:jc w:val="center"/>
              <w:rPr>
                <w:rFonts w:ascii="Arial" w:hAnsi="Arial" w:cs="Arial" w:eastAsia="Arial" w:hint="default"/>
                <w:sz w:val="18"/>
                <w:szCs w:val="18"/>
              </w:rPr>
            </w:pPr>
            <w:r>
              <w:rPr>
                <w:rFonts w:ascii="Arial"/>
                <w:sz w:val="18"/>
              </w:rPr>
              <w:t>25,843.64</w:t>
            </w:r>
          </w:p>
        </w:tc>
      </w:tr>
      <w:tr>
        <w:trPr>
          <w:trHeight w:val="485" w:hRule="exact"/>
        </w:trPr>
        <w:tc>
          <w:tcPr>
            <w:tcW w:w="36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left="395"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7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25"/>
              <w:jc w:val="center"/>
              <w:rPr>
                <w:rFonts w:ascii="Arial" w:hAnsi="Arial" w:cs="Arial" w:eastAsia="Arial" w:hint="default"/>
                <w:sz w:val="18"/>
                <w:szCs w:val="18"/>
              </w:rPr>
            </w:pPr>
            <w:r>
              <w:rPr>
                <w:rFonts w:ascii="Arial"/>
                <w:sz w:val="18"/>
              </w:rPr>
              <w:t>228,512,118.20</w:t>
            </w:r>
          </w:p>
        </w:tc>
        <w:tc>
          <w:tcPr>
            <w:tcW w:w="23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27"/>
              <w:jc w:val="center"/>
              <w:rPr>
                <w:rFonts w:ascii="Arial" w:hAnsi="Arial" w:cs="Arial" w:eastAsia="Arial" w:hint="default"/>
                <w:sz w:val="18"/>
                <w:szCs w:val="18"/>
              </w:rPr>
            </w:pPr>
            <w:r>
              <w:rPr>
                <w:rFonts w:ascii="Arial"/>
                <w:sz w:val="18"/>
              </w:rPr>
              <w:t>26,421,757.70</w:t>
            </w:r>
          </w:p>
        </w:tc>
      </w:tr>
      <w:tr>
        <w:trPr>
          <w:trHeight w:val="485" w:hRule="exact"/>
        </w:trPr>
        <w:tc>
          <w:tcPr>
            <w:tcW w:w="36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left="395"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7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24"/>
              <w:jc w:val="center"/>
              <w:rPr>
                <w:rFonts w:ascii="Arial" w:hAnsi="Arial" w:cs="Arial" w:eastAsia="Arial" w:hint="default"/>
                <w:sz w:val="18"/>
                <w:szCs w:val="18"/>
              </w:rPr>
            </w:pPr>
            <w:r>
              <w:rPr>
                <w:rFonts w:ascii="Arial"/>
                <w:w w:val="99"/>
                <w:sz w:val="18"/>
              </w:rPr>
              <w:t>-</w:t>
            </w:r>
            <w:r>
              <w:rPr>
                <w:rFonts w:ascii="Arial"/>
                <w:sz w:val="18"/>
              </w:rPr>
            </w:r>
          </w:p>
        </w:tc>
        <w:tc>
          <w:tcPr>
            <w:tcW w:w="23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27"/>
              <w:jc w:val="center"/>
              <w:rPr>
                <w:rFonts w:ascii="Arial" w:hAnsi="Arial" w:cs="Arial" w:eastAsia="Arial" w:hint="default"/>
                <w:sz w:val="18"/>
                <w:szCs w:val="18"/>
              </w:rPr>
            </w:pPr>
            <w:r>
              <w:rPr>
                <w:rFonts w:ascii="Arial"/>
                <w:sz w:val="18"/>
              </w:rPr>
              <w:t>2,900,000.00</w:t>
            </w:r>
          </w:p>
        </w:tc>
      </w:tr>
      <w:tr>
        <w:trPr>
          <w:trHeight w:val="482" w:hRule="exact"/>
        </w:trPr>
        <w:tc>
          <w:tcPr>
            <w:tcW w:w="36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left="110"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7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24"/>
              <w:jc w:val="center"/>
              <w:rPr>
                <w:rFonts w:ascii="Arial" w:hAnsi="Arial" w:cs="Arial" w:eastAsia="Arial" w:hint="default"/>
                <w:sz w:val="18"/>
                <w:szCs w:val="18"/>
              </w:rPr>
            </w:pPr>
            <w:r>
              <w:rPr>
                <w:rFonts w:ascii="Arial"/>
                <w:w w:val="99"/>
                <w:sz w:val="18"/>
              </w:rPr>
              <w:t>-</w:t>
            </w:r>
            <w:r>
              <w:rPr>
                <w:rFonts w:ascii="Arial"/>
                <w:sz w:val="18"/>
              </w:rPr>
            </w:r>
          </w:p>
        </w:tc>
        <w:tc>
          <w:tcPr>
            <w:tcW w:w="2369" w:type="dxa"/>
            <w:tcBorders>
              <w:top w:val="single" w:sz="12" w:space="0" w:color="000000"/>
              <w:left w:val="single" w:sz="12" w:space="0" w:color="000000"/>
              <w:bottom w:val="single" w:sz="12" w:space="0" w:color="000000"/>
              <w:right w:val="single" w:sz="12" w:space="0" w:color="000000"/>
            </w:tcBorders>
          </w:tcPr>
          <w:p>
            <w:pPr/>
          </w:p>
        </w:tc>
      </w:tr>
      <w:tr>
        <w:trPr>
          <w:trHeight w:val="485" w:hRule="exact"/>
        </w:trPr>
        <w:tc>
          <w:tcPr>
            <w:tcW w:w="36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left="110"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7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24"/>
              <w:jc w:val="center"/>
              <w:rPr>
                <w:rFonts w:ascii="Arial" w:hAnsi="Arial" w:cs="Arial" w:eastAsia="Arial" w:hint="default"/>
                <w:sz w:val="18"/>
                <w:szCs w:val="18"/>
              </w:rPr>
            </w:pPr>
            <w:r>
              <w:rPr>
                <w:rFonts w:ascii="Arial"/>
                <w:w w:val="99"/>
                <w:sz w:val="18"/>
              </w:rPr>
              <w:t>-</w:t>
            </w:r>
            <w:r>
              <w:rPr>
                <w:rFonts w:ascii="Arial"/>
                <w:sz w:val="18"/>
              </w:rPr>
            </w:r>
          </w:p>
        </w:tc>
        <w:tc>
          <w:tcPr>
            <w:tcW w:w="23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7"/>
              <w:jc w:val="center"/>
              <w:rPr>
                <w:rFonts w:ascii="Arial" w:hAnsi="Arial" w:cs="Arial" w:eastAsia="Arial" w:hint="default"/>
                <w:sz w:val="18"/>
                <w:szCs w:val="18"/>
              </w:rPr>
            </w:pPr>
            <w:r>
              <w:rPr>
                <w:rFonts w:ascii="Arial"/>
                <w:w w:val="99"/>
                <w:sz w:val="18"/>
              </w:rPr>
              <w:t>-</w:t>
            </w:r>
            <w:r>
              <w:rPr>
                <w:rFonts w:ascii="Arial"/>
                <w:sz w:val="18"/>
              </w:rPr>
            </w:r>
          </w:p>
        </w:tc>
      </w:tr>
      <w:tr>
        <w:trPr>
          <w:trHeight w:val="482" w:hRule="exact"/>
        </w:trPr>
        <w:tc>
          <w:tcPr>
            <w:tcW w:w="36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left="110"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7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27"/>
              <w:jc w:val="center"/>
              <w:rPr>
                <w:rFonts w:ascii="Arial" w:hAnsi="Arial" w:cs="Arial" w:eastAsia="Arial" w:hint="default"/>
                <w:sz w:val="18"/>
                <w:szCs w:val="18"/>
              </w:rPr>
            </w:pPr>
            <w:r>
              <w:rPr>
                <w:rFonts w:ascii="Arial"/>
                <w:sz w:val="18"/>
              </w:rPr>
              <w:t>228,527,645.58</w:t>
            </w:r>
          </w:p>
        </w:tc>
        <w:tc>
          <w:tcPr>
            <w:tcW w:w="23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8"/>
              <w:jc w:val="center"/>
              <w:rPr>
                <w:rFonts w:ascii="Arial" w:hAnsi="Arial" w:cs="Arial" w:eastAsia="Arial" w:hint="default"/>
                <w:sz w:val="18"/>
                <w:szCs w:val="18"/>
              </w:rPr>
            </w:pPr>
            <w:r>
              <w:rPr>
                <w:rFonts w:ascii="Arial"/>
                <w:sz w:val="18"/>
              </w:rPr>
              <w:t>29,347,601.34</w:t>
            </w:r>
          </w:p>
        </w:tc>
      </w:tr>
    </w:tbl>
    <w:p>
      <w:pPr>
        <w:spacing w:line="240" w:lineRule="auto" w:before="12"/>
        <w:rPr>
          <w:rFonts w:ascii="宋体" w:hAnsi="宋体" w:cs="宋体" w:eastAsia="宋体" w:hint="default"/>
          <w:sz w:val="23"/>
          <w:szCs w:val="23"/>
        </w:rPr>
      </w:pPr>
    </w:p>
    <w:p>
      <w:pPr>
        <w:pStyle w:val="BodyText"/>
        <w:spacing w:line="240" w:lineRule="auto"/>
        <w:ind w:left="237" w:right="0"/>
        <w:jc w:val="left"/>
      </w:pPr>
      <w:r>
        <w:rPr/>
        <w:t>注：现金和现金等价物不含母公司或集团子公司下列使用受限制的现金和现金等价物：</w:t>
      </w:r>
    </w:p>
    <w:p>
      <w:pPr>
        <w:spacing w:line="240" w:lineRule="auto" w:before="8"/>
        <w:rPr>
          <w:rFonts w:ascii="宋体" w:hAnsi="宋体" w:cs="宋体" w:eastAsia="宋体" w:hint="default"/>
          <w:sz w:val="13"/>
          <w:szCs w:val="13"/>
        </w:rPr>
      </w:pPr>
    </w:p>
    <w:tbl>
      <w:tblPr>
        <w:tblW w:w="0" w:type="auto"/>
        <w:jc w:val="left"/>
        <w:tblInd w:w="115" w:type="dxa"/>
        <w:tblLayout w:type="fixed"/>
        <w:tblCellMar>
          <w:top w:w="0" w:type="dxa"/>
          <w:left w:w="0" w:type="dxa"/>
          <w:bottom w:w="0" w:type="dxa"/>
          <w:right w:w="0" w:type="dxa"/>
        </w:tblCellMar>
        <w:tblLook w:val="01E0"/>
      </w:tblPr>
      <w:tblGrid>
        <w:gridCol w:w="3924"/>
        <w:gridCol w:w="2304"/>
        <w:gridCol w:w="2520"/>
      </w:tblGrid>
      <w:tr>
        <w:trPr>
          <w:trHeight w:val="454" w:hRule="exact"/>
        </w:trPr>
        <w:tc>
          <w:tcPr>
            <w:tcW w:w="392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5"/>
              <w:ind w:right="24"/>
              <w:jc w:val="center"/>
              <w:rPr>
                <w:rFonts w:ascii="宋体" w:hAnsi="宋体" w:cs="宋体" w:eastAsia="宋体" w:hint="default"/>
                <w:sz w:val="18"/>
                <w:szCs w:val="18"/>
              </w:rPr>
            </w:pPr>
            <w:r>
              <w:rPr>
                <w:rFonts w:ascii="宋体" w:hAnsi="宋体" w:cs="宋体" w:eastAsia="宋体" w:hint="default"/>
                <w:sz w:val="18"/>
                <w:szCs w:val="18"/>
              </w:rPr>
              <w:t>项目</w:t>
            </w:r>
          </w:p>
        </w:tc>
        <w:tc>
          <w:tcPr>
            <w:tcW w:w="23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5"/>
              <w:ind w:right="29"/>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5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5"/>
              <w:ind w:right="24"/>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451" w:hRule="exact"/>
        </w:trPr>
        <w:tc>
          <w:tcPr>
            <w:tcW w:w="392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5"/>
              <w:ind w:right="22"/>
              <w:jc w:val="center"/>
              <w:rPr>
                <w:rFonts w:ascii="宋体" w:hAnsi="宋体" w:cs="宋体" w:eastAsia="宋体" w:hint="default"/>
                <w:sz w:val="18"/>
                <w:szCs w:val="18"/>
              </w:rPr>
            </w:pPr>
            <w:r>
              <w:rPr>
                <w:rFonts w:ascii="宋体" w:hAnsi="宋体" w:cs="宋体" w:eastAsia="宋体" w:hint="default"/>
                <w:sz w:val="18"/>
                <w:szCs w:val="18"/>
              </w:rPr>
              <w:t>半年期定期存款</w:t>
            </w:r>
          </w:p>
        </w:tc>
        <w:tc>
          <w:tcPr>
            <w:tcW w:w="23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3"/>
              <w:jc w:val="center"/>
              <w:rPr>
                <w:rFonts w:ascii="Arial" w:hAnsi="Arial" w:cs="Arial" w:eastAsia="Arial" w:hint="default"/>
                <w:sz w:val="18"/>
                <w:szCs w:val="18"/>
              </w:rPr>
            </w:pPr>
            <w:r>
              <w:rPr>
                <w:rFonts w:ascii="Arial"/>
                <w:sz w:val="18"/>
              </w:rPr>
              <w:t>201,980,000.00</w:t>
            </w:r>
          </w:p>
        </w:tc>
        <w:tc>
          <w:tcPr>
            <w:tcW w:w="25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7"/>
              <w:ind w:right="0"/>
              <w:jc w:val="center"/>
              <w:rPr>
                <w:rFonts w:ascii="Arial" w:hAnsi="Arial" w:cs="Arial" w:eastAsia="Arial" w:hint="default"/>
                <w:sz w:val="18"/>
                <w:szCs w:val="18"/>
              </w:rPr>
            </w:pPr>
            <w:r>
              <w:rPr>
                <w:rFonts w:ascii="Arial"/>
                <w:w w:val="99"/>
                <w:sz w:val="18"/>
              </w:rPr>
              <w:t>-</w:t>
            </w:r>
            <w:r>
              <w:rPr>
                <w:rFonts w:ascii="Arial"/>
                <w:sz w:val="18"/>
              </w:rPr>
            </w:r>
          </w:p>
        </w:tc>
      </w:tr>
    </w:tbl>
    <w:p>
      <w:pPr>
        <w:spacing w:line="240" w:lineRule="auto" w:before="12"/>
        <w:rPr>
          <w:rFonts w:ascii="宋体" w:hAnsi="宋体" w:cs="宋体" w:eastAsia="宋体" w:hint="default"/>
          <w:sz w:val="23"/>
          <w:szCs w:val="23"/>
        </w:rPr>
      </w:pPr>
    </w:p>
    <w:p>
      <w:pPr>
        <w:pStyle w:val="BodyText"/>
        <w:spacing w:line="240" w:lineRule="auto"/>
        <w:ind w:left="237" w:right="0"/>
        <w:jc w:val="left"/>
      </w:pPr>
      <w:r>
        <w:rPr>
          <w:rFonts w:ascii="Arial" w:hAnsi="Arial" w:cs="Arial" w:eastAsia="Arial" w:hint="default"/>
        </w:rPr>
        <w:t>7</w:t>
      </w:r>
      <w:r>
        <w:rPr>
          <w:rFonts w:ascii="Arial" w:hAnsi="Arial" w:cs="Arial" w:eastAsia="Arial" w:hint="default"/>
          <w:spacing w:val="-8"/>
        </w:rPr>
        <w:t> </w:t>
      </w:r>
      <w:r>
        <w:rPr/>
        <w:t>关联方及关联交易</w:t>
      </w:r>
    </w:p>
    <w:p>
      <w:pPr>
        <w:pStyle w:val="BodyText"/>
        <w:spacing w:line="240" w:lineRule="auto" w:before="126"/>
        <w:ind w:left="237" w:right="0"/>
        <w:jc w:val="left"/>
      </w:pPr>
      <w:r>
        <w:rPr>
          <w:rFonts w:ascii="Arial" w:hAnsi="Arial" w:cs="Arial" w:eastAsia="Arial" w:hint="default"/>
        </w:rPr>
        <w:t>7.1</w:t>
      </w:r>
      <w:r>
        <w:rPr>
          <w:rFonts w:ascii="Arial" w:hAnsi="Arial" w:cs="Arial" w:eastAsia="Arial" w:hint="default"/>
          <w:spacing w:val="-6"/>
        </w:rPr>
        <w:t> </w:t>
      </w:r>
      <w:r>
        <w:rPr/>
        <w:t>关联方简况</w:t>
      </w:r>
    </w:p>
    <w:p>
      <w:pPr>
        <w:pStyle w:val="BodyText"/>
        <w:spacing w:line="338" w:lineRule="auto" w:before="123"/>
        <w:ind w:left="676" w:right="0" w:hanging="440"/>
        <w:jc w:val="left"/>
      </w:pPr>
      <w:r>
        <w:rPr>
          <w:rFonts w:ascii="Arial" w:hAnsi="Arial" w:cs="Arial" w:eastAsia="Arial" w:hint="default"/>
        </w:rPr>
        <w:t>7.1.1</w:t>
      </w:r>
      <w:r>
        <w:rPr>
          <w:rFonts w:ascii="Arial" w:hAnsi="Arial" w:cs="Arial" w:eastAsia="Arial" w:hint="default"/>
          <w:spacing w:val="-9"/>
        </w:rPr>
        <w:t> </w:t>
      </w:r>
      <w:r>
        <w:rPr/>
        <w:t>控股股东及实际控制人情况</w:t>
      </w:r>
      <w:r>
        <w:rPr>
          <w:w w:val="100"/>
        </w:rPr>
        <w:t> </w:t>
      </w:r>
      <w:r>
        <w:rPr>
          <w:spacing w:val="-1"/>
        </w:rPr>
        <w:t>发行人的控股股东为纪立军，实际控制人为纪立军、张烈寅夫妇。</w:t>
      </w:r>
    </w:p>
    <w:p>
      <w:pPr>
        <w:pStyle w:val="BodyText"/>
        <w:spacing w:line="338" w:lineRule="auto" w:before="51"/>
        <w:ind w:left="676" w:right="0" w:hanging="440"/>
        <w:jc w:val="left"/>
      </w:pPr>
      <w:r>
        <w:rPr>
          <w:rFonts w:ascii="Arial" w:hAnsi="Arial" w:cs="Arial" w:eastAsia="Arial" w:hint="default"/>
        </w:rPr>
        <w:t>7.1.2</w:t>
      </w:r>
      <w:r>
        <w:rPr>
          <w:rFonts w:ascii="Arial" w:hAnsi="Arial" w:cs="Arial" w:eastAsia="Arial" w:hint="default"/>
          <w:spacing w:val="-9"/>
        </w:rPr>
        <w:t> </w:t>
      </w:r>
      <w:r>
        <w:rPr/>
        <w:t>控股股东、实际控制人控制的其他企业</w:t>
      </w:r>
      <w:r>
        <w:rPr>
          <w:w w:val="100"/>
        </w:rPr>
        <w:t> </w:t>
      </w:r>
      <w:r>
        <w:rPr/>
        <w:t>本公司的实际控制人纪立军、张烈寅夫妇除投资本公司外，纪立军还持有上海禾诺生</w:t>
      </w:r>
    </w:p>
    <w:p>
      <w:pPr>
        <w:pStyle w:val="BodyText"/>
        <w:spacing w:line="240" w:lineRule="auto" w:before="49"/>
        <w:ind w:left="237" w:right="0"/>
        <w:jc w:val="left"/>
      </w:pPr>
      <w:r>
        <w:rPr/>
        <w:t>物科技有限公司</w:t>
      </w:r>
      <w:r>
        <w:rPr>
          <w:spacing w:val="-62"/>
        </w:rPr>
        <w:t> </w:t>
      </w:r>
      <w:r>
        <w:rPr>
          <w:rFonts w:ascii="Arial" w:hAnsi="Arial" w:cs="Arial" w:eastAsia="Arial" w:hint="default"/>
        </w:rPr>
        <w:t>55%</w:t>
      </w:r>
      <w:r>
        <w:rPr/>
        <w:t>的股权，并对该公司实施控制。</w:t>
      </w:r>
    </w:p>
    <w:p>
      <w:pPr>
        <w:spacing w:after="0" w:line="240" w:lineRule="auto"/>
        <w:jc w:val="left"/>
        <w:sectPr>
          <w:pgSz w:w="11900" w:h="16840"/>
          <w:pgMar w:header="0" w:footer="983" w:top="1100" w:bottom="1180" w:left="1560" w:right="1280"/>
        </w:sectPr>
      </w:pPr>
    </w:p>
    <w:p>
      <w:pPr>
        <w:spacing w:line="240" w:lineRule="auto" w:before="4"/>
        <w:rPr>
          <w:rFonts w:ascii="宋体" w:hAnsi="宋体" w:cs="宋体" w:eastAsia="宋体" w:hint="default"/>
          <w:sz w:val="19"/>
          <w:szCs w:val="19"/>
        </w:rPr>
      </w:pPr>
    </w:p>
    <w:p>
      <w:pPr>
        <w:pStyle w:val="BodyText"/>
        <w:spacing w:line="240" w:lineRule="auto"/>
        <w:ind w:left="277" w:right="0"/>
        <w:jc w:val="left"/>
      </w:pPr>
      <w:r>
        <w:rPr>
          <w:rFonts w:ascii="Arial" w:hAnsi="Arial" w:cs="Arial" w:eastAsia="Arial" w:hint="default"/>
        </w:rPr>
        <w:t>7.1.3</w:t>
      </w:r>
      <w:r>
        <w:rPr>
          <w:rFonts w:ascii="Arial" w:hAnsi="Arial" w:cs="Arial" w:eastAsia="Arial" w:hint="default"/>
          <w:spacing w:val="-6"/>
        </w:rPr>
        <w:t> </w:t>
      </w:r>
      <w:r>
        <w:rPr/>
        <w:t>本公司的子公司</w:t>
      </w:r>
    </w:p>
    <w:p>
      <w:pPr>
        <w:spacing w:line="240" w:lineRule="auto" w:before="3"/>
        <w:rPr>
          <w:rFonts w:ascii="宋体" w:hAnsi="宋体" w:cs="宋体" w:eastAsia="宋体" w:hint="default"/>
          <w:sz w:val="12"/>
          <w:szCs w:val="12"/>
        </w:rPr>
      </w:pPr>
    </w:p>
    <w:tbl>
      <w:tblPr>
        <w:tblW w:w="0" w:type="auto"/>
        <w:jc w:val="left"/>
        <w:tblInd w:w="215" w:type="dxa"/>
        <w:tblLayout w:type="fixed"/>
        <w:tblCellMar>
          <w:top w:w="0" w:type="dxa"/>
          <w:left w:w="0" w:type="dxa"/>
          <w:bottom w:w="0" w:type="dxa"/>
          <w:right w:w="0" w:type="dxa"/>
        </w:tblCellMar>
        <w:tblLook w:val="01E0"/>
      </w:tblPr>
      <w:tblGrid>
        <w:gridCol w:w="1932"/>
        <w:gridCol w:w="1046"/>
        <w:gridCol w:w="2683"/>
        <w:gridCol w:w="898"/>
        <w:gridCol w:w="770"/>
        <w:gridCol w:w="1406"/>
      </w:tblGrid>
      <w:tr>
        <w:trPr>
          <w:trHeight w:val="655" w:hRule="exact"/>
        </w:trPr>
        <w:tc>
          <w:tcPr>
            <w:tcW w:w="193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企业名称</w:t>
            </w:r>
          </w:p>
        </w:tc>
        <w:tc>
          <w:tcPr>
            <w:tcW w:w="1046"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326" w:right="149" w:hanging="180"/>
              <w:jc w:val="left"/>
              <w:rPr>
                <w:rFonts w:ascii="宋体" w:hAnsi="宋体" w:cs="宋体" w:eastAsia="宋体" w:hint="default"/>
                <w:sz w:val="18"/>
                <w:szCs w:val="18"/>
              </w:rPr>
            </w:pPr>
            <w:r>
              <w:rPr>
                <w:rFonts w:ascii="宋体" w:hAnsi="宋体" w:cs="宋体" w:eastAsia="宋体" w:hint="default"/>
                <w:sz w:val="18"/>
                <w:szCs w:val="18"/>
              </w:rPr>
              <w:t>与本企业</w:t>
            </w:r>
            <w:r>
              <w:rPr>
                <w:rFonts w:ascii="宋体" w:hAnsi="宋体" w:cs="宋体" w:eastAsia="宋体" w:hint="default"/>
                <w:w w:val="99"/>
                <w:sz w:val="18"/>
                <w:szCs w:val="18"/>
              </w:rPr>
              <w:t> </w:t>
            </w:r>
            <w:r>
              <w:rPr>
                <w:rFonts w:ascii="宋体" w:hAnsi="宋体" w:cs="宋体" w:eastAsia="宋体" w:hint="default"/>
                <w:sz w:val="18"/>
                <w:szCs w:val="18"/>
              </w:rPr>
              <w:t>关系</w:t>
            </w:r>
          </w:p>
        </w:tc>
        <w:tc>
          <w:tcPr>
            <w:tcW w:w="26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主营业务</w:t>
            </w:r>
          </w:p>
        </w:tc>
        <w:tc>
          <w:tcPr>
            <w:tcW w:w="8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63" w:right="0"/>
              <w:jc w:val="left"/>
              <w:rPr>
                <w:rFonts w:ascii="宋体" w:hAnsi="宋体" w:cs="宋体" w:eastAsia="宋体" w:hint="default"/>
                <w:sz w:val="18"/>
                <w:szCs w:val="18"/>
              </w:rPr>
            </w:pPr>
            <w:r>
              <w:rPr>
                <w:rFonts w:ascii="宋体" w:hAnsi="宋体" w:cs="宋体" w:eastAsia="宋体" w:hint="default"/>
                <w:sz w:val="18"/>
                <w:szCs w:val="18"/>
              </w:rPr>
              <w:t>注册地</w:t>
            </w:r>
          </w:p>
          <w:p>
            <w:pPr>
              <w:pStyle w:val="TableParagraph"/>
              <w:spacing w:line="240" w:lineRule="auto" w:before="76"/>
              <w:ind w:left="518" w:right="0"/>
              <w:jc w:val="left"/>
              <w:rPr>
                <w:rFonts w:ascii="宋体" w:hAnsi="宋体" w:cs="宋体" w:eastAsia="宋体" w:hint="default"/>
                <w:sz w:val="18"/>
                <w:szCs w:val="18"/>
              </w:rPr>
            </w:pPr>
            <w:r>
              <w:rPr>
                <w:rFonts w:ascii="宋体" w:hAnsi="宋体" w:cs="宋体" w:eastAsia="宋体" w:hint="default"/>
                <w:w w:val="99"/>
                <w:sz w:val="18"/>
                <w:szCs w:val="18"/>
              </w:rPr>
              <w:t>址</w:t>
            </w:r>
            <w:r>
              <w:rPr>
                <w:rFonts w:ascii="宋体" w:hAnsi="宋体" w:cs="宋体" w:eastAsia="宋体" w:hint="default"/>
                <w:sz w:val="18"/>
                <w:szCs w:val="18"/>
              </w:rPr>
            </w:r>
          </w:p>
        </w:tc>
        <w:tc>
          <w:tcPr>
            <w:tcW w:w="770"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189" w:right="190"/>
              <w:jc w:val="left"/>
              <w:rPr>
                <w:rFonts w:ascii="宋体" w:hAnsi="宋体" w:cs="宋体" w:eastAsia="宋体" w:hint="default"/>
                <w:sz w:val="18"/>
                <w:szCs w:val="18"/>
              </w:rPr>
            </w:pPr>
            <w:r>
              <w:rPr>
                <w:rFonts w:ascii="宋体" w:hAnsi="宋体" w:cs="宋体" w:eastAsia="宋体" w:hint="default"/>
                <w:sz w:val="18"/>
                <w:szCs w:val="18"/>
              </w:rPr>
              <w:t>法人</w:t>
            </w:r>
            <w:r>
              <w:rPr>
                <w:rFonts w:ascii="宋体" w:hAnsi="宋体" w:cs="宋体" w:eastAsia="宋体" w:hint="default"/>
                <w:w w:val="99"/>
                <w:sz w:val="18"/>
                <w:szCs w:val="18"/>
              </w:rPr>
              <w:t> </w:t>
            </w:r>
            <w:r>
              <w:rPr>
                <w:rFonts w:ascii="宋体" w:hAnsi="宋体" w:cs="宋体" w:eastAsia="宋体" w:hint="default"/>
                <w:sz w:val="18"/>
                <w:szCs w:val="18"/>
              </w:rPr>
              <w:t>代表</w:t>
            </w:r>
          </w:p>
        </w:tc>
        <w:tc>
          <w:tcPr>
            <w:tcW w:w="1406"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508" w:right="326" w:hanging="180"/>
              <w:jc w:val="left"/>
              <w:rPr>
                <w:rFonts w:ascii="宋体" w:hAnsi="宋体" w:cs="宋体" w:eastAsia="宋体" w:hint="default"/>
                <w:sz w:val="18"/>
                <w:szCs w:val="18"/>
              </w:rPr>
            </w:pPr>
            <w:r>
              <w:rPr>
                <w:rFonts w:ascii="宋体" w:hAnsi="宋体" w:cs="宋体" w:eastAsia="宋体" w:hint="default"/>
                <w:sz w:val="18"/>
                <w:szCs w:val="18"/>
              </w:rPr>
              <w:t>组织机构</w:t>
            </w:r>
            <w:r>
              <w:rPr>
                <w:rFonts w:ascii="宋体" w:hAnsi="宋体" w:cs="宋体" w:eastAsia="宋体" w:hint="default"/>
                <w:w w:val="99"/>
                <w:sz w:val="18"/>
                <w:szCs w:val="18"/>
              </w:rPr>
              <w:t> </w:t>
            </w:r>
            <w:r>
              <w:rPr>
                <w:rFonts w:ascii="宋体" w:hAnsi="宋体" w:cs="宋体" w:eastAsia="宋体" w:hint="default"/>
                <w:sz w:val="18"/>
                <w:szCs w:val="18"/>
              </w:rPr>
              <w:t>代码</w:t>
            </w:r>
          </w:p>
        </w:tc>
      </w:tr>
      <w:tr>
        <w:trPr>
          <w:trHeight w:val="653" w:hRule="exact"/>
        </w:trPr>
        <w:tc>
          <w:tcPr>
            <w:tcW w:w="1932"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592" w:right="139" w:hanging="452"/>
              <w:jc w:val="left"/>
              <w:rPr>
                <w:rFonts w:ascii="宋体" w:hAnsi="宋体" w:cs="宋体" w:eastAsia="宋体" w:hint="default"/>
                <w:sz w:val="18"/>
                <w:szCs w:val="18"/>
              </w:rPr>
            </w:pPr>
            <w:r>
              <w:rPr>
                <w:rFonts w:ascii="宋体" w:hAnsi="宋体" w:cs="宋体" w:eastAsia="宋体" w:hint="default"/>
                <w:sz w:val="18"/>
                <w:szCs w:val="18"/>
              </w:rPr>
              <w:t>烟台安诺其纺织材料</w:t>
            </w:r>
            <w:r>
              <w:rPr>
                <w:rFonts w:ascii="宋体" w:hAnsi="宋体" w:cs="宋体" w:eastAsia="宋体" w:hint="default"/>
                <w:w w:val="99"/>
                <w:sz w:val="18"/>
                <w:szCs w:val="18"/>
              </w:rPr>
              <w:t> </w:t>
            </w:r>
            <w:r>
              <w:rPr>
                <w:rFonts w:ascii="宋体" w:hAnsi="宋体" w:cs="宋体" w:eastAsia="宋体" w:hint="default"/>
                <w:sz w:val="18"/>
                <w:szCs w:val="18"/>
              </w:rPr>
              <w:t>有限公司</w:t>
            </w:r>
          </w:p>
        </w:tc>
        <w:tc>
          <w:tcPr>
            <w:tcW w:w="1046"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237" w:right="238" w:firstLine="88"/>
              <w:jc w:val="left"/>
              <w:rPr>
                <w:rFonts w:ascii="宋体" w:hAnsi="宋体" w:cs="宋体" w:eastAsia="宋体" w:hint="default"/>
                <w:sz w:val="18"/>
                <w:szCs w:val="18"/>
              </w:rPr>
            </w:pPr>
            <w:r>
              <w:rPr>
                <w:rFonts w:ascii="宋体" w:hAnsi="宋体" w:cs="宋体" w:eastAsia="宋体" w:hint="default"/>
                <w:sz w:val="18"/>
                <w:szCs w:val="18"/>
              </w:rPr>
              <w:t>全资</w:t>
            </w:r>
            <w:r>
              <w:rPr>
                <w:rFonts w:ascii="宋体" w:hAnsi="宋体" w:cs="宋体" w:eastAsia="宋体" w:hint="default"/>
                <w:w w:val="99"/>
                <w:sz w:val="18"/>
                <w:szCs w:val="18"/>
              </w:rPr>
              <w:t> </w:t>
            </w:r>
            <w:r>
              <w:rPr>
                <w:rFonts w:ascii="宋体" w:hAnsi="宋体" w:cs="宋体" w:eastAsia="宋体" w:hint="default"/>
                <w:sz w:val="18"/>
                <w:szCs w:val="18"/>
              </w:rPr>
              <w:t>子公司</w:t>
            </w:r>
          </w:p>
        </w:tc>
        <w:tc>
          <w:tcPr>
            <w:tcW w:w="26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染料、助剂的生产销售</w:t>
            </w:r>
          </w:p>
        </w:tc>
        <w:tc>
          <w:tcPr>
            <w:tcW w:w="898"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163" w:right="163"/>
              <w:jc w:val="left"/>
              <w:rPr>
                <w:rFonts w:ascii="宋体" w:hAnsi="宋体" w:cs="宋体" w:eastAsia="宋体" w:hint="default"/>
                <w:sz w:val="18"/>
                <w:szCs w:val="18"/>
              </w:rPr>
            </w:pPr>
            <w:r>
              <w:rPr>
                <w:rFonts w:ascii="宋体" w:hAnsi="宋体" w:cs="宋体" w:eastAsia="宋体" w:hint="default"/>
                <w:sz w:val="18"/>
                <w:szCs w:val="18"/>
              </w:rPr>
              <w:t>山东省</w:t>
            </w:r>
            <w:r>
              <w:rPr>
                <w:rFonts w:ascii="宋体" w:hAnsi="宋体" w:cs="宋体" w:eastAsia="宋体" w:hint="default"/>
                <w:w w:val="99"/>
                <w:sz w:val="18"/>
                <w:szCs w:val="18"/>
              </w:rPr>
              <w:t> </w:t>
            </w:r>
            <w:r>
              <w:rPr>
                <w:rFonts w:ascii="宋体" w:hAnsi="宋体" w:cs="宋体" w:eastAsia="宋体" w:hint="default"/>
                <w:sz w:val="18"/>
                <w:szCs w:val="18"/>
              </w:rPr>
              <w:t>蓬莱市</w:t>
            </w:r>
          </w:p>
        </w:tc>
        <w:tc>
          <w:tcPr>
            <w:tcW w:w="770"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278" w:right="144" w:hanging="44"/>
              <w:jc w:val="left"/>
              <w:rPr>
                <w:rFonts w:ascii="宋体" w:hAnsi="宋体" w:cs="宋体" w:eastAsia="宋体" w:hint="default"/>
                <w:sz w:val="18"/>
                <w:szCs w:val="18"/>
              </w:rPr>
            </w:pPr>
            <w:r>
              <w:rPr>
                <w:rFonts w:ascii="宋体" w:hAnsi="宋体" w:cs="宋体" w:eastAsia="宋体" w:hint="default"/>
                <w:sz w:val="18"/>
                <w:szCs w:val="18"/>
              </w:rPr>
              <w:t>纪立</w:t>
            </w:r>
            <w:r>
              <w:rPr>
                <w:rFonts w:ascii="宋体" w:hAnsi="宋体" w:cs="宋体" w:eastAsia="宋体" w:hint="default"/>
                <w:w w:val="99"/>
                <w:sz w:val="18"/>
                <w:szCs w:val="18"/>
              </w:rPr>
              <w:t> </w:t>
            </w:r>
            <w:r>
              <w:rPr>
                <w:rFonts w:ascii="宋体" w:hAnsi="宋体" w:cs="宋体" w:eastAsia="宋体" w:hint="default"/>
                <w:sz w:val="18"/>
                <w:szCs w:val="18"/>
              </w:rPr>
              <w:t>军</w:t>
            </w:r>
          </w:p>
        </w:tc>
        <w:tc>
          <w:tcPr>
            <w:tcW w:w="14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sz w:val="18"/>
              </w:rPr>
              <w:t>79151398-7</w:t>
            </w:r>
          </w:p>
        </w:tc>
      </w:tr>
      <w:tr>
        <w:trPr>
          <w:trHeight w:val="653" w:hRule="exact"/>
        </w:trPr>
        <w:tc>
          <w:tcPr>
            <w:tcW w:w="1932"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592" w:right="139" w:hanging="452"/>
              <w:jc w:val="left"/>
              <w:rPr>
                <w:rFonts w:ascii="宋体" w:hAnsi="宋体" w:cs="宋体" w:eastAsia="宋体" w:hint="default"/>
                <w:sz w:val="18"/>
                <w:szCs w:val="18"/>
              </w:rPr>
            </w:pPr>
            <w:r>
              <w:rPr>
                <w:rFonts w:ascii="宋体" w:hAnsi="宋体" w:cs="宋体" w:eastAsia="宋体" w:hint="default"/>
                <w:sz w:val="18"/>
                <w:szCs w:val="18"/>
              </w:rPr>
              <w:t>东营安诺其纺织材料</w:t>
            </w:r>
            <w:r>
              <w:rPr>
                <w:rFonts w:ascii="宋体" w:hAnsi="宋体" w:cs="宋体" w:eastAsia="宋体" w:hint="default"/>
                <w:w w:val="99"/>
                <w:sz w:val="18"/>
                <w:szCs w:val="18"/>
              </w:rPr>
              <w:t> </w:t>
            </w:r>
            <w:r>
              <w:rPr>
                <w:rFonts w:ascii="宋体" w:hAnsi="宋体" w:cs="宋体" w:eastAsia="宋体" w:hint="default"/>
                <w:sz w:val="18"/>
                <w:szCs w:val="18"/>
              </w:rPr>
              <w:t>有限公司</w:t>
            </w:r>
          </w:p>
        </w:tc>
        <w:tc>
          <w:tcPr>
            <w:tcW w:w="1046"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237" w:right="238" w:firstLine="88"/>
              <w:jc w:val="left"/>
              <w:rPr>
                <w:rFonts w:ascii="宋体" w:hAnsi="宋体" w:cs="宋体" w:eastAsia="宋体" w:hint="default"/>
                <w:sz w:val="18"/>
                <w:szCs w:val="18"/>
              </w:rPr>
            </w:pPr>
            <w:r>
              <w:rPr>
                <w:rFonts w:ascii="宋体" w:hAnsi="宋体" w:cs="宋体" w:eastAsia="宋体" w:hint="default"/>
                <w:sz w:val="18"/>
                <w:szCs w:val="18"/>
              </w:rPr>
              <w:t>全资</w:t>
            </w:r>
            <w:r>
              <w:rPr>
                <w:rFonts w:ascii="宋体" w:hAnsi="宋体" w:cs="宋体" w:eastAsia="宋体" w:hint="default"/>
                <w:w w:val="99"/>
                <w:sz w:val="18"/>
                <w:szCs w:val="18"/>
              </w:rPr>
              <w:t> </w:t>
            </w:r>
            <w:r>
              <w:rPr>
                <w:rFonts w:ascii="宋体" w:hAnsi="宋体" w:cs="宋体" w:eastAsia="宋体" w:hint="default"/>
                <w:sz w:val="18"/>
                <w:szCs w:val="18"/>
              </w:rPr>
              <w:t>子公司</w:t>
            </w:r>
          </w:p>
        </w:tc>
        <w:tc>
          <w:tcPr>
            <w:tcW w:w="2683"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93" w:right="91"/>
              <w:jc w:val="left"/>
              <w:rPr>
                <w:rFonts w:ascii="宋体" w:hAnsi="宋体" w:cs="宋体" w:eastAsia="宋体" w:hint="default"/>
                <w:sz w:val="18"/>
                <w:szCs w:val="18"/>
              </w:rPr>
            </w:pPr>
            <w:r>
              <w:rPr>
                <w:rFonts w:ascii="宋体" w:hAnsi="宋体" w:cs="宋体" w:eastAsia="宋体" w:hint="default"/>
                <w:spacing w:val="-4"/>
                <w:sz w:val="18"/>
                <w:szCs w:val="18"/>
              </w:rPr>
              <w:t>染料、滤饼、中间体及助剂产品</w:t>
            </w:r>
            <w:r>
              <w:rPr>
                <w:rFonts w:ascii="宋体" w:hAnsi="宋体" w:cs="宋体" w:eastAsia="宋体" w:hint="default"/>
                <w:w w:val="99"/>
                <w:sz w:val="18"/>
                <w:szCs w:val="18"/>
              </w:rPr>
              <w:t> </w:t>
            </w:r>
            <w:r>
              <w:rPr>
                <w:rFonts w:ascii="宋体" w:hAnsi="宋体" w:cs="宋体" w:eastAsia="宋体" w:hint="default"/>
                <w:sz w:val="18"/>
                <w:szCs w:val="18"/>
              </w:rPr>
              <w:t>的生产销售</w:t>
            </w:r>
          </w:p>
        </w:tc>
        <w:tc>
          <w:tcPr>
            <w:tcW w:w="898"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163" w:right="163"/>
              <w:jc w:val="left"/>
              <w:rPr>
                <w:rFonts w:ascii="宋体" w:hAnsi="宋体" w:cs="宋体" w:eastAsia="宋体" w:hint="default"/>
                <w:sz w:val="18"/>
                <w:szCs w:val="18"/>
              </w:rPr>
            </w:pPr>
            <w:r>
              <w:rPr>
                <w:rFonts w:ascii="宋体" w:hAnsi="宋体" w:cs="宋体" w:eastAsia="宋体" w:hint="default"/>
                <w:sz w:val="18"/>
                <w:szCs w:val="18"/>
              </w:rPr>
              <w:t>山东省</w:t>
            </w:r>
            <w:r>
              <w:rPr>
                <w:rFonts w:ascii="宋体" w:hAnsi="宋体" w:cs="宋体" w:eastAsia="宋体" w:hint="default"/>
                <w:w w:val="99"/>
                <w:sz w:val="18"/>
                <w:szCs w:val="18"/>
              </w:rPr>
              <w:t> </w:t>
            </w:r>
            <w:r>
              <w:rPr>
                <w:rFonts w:ascii="宋体" w:hAnsi="宋体" w:cs="宋体" w:eastAsia="宋体" w:hint="default"/>
                <w:sz w:val="18"/>
                <w:szCs w:val="18"/>
              </w:rPr>
              <w:t>东营市</w:t>
            </w:r>
          </w:p>
        </w:tc>
        <w:tc>
          <w:tcPr>
            <w:tcW w:w="770"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278" w:right="144" w:hanging="44"/>
              <w:jc w:val="left"/>
              <w:rPr>
                <w:rFonts w:ascii="宋体" w:hAnsi="宋体" w:cs="宋体" w:eastAsia="宋体" w:hint="default"/>
                <w:sz w:val="18"/>
                <w:szCs w:val="18"/>
              </w:rPr>
            </w:pPr>
            <w:r>
              <w:rPr>
                <w:rFonts w:ascii="宋体" w:hAnsi="宋体" w:cs="宋体" w:eastAsia="宋体" w:hint="default"/>
                <w:sz w:val="18"/>
                <w:szCs w:val="18"/>
              </w:rPr>
              <w:t>纪立</w:t>
            </w:r>
            <w:r>
              <w:rPr>
                <w:rFonts w:ascii="宋体" w:hAnsi="宋体" w:cs="宋体" w:eastAsia="宋体" w:hint="default"/>
                <w:w w:val="99"/>
                <w:sz w:val="18"/>
                <w:szCs w:val="18"/>
              </w:rPr>
              <w:t> </w:t>
            </w:r>
            <w:r>
              <w:rPr>
                <w:rFonts w:ascii="宋体" w:hAnsi="宋体" w:cs="宋体" w:eastAsia="宋体" w:hint="default"/>
                <w:sz w:val="18"/>
                <w:szCs w:val="18"/>
              </w:rPr>
              <w:t>军</w:t>
            </w:r>
          </w:p>
        </w:tc>
        <w:tc>
          <w:tcPr>
            <w:tcW w:w="14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sz w:val="18"/>
              </w:rPr>
              <w:t>67921306-0</w:t>
            </w:r>
          </w:p>
        </w:tc>
      </w:tr>
    </w:tbl>
    <w:p>
      <w:pPr>
        <w:spacing w:line="240" w:lineRule="auto" w:before="12"/>
        <w:rPr>
          <w:rFonts w:ascii="宋体" w:hAnsi="宋体" w:cs="宋体" w:eastAsia="宋体" w:hint="default"/>
          <w:sz w:val="23"/>
          <w:szCs w:val="23"/>
        </w:rPr>
      </w:pPr>
    </w:p>
    <w:p>
      <w:pPr>
        <w:pStyle w:val="BodyText"/>
        <w:spacing w:line="340" w:lineRule="auto"/>
        <w:ind w:left="716" w:right="0" w:hanging="440"/>
        <w:jc w:val="left"/>
      </w:pPr>
      <w:r>
        <w:rPr>
          <w:rFonts w:ascii="Arial" w:hAnsi="Arial" w:cs="Arial" w:eastAsia="Arial" w:hint="default"/>
        </w:rPr>
        <w:t>7.1.4</w:t>
      </w:r>
      <w:r>
        <w:rPr>
          <w:rFonts w:ascii="Arial" w:hAnsi="Arial" w:cs="Arial" w:eastAsia="Arial" w:hint="default"/>
          <w:spacing w:val="-9"/>
        </w:rPr>
        <w:t> </w:t>
      </w:r>
      <w:r>
        <w:rPr/>
        <w:t>本公司的主要法人股东</w:t>
      </w:r>
      <w:r>
        <w:rPr>
          <w:w w:val="100"/>
        </w:rPr>
        <w:t> </w:t>
      </w:r>
      <w:r>
        <w:rPr/>
        <w:t>本公司的主要法人股东为上海嘉兆投资管理有限公司，股东为徐学青、陆生华、马立</w:t>
      </w:r>
    </w:p>
    <w:p>
      <w:pPr>
        <w:pStyle w:val="BodyText"/>
        <w:spacing w:line="240" w:lineRule="auto" w:before="47"/>
        <w:ind w:left="277" w:right="0"/>
        <w:jc w:val="left"/>
      </w:pPr>
      <w:r>
        <w:rPr/>
        <w:t>群三人，其中徐学青为嘉兆投资实际控制人。</w:t>
      </w:r>
    </w:p>
    <w:p>
      <w:pPr>
        <w:pStyle w:val="BodyText"/>
        <w:spacing w:line="240" w:lineRule="auto" w:before="139"/>
        <w:ind w:left="277" w:right="0"/>
        <w:jc w:val="left"/>
      </w:pPr>
      <w:r>
        <w:rPr>
          <w:rFonts w:ascii="Arial" w:hAnsi="Arial" w:cs="Arial" w:eastAsia="Arial" w:hint="default"/>
        </w:rPr>
        <w:t>7.2.1</w:t>
      </w:r>
      <w:r>
        <w:rPr>
          <w:rFonts w:ascii="Arial" w:hAnsi="Arial" w:cs="Arial" w:eastAsia="Arial" w:hint="default"/>
          <w:spacing w:val="-6"/>
        </w:rPr>
        <w:t> </w:t>
      </w:r>
      <w:r>
        <w:rPr/>
        <w:t>公司出租情况表</w:t>
      </w:r>
    </w:p>
    <w:p>
      <w:pPr>
        <w:spacing w:line="240" w:lineRule="auto" w:before="5"/>
        <w:rPr>
          <w:rFonts w:ascii="宋体" w:hAnsi="宋体" w:cs="宋体" w:eastAsia="宋体" w:hint="default"/>
          <w:sz w:val="12"/>
          <w:szCs w:val="12"/>
        </w:rPr>
      </w:pPr>
    </w:p>
    <w:tbl>
      <w:tblPr>
        <w:tblW w:w="0" w:type="auto"/>
        <w:jc w:val="left"/>
        <w:tblInd w:w="155" w:type="dxa"/>
        <w:tblLayout w:type="fixed"/>
        <w:tblCellMar>
          <w:top w:w="0" w:type="dxa"/>
          <w:left w:w="0" w:type="dxa"/>
          <w:bottom w:w="0" w:type="dxa"/>
          <w:right w:w="0" w:type="dxa"/>
        </w:tblCellMar>
        <w:tblLook w:val="01E0"/>
      </w:tblPr>
      <w:tblGrid>
        <w:gridCol w:w="1442"/>
        <w:gridCol w:w="1370"/>
        <w:gridCol w:w="809"/>
        <w:gridCol w:w="1500"/>
        <w:gridCol w:w="1308"/>
        <w:gridCol w:w="1236"/>
        <w:gridCol w:w="1118"/>
      </w:tblGrid>
      <w:tr>
        <w:trPr>
          <w:trHeight w:val="739" w:hRule="exact"/>
        </w:trPr>
        <w:tc>
          <w:tcPr>
            <w:tcW w:w="14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809" w:type="dxa"/>
            <w:tcBorders>
              <w:top w:val="single" w:sz="12" w:space="0" w:color="000000"/>
              <w:left w:val="single" w:sz="12" w:space="0" w:color="000000"/>
              <w:bottom w:val="single" w:sz="12" w:space="0" w:color="000000"/>
              <w:right w:val="single" w:sz="12" w:space="0" w:color="000000"/>
            </w:tcBorders>
          </w:tcPr>
          <w:p>
            <w:pPr>
              <w:pStyle w:val="TableParagraph"/>
              <w:spacing w:line="232" w:lineRule="exact" w:before="117"/>
              <w:ind w:left="119" w:right="118"/>
              <w:jc w:val="left"/>
              <w:rPr>
                <w:rFonts w:ascii="宋体" w:hAnsi="宋体" w:cs="宋体" w:eastAsia="宋体" w:hint="default"/>
                <w:sz w:val="18"/>
                <w:szCs w:val="18"/>
              </w:rPr>
            </w:pPr>
            <w:r>
              <w:rPr>
                <w:rFonts w:ascii="宋体" w:hAnsi="宋体" w:cs="宋体" w:eastAsia="宋体" w:hint="default"/>
                <w:sz w:val="18"/>
                <w:szCs w:val="18"/>
              </w:rPr>
              <w:t>租赁资</w:t>
            </w:r>
            <w:r>
              <w:rPr>
                <w:rFonts w:ascii="宋体" w:hAnsi="宋体" w:cs="宋体" w:eastAsia="宋体" w:hint="default"/>
                <w:w w:val="99"/>
                <w:sz w:val="18"/>
                <w:szCs w:val="18"/>
              </w:rPr>
              <w:t> </w:t>
            </w:r>
            <w:r>
              <w:rPr>
                <w:rFonts w:ascii="宋体" w:hAnsi="宋体" w:cs="宋体" w:eastAsia="宋体" w:hint="default"/>
                <w:sz w:val="18"/>
                <w:szCs w:val="18"/>
              </w:rPr>
              <w:t>产种类</w:t>
            </w:r>
          </w:p>
        </w:tc>
        <w:tc>
          <w:tcPr>
            <w:tcW w:w="15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236" w:type="dxa"/>
            <w:tcBorders>
              <w:top w:val="single" w:sz="12" w:space="0" w:color="000000"/>
              <w:left w:val="single" w:sz="12" w:space="0" w:color="000000"/>
              <w:bottom w:val="single" w:sz="12" w:space="0" w:color="000000"/>
              <w:right w:val="single" w:sz="12" w:space="0" w:color="000000"/>
            </w:tcBorders>
          </w:tcPr>
          <w:p>
            <w:pPr>
              <w:pStyle w:val="TableParagraph"/>
              <w:spacing w:line="232" w:lineRule="exact" w:before="117"/>
              <w:ind w:left="333" w:right="151" w:hanging="180"/>
              <w:jc w:val="left"/>
              <w:rPr>
                <w:rFonts w:ascii="宋体" w:hAnsi="宋体" w:cs="宋体" w:eastAsia="宋体" w:hint="default"/>
                <w:sz w:val="18"/>
                <w:szCs w:val="18"/>
              </w:rPr>
            </w:pPr>
            <w:r>
              <w:rPr>
                <w:rFonts w:ascii="宋体" w:hAnsi="宋体" w:cs="宋体" w:eastAsia="宋体" w:hint="default"/>
                <w:sz w:val="18"/>
                <w:szCs w:val="18"/>
              </w:rPr>
              <w:t>租赁收益定</w:t>
            </w:r>
            <w:r>
              <w:rPr>
                <w:rFonts w:ascii="宋体" w:hAnsi="宋体" w:cs="宋体" w:eastAsia="宋体" w:hint="default"/>
                <w:w w:val="99"/>
                <w:sz w:val="18"/>
                <w:szCs w:val="18"/>
              </w:rPr>
              <w:t> </w:t>
            </w:r>
            <w:r>
              <w:rPr>
                <w:rFonts w:ascii="宋体" w:hAnsi="宋体" w:cs="宋体" w:eastAsia="宋体" w:hint="default"/>
                <w:sz w:val="18"/>
                <w:szCs w:val="18"/>
              </w:rPr>
              <w:t>价依据</w:t>
            </w:r>
          </w:p>
        </w:tc>
        <w:tc>
          <w:tcPr>
            <w:tcW w:w="1118" w:type="dxa"/>
            <w:tcBorders>
              <w:top w:val="single" w:sz="12" w:space="0" w:color="000000"/>
              <w:left w:val="single" w:sz="12" w:space="0" w:color="000000"/>
              <w:bottom w:val="single" w:sz="12" w:space="0" w:color="000000"/>
              <w:right w:val="single" w:sz="12" w:space="0" w:color="000000"/>
            </w:tcBorders>
          </w:tcPr>
          <w:p>
            <w:pPr>
              <w:pStyle w:val="TableParagraph"/>
              <w:spacing w:line="232" w:lineRule="exact" w:before="117"/>
              <w:ind w:left="182" w:right="94" w:hanging="89"/>
              <w:jc w:val="left"/>
              <w:rPr>
                <w:rFonts w:ascii="宋体" w:hAnsi="宋体" w:cs="宋体" w:eastAsia="宋体" w:hint="default"/>
                <w:sz w:val="18"/>
                <w:szCs w:val="18"/>
              </w:rPr>
            </w:pPr>
            <w:r>
              <w:rPr>
                <w:rFonts w:ascii="宋体" w:hAnsi="宋体" w:cs="宋体" w:eastAsia="宋体" w:hint="default"/>
                <w:sz w:val="18"/>
                <w:szCs w:val="18"/>
              </w:rPr>
              <w:t>年度确认的</w:t>
            </w:r>
            <w:r>
              <w:rPr>
                <w:rFonts w:ascii="宋体" w:hAnsi="宋体" w:cs="宋体" w:eastAsia="宋体" w:hint="default"/>
                <w:w w:val="99"/>
                <w:sz w:val="18"/>
                <w:szCs w:val="18"/>
              </w:rPr>
              <w:t> </w:t>
            </w:r>
            <w:r>
              <w:rPr>
                <w:rFonts w:ascii="宋体" w:hAnsi="宋体" w:cs="宋体" w:eastAsia="宋体" w:hint="default"/>
                <w:sz w:val="18"/>
                <w:szCs w:val="18"/>
              </w:rPr>
              <w:t>租赁收益</w:t>
            </w:r>
          </w:p>
        </w:tc>
      </w:tr>
      <w:tr>
        <w:trPr>
          <w:trHeight w:val="1085" w:hRule="exact"/>
        </w:trPr>
        <w:tc>
          <w:tcPr>
            <w:tcW w:w="14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32" w:lineRule="exact"/>
              <w:ind w:left="165" w:right="166"/>
              <w:jc w:val="center"/>
              <w:rPr>
                <w:rFonts w:ascii="宋体" w:hAnsi="宋体" w:cs="宋体" w:eastAsia="宋体" w:hint="default"/>
                <w:sz w:val="18"/>
                <w:szCs w:val="18"/>
              </w:rPr>
            </w:pPr>
            <w:r>
              <w:rPr>
                <w:rFonts w:ascii="宋体" w:hAnsi="宋体" w:cs="宋体" w:eastAsia="宋体" w:hint="default"/>
                <w:sz w:val="18"/>
                <w:szCs w:val="18"/>
              </w:rPr>
              <w:t>上海安诺其纺</w:t>
            </w:r>
            <w:r>
              <w:rPr>
                <w:rFonts w:ascii="宋体" w:hAnsi="宋体" w:cs="宋体" w:eastAsia="宋体" w:hint="default"/>
                <w:w w:val="99"/>
                <w:sz w:val="18"/>
                <w:szCs w:val="18"/>
              </w:rPr>
              <w:t> </w:t>
            </w:r>
            <w:r>
              <w:rPr>
                <w:rFonts w:ascii="宋体" w:hAnsi="宋体" w:cs="宋体" w:eastAsia="宋体" w:hint="default"/>
                <w:sz w:val="18"/>
                <w:szCs w:val="18"/>
              </w:rPr>
              <w:t>织化工有限公</w:t>
            </w:r>
            <w:r>
              <w:rPr>
                <w:rFonts w:ascii="宋体" w:hAnsi="宋体" w:cs="宋体" w:eastAsia="宋体" w:hint="default"/>
                <w:w w:val="99"/>
                <w:sz w:val="18"/>
                <w:szCs w:val="18"/>
              </w:rPr>
              <w:t> </w:t>
            </w:r>
            <w:r>
              <w:rPr>
                <w:rFonts w:ascii="宋体" w:hAnsi="宋体" w:cs="宋体" w:eastAsia="宋体" w:hint="default"/>
                <w:sz w:val="18"/>
                <w:szCs w:val="18"/>
              </w:rPr>
              <w:t>司</w:t>
            </w:r>
          </w:p>
        </w:tc>
        <w:tc>
          <w:tcPr>
            <w:tcW w:w="13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32" w:lineRule="exact"/>
              <w:ind w:left="129" w:right="130"/>
              <w:jc w:val="left"/>
              <w:rPr>
                <w:rFonts w:ascii="宋体" w:hAnsi="宋体" w:cs="宋体" w:eastAsia="宋体" w:hint="default"/>
                <w:sz w:val="18"/>
                <w:szCs w:val="18"/>
              </w:rPr>
            </w:pPr>
            <w:r>
              <w:rPr>
                <w:rFonts w:ascii="宋体" w:hAnsi="宋体" w:cs="宋体" w:eastAsia="宋体" w:hint="default"/>
                <w:sz w:val="18"/>
                <w:szCs w:val="18"/>
              </w:rPr>
              <w:t>上海禾诺生物</w:t>
            </w:r>
            <w:r>
              <w:rPr>
                <w:rFonts w:ascii="宋体" w:hAnsi="宋体" w:cs="宋体" w:eastAsia="宋体" w:hint="default"/>
                <w:w w:val="99"/>
                <w:sz w:val="18"/>
                <w:szCs w:val="18"/>
              </w:rPr>
              <w:t> </w:t>
            </w:r>
            <w:r>
              <w:rPr>
                <w:rFonts w:ascii="宋体" w:hAnsi="宋体" w:cs="宋体" w:eastAsia="宋体" w:hint="default"/>
                <w:sz w:val="18"/>
                <w:szCs w:val="18"/>
              </w:rPr>
              <w:t>科技有限公司</w:t>
            </w:r>
          </w:p>
        </w:tc>
        <w:tc>
          <w:tcPr>
            <w:tcW w:w="8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08"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15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1" w:lineRule="exact"/>
              <w:ind w:left="1" w:right="0"/>
              <w:jc w:val="center"/>
              <w:rPr>
                <w:rFonts w:ascii="Arial" w:hAnsi="Arial" w:cs="Arial" w:eastAsia="Arial" w:hint="default"/>
                <w:sz w:val="18"/>
                <w:szCs w:val="18"/>
              </w:rPr>
            </w:pPr>
            <w:r>
              <w:rPr>
                <w:rFonts w:ascii="Arial" w:hAnsi="Arial" w:cs="Arial" w:eastAsia="Arial" w:hint="default"/>
                <w:sz w:val="18"/>
                <w:szCs w:val="18"/>
              </w:rPr>
              <w:t>2008</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6</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1</w:t>
            </w:r>
          </w:p>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13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月</w:t>
            </w:r>
          </w:p>
          <w:p>
            <w:pPr>
              <w:pStyle w:val="TableParagraph"/>
              <w:spacing w:line="240" w:lineRule="auto" w:before="14"/>
              <w:ind w:right="1"/>
              <w:jc w:val="center"/>
              <w:rPr>
                <w:rFonts w:ascii="Arial" w:hAnsi="Arial" w:cs="Arial" w:eastAsia="Arial" w:hint="default"/>
                <w:sz w:val="18"/>
                <w:szCs w:val="18"/>
              </w:rPr>
            </w:pPr>
            <w:r>
              <w:rPr>
                <w:rFonts w:ascii="Arial"/>
                <w:sz w:val="18"/>
              </w:rPr>
              <w:t>31</w:t>
            </w:r>
          </w:p>
        </w:tc>
        <w:tc>
          <w:tcPr>
            <w:tcW w:w="12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32" w:lineRule="exact"/>
              <w:ind w:left="93" w:right="91"/>
              <w:jc w:val="center"/>
              <w:rPr>
                <w:rFonts w:ascii="宋体" w:hAnsi="宋体" w:cs="宋体" w:eastAsia="宋体" w:hint="default"/>
                <w:sz w:val="18"/>
                <w:szCs w:val="18"/>
              </w:rPr>
            </w:pPr>
            <w:r>
              <w:rPr>
                <w:rFonts w:ascii="宋体" w:hAnsi="宋体" w:cs="宋体" w:eastAsia="宋体" w:hint="default"/>
                <w:sz w:val="18"/>
                <w:szCs w:val="18"/>
              </w:rPr>
              <w:t>按市场价定</w:t>
            </w:r>
            <w:r>
              <w:rPr>
                <w:rFonts w:ascii="宋体" w:hAnsi="宋体" w:cs="宋体" w:eastAsia="宋体" w:hint="default"/>
                <w:w w:val="99"/>
                <w:sz w:val="18"/>
                <w:szCs w:val="18"/>
              </w:rPr>
              <w:t> </w:t>
            </w:r>
            <w:r>
              <w:rPr>
                <w:rFonts w:ascii="宋体" w:hAnsi="宋体" w:cs="宋体" w:eastAsia="宋体" w:hint="default"/>
                <w:spacing w:val="-11"/>
                <w:sz w:val="18"/>
                <w:szCs w:val="18"/>
              </w:rPr>
              <w:t>价，与非关联</w:t>
            </w:r>
            <w:r>
              <w:rPr>
                <w:rFonts w:ascii="宋体" w:hAnsi="宋体" w:cs="宋体" w:eastAsia="宋体" w:hint="default"/>
                <w:w w:val="99"/>
                <w:sz w:val="18"/>
                <w:szCs w:val="18"/>
              </w:rPr>
              <w:t> </w:t>
            </w:r>
            <w:r>
              <w:rPr>
                <w:rFonts w:ascii="宋体" w:hAnsi="宋体" w:cs="宋体" w:eastAsia="宋体" w:hint="default"/>
                <w:sz w:val="18"/>
                <w:szCs w:val="18"/>
              </w:rPr>
              <w:t>方相同</w:t>
            </w:r>
          </w:p>
        </w:tc>
        <w:tc>
          <w:tcPr>
            <w:tcW w:w="11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93" w:right="0"/>
              <w:jc w:val="left"/>
              <w:rPr>
                <w:rFonts w:ascii="Arial" w:hAnsi="Arial" w:cs="Arial" w:eastAsia="Arial" w:hint="default"/>
                <w:sz w:val="18"/>
                <w:szCs w:val="18"/>
              </w:rPr>
            </w:pPr>
            <w:r>
              <w:rPr>
                <w:rFonts w:ascii="Arial"/>
                <w:sz w:val="18"/>
              </w:rPr>
              <w:t>222,648.00</w:t>
            </w:r>
          </w:p>
        </w:tc>
      </w:tr>
    </w:tbl>
    <w:p>
      <w:pPr>
        <w:spacing w:line="240" w:lineRule="auto" w:before="1"/>
        <w:rPr>
          <w:rFonts w:ascii="宋体" w:hAnsi="宋体" w:cs="宋体" w:eastAsia="宋体" w:hint="default"/>
          <w:sz w:val="24"/>
          <w:szCs w:val="24"/>
        </w:rPr>
      </w:pPr>
    </w:p>
    <w:p>
      <w:pPr>
        <w:pStyle w:val="BodyText"/>
        <w:spacing w:line="240" w:lineRule="auto"/>
        <w:ind w:left="277" w:right="0"/>
        <w:jc w:val="left"/>
      </w:pPr>
      <w:r>
        <w:rPr>
          <w:rFonts w:ascii="Arial" w:hAnsi="Arial" w:cs="Arial" w:eastAsia="Arial" w:hint="default"/>
        </w:rPr>
        <w:t>7.2.2</w:t>
      </w:r>
      <w:r>
        <w:rPr>
          <w:rFonts w:ascii="Arial" w:hAnsi="Arial" w:cs="Arial" w:eastAsia="Arial" w:hint="default"/>
          <w:spacing w:val="-6"/>
        </w:rPr>
        <w:t> </w:t>
      </w:r>
      <w:r>
        <w:rPr/>
        <w:t>公司承租情况表</w:t>
      </w:r>
    </w:p>
    <w:p>
      <w:pPr>
        <w:spacing w:line="240" w:lineRule="auto" w:before="3"/>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1246"/>
        <w:gridCol w:w="1522"/>
        <w:gridCol w:w="900"/>
        <w:gridCol w:w="1546"/>
        <w:gridCol w:w="1606"/>
        <w:gridCol w:w="1001"/>
        <w:gridCol w:w="1118"/>
      </w:tblGrid>
      <w:tr>
        <w:trPr>
          <w:trHeight w:val="730" w:hRule="exact"/>
        </w:trPr>
        <w:tc>
          <w:tcPr>
            <w:tcW w:w="12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出租方名称</w:t>
            </w:r>
          </w:p>
        </w:tc>
        <w:tc>
          <w:tcPr>
            <w:tcW w:w="15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900" w:type="dxa"/>
            <w:tcBorders>
              <w:top w:val="single" w:sz="12" w:space="0" w:color="000000"/>
              <w:left w:val="single" w:sz="12" w:space="0" w:color="000000"/>
              <w:bottom w:val="single" w:sz="12" w:space="0" w:color="000000"/>
              <w:right w:val="single" w:sz="12" w:space="0" w:color="000000"/>
            </w:tcBorders>
          </w:tcPr>
          <w:p>
            <w:pPr>
              <w:pStyle w:val="TableParagraph"/>
              <w:spacing w:line="232" w:lineRule="exact" w:before="112"/>
              <w:ind w:left="165" w:right="163"/>
              <w:jc w:val="left"/>
              <w:rPr>
                <w:rFonts w:ascii="宋体" w:hAnsi="宋体" w:cs="宋体" w:eastAsia="宋体" w:hint="default"/>
                <w:sz w:val="18"/>
                <w:szCs w:val="18"/>
              </w:rPr>
            </w:pPr>
            <w:r>
              <w:rPr>
                <w:rFonts w:ascii="宋体" w:hAnsi="宋体" w:cs="宋体" w:eastAsia="宋体" w:hint="default"/>
                <w:sz w:val="18"/>
                <w:szCs w:val="18"/>
              </w:rPr>
              <w:t>租赁资</w:t>
            </w:r>
            <w:r>
              <w:rPr>
                <w:rFonts w:ascii="宋体" w:hAnsi="宋体" w:cs="宋体" w:eastAsia="宋体" w:hint="default"/>
                <w:w w:val="99"/>
                <w:sz w:val="18"/>
                <w:szCs w:val="18"/>
              </w:rPr>
              <w:t> </w:t>
            </w:r>
            <w:r>
              <w:rPr>
                <w:rFonts w:ascii="宋体" w:hAnsi="宋体" w:cs="宋体" w:eastAsia="宋体" w:hint="default"/>
                <w:sz w:val="18"/>
                <w:szCs w:val="18"/>
              </w:rPr>
              <w:t>产种类</w:t>
            </w:r>
          </w:p>
        </w:tc>
        <w:tc>
          <w:tcPr>
            <w:tcW w:w="15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租赁起始日</w:t>
            </w:r>
          </w:p>
        </w:tc>
        <w:tc>
          <w:tcPr>
            <w:tcW w:w="1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001" w:type="dxa"/>
            <w:tcBorders>
              <w:top w:val="single" w:sz="12" w:space="0" w:color="000000"/>
              <w:left w:val="single" w:sz="12" w:space="0" w:color="000000"/>
              <w:bottom w:val="single" w:sz="12" w:space="0" w:color="000000"/>
              <w:right w:val="single" w:sz="12" w:space="0" w:color="000000"/>
            </w:tcBorders>
          </w:tcPr>
          <w:p>
            <w:pPr>
              <w:pStyle w:val="TableParagraph"/>
              <w:spacing w:line="232" w:lineRule="exact" w:before="112"/>
              <w:ind w:left="215" w:right="125" w:hanging="92"/>
              <w:jc w:val="left"/>
              <w:rPr>
                <w:rFonts w:ascii="宋体" w:hAnsi="宋体" w:cs="宋体" w:eastAsia="宋体" w:hint="default"/>
                <w:sz w:val="18"/>
                <w:szCs w:val="18"/>
              </w:rPr>
            </w:pPr>
            <w:r>
              <w:rPr>
                <w:rFonts w:ascii="宋体" w:hAnsi="宋体" w:cs="宋体" w:eastAsia="宋体" w:hint="default"/>
                <w:sz w:val="18"/>
                <w:szCs w:val="18"/>
              </w:rPr>
              <w:t>租赁费定</w:t>
            </w:r>
            <w:r>
              <w:rPr>
                <w:rFonts w:ascii="宋体" w:hAnsi="宋体" w:cs="宋体" w:eastAsia="宋体" w:hint="default"/>
                <w:w w:val="99"/>
                <w:sz w:val="18"/>
                <w:szCs w:val="18"/>
              </w:rPr>
              <w:t> </w:t>
            </w:r>
            <w:r>
              <w:rPr>
                <w:rFonts w:ascii="宋体" w:hAnsi="宋体" w:cs="宋体" w:eastAsia="宋体" w:hint="default"/>
                <w:sz w:val="18"/>
                <w:szCs w:val="18"/>
              </w:rPr>
              <w:t>价依据</w:t>
            </w:r>
          </w:p>
        </w:tc>
        <w:tc>
          <w:tcPr>
            <w:tcW w:w="1118" w:type="dxa"/>
            <w:tcBorders>
              <w:top w:val="single" w:sz="12" w:space="0" w:color="000000"/>
              <w:left w:val="single" w:sz="12" w:space="0" w:color="000000"/>
              <w:bottom w:val="single" w:sz="12" w:space="0" w:color="000000"/>
              <w:right w:val="single" w:sz="12" w:space="0" w:color="000000"/>
            </w:tcBorders>
          </w:tcPr>
          <w:p>
            <w:pPr>
              <w:pStyle w:val="TableParagraph"/>
              <w:spacing w:line="232" w:lineRule="exact" w:before="112"/>
              <w:ind w:left="273" w:right="94" w:hanging="180"/>
              <w:jc w:val="left"/>
              <w:rPr>
                <w:rFonts w:ascii="宋体" w:hAnsi="宋体" w:cs="宋体" w:eastAsia="宋体" w:hint="default"/>
                <w:sz w:val="18"/>
                <w:szCs w:val="18"/>
              </w:rPr>
            </w:pPr>
            <w:r>
              <w:rPr>
                <w:rFonts w:ascii="宋体" w:hAnsi="宋体" w:cs="宋体" w:eastAsia="宋体" w:hint="default"/>
                <w:sz w:val="18"/>
                <w:szCs w:val="18"/>
              </w:rPr>
              <w:t>年度确认的</w:t>
            </w:r>
            <w:r>
              <w:rPr>
                <w:rFonts w:ascii="宋体" w:hAnsi="宋体" w:cs="宋体" w:eastAsia="宋体" w:hint="default"/>
                <w:w w:val="99"/>
                <w:sz w:val="18"/>
                <w:szCs w:val="18"/>
              </w:rPr>
              <w:t> </w:t>
            </w:r>
            <w:r>
              <w:rPr>
                <w:rFonts w:ascii="宋体" w:hAnsi="宋体" w:cs="宋体" w:eastAsia="宋体" w:hint="default"/>
                <w:sz w:val="18"/>
                <w:szCs w:val="18"/>
              </w:rPr>
              <w:t>租赁费</w:t>
            </w:r>
          </w:p>
        </w:tc>
      </w:tr>
      <w:tr>
        <w:trPr>
          <w:trHeight w:val="249" w:hRule="exact"/>
        </w:trPr>
        <w:tc>
          <w:tcPr>
            <w:tcW w:w="1246" w:type="dxa"/>
            <w:tcBorders>
              <w:top w:val="single" w:sz="12" w:space="0" w:color="000000"/>
              <w:left w:val="single" w:sz="12" w:space="0" w:color="000000"/>
              <w:bottom w:val="nil" w:sz="6" w:space="0" w:color="auto"/>
              <w:right w:val="single" w:sz="12" w:space="0" w:color="000000"/>
            </w:tcBorders>
          </w:tcPr>
          <w:p>
            <w:pPr/>
          </w:p>
        </w:tc>
        <w:tc>
          <w:tcPr>
            <w:tcW w:w="1522" w:type="dxa"/>
            <w:tcBorders>
              <w:top w:val="single" w:sz="12" w:space="0" w:color="000000"/>
              <w:left w:val="single" w:sz="12" w:space="0" w:color="000000"/>
              <w:bottom w:val="nil" w:sz="6" w:space="0" w:color="auto"/>
              <w:right w:val="single" w:sz="12" w:space="0" w:color="000000"/>
            </w:tcBorders>
          </w:tcPr>
          <w:p>
            <w:pPr/>
          </w:p>
        </w:tc>
        <w:tc>
          <w:tcPr>
            <w:tcW w:w="900" w:type="dxa"/>
            <w:tcBorders>
              <w:top w:val="single" w:sz="12" w:space="0" w:color="000000"/>
              <w:left w:val="single" w:sz="12" w:space="0" w:color="000000"/>
              <w:bottom w:val="nil" w:sz="6" w:space="0" w:color="auto"/>
              <w:right w:val="single" w:sz="12" w:space="0" w:color="000000"/>
            </w:tcBorders>
          </w:tcPr>
          <w:p>
            <w:pPr/>
          </w:p>
        </w:tc>
        <w:tc>
          <w:tcPr>
            <w:tcW w:w="1546" w:type="dxa"/>
            <w:tcBorders>
              <w:top w:val="single" w:sz="12" w:space="0" w:color="000000"/>
              <w:left w:val="single" w:sz="12" w:space="0" w:color="000000"/>
              <w:bottom w:val="nil" w:sz="6" w:space="0" w:color="auto"/>
              <w:right w:val="single" w:sz="12" w:space="0" w:color="000000"/>
            </w:tcBorders>
          </w:tcPr>
          <w:p>
            <w:pPr/>
          </w:p>
        </w:tc>
        <w:tc>
          <w:tcPr>
            <w:tcW w:w="1606" w:type="dxa"/>
            <w:tcBorders>
              <w:top w:val="single" w:sz="12" w:space="0" w:color="000000"/>
              <w:left w:val="single" w:sz="12" w:space="0" w:color="000000"/>
              <w:bottom w:val="nil" w:sz="6" w:space="0" w:color="auto"/>
              <w:right w:val="single" w:sz="12" w:space="0" w:color="000000"/>
            </w:tcBorders>
          </w:tcPr>
          <w:p>
            <w:pPr/>
          </w:p>
        </w:tc>
        <w:tc>
          <w:tcPr>
            <w:tcW w:w="1001" w:type="dxa"/>
            <w:tcBorders>
              <w:top w:val="single" w:sz="12" w:space="0" w:color="000000"/>
              <w:left w:val="single" w:sz="12" w:space="0" w:color="000000"/>
              <w:bottom w:val="nil" w:sz="6" w:space="0" w:color="auto"/>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按市场价</w:t>
            </w:r>
          </w:p>
        </w:tc>
        <w:tc>
          <w:tcPr>
            <w:tcW w:w="1118" w:type="dxa"/>
            <w:tcBorders>
              <w:top w:val="single" w:sz="12" w:space="0" w:color="000000"/>
              <w:left w:val="single" w:sz="12" w:space="0" w:color="000000"/>
              <w:bottom w:val="nil" w:sz="6" w:space="0" w:color="auto"/>
              <w:right w:val="single" w:sz="12" w:space="0" w:color="000000"/>
            </w:tcBorders>
          </w:tcPr>
          <w:p>
            <w:pPr/>
          </w:p>
        </w:tc>
      </w:tr>
      <w:tr>
        <w:trPr>
          <w:trHeight w:val="468" w:hRule="exact"/>
        </w:trPr>
        <w:tc>
          <w:tcPr>
            <w:tcW w:w="1246" w:type="dxa"/>
            <w:tcBorders>
              <w:top w:val="nil" w:sz="6" w:space="0" w:color="auto"/>
              <w:left w:val="single" w:sz="12" w:space="0" w:color="000000"/>
              <w:bottom w:val="nil" w:sz="6" w:space="0" w:color="auto"/>
              <w:right w:val="single" w:sz="12"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张烈寅</w:t>
            </w:r>
          </w:p>
        </w:tc>
        <w:tc>
          <w:tcPr>
            <w:tcW w:w="1522" w:type="dxa"/>
            <w:tcBorders>
              <w:top w:val="nil" w:sz="6" w:space="0" w:color="auto"/>
              <w:left w:val="single" w:sz="12" w:space="0" w:color="000000"/>
              <w:bottom w:val="nil" w:sz="6" w:space="0" w:color="auto"/>
              <w:right w:val="single" w:sz="12" w:space="0" w:color="000000"/>
            </w:tcBorders>
          </w:tcPr>
          <w:p>
            <w:pPr>
              <w:pStyle w:val="TableParagraph"/>
              <w:spacing w:line="205" w:lineRule="exact"/>
              <w:ind w:left="206" w:right="0" w:hanging="92"/>
              <w:jc w:val="left"/>
              <w:rPr>
                <w:rFonts w:ascii="宋体" w:hAnsi="宋体" w:cs="宋体" w:eastAsia="宋体" w:hint="default"/>
                <w:sz w:val="18"/>
                <w:szCs w:val="18"/>
              </w:rPr>
            </w:pPr>
            <w:r>
              <w:rPr>
                <w:rFonts w:ascii="宋体" w:hAnsi="宋体" w:cs="宋体" w:eastAsia="宋体" w:hint="default"/>
                <w:sz w:val="18"/>
                <w:szCs w:val="18"/>
              </w:rPr>
              <w:t>上海安诺其纺织</w:t>
            </w:r>
          </w:p>
          <w:p>
            <w:pPr>
              <w:pStyle w:val="TableParagraph"/>
              <w:spacing w:line="234" w:lineRule="exact"/>
              <w:ind w:left="206" w:right="0"/>
              <w:jc w:val="left"/>
              <w:rPr>
                <w:rFonts w:ascii="宋体" w:hAnsi="宋体" w:cs="宋体" w:eastAsia="宋体" w:hint="default"/>
                <w:sz w:val="18"/>
                <w:szCs w:val="18"/>
              </w:rPr>
            </w:pPr>
            <w:r>
              <w:rPr>
                <w:rFonts w:ascii="宋体" w:hAnsi="宋体" w:cs="宋体" w:eastAsia="宋体" w:hint="default"/>
                <w:sz w:val="18"/>
                <w:szCs w:val="18"/>
              </w:rPr>
              <w:t>化工有限公司</w:t>
            </w:r>
          </w:p>
        </w:tc>
        <w:tc>
          <w:tcPr>
            <w:tcW w:w="900" w:type="dxa"/>
            <w:tcBorders>
              <w:top w:val="nil" w:sz="6" w:space="0" w:color="auto"/>
              <w:left w:val="single" w:sz="12" w:space="0" w:color="000000"/>
              <w:bottom w:val="nil" w:sz="6" w:space="0" w:color="auto"/>
              <w:right w:val="single" w:sz="12" w:space="0" w:color="000000"/>
            </w:tcBorders>
          </w:tcPr>
          <w:p>
            <w:pPr>
              <w:pStyle w:val="TableParagraph"/>
              <w:spacing w:line="240" w:lineRule="auto" w:before="88"/>
              <w:ind w:left="254"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1546" w:type="dxa"/>
            <w:tcBorders>
              <w:top w:val="nil" w:sz="6" w:space="0" w:color="auto"/>
              <w:left w:val="single" w:sz="12" w:space="0" w:color="000000"/>
              <w:bottom w:val="nil" w:sz="6" w:space="0" w:color="auto"/>
              <w:right w:val="single" w:sz="12" w:space="0" w:color="000000"/>
            </w:tcBorders>
          </w:tcPr>
          <w:p>
            <w:pPr>
              <w:pStyle w:val="TableParagraph"/>
              <w:spacing w:line="240" w:lineRule="auto" w:before="88"/>
              <w:ind w:left="2" w:right="0"/>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1</w:t>
            </w:r>
            <w:r>
              <w:rPr>
                <w:rFonts w:ascii="Arial" w:hAnsi="Arial" w:cs="Arial" w:eastAsia="Arial"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Arial" w:hAnsi="Arial" w:cs="Arial" w:eastAsia="Arial" w:hint="default"/>
                <w:sz w:val="18"/>
                <w:szCs w:val="18"/>
              </w:rPr>
              <w:t>1</w:t>
            </w:r>
            <w:r>
              <w:rPr>
                <w:rFonts w:ascii="Arial" w:hAnsi="Arial" w:cs="Arial" w:eastAsia="Arial" w:hint="default"/>
                <w:spacing w:val="-12"/>
                <w:sz w:val="18"/>
                <w:szCs w:val="18"/>
              </w:rPr>
              <w:t> </w:t>
            </w:r>
            <w:r>
              <w:rPr>
                <w:rFonts w:ascii="宋体" w:hAnsi="宋体" w:cs="宋体" w:eastAsia="宋体" w:hint="default"/>
                <w:sz w:val="18"/>
                <w:szCs w:val="18"/>
              </w:rPr>
              <w:t>日</w:t>
            </w:r>
          </w:p>
        </w:tc>
        <w:tc>
          <w:tcPr>
            <w:tcW w:w="1606" w:type="dxa"/>
            <w:tcBorders>
              <w:top w:val="nil" w:sz="6" w:space="0" w:color="auto"/>
              <w:left w:val="single" w:sz="12" w:space="0" w:color="000000"/>
              <w:bottom w:val="nil" w:sz="6" w:space="0" w:color="auto"/>
              <w:right w:val="single" w:sz="12" w:space="0" w:color="000000"/>
            </w:tcBorders>
          </w:tcPr>
          <w:p>
            <w:pPr>
              <w:pStyle w:val="TableParagraph"/>
              <w:spacing w:line="211" w:lineRule="exact"/>
              <w:ind w:left="1" w:right="0"/>
              <w:jc w:val="center"/>
              <w:rPr>
                <w:rFonts w:ascii="Arial" w:hAnsi="Arial" w:cs="Arial" w:eastAsia="Arial"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p>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1001" w:type="dxa"/>
            <w:tcBorders>
              <w:top w:val="nil" w:sz="6" w:space="0" w:color="auto"/>
              <w:left w:val="single" w:sz="12" w:space="0" w:color="000000"/>
              <w:bottom w:val="nil" w:sz="6" w:space="0" w:color="auto"/>
              <w:right w:val="single" w:sz="12" w:space="0" w:color="000000"/>
            </w:tcBorders>
          </w:tcPr>
          <w:p>
            <w:pPr>
              <w:pStyle w:val="TableParagraph"/>
              <w:spacing w:line="206" w:lineRule="exact"/>
              <w:ind w:left="124" w:right="0"/>
              <w:jc w:val="left"/>
              <w:rPr>
                <w:rFonts w:ascii="宋体" w:hAnsi="宋体" w:cs="宋体" w:eastAsia="宋体" w:hint="default"/>
                <w:sz w:val="18"/>
                <w:szCs w:val="18"/>
              </w:rPr>
            </w:pPr>
            <w:r>
              <w:rPr>
                <w:rFonts w:ascii="宋体" w:hAnsi="宋体" w:cs="宋体" w:eastAsia="宋体" w:hint="default"/>
                <w:sz w:val="18"/>
                <w:szCs w:val="18"/>
              </w:rPr>
              <w:t>定价，与</w:t>
            </w: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118" w:type="dxa"/>
            <w:tcBorders>
              <w:top w:val="nil" w:sz="6" w:space="0" w:color="auto"/>
              <w:left w:val="single" w:sz="12" w:space="0" w:color="000000"/>
              <w:bottom w:val="nil" w:sz="6" w:space="0" w:color="auto"/>
              <w:right w:val="single" w:sz="12" w:space="0" w:color="000000"/>
            </w:tcBorders>
          </w:tcPr>
          <w:p>
            <w:pPr>
              <w:pStyle w:val="TableParagraph"/>
              <w:spacing w:line="240" w:lineRule="auto" w:before="130"/>
              <w:ind w:left="93" w:right="0"/>
              <w:jc w:val="left"/>
              <w:rPr>
                <w:rFonts w:ascii="Arial" w:hAnsi="Arial" w:cs="Arial" w:eastAsia="Arial" w:hint="default"/>
                <w:sz w:val="18"/>
                <w:szCs w:val="18"/>
              </w:rPr>
            </w:pPr>
            <w:r>
              <w:rPr>
                <w:rFonts w:ascii="Arial"/>
                <w:sz w:val="18"/>
              </w:rPr>
              <w:t>120,000.00</w:t>
            </w:r>
          </w:p>
        </w:tc>
      </w:tr>
      <w:tr>
        <w:trPr>
          <w:trHeight w:val="246" w:hRule="exact"/>
        </w:trPr>
        <w:tc>
          <w:tcPr>
            <w:tcW w:w="1246" w:type="dxa"/>
            <w:tcBorders>
              <w:top w:val="nil" w:sz="6" w:space="0" w:color="auto"/>
              <w:left w:val="single" w:sz="12" w:space="0" w:color="000000"/>
              <w:bottom w:val="single" w:sz="12" w:space="0" w:color="000000"/>
              <w:right w:val="single" w:sz="12" w:space="0" w:color="000000"/>
            </w:tcBorders>
          </w:tcPr>
          <w:p>
            <w:pPr/>
          </w:p>
        </w:tc>
        <w:tc>
          <w:tcPr>
            <w:tcW w:w="1522" w:type="dxa"/>
            <w:tcBorders>
              <w:top w:val="nil" w:sz="6" w:space="0" w:color="auto"/>
              <w:left w:val="single" w:sz="12" w:space="0" w:color="000000"/>
              <w:bottom w:val="single" w:sz="12" w:space="0" w:color="000000"/>
              <w:right w:val="single" w:sz="12" w:space="0" w:color="000000"/>
            </w:tcBorders>
          </w:tcPr>
          <w:p>
            <w:pPr/>
          </w:p>
        </w:tc>
        <w:tc>
          <w:tcPr>
            <w:tcW w:w="900" w:type="dxa"/>
            <w:tcBorders>
              <w:top w:val="nil" w:sz="6" w:space="0" w:color="auto"/>
              <w:left w:val="single" w:sz="12" w:space="0" w:color="000000"/>
              <w:bottom w:val="single" w:sz="12" w:space="0" w:color="000000"/>
              <w:right w:val="single" w:sz="12" w:space="0" w:color="000000"/>
            </w:tcBorders>
          </w:tcPr>
          <w:p>
            <w:pPr/>
          </w:p>
        </w:tc>
        <w:tc>
          <w:tcPr>
            <w:tcW w:w="1546" w:type="dxa"/>
            <w:tcBorders>
              <w:top w:val="nil" w:sz="6" w:space="0" w:color="auto"/>
              <w:left w:val="single" w:sz="12" w:space="0" w:color="000000"/>
              <w:bottom w:val="single" w:sz="12" w:space="0" w:color="000000"/>
              <w:right w:val="single" w:sz="12" w:space="0" w:color="000000"/>
            </w:tcBorders>
          </w:tcPr>
          <w:p>
            <w:pPr/>
          </w:p>
        </w:tc>
        <w:tc>
          <w:tcPr>
            <w:tcW w:w="1606" w:type="dxa"/>
            <w:tcBorders>
              <w:top w:val="nil" w:sz="6" w:space="0" w:color="auto"/>
              <w:left w:val="single" w:sz="12" w:space="0" w:color="000000"/>
              <w:bottom w:val="single" w:sz="12" w:space="0" w:color="000000"/>
              <w:right w:val="single" w:sz="12" w:space="0" w:color="000000"/>
            </w:tcBorders>
          </w:tcPr>
          <w:p>
            <w:pPr/>
          </w:p>
        </w:tc>
        <w:tc>
          <w:tcPr>
            <w:tcW w:w="1001" w:type="dxa"/>
            <w:tcBorders>
              <w:top w:val="nil" w:sz="6" w:space="0" w:color="auto"/>
              <w:left w:val="single" w:sz="12" w:space="0" w:color="000000"/>
              <w:bottom w:val="single" w:sz="12" w:space="0" w:color="000000"/>
              <w:right w:val="single" w:sz="12"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相同</w:t>
            </w:r>
          </w:p>
        </w:tc>
        <w:tc>
          <w:tcPr>
            <w:tcW w:w="1118" w:type="dxa"/>
            <w:tcBorders>
              <w:top w:val="nil" w:sz="6" w:space="0" w:color="auto"/>
              <w:left w:val="single" w:sz="12" w:space="0" w:color="000000"/>
              <w:bottom w:val="single" w:sz="12" w:space="0" w:color="000000"/>
              <w:right w:val="single" w:sz="12" w:space="0" w:color="000000"/>
            </w:tcBorders>
          </w:tcPr>
          <w:p>
            <w:pPr/>
          </w:p>
        </w:tc>
      </w:tr>
    </w:tbl>
    <w:p>
      <w:pPr>
        <w:spacing w:line="240" w:lineRule="auto" w:before="12"/>
        <w:rPr>
          <w:rFonts w:ascii="宋体" w:hAnsi="宋体" w:cs="宋体" w:eastAsia="宋体" w:hint="default"/>
          <w:sz w:val="23"/>
          <w:szCs w:val="23"/>
        </w:rPr>
      </w:pPr>
    </w:p>
    <w:p>
      <w:pPr>
        <w:pStyle w:val="BodyText"/>
        <w:spacing w:line="240" w:lineRule="auto"/>
        <w:ind w:left="277" w:right="0"/>
        <w:jc w:val="left"/>
      </w:pPr>
      <w:r>
        <w:rPr>
          <w:rFonts w:ascii="Arial" w:hAnsi="Arial" w:cs="Arial" w:eastAsia="Arial" w:hint="default"/>
        </w:rPr>
        <w:t>7.2.3</w:t>
      </w:r>
      <w:r>
        <w:rPr>
          <w:rFonts w:ascii="Arial" w:hAnsi="Arial" w:cs="Arial" w:eastAsia="Arial" w:hint="default"/>
          <w:spacing w:val="-9"/>
        </w:rPr>
        <w:t> </w:t>
      </w:r>
      <w:r>
        <w:rPr/>
        <w:t>关键管理人员薪酬</w:t>
      </w:r>
    </w:p>
    <w:p>
      <w:pPr>
        <w:pStyle w:val="BodyText"/>
        <w:spacing w:line="240" w:lineRule="auto" w:before="126"/>
        <w:ind w:left="716" w:right="0"/>
        <w:jc w:val="left"/>
      </w:pPr>
      <w:r>
        <w:rPr>
          <w:rFonts w:ascii="Arial" w:hAnsi="Arial" w:cs="Arial" w:eastAsia="Arial" w:hint="default"/>
        </w:rPr>
        <w:t>2010</w:t>
      </w:r>
      <w:r>
        <w:rPr>
          <w:rFonts w:ascii="Arial" w:hAnsi="Arial" w:cs="Arial" w:eastAsia="Arial" w:hint="default"/>
          <w:spacing w:val="-2"/>
        </w:rPr>
        <w:t> </w:t>
      </w:r>
      <w:r>
        <w:rPr/>
        <w:t>年度本公司关键管理人员的报酬（包括货币和非货币形式）总额为</w:t>
      </w:r>
      <w:r>
        <w:rPr>
          <w:spacing w:val="-51"/>
        </w:rPr>
        <w:t> </w:t>
      </w:r>
      <w:r>
        <w:rPr>
          <w:rFonts w:ascii="Arial" w:hAnsi="Arial" w:cs="Arial" w:eastAsia="Arial" w:hint="default"/>
        </w:rPr>
        <w:t>308.71</w:t>
      </w:r>
      <w:r>
        <w:rPr>
          <w:rFonts w:ascii="Arial" w:hAnsi="Arial" w:cs="Arial" w:eastAsia="Arial" w:hint="default"/>
          <w:spacing w:val="-2"/>
        </w:rPr>
        <w:t> </w:t>
      </w:r>
      <w:r>
        <w:rPr/>
        <w:t>万元</w:t>
      </w:r>
    </w:p>
    <w:p>
      <w:pPr>
        <w:pStyle w:val="BodyText"/>
        <w:spacing w:line="338" w:lineRule="auto" w:before="123"/>
        <w:ind w:left="277" w:right="303"/>
        <w:jc w:val="left"/>
      </w:pPr>
      <w:r>
        <w:rPr>
          <w:w w:val="100"/>
        </w:rPr>
        <w:t>（</w:t>
      </w:r>
      <w:r>
        <w:rPr>
          <w:rFonts w:ascii="Arial" w:hAnsi="Arial" w:cs="Arial" w:eastAsia="Arial" w:hint="default"/>
          <w:spacing w:val="-1"/>
          <w:w w:val="100"/>
        </w:rPr>
        <w:t>200</w:t>
      </w:r>
      <w:r>
        <w:rPr>
          <w:rFonts w:ascii="Arial" w:hAnsi="Arial" w:cs="Arial" w:eastAsia="Arial" w:hint="default"/>
          <w:w w:val="100"/>
        </w:rPr>
        <w:t>9</w:t>
      </w:r>
      <w:r>
        <w:rPr>
          <w:rFonts w:ascii="Arial" w:hAnsi="Arial" w:cs="Arial" w:eastAsia="Arial" w:hint="default"/>
          <w:spacing w:val="1"/>
        </w:rPr>
        <w:t> </w:t>
      </w:r>
      <w:r>
        <w:rPr>
          <w:w w:val="100"/>
        </w:rPr>
        <w:t>年度为</w:t>
      </w:r>
      <w:r>
        <w:rPr>
          <w:spacing w:val="-48"/>
        </w:rPr>
        <w:t> </w:t>
      </w:r>
      <w:r>
        <w:rPr>
          <w:rFonts w:ascii="Arial" w:hAnsi="Arial" w:cs="Arial" w:eastAsia="Arial" w:hint="default"/>
          <w:spacing w:val="-1"/>
          <w:w w:val="100"/>
        </w:rPr>
        <w:t>23</w:t>
      </w:r>
      <w:r>
        <w:rPr>
          <w:rFonts w:ascii="Arial" w:hAnsi="Arial" w:cs="Arial" w:eastAsia="Arial" w:hint="default"/>
          <w:spacing w:val="-3"/>
          <w:w w:val="100"/>
        </w:rPr>
        <w:t>9</w:t>
      </w:r>
      <w:r>
        <w:rPr>
          <w:rFonts w:ascii="Arial" w:hAnsi="Arial" w:cs="Arial" w:eastAsia="Arial" w:hint="default"/>
          <w:spacing w:val="1"/>
          <w:w w:val="100"/>
        </w:rPr>
        <w:t>.</w:t>
      </w:r>
      <w:r>
        <w:rPr>
          <w:rFonts w:ascii="Arial" w:hAnsi="Arial" w:cs="Arial" w:eastAsia="Arial" w:hint="default"/>
          <w:spacing w:val="-1"/>
          <w:w w:val="100"/>
        </w:rPr>
        <w:t>7</w:t>
      </w:r>
      <w:r>
        <w:rPr>
          <w:rFonts w:ascii="Arial" w:hAnsi="Arial" w:cs="Arial" w:eastAsia="Arial" w:hint="default"/>
          <w:w w:val="100"/>
        </w:rPr>
        <w:t>3</w:t>
      </w:r>
      <w:r>
        <w:rPr>
          <w:rFonts w:ascii="Arial" w:hAnsi="Arial" w:cs="Arial" w:eastAsia="Arial" w:hint="default"/>
          <w:spacing w:val="1"/>
        </w:rPr>
        <w:t> </w:t>
      </w:r>
      <w:r>
        <w:rPr>
          <w:spacing w:val="-3"/>
          <w:w w:val="100"/>
        </w:rPr>
        <w:t>万</w:t>
      </w:r>
      <w:r>
        <w:rPr>
          <w:w w:val="100"/>
        </w:rPr>
        <w:t>元</w:t>
      </w:r>
      <w:r>
        <w:rPr>
          <w:spacing w:val="-111"/>
          <w:w w:val="100"/>
        </w:rPr>
        <w:t>）</w:t>
      </w:r>
      <w:r>
        <w:rPr>
          <w:w w:val="100"/>
        </w:rPr>
        <w:t>。</w:t>
      </w:r>
      <w:r>
        <w:rPr>
          <w:rFonts w:ascii="Arial" w:hAnsi="Arial" w:cs="Arial" w:eastAsia="Arial" w:hint="default"/>
          <w:spacing w:val="-1"/>
          <w:w w:val="100"/>
        </w:rPr>
        <w:t>201</w:t>
      </w:r>
      <w:r>
        <w:rPr>
          <w:rFonts w:ascii="Arial" w:hAnsi="Arial" w:cs="Arial" w:eastAsia="Arial" w:hint="default"/>
          <w:w w:val="100"/>
        </w:rPr>
        <w:t>0</w:t>
      </w:r>
      <w:r>
        <w:rPr>
          <w:rFonts w:ascii="Arial" w:hAnsi="Arial" w:cs="Arial" w:eastAsia="Arial" w:hint="default"/>
          <w:spacing w:val="1"/>
        </w:rPr>
        <w:t> </w:t>
      </w:r>
      <w:r>
        <w:rPr>
          <w:spacing w:val="-3"/>
          <w:w w:val="100"/>
        </w:rPr>
        <w:t>年</w:t>
      </w:r>
      <w:r>
        <w:rPr>
          <w:w w:val="100"/>
        </w:rPr>
        <w:t>度本</w:t>
      </w:r>
      <w:r>
        <w:rPr>
          <w:spacing w:val="-3"/>
          <w:w w:val="100"/>
        </w:rPr>
        <w:t>公</w:t>
      </w:r>
      <w:r>
        <w:rPr>
          <w:w w:val="100"/>
        </w:rPr>
        <w:t>司</w:t>
      </w:r>
      <w:r>
        <w:rPr>
          <w:spacing w:val="-3"/>
          <w:w w:val="100"/>
        </w:rPr>
        <w:t>关</w:t>
      </w:r>
      <w:r>
        <w:rPr>
          <w:w w:val="100"/>
        </w:rPr>
        <w:t>键管理</w:t>
      </w:r>
      <w:r>
        <w:rPr>
          <w:spacing w:val="-3"/>
          <w:w w:val="100"/>
        </w:rPr>
        <w:t>人</w:t>
      </w:r>
      <w:r>
        <w:rPr>
          <w:w w:val="100"/>
        </w:rPr>
        <w:t>员包</w:t>
      </w:r>
      <w:r>
        <w:rPr>
          <w:spacing w:val="-3"/>
          <w:w w:val="100"/>
        </w:rPr>
        <w:t>括</w:t>
      </w:r>
      <w:r>
        <w:rPr>
          <w:w w:val="100"/>
        </w:rPr>
        <w:t>董事</w:t>
      </w:r>
      <w:r>
        <w:rPr>
          <w:spacing w:val="-3"/>
          <w:w w:val="100"/>
        </w:rPr>
        <w:t>、监</w:t>
      </w:r>
      <w:r>
        <w:rPr>
          <w:w w:val="100"/>
        </w:rPr>
        <w:t>事、总</w:t>
      </w:r>
      <w:r>
        <w:rPr>
          <w:spacing w:val="-3"/>
          <w:w w:val="100"/>
        </w:rPr>
        <w:t>经</w:t>
      </w:r>
      <w:r>
        <w:rPr>
          <w:w w:val="100"/>
        </w:rPr>
        <w:t>理、</w:t>
      </w:r>
      <w:r>
        <w:rPr>
          <w:w w:val="100"/>
        </w:rPr>
        <w:t> 副总经</w:t>
      </w:r>
      <w:r>
        <w:rPr>
          <w:spacing w:val="-3"/>
          <w:w w:val="100"/>
        </w:rPr>
        <w:t>理</w:t>
      </w:r>
      <w:r>
        <w:rPr>
          <w:w w:val="100"/>
        </w:rPr>
        <w:t>等共</w:t>
      </w:r>
      <w:r>
        <w:rPr>
          <w:spacing w:val="-55"/>
        </w:rPr>
        <w:t> </w:t>
      </w:r>
      <w:r>
        <w:rPr>
          <w:rFonts w:ascii="Arial" w:hAnsi="Arial" w:cs="Arial" w:eastAsia="Arial" w:hint="default"/>
          <w:spacing w:val="-1"/>
          <w:w w:val="100"/>
        </w:rPr>
        <w:t>1</w:t>
      </w:r>
      <w:r>
        <w:rPr>
          <w:rFonts w:ascii="Arial" w:hAnsi="Arial" w:cs="Arial" w:eastAsia="Arial" w:hint="default"/>
          <w:w w:val="100"/>
        </w:rPr>
        <w:t>6</w:t>
      </w:r>
      <w:r>
        <w:rPr>
          <w:rFonts w:ascii="Arial" w:hAnsi="Arial" w:cs="Arial" w:eastAsia="Arial" w:hint="default"/>
          <w:spacing w:val="-7"/>
        </w:rPr>
        <w:t> </w:t>
      </w:r>
      <w:r>
        <w:rPr>
          <w:spacing w:val="-12"/>
          <w:w w:val="100"/>
        </w:rPr>
        <w:t>人</w:t>
      </w:r>
      <w:r>
        <w:rPr>
          <w:w w:val="100"/>
        </w:rPr>
        <w:t>（</w:t>
      </w:r>
      <w:r>
        <w:rPr>
          <w:rFonts w:ascii="Arial" w:hAnsi="Arial" w:cs="Arial" w:eastAsia="Arial" w:hint="default"/>
          <w:spacing w:val="-1"/>
          <w:w w:val="100"/>
        </w:rPr>
        <w:t>2</w:t>
      </w:r>
      <w:r>
        <w:rPr>
          <w:rFonts w:ascii="Arial" w:hAnsi="Arial" w:cs="Arial" w:eastAsia="Arial" w:hint="default"/>
          <w:spacing w:val="-3"/>
          <w:w w:val="100"/>
        </w:rPr>
        <w:t>0</w:t>
      </w:r>
      <w:r>
        <w:rPr>
          <w:rFonts w:ascii="Arial" w:hAnsi="Arial" w:cs="Arial" w:eastAsia="Arial" w:hint="default"/>
          <w:spacing w:val="-1"/>
          <w:w w:val="100"/>
        </w:rPr>
        <w:t>0</w:t>
      </w:r>
      <w:r>
        <w:rPr>
          <w:rFonts w:ascii="Arial" w:hAnsi="Arial" w:cs="Arial" w:eastAsia="Arial" w:hint="default"/>
          <w:w w:val="100"/>
        </w:rPr>
        <w:t>9</w:t>
      </w:r>
      <w:r>
        <w:rPr>
          <w:rFonts w:ascii="Arial" w:hAnsi="Arial" w:cs="Arial" w:eastAsia="Arial" w:hint="default"/>
          <w:spacing w:val="-7"/>
        </w:rPr>
        <w:t> </w:t>
      </w:r>
      <w:r>
        <w:rPr>
          <w:w w:val="100"/>
        </w:rPr>
        <w:t>年度为</w:t>
      </w:r>
      <w:r>
        <w:rPr>
          <w:spacing w:val="-55"/>
        </w:rPr>
        <w:t> </w:t>
      </w:r>
      <w:r>
        <w:rPr>
          <w:rFonts w:ascii="Arial" w:hAnsi="Arial" w:cs="Arial" w:eastAsia="Arial" w:hint="default"/>
          <w:spacing w:val="-1"/>
          <w:w w:val="100"/>
        </w:rPr>
        <w:t>1</w:t>
      </w:r>
      <w:r>
        <w:rPr>
          <w:rFonts w:ascii="Arial" w:hAnsi="Arial" w:cs="Arial" w:eastAsia="Arial" w:hint="default"/>
          <w:w w:val="100"/>
        </w:rPr>
        <w:t>4</w:t>
      </w:r>
      <w:r>
        <w:rPr>
          <w:rFonts w:ascii="Arial" w:hAnsi="Arial" w:cs="Arial" w:eastAsia="Arial" w:hint="default"/>
          <w:spacing w:val="-9"/>
        </w:rPr>
        <w:t> </w:t>
      </w:r>
      <w:r>
        <w:rPr>
          <w:w w:val="100"/>
        </w:rPr>
        <w:t>人</w:t>
      </w:r>
      <w:r>
        <w:rPr>
          <w:spacing w:val="-113"/>
          <w:w w:val="100"/>
        </w:rPr>
        <w:t>）</w:t>
      </w:r>
      <w:r>
        <w:rPr>
          <w:spacing w:val="-10"/>
          <w:w w:val="100"/>
        </w:rPr>
        <w:t>，</w:t>
      </w:r>
      <w:r>
        <w:rPr>
          <w:w w:val="100"/>
        </w:rPr>
        <w:t>其</w:t>
      </w:r>
      <w:r>
        <w:rPr>
          <w:spacing w:val="-3"/>
          <w:w w:val="100"/>
        </w:rPr>
        <w:t>中</w:t>
      </w:r>
      <w:r>
        <w:rPr>
          <w:w w:val="100"/>
        </w:rPr>
        <w:t>在本公</w:t>
      </w:r>
      <w:r>
        <w:rPr>
          <w:spacing w:val="-3"/>
          <w:w w:val="100"/>
        </w:rPr>
        <w:t>司</w:t>
      </w:r>
      <w:r>
        <w:rPr>
          <w:w w:val="100"/>
        </w:rPr>
        <w:t>领取</w:t>
      </w:r>
      <w:r>
        <w:rPr>
          <w:spacing w:val="-3"/>
          <w:w w:val="100"/>
        </w:rPr>
        <w:t>报</w:t>
      </w:r>
      <w:r>
        <w:rPr>
          <w:w w:val="100"/>
        </w:rPr>
        <w:t>酬的为</w:t>
      </w:r>
      <w:r>
        <w:rPr>
          <w:spacing w:val="-55"/>
        </w:rPr>
        <w:t> </w:t>
      </w:r>
      <w:r>
        <w:rPr>
          <w:rFonts w:ascii="Arial" w:hAnsi="Arial" w:cs="Arial" w:eastAsia="Arial" w:hint="default"/>
          <w:spacing w:val="-3"/>
          <w:w w:val="100"/>
        </w:rPr>
        <w:t>1</w:t>
      </w:r>
      <w:r>
        <w:rPr>
          <w:rFonts w:ascii="Arial" w:hAnsi="Arial" w:cs="Arial" w:eastAsia="Arial" w:hint="default"/>
          <w:w w:val="100"/>
        </w:rPr>
        <w:t>5</w:t>
      </w:r>
      <w:r>
        <w:rPr>
          <w:rFonts w:ascii="Arial" w:hAnsi="Arial" w:cs="Arial" w:eastAsia="Arial" w:hint="default"/>
          <w:spacing w:val="-7"/>
        </w:rPr>
        <w:t> </w:t>
      </w:r>
      <w:r>
        <w:rPr>
          <w:spacing w:val="-10"/>
          <w:w w:val="100"/>
        </w:rPr>
        <w:t>人</w:t>
      </w:r>
      <w:r>
        <w:rPr>
          <w:w w:val="100"/>
        </w:rPr>
        <w:t>（</w:t>
      </w:r>
      <w:r>
        <w:rPr>
          <w:rFonts w:ascii="Arial" w:hAnsi="Arial" w:cs="Arial" w:eastAsia="Arial" w:hint="default"/>
          <w:spacing w:val="-1"/>
          <w:w w:val="100"/>
        </w:rPr>
        <w:t>200</w:t>
      </w:r>
      <w:r>
        <w:rPr>
          <w:rFonts w:ascii="Arial" w:hAnsi="Arial" w:cs="Arial" w:eastAsia="Arial" w:hint="default"/>
          <w:w w:val="100"/>
        </w:rPr>
        <w:t>9</w:t>
      </w:r>
      <w:r>
        <w:rPr>
          <w:rFonts w:ascii="Arial" w:hAnsi="Arial" w:cs="Arial" w:eastAsia="Arial" w:hint="default"/>
          <w:spacing w:val="-9"/>
        </w:rPr>
        <w:t> </w:t>
      </w:r>
      <w:r>
        <w:rPr>
          <w:w w:val="100"/>
        </w:rPr>
        <w:t>年度</w:t>
      </w:r>
    </w:p>
    <w:p>
      <w:pPr>
        <w:pStyle w:val="BodyText"/>
        <w:spacing w:line="240" w:lineRule="auto" w:before="25"/>
        <w:ind w:left="277" w:right="0"/>
        <w:jc w:val="left"/>
      </w:pPr>
      <w:r>
        <w:rPr>
          <w:w w:val="100"/>
        </w:rPr>
        <w:t>为</w:t>
      </w:r>
      <w:r>
        <w:rPr>
          <w:spacing w:val="-55"/>
        </w:rPr>
        <w:t> </w:t>
      </w:r>
      <w:r>
        <w:rPr>
          <w:rFonts w:ascii="Arial" w:hAnsi="Arial" w:cs="Arial" w:eastAsia="Arial" w:hint="default"/>
          <w:spacing w:val="-1"/>
          <w:w w:val="100"/>
        </w:rPr>
        <w:t>1</w:t>
      </w:r>
      <w:r>
        <w:rPr>
          <w:rFonts w:ascii="Arial" w:hAnsi="Arial" w:cs="Arial" w:eastAsia="Arial" w:hint="default"/>
          <w:w w:val="100"/>
        </w:rPr>
        <w:t>3</w:t>
      </w:r>
      <w:r>
        <w:rPr>
          <w:rFonts w:ascii="Arial" w:hAnsi="Arial" w:cs="Arial" w:eastAsia="Arial" w:hint="default"/>
          <w:spacing w:val="-7"/>
        </w:rPr>
        <w:t> </w:t>
      </w:r>
      <w:r>
        <w:rPr>
          <w:w w:val="100"/>
        </w:rPr>
        <w:t>人</w:t>
      </w:r>
      <w:r>
        <w:rPr>
          <w:spacing w:val="-111"/>
          <w:w w:val="100"/>
        </w:rPr>
        <w:t>）</w:t>
      </w:r>
      <w:r>
        <w:rPr>
          <w:w w:val="100"/>
        </w:rPr>
        <w:t>。</w:t>
      </w:r>
    </w:p>
    <w:p>
      <w:pPr>
        <w:pStyle w:val="BodyText"/>
        <w:spacing w:line="240" w:lineRule="auto" w:before="123"/>
        <w:ind w:left="277" w:right="0"/>
        <w:jc w:val="left"/>
      </w:pPr>
      <w:r>
        <w:rPr>
          <w:rFonts w:ascii="Arial" w:hAnsi="Arial" w:cs="Arial" w:eastAsia="Arial" w:hint="default"/>
        </w:rPr>
        <w:t>8</w:t>
      </w:r>
      <w:r>
        <w:rPr>
          <w:rFonts w:ascii="Arial" w:hAnsi="Arial" w:cs="Arial" w:eastAsia="Arial" w:hint="default"/>
          <w:spacing w:val="-4"/>
        </w:rPr>
        <w:t> </w:t>
      </w:r>
      <w:r>
        <w:rPr/>
        <w:t>或有事项</w:t>
      </w:r>
    </w:p>
    <w:p>
      <w:pPr>
        <w:pStyle w:val="BodyText"/>
        <w:spacing w:line="240" w:lineRule="auto" w:before="123"/>
        <w:ind w:left="716" w:right="0"/>
        <w:jc w:val="left"/>
      </w:pPr>
      <w:r>
        <w:rPr/>
        <w:t>截至</w:t>
      </w:r>
      <w:r>
        <w:rPr>
          <w:spacing w:val="-49"/>
        </w:rPr>
        <w:t> </w:t>
      </w:r>
      <w:r>
        <w:rPr>
          <w:rFonts w:ascii="Arial" w:hAnsi="Arial" w:cs="Arial" w:eastAsia="Arial" w:hint="default"/>
        </w:rPr>
        <w:t>2010</w:t>
      </w:r>
      <w:r>
        <w:rPr>
          <w:rFonts w:ascii="Arial" w:hAnsi="Arial" w:cs="Arial" w:eastAsia="Arial" w:hint="default"/>
          <w:spacing w:val="-1"/>
        </w:rPr>
        <w:t> </w:t>
      </w:r>
      <w:r>
        <w:rPr/>
        <w:t>年</w:t>
      </w:r>
      <w:r>
        <w:rPr>
          <w:spacing w:val="-49"/>
        </w:rPr>
        <w:t> </w:t>
      </w:r>
      <w:r>
        <w:rPr>
          <w:rFonts w:ascii="Arial" w:hAnsi="Arial" w:cs="Arial" w:eastAsia="Arial" w:hint="default"/>
        </w:rPr>
        <w:t>12</w:t>
      </w:r>
      <w:r>
        <w:rPr>
          <w:rFonts w:ascii="Arial" w:hAnsi="Arial" w:cs="Arial" w:eastAsia="Arial" w:hint="default"/>
          <w:spacing w:val="-4"/>
        </w:rPr>
        <w:t> </w:t>
      </w:r>
      <w:r>
        <w:rPr/>
        <w:t>月</w:t>
      </w:r>
      <w:r>
        <w:rPr>
          <w:spacing w:val="-49"/>
        </w:rPr>
        <w:t> </w:t>
      </w:r>
      <w:r>
        <w:rPr>
          <w:rFonts w:ascii="Arial" w:hAnsi="Arial" w:cs="Arial" w:eastAsia="Arial" w:hint="default"/>
        </w:rPr>
        <w:t>31</w:t>
      </w:r>
      <w:r>
        <w:rPr>
          <w:rFonts w:ascii="Arial" w:hAnsi="Arial" w:cs="Arial" w:eastAsia="Arial" w:hint="default"/>
          <w:spacing w:val="-1"/>
        </w:rPr>
        <w:t> </w:t>
      </w:r>
      <w:r>
        <w:rPr>
          <w:spacing w:val="-4"/>
        </w:rPr>
        <w:t>日，本公司未发生影响本财务报表阅读和理解的重大或有事项。</w:t>
      </w:r>
    </w:p>
    <w:p>
      <w:pPr>
        <w:pStyle w:val="BodyText"/>
        <w:spacing w:line="240" w:lineRule="auto" w:before="123"/>
        <w:ind w:left="277" w:right="0"/>
        <w:jc w:val="left"/>
      </w:pPr>
      <w:r>
        <w:rPr>
          <w:rFonts w:ascii="Arial" w:hAnsi="Arial" w:cs="Arial" w:eastAsia="Arial" w:hint="default"/>
        </w:rPr>
        <w:t>9</w:t>
      </w:r>
      <w:r>
        <w:rPr>
          <w:rFonts w:ascii="Arial" w:hAnsi="Arial" w:cs="Arial" w:eastAsia="Arial" w:hint="default"/>
          <w:spacing w:val="-4"/>
        </w:rPr>
        <w:t> </w:t>
      </w:r>
      <w:r>
        <w:rPr/>
        <w:t>承诺事项</w:t>
      </w:r>
    </w:p>
    <w:p>
      <w:pPr>
        <w:pStyle w:val="BodyText"/>
        <w:spacing w:line="240" w:lineRule="auto" w:before="126"/>
        <w:ind w:left="716" w:right="0"/>
        <w:jc w:val="left"/>
      </w:pPr>
      <w:r>
        <w:rPr/>
        <w:t>截至</w:t>
      </w:r>
      <w:r>
        <w:rPr>
          <w:spacing w:val="-49"/>
        </w:rPr>
        <w:t> </w:t>
      </w:r>
      <w:r>
        <w:rPr>
          <w:rFonts w:ascii="Arial" w:hAnsi="Arial" w:cs="Arial" w:eastAsia="Arial" w:hint="default"/>
        </w:rPr>
        <w:t>2010</w:t>
      </w:r>
      <w:r>
        <w:rPr>
          <w:rFonts w:ascii="Arial" w:hAnsi="Arial" w:cs="Arial" w:eastAsia="Arial" w:hint="default"/>
          <w:spacing w:val="-1"/>
        </w:rPr>
        <w:t> </w:t>
      </w:r>
      <w:r>
        <w:rPr/>
        <w:t>年</w:t>
      </w:r>
      <w:r>
        <w:rPr>
          <w:spacing w:val="-49"/>
        </w:rPr>
        <w:t> </w:t>
      </w:r>
      <w:r>
        <w:rPr>
          <w:rFonts w:ascii="Arial" w:hAnsi="Arial" w:cs="Arial" w:eastAsia="Arial" w:hint="default"/>
        </w:rPr>
        <w:t>12</w:t>
      </w:r>
      <w:r>
        <w:rPr>
          <w:rFonts w:ascii="Arial" w:hAnsi="Arial" w:cs="Arial" w:eastAsia="Arial" w:hint="default"/>
          <w:spacing w:val="-4"/>
        </w:rPr>
        <w:t> </w:t>
      </w:r>
      <w:r>
        <w:rPr/>
        <w:t>月</w:t>
      </w:r>
      <w:r>
        <w:rPr>
          <w:spacing w:val="-49"/>
        </w:rPr>
        <w:t> </w:t>
      </w:r>
      <w:r>
        <w:rPr>
          <w:rFonts w:ascii="Arial" w:hAnsi="Arial" w:cs="Arial" w:eastAsia="Arial" w:hint="default"/>
        </w:rPr>
        <w:t>31</w:t>
      </w:r>
      <w:r>
        <w:rPr>
          <w:rFonts w:ascii="Arial" w:hAnsi="Arial" w:cs="Arial" w:eastAsia="Arial" w:hint="default"/>
          <w:spacing w:val="-1"/>
        </w:rPr>
        <w:t> </w:t>
      </w:r>
      <w:r>
        <w:rPr>
          <w:spacing w:val="-4"/>
        </w:rPr>
        <w:t>日，本公司未发生影响本财务报表阅读和理解的重大承诺事项。</w:t>
      </w:r>
    </w:p>
    <w:p>
      <w:pPr>
        <w:pStyle w:val="BodyText"/>
        <w:spacing w:line="240" w:lineRule="auto" w:before="123"/>
        <w:ind w:left="277" w:right="0"/>
        <w:jc w:val="left"/>
      </w:pPr>
      <w:r>
        <w:rPr>
          <w:rFonts w:ascii="Arial" w:hAnsi="Arial" w:cs="Arial" w:eastAsia="Arial" w:hint="default"/>
        </w:rPr>
        <w:t>10</w:t>
      </w:r>
      <w:r>
        <w:rPr>
          <w:rFonts w:ascii="Arial" w:hAnsi="Arial" w:cs="Arial" w:eastAsia="Arial" w:hint="default"/>
          <w:spacing w:val="-8"/>
        </w:rPr>
        <w:t> </w:t>
      </w:r>
      <w:r>
        <w:rPr/>
        <w:t>资产负债表日后事项</w:t>
      </w:r>
    </w:p>
    <w:p>
      <w:pPr>
        <w:pStyle w:val="BodyText"/>
        <w:spacing w:line="240" w:lineRule="auto" w:before="123"/>
        <w:ind w:left="277" w:right="0"/>
        <w:jc w:val="left"/>
      </w:pPr>
      <w:r>
        <w:rPr>
          <w:rFonts w:ascii="Arial" w:hAnsi="Arial" w:cs="Arial" w:eastAsia="Arial" w:hint="default"/>
        </w:rPr>
        <w:t>10.1</w:t>
      </w:r>
      <w:r>
        <w:rPr>
          <w:rFonts w:ascii="Arial" w:hAnsi="Arial" w:cs="Arial" w:eastAsia="Arial" w:hint="default"/>
          <w:spacing w:val="-9"/>
        </w:rPr>
        <w:t> </w:t>
      </w:r>
      <w:r>
        <w:rPr/>
        <w:t>资产负债表日后利润分配情况说明</w:t>
      </w:r>
    </w:p>
    <w:p>
      <w:pPr>
        <w:spacing w:after="0" w:line="240" w:lineRule="auto"/>
        <w:jc w:val="left"/>
        <w:sectPr>
          <w:pgSz w:w="11900" w:h="16840"/>
          <w:pgMar w:header="0" w:footer="983" w:top="1100" w:bottom="1180" w:left="1520" w:right="1180"/>
        </w:sectPr>
      </w:pPr>
    </w:p>
    <w:p>
      <w:pPr>
        <w:spacing w:line="240" w:lineRule="auto" w:before="4"/>
        <w:rPr>
          <w:rFonts w:ascii="宋体" w:hAnsi="宋体" w:cs="宋体" w:eastAsia="宋体" w:hint="default"/>
          <w:sz w:val="19"/>
          <w:szCs w:val="19"/>
        </w:rPr>
      </w:pPr>
    </w:p>
    <w:p>
      <w:pPr>
        <w:pStyle w:val="BodyText"/>
        <w:spacing w:line="240" w:lineRule="auto"/>
        <w:ind w:left="676" w:right="125"/>
        <w:jc w:val="left"/>
      </w:pPr>
      <w:r>
        <w:rPr/>
        <w:t>经</w:t>
      </w:r>
      <w:r>
        <w:rPr>
          <w:spacing w:val="-51"/>
        </w:rPr>
        <w:t> </w:t>
      </w:r>
      <w:r>
        <w:rPr>
          <w:rFonts w:ascii="Arial" w:hAnsi="Arial" w:cs="Arial" w:eastAsia="Arial" w:hint="default"/>
          <w:spacing w:val="-5"/>
        </w:rPr>
        <w:t>2011 </w:t>
      </w:r>
      <w:r>
        <w:rPr>
          <w:rFonts w:ascii="Arial" w:hAnsi="Arial" w:cs="Arial" w:eastAsia="Arial" w:hint="default"/>
          <w:spacing w:val="1"/>
        </w:rPr>
        <w:t> </w:t>
      </w:r>
      <w:r>
        <w:rPr/>
        <w:t>年</w:t>
      </w:r>
      <w:r>
        <w:rPr>
          <w:spacing w:val="-51"/>
        </w:rPr>
        <w:t> </w:t>
      </w:r>
      <w:r>
        <w:rPr>
          <w:rFonts w:ascii="Arial" w:hAnsi="Arial" w:cs="Arial" w:eastAsia="Arial" w:hint="default"/>
        </w:rPr>
        <w:t>3</w:t>
      </w:r>
      <w:r>
        <w:rPr>
          <w:rFonts w:ascii="Arial" w:hAnsi="Arial" w:cs="Arial" w:eastAsia="Arial" w:hint="default"/>
          <w:spacing w:val="57"/>
        </w:rPr>
        <w:t> </w:t>
      </w:r>
      <w:r>
        <w:rPr/>
        <w:t>月</w:t>
      </w:r>
      <w:r>
        <w:rPr>
          <w:spacing w:val="-51"/>
        </w:rPr>
        <w:t> </w:t>
      </w:r>
      <w:r>
        <w:rPr>
          <w:rFonts w:ascii="Arial" w:hAnsi="Arial" w:cs="Arial" w:eastAsia="Arial" w:hint="default"/>
        </w:rPr>
        <w:t>28</w:t>
      </w:r>
      <w:r>
        <w:rPr>
          <w:rFonts w:ascii="Arial" w:hAnsi="Arial" w:cs="Arial" w:eastAsia="Arial" w:hint="default"/>
          <w:spacing w:val="-3"/>
        </w:rPr>
        <w:t> </w:t>
      </w:r>
      <w:r>
        <w:rPr>
          <w:spacing w:val="-3"/>
        </w:rPr>
        <w:t>日召开的公司一届董事会第二十一次会议研究决定：</w:t>
      </w:r>
      <w:r>
        <w:rPr>
          <w:rFonts w:ascii="Arial" w:hAnsi="Arial" w:cs="Arial" w:eastAsia="Arial" w:hint="default"/>
          <w:spacing w:val="-3"/>
        </w:rPr>
        <w:t>2010 </w:t>
      </w:r>
      <w:r>
        <w:rPr/>
        <w:t>年度利</w:t>
      </w:r>
    </w:p>
    <w:p>
      <w:pPr>
        <w:pStyle w:val="BodyText"/>
        <w:spacing w:line="240" w:lineRule="auto" w:before="123"/>
        <w:ind w:left="237" w:right="125"/>
        <w:jc w:val="left"/>
        <w:rPr>
          <w:rFonts w:ascii="Arial" w:hAnsi="Arial" w:cs="Arial" w:eastAsia="Arial" w:hint="default"/>
        </w:rPr>
      </w:pPr>
      <w:r>
        <w:rPr/>
        <w:t>润分配方案为：以公司</w:t>
      </w:r>
      <w:r>
        <w:rPr>
          <w:spacing w:val="-50"/>
        </w:rPr>
        <w:t> </w:t>
      </w:r>
      <w:r>
        <w:rPr>
          <w:rFonts w:ascii="Arial" w:hAnsi="Arial" w:cs="Arial" w:eastAsia="Arial" w:hint="default"/>
        </w:rPr>
        <w:t>2010</w:t>
      </w:r>
      <w:r>
        <w:rPr>
          <w:rFonts w:ascii="Arial" w:hAnsi="Arial" w:cs="Arial" w:eastAsia="Arial" w:hint="default"/>
          <w:spacing w:val="-1"/>
        </w:rPr>
        <w:t> </w:t>
      </w:r>
      <w:r>
        <w:rPr/>
        <w:t>年</w:t>
      </w:r>
      <w:r>
        <w:rPr>
          <w:spacing w:val="-50"/>
        </w:rPr>
        <w:t> </w:t>
      </w:r>
      <w:r>
        <w:rPr>
          <w:rFonts w:ascii="Arial" w:hAnsi="Arial" w:cs="Arial" w:eastAsia="Arial" w:hint="default"/>
        </w:rPr>
        <w:t>12</w:t>
      </w:r>
      <w:r>
        <w:rPr>
          <w:rFonts w:ascii="Arial" w:hAnsi="Arial" w:cs="Arial" w:eastAsia="Arial" w:hint="default"/>
          <w:spacing w:val="-4"/>
        </w:rPr>
        <w:t> </w:t>
      </w:r>
      <w:r>
        <w:rPr/>
        <w:t>月</w:t>
      </w:r>
      <w:r>
        <w:rPr>
          <w:spacing w:val="-50"/>
        </w:rPr>
        <w:t> </w:t>
      </w:r>
      <w:r>
        <w:rPr>
          <w:rFonts w:ascii="Arial" w:hAnsi="Arial" w:cs="Arial" w:eastAsia="Arial" w:hint="default"/>
        </w:rPr>
        <w:t>31</w:t>
      </w:r>
      <w:r>
        <w:rPr>
          <w:rFonts w:ascii="Arial" w:hAnsi="Arial" w:cs="Arial" w:eastAsia="Arial" w:hint="default"/>
          <w:spacing w:val="-4"/>
        </w:rPr>
        <w:t> </w:t>
      </w:r>
      <w:r>
        <w:rPr/>
        <w:t>日总股本</w:t>
      </w:r>
      <w:r>
        <w:rPr>
          <w:spacing w:val="-50"/>
        </w:rPr>
        <w:t> </w:t>
      </w:r>
      <w:r>
        <w:rPr>
          <w:rFonts w:ascii="Arial" w:hAnsi="Arial" w:cs="Arial" w:eastAsia="Arial" w:hint="default"/>
        </w:rPr>
        <w:t>10,700</w:t>
      </w:r>
      <w:r>
        <w:rPr>
          <w:rFonts w:ascii="Arial" w:hAnsi="Arial" w:cs="Arial" w:eastAsia="Arial" w:hint="default"/>
          <w:spacing w:val="-1"/>
        </w:rPr>
        <w:t> </w:t>
      </w:r>
      <w:r>
        <w:rPr/>
        <w:t>万股为基数，向全体股东每</w:t>
      </w:r>
      <w:r>
        <w:rPr>
          <w:spacing w:val="-50"/>
        </w:rPr>
        <w:t> </w:t>
      </w:r>
      <w:r>
        <w:rPr>
          <w:rFonts w:ascii="Arial" w:hAnsi="Arial" w:cs="Arial" w:eastAsia="Arial" w:hint="default"/>
        </w:rPr>
        <w:t>10</w:t>
      </w:r>
    </w:p>
    <w:p>
      <w:pPr>
        <w:pStyle w:val="BodyText"/>
        <w:spacing w:line="240" w:lineRule="auto" w:before="126"/>
        <w:ind w:left="237" w:right="125"/>
        <w:jc w:val="left"/>
      </w:pPr>
      <w:r>
        <w:rPr/>
        <w:t>股派发现金红利</w:t>
      </w:r>
      <w:r>
        <w:rPr>
          <w:spacing w:val="-49"/>
        </w:rPr>
        <w:t> </w:t>
      </w:r>
      <w:r>
        <w:rPr>
          <w:rFonts w:ascii="Arial" w:hAnsi="Arial" w:cs="Arial" w:eastAsia="Arial" w:hint="default"/>
        </w:rPr>
        <w:t>3</w:t>
      </w:r>
      <w:r>
        <w:rPr>
          <w:rFonts w:ascii="Arial" w:hAnsi="Arial" w:cs="Arial" w:eastAsia="Arial" w:hint="default"/>
          <w:spacing w:val="-4"/>
        </w:rPr>
        <w:t> </w:t>
      </w:r>
      <w:r>
        <w:rPr>
          <w:spacing w:val="-4"/>
        </w:rPr>
        <w:t>元</w:t>
      </w:r>
      <w:r>
        <w:rPr>
          <w:rFonts w:ascii="Arial" w:hAnsi="Arial" w:cs="Arial" w:eastAsia="Arial" w:hint="default"/>
          <w:spacing w:val="-4"/>
        </w:rPr>
        <w:t>(</w:t>
      </w:r>
      <w:r>
        <w:rPr>
          <w:spacing w:val="-4"/>
        </w:rPr>
        <w:t>含税</w:t>
      </w:r>
      <w:r>
        <w:rPr>
          <w:rFonts w:ascii="Arial" w:hAnsi="Arial" w:cs="Arial" w:eastAsia="Arial" w:hint="default"/>
          <w:spacing w:val="-4"/>
        </w:rPr>
        <w:t>)</w:t>
      </w:r>
      <w:r>
        <w:rPr>
          <w:spacing w:val="-4"/>
        </w:rPr>
        <w:t>，合计派发现金</w:t>
      </w:r>
      <w:r>
        <w:rPr>
          <w:spacing w:val="-49"/>
        </w:rPr>
        <w:t> </w:t>
      </w:r>
      <w:r>
        <w:rPr>
          <w:rFonts w:ascii="Arial" w:hAnsi="Arial" w:cs="Arial" w:eastAsia="Arial" w:hint="default"/>
        </w:rPr>
        <w:t>32,100,000.00</w:t>
      </w:r>
      <w:r>
        <w:rPr>
          <w:rFonts w:ascii="Arial" w:hAnsi="Arial" w:cs="Arial" w:eastAsia="Arial" w:hint="default"/>
          <w:spacing w:val="58"/>
        </w:rPr>
        <w:t> </w:t>
      </w:r>
      <w:r>
        <w:rPr>
          <w:spacing w:val="-3"/>
        </w:rPr>
        <w:t>元，其余未分配利润结转下年；</w:t>
      </w:r>
    </w:p>
    <w:p>
      <w:pPr>
        <w:pStyle w:val="BodyText"/>
        <w:spacing w:line="240" w:lineRule="auto" w:before="123"/>
        <w:ind w:left="237" w:right="125"/>
        <w:jc w:val="left"/>
      </w:pPr>
      <w:r>
        <w:rPr/>
        <w:t>同时，以公司</w:t>
      </w:r>
      <w:r>
        <w:rPr>
          <w:spacing w:val="-56"/>
        </w:rPr>
        <w:t> </w:t>
      </w:r>
      <w:r>
        <w:rPr>
          <w:rFonts w:ascii="Arial" w:hAnsi="Arial" w:cs="Arial" w:eastAsia="Arial" w:hint="default"/>
        </w:rPr>
        <w:t>2010</w:t>
      </w:r>
      <w:r>
        <w:rPr>
          <w:rFonts w:ascii="Arial" w:hAnsi="Arial" w:cs="Arial" w:eastAsia="Arial" w:hint="default"/>
          <w:spacing w:val="-8"/>
        </w:rPr>
        <w:t> </w:t>
      </w:r>
      <w:r>
        <w:rPr/>
        <w:t>年</w:t>
      </w:r>
      <w:r>
        <w:rPr>
          <w:spacing w:val="-56"/>
        </w:rPr>
        <w:t> </w:t>
      </w:r>
      <w:r>
        <w:rPr>
          <w:rFonts w:ascii="Arial" w:hAnsi="Arial" w:cs="Arial" w:eastAsia="Arial" w:hint="default"/>
        </w:rPr>
        <w:t>12</w:t>
      </w:r>
      <w:r>
        <w:rPr>
          <w:rFonts w:ascii="Arial" w:hAnsi="Arial" w:cs="Arial" w:eastAsia="Arial" w:hint="default"/>
          <w:spacing w:val="-8"/>
        </w:rPr>
        <w:t> </w:t>
      </w:r>
      <w:r>
        <w:rPr/>
        <w:t>月</w:t>
      </w:r>
      <w:r>
        <w:rPr>
          <w:spacing w:val="-56"/>
        </w:rPr>
        <w:t> </w:t>
      </w:r>
      <w:r>
        <w:rPr>
          <w:rFonts w:ascii="Arial" w:hAnsi="Arial" w:cs="Arial" w:eastAsia="Arial" w:hint="default"/>
        </w:rPr>
        <w:t>31</w:t>
      </w:r>
      <w:r>
        <w:rPr>
          <w:rFonts w:ascii="Arial" w:hAnsi="Arial" w:cs="Arial" w:eastAsia="Arial" w:hint="default"/>
          <w:spacing w:val="-8"/>
        </w:rPr>
        <w:t> </w:t>
      </w:r>
      <w:r>
        <w:rPr/>
        <w:t>日总股本</w:t>
      </w:r>
      <w:r>
        <w:rPr>
          <w:spacing w:val="-56"/>
        </w:rPr>
        <w:t> </w:t>
      </w:r>
      <w:r>
        <w:rPr>
          <w:rFonts w:ascii="Arial" w:hAnsi="Arial" w:cs="Arial" w:eastAsia="Arial" w:hint="default"/>
        </w:rPr>
        <w:t>10,700</w:t>
      </w:r>
      <w:r>
        <w:rPr>
          <w:rFonts w:ascii="Arial" w:hAnsi="Arial" w:cs="Arial" w:eastAsia="Arial" w:hint="default"/>
          <w:spacing w:val="-10"/>
        </w:rPr>
        <w:t> </w:t>
      </w:r>
      <w:r>
        <w:rPr/>
        <w:t>万股为基数，由资本公积向股东每</w:t>
      </w:r>
      <w:r>
        <w:rPr>
          <w:spacing w:val="-56"/>
        </w:rPr>
        <w:t> </w:t>
      </w:r>
      <w:r>
        <w:rPr>
          <w:rFonts w:ascii="Arial" w:hAnsi="Arial" w:cs="Arial" w:eastAsia="Arial" w:hint="default"/>
        </w:rPr>
        <w:t>10</w:t>
      </w:r>
      <w:r>
        <w:rPr>
          <w:rFonts w:ascii="Arial" w:hAnsi="Arial" w:cs="Arial" w:eastAsia="Arial" w:hint="default"/>
          <w:spacing w:val="-8"/>
        </w:rPr>
        <w:t> </w:t>
      </w:r>
      <w:r>
        <w:rPr/>
        <w:t>股</w:t>
      </w:r>
    </w:p>
    <w:p>
      <w:pPr>
        <w:pStyle w:val="BodyText"/>
        <w:spacing w:line="240" w:lineRule="auto" w:before="123"/>
        <w:ind w:left="237" w:right="125"/>
        <w:jc w:val="left"/>
      </w:pPr>
      <w:r>
        <w:rPr/>
        <w:t>转增</w:t>
      </w:r>
      <w:r>
        <w:rPr>
          <w:spacing w:val="-56"/>
        </w:rPr>
        <w:t> </w:t>
      </w:r>
      <w:r>
        <w:rPr>
          <w:rFonts w:ascii="Arial" w:hAnsi="Arial" w:cs="Arial" w:eastAsia="Arial" w:hint="default"/>
        </w:rPr>
        <w:t>5</w:t>
      </w:r>
      <w:r>
        <w:rPr>
          <w:rFonts w:ascii="Arial" w:hAnsi="Arial" w:cs="Arial" w:eastAsia="Arial" w:hint="default"/>
          <w:spacing w:val="-8"/>
        </w:rPr>
        <w:t> </w:t>
      </w:r>
      <w:r>
        <w:rPr/>
        <w:t>股，合计转增</w:t>
      </w:r>
      <w:r>
        <w:rPr>
          <w:spacing w:val="-56"/>
        </w:rPr>
        <w:t> </w:t>
      </w:r>
      <w:r>
        <w:rPr>
          <w:rFonts w:ascii="Arial" w:hAnsi="Arial" w:cs="Arial" w:eastAsia="Arial" w:hint="default"/>
        </w:rPr>
        <w:t>5,350</w:t>
      </w:r>
      <w:r>
        <w:rPr>
          <w:rFonts w:ascii="Arial" w:hAnsi="Arial" w:cs="Arial" w:eastAsia="Arial" w:hint="default"/>
          <w:spacing w:val="-8"/>
        </w:rPr>
        <w:t> </w:t>
      </w:r>
      <w:r>
        <w:rPr/>
        <w:t>万股。本方案尚须经股东大会批准。</w:t>
      </w:r>
    </w:p>
    <w:p>
      <w:pPr>
        <w:pStyle w:val="BodyText"/>
        <w:spacing w:line="338" w:lineRule="auto" w:before="126"/>
        <w:ind w:left="237" w:right="125" w:firstLine="439"/>
        <w:jc w:val="left"/>
      </w:pPr>
      <w:r>
        <w:rPr>
          <w:spacing w:val="-5"/>
          <w:w w:val="100"/>
        </w:rPr>
        <w:t>截至本财务报表签发日（</w:t>
      </w:r>
      <w:r>
        <w:rPr>
          <w:rFonts w:ascii="Arial" w:hAnsi="Arial" w:cs="Arial" w:eastAsia="Arial" w:hint="default"/>
          <w:spacing w:val="-5"/>
          <w:w w:val="100"/>
        </w:rPr>
        <w:t>2011</w:t>
      </w:r>
      <w:r>
        <w:rPr>
          <w:rFonts w:ascii="Arial" w:hAnsi="Arial" w:cs="Arial" w:eastAsia="Arial" w:hint="default"/>
          <w:spacing w:val="-4"/>
          <w:w w:val="100"/>
        </w:rPr>
        <w:t> </w:t>
      </w:r>
      <w:r>
        <w:rPr>
          <w:w w:val="100"/>
        </w:rPr>
        <w:t>年</w:t>
      </w:r>
      <w:r>
        <w:rPr>
          <w:spacing w:val="-52"/>
          <w:w w:val="100"/>
        </w:rPr>
        <w:t> </w:t>
      </w:r>
      <w:r>
        <w:rPr>
          <w:rFonts w:ascii="Arial" w:hAnsi="Arial" w:cs="Arial" w:eastAsia="Arial" w:hint="default"/>
          <w:w w:val="100"/>
        </w:rPr>
        <w:t>3</w:t>
      </w:r>
      <w:r>
        <w:rPr>
          <w:rFonts w:ascii="Arial" w:hAnsi="Arial" w:cs="Arial" w:eastAsia="Arial" w:hint="default"/>
          <w:spacing w:val="-4"/>
          <w:w w:val="100"/>
        </w:rPr>
        <w:t> </w:t>
      </w:r>
      <w:r>
        <w:rPr>
          <w:w w:val="100"/>
        </w:rPr>
        <w:t>月</w:t>
      </w:r>
      <w:r>
        <w:rPr>
          <w:spacing w:val="-52"/>
          <w:w w:val="100"/>
        </w:rPr>
        <w:t> </w:t>
      </w:r>
      <w:r>
        <w:rPr>
          <w:rFonts w:ascii="Arial" w:hAnsi="Arial" w:cs="Arial" w:eastAsia="Arial" w:hint="default"/>
          <w:spacing w:val="-1"/>
          <w:w w:val="100"/>
        </w:rPr>
        <w:t>28</w:t>
      </w:r>
      <w:r>
        <w:rPr>
          <w:rFonts w:ascii="Arial" w:hAnsi="Arial" w:cs="Arial" w:eastAsia="Arial" w:hint="default"/>
          <w:spacing w:val="-4"/>
          <w:w w:val="100"/>
        </w:rPr>
        <w:t> </w:t>
      </w:r>
      <w:r>
        <w:rPr>
          <w:spacing w:val="-10"/>
          <w:w w:val="100"/>
        </w:rPr>
        <w:t>日），除上述事项外，本公司未发生其他影响</w:t>
      </w:r>
      <w:r>
        <w:rPr>
          <w:w w:val="100"/>
        </w:rPr>
        <w:t> </w:t>
      </w:r>
      <w:r>
        <w:rPr/>
        <w:t>本财务报表阅读和理解的重大资产负债表日后事项。</w:t>
      </w:r>
    </w:p>
    <w:p>
      <w:pPr>
        <w:pStyle w:val="BodyText"/>
        <w:spacing w:line="240" w:lineRule="auto" w:before="49"/>
        <w:ind w:left="237" w:right="125"/>
        <w:jc w:val="left"/>
      </w:pPr>
      <w:r>
        <w:rPr>
          <w:rFonts w:ascii="Arial" w:hAnsi="Arial" w:cs="Arial" w:eastAsia="Arial" w:hint="default"/>
          <w:spacing w:val="-9"/>
        </w:rPr>
        <w:t>11</w:t>
      </w:r>
      <w:r>
        <w:rPr>
          <w:rFonts w:ascii="Arial" w:hAnsi="Arial" w:cs="Arial" w:eastAsia="Arial" w:hint="default"/>
          <w:spacing w:val="-6"/>
        </w:rPr>
        <w:t> </w:t>
      </w:r>
      <w:r>
        <w:rPr/>
        <w:t>其他重要事项</w:t>
      </w:r>
    </w:p>
    <w:p>
      <w:pPr>
        <w:pStyle w:val="BodyText"/>
        <w:spacing w:line="338" w:lineRule="auto" w:before="126"/>
        <w:ind w:left="237" w:right="125" w:firstLine="439"/>
        <w:jc w:val="left"/>
      </w:pPr>
      <w:r>
        <w:rPr/>
        <w:t>截至</w:t>
      </w:r>
      <w:r>
        <w:rPr>
          <w:spacing w:val="-50"/>
        </w:rPr>
        <w:t> </w:t>
      </w:r>
      <w:r>
        <w:rPr>
          <w:rFonts w:ascii="Arial" w:hAnsi="Arial" w:cs="Arial" w:eastAsia="Arial" w:hint="default"/>
        </w:rPr>
        <w:t>2010</w:t>
      </w:r>
      <w:r>
        <w:rPr>
          <w:rFonts w:ascii="Arial" w:hAnsi="Arial" w:cs="Arial" w:eastAsia="Arial" w:hint="default"/>
          <w:spacing w:val="-4"/>
        </w:rPr>
        <w:t> </w:t>
      </w:r>
      <w:r>
        <w:rPr/>
        <w:t>年</w:t>
      </w:r>
      <w:r>
        <w:rPr>
          <w:spacing w:val="-50"/>
        </w:rPr>
        <w:t> </w:t>
      </w:r>
      <w:r>
        <w:rPr>
          <w:rFonts w:ascii="Arial" w:hAnsi="Arial" w:cs="Arial" w:eastAsia="Arial" w:hint="default"/>
        </w:rPr>
        <w:t>12</w:t>
      </w:r>
      <w:r>
        <w:rPr>
          <w:rFonts w:ascii="Arial" w:hAnsi="Arial" w:cs="Arial" w:eastAsia="Arial" w:hint="default"/>
          <w:spacing w:val="-1"/>
        </w:rPr>
        <w:t> </w:t>
      </w:r>
      <w:r>
        <w:rPr/>
        <w:t>月</w:t>
      </w:r>
      <w:r>
        <w:rPr>
          <w:spacing w:val="-50"/>
        </w:rPr>
        <w:t> </w:t>
      </w:r>
      <w:r>
        <w:rPr>
          <w:rFonts w:ascii="Arial" w:hAnsi="Arial" w:cs="Arial" w:eastAsia="Arial" w:hint="default"/>
        </w:rPr>
        <w:t>31</w:t>
      </w:r>
      <w:r>
        <w:rPr>
          <w:rFonts w:ascii="Arial" w:hAnsi="Arial" w:cs="Arial" w:eastAsia="Arial" w:hint="default"/>
          <w:spacing w:val="-4"/>
        </w:rPr>
        <w:t> </w:t>
      </w:r>
      <w:r>
        <w:rPr/>
        <w:t>日，本公司在本报告期内未发生重大的债务重组等其他影响本</w:t>
      </w:r>
      <w:r>
        <w:rPr>
          <w:w w:val="100"/>
        </w:rPr>
        <w:t> </w:t>
      </w:r>
      <w:r>
        <w:rPr/>
        <w:t>财务报表阅读和理解的重要事项。</w:t>
      </w:r>
    </w:p>
    <w:p>
      <w:pPr>
        <w:pStyle w:val="BodyText"/>
        <w:spacing w:line="240" w:lineRule="auto" w:before="49"/>
        <w:ind w:left="237" w:right="125"/>
        <w:jc w:val="left"/>
      </w:pPr>
      <w:r>
        <w:rPr>
          <w:rFonts w:ascii="Arial" w:hAnsi="Arial" w:cs="Arial" w:eastAsia="Arial" w:hint="default"/>
        </w:rPr>
        <w:t>12</w:t>
      </w:r>
      <w:r>
        <w:rPr>
          <w:rFonts w:ascii="Arial" w:hAnsi="Arial" w:cs="Arial" w:eastAsia="Arial" w:hint="default"/>
          <w:spacing w:val="-8"/>
        </w:rPr>
        <w:t> </w:t>
      </w:r>
      <w:r>
        <w:rPr/>
        <w:t>母公司财务报表主要项目注释</w:t>
      </w:r>
    </w:p>
    <w:p>
      <w:pPr>
        <w:pStyle w:val="BodyText"/>
        <w:spacing w:line="240" w:lineRule="auto" w:before="126"/>
        <w:ind w:left="237" w:right="125"/>
        <w:jc w:val="left"/>
      </w:pPr>
      <w:r>
        <w:rPr>
          <w:rFonts w:ascii="Arial" w:hAnsi="Arial" w:cs="Arial" w:eastAsia="Arial" w:hint="default"/>
        </w:rPr>
        <w:t>12.1</w:t>
      </w:r>
      <w:r>
        <w:rPr>
          <w:rFonts w:ascii="Arial" w:hAnsi="Arial" w:cs="Arial" w:eastAsia="Arial" w:hint="default"/>
          <w:spacing w:val="-8"/>
        </w:rPr>
        <w:t> </w:t>
      </w:r>
      <w:r>
        <w:rPr/>
        <w:t>应收账款</w:t>
      </w:r>
    </w:p>
    <w:p>
      <w:pPr>
        <w:pStyle w:val="BodyText"/>
        <w:spacing w:line="240" w:lineRule="auto" w:before="123"/>
        <w:ind w:left="237" w:right="125"/>
        <w:jc w:val="left"/>
      </w:pPr>
      <w:r>
        <w:rPr>
          <w:rFonts w:ascii="Arial" w:hAnsi="Arial" w:cs="Arial" w:eastAsia="Arial" w:hint="default"/>
        </w:rPr>
        <w:t>12.1.1</w:t>
      </w:r>
      <w:r>
        <w:rPr>
          <w:rFonts w:ascii="Arial" w:hAnsi="Arial" w:cs="Arial" w:eastAsia="Arial" w:hint="default"/>
          <w:spacing w:val="42"/>
        </w:rPr>
        <w:t> </w:t>
      </w:r>
      <w:r>
        <w:rPr/>
        <w:t>应收账款按种类分析如下：</w:t>
      </w:r>
    </w:p>
    <w:p>
      <w:pPr>
        <w:spacing w:line="240" w:lineRule="auto" w:before="3"/>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3264"/>
        <w:gridCol w:w="1682"/>
        <w:gridCol w:w="1284"/>
        <w:gridCol w:w="1538"/>
        <w:gridCol w:w="1087"/>
      </w:tblGrid>
      <w:tr>
        <w:trPr>
          <w:trHeight w:val="485" w:hRule="exact"/>
        </w:trPr>
        <w:tc>
          <w:tcPr>
            <w:tcW w:w="3264" w:type="dxa"/>
            <w:vMerge w:val="restart"/>
            <w:tcBorders>
              <w:top w:val="single" w:sz="12" w:space="0" w:color="000000"/>
              <w:left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592" w:type="dxa"/>
            <w:gridSpan w:val="4"/>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482" w:hRule="exact"/>
        </w:trPr>
        <w:tc>
          <w:tcPr>
            <w:tcW w:w="3264" w:type="dxa"/>
            <w:vMerge/>
            <w:tcBorders>
              <w:left w:val="single" w:sz="12" w:space="0" w:color="000000"/>
              <w:right w:val="single" w:sz="12" w:space="0" w:color="000000"/>
            </w:tcBorders>
          </w:tcPr>
          <w:p>
            <w:pPr/>
          </w:p>
        </w:tc>
        <w:tc>
          <w:tcPr>
            <w:tcW w:w="2966"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26"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5" w:hRule="exact"/>
        </w:trPr>
        <w:tc>
          <w:tcPr>
            <w:tcW w:w="3264" w:type="dxa"/>
            <w:vMerge/>
            <w:tcBorders>
              <w:left w:val="single" w:sz="12" w:space="0" w:color="000000"/>
              <w:bottom w:val="single" w:sz="12" w:space="0" w:color="000000"/>
              <w:right w:val="single" w:sz="12" w:space="0" w:color="000000"/>
            </w:tcBorders>
          </w:tcPr>
          <w:p>
            <w:pPr/>
          </w:p>
        </w:tc>
        <w:tc>
          <w:tcPr>
            <w:tcW w:w="16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c>
          <w:tcPr>
            <w:tcW w:w="15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r>
      <w:tr>
        <w:trPr>
          <w:trHeight w:val="638" w:hRule="exact"/>
        </w:trPr>
        <w:tc>
          <w:tcPr>
            <w:tcW w:w="3264"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spacing w:val="10"/>
                <w:sz w:val="18"/>
                <w:szCs w:val="18"/>
              </w:rPr>
              <w:t>单项金额重大并单项计提坏账准备的</w:t>
            </w:r>
          </w:p>
          <w:p>
            <w:pPr>
              <w:pStyle w:val="TableParagraph"/>
              <w:spacing w:line="240" w:lineRule="auto" w:before="69"/>
              <w:ind w:left="9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12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15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
              <w:jc w:val="center"/>
              <w:rPr>
                <w:rFonts w:ascii="Arial" w:hAnsi="Arial" w:cs="Arial" w:eastAsia="Arial" w:hint="default"/>
                <w:sz w:val="18"/>
                <w:szCs w:val="18"/>
              </w:rPr>
            </w:pPr>
            <w:r>
              <w:rPr>
                <w:rFonts w:ascii="Arial"/>
                <w:w w:val="99"/>
                <w:sz w:val="18"/>
              </w:rPr>
              <w:t>-</w:t>
            </w:r>
            <w:r>
              <w:rPr>
                <w:rFonts w:ascii="Arial"/>
                <w:sz w:val="18"/>
              </w:rPr>
            </w:r>
          </w:p>
        </w:tc>
        <w:tc>
          <w:tcPr>
            <w:tcW w:w="10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82" w:hRule="exact"/>
        </w:trPr>
        <w:tc>
          <w:tcPr>
            <w:tcW w:w="32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6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4"/>
              <w:ind w:right="0"/>
              <w:jc w:val="center"/>
              <w:rPr>
                <w:rFonts w:ascii="Arial" w:hAnsi="Arial" w:cs="Arial" w:eastAsia="Arial" w:hint="default"/>
                <w:sz w:val="18"/>
                <w:szCs w:val="18"/>
              </w:rPr>
            </w:pPr>
            <w:r>
              <w:rPr>
                <w:rFonts w:ascii="Arial"/>
                <w:sz w:val="18"/>
              </w:rPr>
              <w:t>42,689,309.73</w:t>
            </w:r>
          </w:p>
        </w:tc>
        <w:tc>
          <w:tcPr>
            <w:tcW w:w="12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4"/>
              <w:ind w:right="0"/>
              <w:jc w:val="center"/>
              <w:rPr>
                <w:rFonts w:ascii="Arial" w:hAnsi="Arial" w:cs="Arial" w:eastAsia="Arial" w:hint="default"/>
                <w:sz w:val="18"/>
                <w:szCs w:val="18"/>
              </w:rPr>
            </w:pPr>
            <w:r>
              <w:rPr>
                <w:rFonts w:ascii="Arial"/>
                <w:sz w:val="18"/>
              </w:rPr>
              <w:t>98.60</w:t>
            </w:r>
          </w:p>
        </w:tc>
        <w:tc>
          <w:tcPr>
            <w:tcW w:w="15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3"/>
              <w:jc w:val="center"/>
              <w:rPr>
                <w:rFonts w:ascii="Arial" w:hAnsi="Arial" w:cs="Arial" w:eastAsia="Arial" w:hint="default"/>
                <w:sz w:val="18"/>
                <w:szCs w:val="18"/>
              </w:rPr>
            </w:pPr>
            <w:r>
              <w:rPr>
                <w:rFonts w:ascii="Arial"/>
                <w:sz w:val="18"/>
              </w:rPr>
              <w:t>2,360,167.96</w:t>
            </w:r>
          </w:p>
        </w:tc>
        <w:tc>
          <w:tcPr>
            <w:tcW w:w="10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4"/>
              <w:ind w:right="0"/>
              <w:jc w:val="center"/>
              <w:rPr>
                <w:rFonts w:ascii="Arial" w:hAnsi="Arial" w:cs="Arial" w:eastAsia="Arial" w:hint="default"/>
                <w:sz w:val="18"/>
                <w:szCs w:val="18"/>
              </w:rPr>
            </w:pPr>
            <w:r>
              <w:rPr>
                <w:rFonts w:ascii="Arial"/>
                <w:sz w:val="18"/>
              </w:rPr>
              <w:t>5.53</w:t>
            </w:r>
          </w:p>
        </w:tc>
      </w:tr>
      <w:tr>
        <w:trPr>
          <w:trHeight w:val="485" w:hRule="exact"/>
        </w:trPr>
        <w:tc>
          <w:tcPr>
            <w:tcW w:w="32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）按款项性质的组合</w:t>
            </w:r>
          </w:p>
        </w:tc>
        <w:tc>
          <w:tcPr>
            <w:tcW w:w="16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4"/>
              <w:ind w:right="0"/>
              <w:jc w:val="center"/>
              <w:rPr>
                <w:rFonts w:ascii="Arial" w:hAnsi="Arial" w:cs="Arial" w:eastAsia="Arial" w:hint="default"/>
                <w:sz w:val="18"/>
                <w:szCs w:val="18"/>
              </w:rPr>
            </w:pPr>
            <w:r>
              <w:rPr>
                <w:rFonts w:ascii="Arial"/>
                <w:w w:val="99"/>
                <w:sz w:val="18"/>
              </w:rPr>
              <w:t>-</w:t>
            </w:r>
            <w:r>
              <w:rPr>
                <w:rFonts w:ascii="Arial"/>
                <w:sz w:val="18"/>
              </w:rPr>
            </w:r>
          </w:p>
        </w:tc>
        <w:tc>
          <w:tcPr>
            <w:tcW w:w="12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4"/>
              <w:ind w:right="0"/>
              <w:jc w:val="center"/>
              <w:rPr>
                <w:rFonts w:ascii="Arial" w:hAnsi="Arial" w:cs="Arial" w:eastAsia="Arial" w:hint="default"/>
                <w:sz w:val="18"/>
                <w:szCs w:val="18"/>
              </w:rPr>
            </w:pPr>
            <w:r>
              <w:rPr>
                <w:rFonts w:ascii="Arial"/>
                <w:w w:val="99"/>
                <w:sz w:val="18"/>
              </w:rPr>
              <w:t>-</w:t>
            </w:r>
            <w:r>
              <w:rPr>
                <w:rFonts w:ascii="Arial"/>
                <w:sz w:val="18"/>
              </w:rPr>
            </w:r>
          </w:p>
        </w:tc>
        <w:tc>
          <w:tcPr>
            <w:tcW w:w="15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2"/>
              <w:jc w:val="center"/>
              <w:rPr>
                <w:rFonts w:ascii="Arial" w:hAnsi="Arial" w:cs="Arial" w:eastAsia="Arial" w:hint="default"/>
                <w:sz w:val="18"/>
                <w:szCs w:val="18"/>
              </w:rPr>
            </w:pPr>
            <w:r>
              <w:rPr>
                <w:rFonts w:ascii="Arial"/>
                <w:w w:val="99"/>
                <w:sz w:val="18"/>
              </w:rPr>
              <w:t>-</w:t>
            </w:r>
            <w:r>
              <w:rPr>
                <w:rFonts w:ascii="Arial"/>
                <w:sz w:val="18"/>
              </w:rPr>
            </w:r>
          </w:p>
        </w:tc>
        <w:tc>
          <w:tcPr>
            <w:tcW w:w="10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4"/>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85" w:hRule="exact"/>
        </w:trPr>
        <w:tc>
          <w:tcPr>
            <w:tcW w:w="32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2</w:t>
            </w:r>
            <w:r>
              <w:rPr>
                <w:rFonts w:ascii="宋体" w:hAnsi="宋体" w:cs="宋体" w:eastAsia="宋体" w:hint="default"/>
                <w:sz w:val="18"/>
                <w:szCs w:val="18"/>
              </w:rPr>
              <w:t>）按款项账龄的组合</w:t>
            </w:r>
          </w:p>
        </w:tc>
        <w:tc>
          <w:tcPr>
            <w:tcW w:w="16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4"/>
              <w:ind w:right="0"/>
              <w:jc w:val="center"/>
              <w:rPr>
                <w:rFonts w:ascii="Arial" w:hAnsi="Arial" w:cs="Arial" w:eastAsia="Arial" w:hint="default"/>
                <w:sz w:val="18"/>
                <w:szCs w:val="18"/>
              </w:rPr>
            </w:pPr>
            <w:r>
              <w:rPr>
                <w:rFonts w:ascii="Arial"/>
                <w:sz w:val="18"/>
              </w:rPr>
              <w:t>42,689,309.73</w:t>
            </w:r>
          </w:p>
        </w:tc>
        <w:tc>
          <w:tcPr>
            <w:tcW w:w="12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4"/>
              <w:ind w:right="0"/>
              <w:jc w:val="center"/>
              <w:rPr>
                <w:rFonts w:ascii="Arial" w:hAnsi="Arial" w:cs="Arial" w:eastAsia="Arial" w:hint="default"/>
                <w:sz w:val="18"/>
                <w:szCs w:val="18"/>
              </w:rPr>
            </w:pPr>
            <w:r>
              <w:rPr>
                <w:rFonts w:ascii="Arial"/>
                <w:sz w:val="18"/>
              </w:rPr>
              <w:t>98.60</w:t>
            </w:r>
          </w:p>
        </w:tc>
        <w:tc>
          <w:tcPr>
            <w:tcW w:w="15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3"/>
              <w:jc w:val="center"/>
              <w:rPr>
                <w:rFonts w:ascii="Arial" w:hAnsi="Arial" w:cs="Arial" w:eastAsia="Arial" w:hint="default"/>
                <w:sz w:val="18"/>
                <w:szCs w:val="18"/>
              </w:rPr>
            </w:pPr>
            <w:r>
              <w:rPr>
                <w:rFonts w:ascii="Arial"/>
                <w:sz w:val="18"/>
              </w:rPr>
              <w:t>2,360,167.96</w:t>
            </w:r>
          </w:p>
        </w:tc>
        <w:tc>
          <w:tcPr>
            <w:tcW w:w="10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4"/>
              <w:ind w:right="0"/>
              <w:jc w:val="center"/>
              <w:rPr>
                <w:rFonts w:ascii="Arial" w:hAnsi="Arial" w:cs="Arial" w:eastAsia="Arial" w:hint="default"/>
                <w:sz w:val="18"/>
                <w:szCs w:val="18"/>
              </w:rPr>
            </w:pPr>
            <w:r>
              <w:rPr>
                <w:rFonts w:ascii="Arial"/>
                <w:sz w:val="18"/>
              </w:rPr>
              <w:t>5.53</w:t>
            </w:r>
          </w:p>
        </w:tc>
      </w:tr>
      <w:tr>
        <w:trPr>
          <w:trHeight w:val="636" w:hRule="exact"/>
        </w:trPr>
        <w:tc>
          <w:tcPr>
            <w:tcW w:w="3264"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spacing w:val="10"/>
                <w:sz w:val="18"/>
                <w:szCs w:val="18"/>
              </w:rPr>
              <w:t>单项金额虽不重大但单项计提坏账准</w:t>
            </w:r>
          </w:p>
          <w:p>
            <w:pPr>
              <w:pStyle w:val="TableParagraph"/>
              <w:spacing w:line="240" w:lineRule="auto" w:before="67"/>
              <w:ind w:left="93" w:right="0"/>
              <w:jc w:val="left"/>
              <w:rPr>
                <w:rFonts w:ascii="宋体" w:hAnsi="宋体" w:cs="宋体" w:eastAsia="宋体" w:hint="default"/>
                <w:sz w:val="18"/>
                <w:szCs w:val="18"/>
              </w:rPr>
            </w:pPr>
            <w:r>
              <w:rPr>
                <w:rFonts w:ascii="宋体" w:hAnsi="宋体" w:cs="宋体" w:eastAsia="宋体" w:hint="default"/>
                <w:sz w:val="18"/>
                <w:szCs w:val="18"/>
              </w:rPr>
              <w:t>备的应收账款</w:t>
            </w:r>
          </w:p>
        </w:tc>
        <w:tc>
          <w:tcPr>
            <w:tcW w:w="16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sz w:val="18"/>
              </w:rPr>
              <w:t>606,554.51</w:t>
            </w:r>
          </w:p>
        </w:tc>
        <w:tc>
          <w:tcPr>
            <w:tcW w:w="12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1.40</w:t>
            </w:r>
          </w:p>
        </w:tc>
        <w:tc>
          <w:tcPr>
            <w:tcW w:w="15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center"/>
              <w:rPr>
                <w:rFonts w:ascii="Arial" w:hAnsi="Arial" w:cs="Arial" w:eastAsia="Arial" w:hint="default"/>
                <w:sz w:val="18"/>
                <w:szCs w:val="18"/>
              </w:rPr>
            </w:pPr>
            <w:r>
              <w:rPr>
                <w:rFonts w:ascii="Arial"/>
                <w:sz w:val="18"/>
              </w:rPr>
              <w:t>606,554.51</w:t>
            </w:r>
          </w:p>
        </w:tc>
        <w:tc>
          <w:tcPr>
            <w:tcW w:w="10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sz w:val="18"/>
              </w:rPr>
              <w:t>100.00</w:t>
            </w:r>
          </w:p>
        </w:tc>
      </w:tr>
      <w:tr>
        <w:trPr>
          <w:trHeight w:val="482" w:hRule="exact"/>
        </w:trPr>
        <w:tc>
          <w:tcPr>
            <w:tcW w:w="32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4"/>
              <w:ind w:right="0"/>
              <w:jc w:val="center"/>
              <w:rPr>
                <w:rFonts w:ascii="Arial" w:hAnsi="Arial" w:cs="Arial" w:eastAsia="Arial" w:hint="default"/>
                <w:sz w:val="18"/>
                <w:szCs w:val="18"/>
              </w:rPr>
            </w:pPr>
            <w:r>
              <w:rPr>
                <w:rFonts w:ascii="Arial"/>
                <w:sz w:val="18"/>
              </w:rPr>
              <w:t>43,295,864.24</w:t>
            </w:r>
          </w:p>
        </w:tc>
        <w:tc>
          <w:tcPr>
            <w:tcW w:w="12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4"/>
              <w:ind w:right="1"/>
              <w:jc w:val="center"/>
              <w:rPr>
                <w:rFonts w:ascii="Arial" w:hAnsi="Arial" w:cs="Arial" w:eastAsia="Arial" w:hint="default"/>
                <w:sz w:val="18"/>
                <w:szCs w:val="18"/>
              </w:rPr>
            </w:pPr>
            <w:r>
              <w:rPr>
                <w:rFonts w:ascii="Arial"/>
                <w:sz w:val="18"/>
              </w:rPr>
              <w:t>100.00</w:t>
            </w:r>
          </w:p>
        </w:tc>
        <w:tc>
          <w:tcPr>
            <w:tcW w:w="15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3"/>
              <w:jc w:val="center"/>
              <w:rPr>
                <w:rFonts w:ascii="Arial" w:hAnsi="Arial" w:cs="Arial" w:eastAsia="Arial" w:hint="default"/>
                <w:sz w:val="18"/>
                <w:szCs w:val="18"/>
              </w:rPr>
            </w:pPr>
            <w:r>
              <w:rPr>
                <w:rFonts w:ascii="Arial"/>
                <w:sz w:val="18"/>
              </w:rPr>
              <w:t>2,966,722.47</w:t>
            </w:r>
          </w:p>
        </w:tc>
        <w:tc>
          <w:tcPr>
            <w:tcW w:w="10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4"/>
              <w:ind w:right="0"/>
              <w:jc w:val="center"/>
              <w:rPr>
                <w:rFonts w:ascii="Arial" w:hAnsi="Arial" w:cs="Arial" w:eastAsia="Arial" w:hint="default"/>
                <w:sz w:val="18"/>
                <w:szCs w:val="18"/>
              </w:rPr>
            </w:pPr>
            <w:r>
              <w:rPr>
                <w:rFonts w:ascii="Arial"/>
                <w:sz w:val="18"/>
              </w:rPr>
              <w:t>6.85</w:t>
            </w:r>
          </w:p>
        </w:tc>
      </w:tr>
    </w:tbl>
    <w:p>
      <w:pPr>
        <w:spacing w:line="240" w:lineRule="auto" w:before="2"/>
        <w:rPr>
          <w:rFonts w:ascii="宋体" w:hAnsi="宋体" w:cs="宋体" w:eastAsia="宋体" w:hint="default"/>
          <w:sz w:val="29"/>
          <w:szCs w:val="29"/>
        </w:rPr>
      </w:pPr>
    </w:p>
    <w:tbl>
      <w:tblPr>
        <w:tblW w:w="0" w:type="auto"/>
        <w:jc w:val="left"/>
        <w:tblInd w:w="158" w:type="dxa"/>
        <w:tblLayout w:type="fixed"/>
        <w:tblCellMar>
          <w:top w:w="0" w:type="dxa"/>
          <w:left w:w="0" w:type="dxa"/>
          <w:bottom w:w="0" w:type="dxa"/>
          <w:right w:w="0" w:type="dxa"/>
        </w:tblCellMar>
        <w:tblLook w:val="01E0"/>
      </w:tblPr>
      <w:tblGrid>
        <w:gridCol w:w="3094"/>
        <w:gridCol w:w="1685"/>
        <w:gridCol w:w="1277"/>
        <w:gridCol w:w="1538"/>
        <w:gridCol w:w="1176"/>
      </w:tblGrid>
      <w:tr>
        <w:trPr>
          <w:trHeight w:val="334" w:hRule="exact"/>
        </w:trPr>
        <w:tc>
          <w:tcPr>
            <w:tcW w:w="3094" w:type="dxa"/>
            <w:vMerge w:val="restart"/>
            <w:tcBorders>
              <w:top w:val="single" w:sz="12" w:space="0" w:color="000000"/>
              <w:left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676" w:type="dxa"/>
            <w:gridSpan w:val="4"/>
            <w:tcBorders>
              <w:top w:val="single" w:sz="12" w:space="0" w:color="000000"/>
              <w:left w:val="single" w:sz="12" w:space="0" w:color="000000"/>
              <w:bottom w:val="single" w:sz="12" w:space="0" w:color="000000"/>
              <w:right w:val="single" w:sz="12" w:space="0" w:color="000000"/>
            </w:tcBorders>
          </w:tcPr>
          <w:p>
            <w:pPr>
              <w:pStyle w:val="TableParagraph"/>
              <w:spacing w:line="221" w:lineRule="exact"/>
              <w:ind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334" w:hRule="exact"/>
        </w:trPr>
        <w:tc>
          <w:tcPr>
            <w:tcW w:w="3094" w:type="dxa"/>
            <w:vMerge/>
            <w:tcBorders>
              <w:left w:val="single" w:sz="12" w:space="0" w:color="000000"/>
              <w:right w:val="single" w:sz="12" w:space="0" w:color="000000"/>
            </w:tcBorders>
          </w:tcPr>
          <w:p>
            <w:pPr/>
          </w:p>
        </w:tc>
        <w:tc>
          <w:tcPr>
            <w:tcW w:w="2962"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14"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34" w:hRule="exact"/>
        </w:trPr>
        <w:tc>
          <w:tcPr>
            <w:tcW w:w="3094" w:type="dxa"/>
            <w:vMerge/>
            <w:tcBorders>
              <w:left w:val="single" w:sz="12" w:space="0" w:color="000000"/>
              <w:bottom w:val="single" w:sz="12" w:space="0" w:color="000000"/>
              <w:right w:val="single" w:sz="12" w:space="0" w:color="000000"/>
            </w:tcBorders>
          </w:tcPr>
          <w:p>
            <w:pPr/>
          </w:p>
        </w:tc>
        <w:tc>
          <w:tcPr>
            <w:tcW w:w="1685"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21" w:lineRule="exact"/>
              <w:ind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c>
          <w:tcPr>
            <w:tcW w:w="1538"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76" w:type="dxa"/>
            <w:tcBorders>
              <w:top w:val="single" w:sz="12" w:space="0" w:color="000000"/>
              <w:left w:val="single" w:sz="12" w:space="0" w:color="000000"/>
              <w:bottom w:val="single" w:sz="12" w:space="0" w:color="000000"/>
              <w:right w:val="single" w:sz="12" w:space="0" w:color="000000"/>
            </w:tcBorders>
          </w:tcPr>
          <w:p>
            <w:pPr>
              <w:pStyle w:val="TableParagraph"/>
              <w:spacing w:line="221" w:lineRule="exact"/>
              <w:ind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r>
      <w:tr>
        <w:trPr>
          <w:trHeight w:val="636" w:hRule="exact"/>
        </w:trPr>
        <w:tc>
          <w:tcPr>
            <w:tcW w:w="3094"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spacing w:val="11"/>
                <w:sz w:val="18"/>
                <w:szCs w:val="18"/>
              </w:rPr>
              <w:t>单项金额重大并单项计提坏账准备</w:t>
            </w:r>
          </w:p>
          <w:p>
            <w:pPr>
              <w:pStyle w:val="TableParagraph"/>
              <w:spacing w:line="240" w:lineRule="auto" w:before="67"/>
              <w:ind w:left="93" w:right="0"/>
              <w:jc w:val="left"/>
              <w:rPr>
                <w:rFonts w:ascii="宋体" w:hAnsi="宋体" w:cs="宋体" w:eastAsia="宋体" w:hint="default"/>
                <w:sz w:val="18"/>
                <w:szCs w:val="18"/>
              </w:rPr>
            </w:pPr>
            <w:r>
              <w:rPr>
                <w:rFonts w:ascii="宋体" w:hAnsi="宋体" w:cs="宋体" w:eastAsia="宋体" w:hint="default"/>
                <w:sz w:val="18"/>
                <w:szCs w:val="18"/>
              </w:rPr>
              <w:t>的应收账款</w:t>
            </w:r>
          </w:p>
        </w:tc>
        <w:tc>
          <w:tcPr>
            <w:tcW w:w="16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15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11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37" w:hRule="exact"/>
        </w:trPr>
        <w:tc>
          <w:tcPr>
            <w:tcW w:w="30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2"/>
              <w:ind w:left="93"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6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sz w:val="18"/>
              </w:rPr>
              <w:t>43,975,383.32</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sz w:val="18"/>
              </w:rPr>
              <w:t>98.99</w:t>
            </w:r>
          </w:p>
        </w:tc>
        <w:tc>
          <w:tcPr>
            <w:tcW w:w="15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0"/>
              <w:jc w:val="center"/>
              <w:rPr>
                <w:rFonts w:ascii="Arial" w:hAnsi="Arial" w:cs="Arial" w:eastAsia="Arial" w:hint="default"/>
                <w:sz w:val="18"/>
                <w:szCs w:val="18"/>
              </w:rPr>
            </w:pPr>
            <w:r>
              <w:rPr>
                <w:rFonts w:ascii="Arial"/>
                <w:sz w:val="18"/>
              </w:rPr>
              <w:t>2,201,467.70</w:t>
            </w:r>
          </w:p>
        </w:tc>
        <w:tc>
          <w:tcPr>
            <w:tcW w:w="11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sz w:val="18"/>
              </w:rPr>
              <w:t>5.01</w:t>
            </w:r>
          </w:p>
        </w:tc>
      </w:tr>
      <w:tr>
        <w:trPr>
          <w:trHeight w:val="434" w:hRule="exact"/>
        </w:trPr>
        <w:tc>
          <w:tcPr>
            <w:tcW w:w="30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2"/>
              <w:ind w:left="93"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）按款项性质的组合</w:t>
            </w:r>
          </w:p>
        </w:tc>
        <w:tc>
          <w:tcPr>
            <w:tcW w:w="16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15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0"/>
              <w:jc w:val="center"/>
              <w:rPr>
                <w:rFonts w:ascii="Arial" w:hAnsi="Arial" w:cs="Arial" w:eastAsia="Arial" w:hint="default"/>
                <w:sz w:val="18"/>
                <w:szCs w:val="18"/>
              </w:rPr>
            </w:pPr>
            <w:r>
              <w:rPr>
                <w:rFonts w:ascii="Arial"/>
                <w:w w:val="99"/>
                <w:sz w:val="18"/>
              </w:rPr>
              <w:t>-</w:t>
            </w:r>
            <w:r>
              <w:rPr>
                <w:rFonts w:ascii="Arial"/>
                <w:sz w:val="18"/>
              </w:rPr>
            </w:r>
          </w:p>
        </w:tc>
        <w:tc>
          <w:tcPr>
            <w:tcW w:w="11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34" w:hRule="exact"/>
        </w:trPr>
        <w:tc>
          <w:tcPr>
            <w:tcW w:w="30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2"/>
              <w:ind w:left="93"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2</w:t>
            </w:r>
            <w:r>
              <w:rPr>
                <w:rFonts w:ascii="宋体" w:hAnsi="宋体" w:cs="宋体" w:eastAsia="宋体" w:hint="default"/>
                <w:sz w:val="18"/>
                <w:szCs w:val="18"/>
              </w:rPr>
              <w:t>）按款项账龄的组合</w:t>
            </w:r>
          </w:p>
        </w:tc>
        <w:tc>
          <w:tcPr>
            <w:tcW w:w="16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sz w:val="18"/>
              </w:rPr>
              <w:t>43,975,383.32</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sz w:val="18"/>
              </w:rPr>
              <w:t>98.99</w:t>
            </w:r>
          </w:p>
        </w:tc>
        <w:tc>
          <w:tcPr>
            <w:tcW w:w="15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0"/>
              <w:jc w:val="center"/>
              <w:rPr>
                <w:rFonts w:ascii="Arial" w:hAnsi="Arial" w:cs="Arial" w:eastAsia="Arial" w:hint="default"/>
                <w:sz w:val="18"/>
                <w:szCs w:val="18"/>
              </w:rPr>
            </w:pPr>
            <w:r>
              <w:rPr>
                <w:rFonts w:ascii="Arial"/>
                <w:sz w:val="18"/>
              </w:rPr>
              <w:t>2,201,467.70</w:t>
            </w:r>
          </w:p>
        </w:tc>
        <w:tc>
          <w:tcPr>
            <w:tcW w:w="11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sz w:val="18"/>
              </w:rPr>
              <w:t>5.01</w:t>
            </w:r>
          </w:p>
        </w:tc>
      </w:tr>
    </w:tbl>
    <w:p>
      <w:pPr>
        <w:spacing w:after="0" w:line="240" w:lineRule="auto"/>
        <w:jc w:val="center"/>
        <w:rPr>
          <w:rFonts w:ascii="Arial" w:hAnsi="Arial" w:cs="Arial" w:eastAsia="Arial" w:hint="default"/>
          <w:sz w:val="18"/>
          <w:szCs w:val="18"/>
        </w:rPr>
        <w:sectPr>
          <w:pgSz w:w="11900" w:h="16840"/>
          <w:pgMar w:header="0" w:footer="983" w:top="1100" w:bottom="1180" w:left="1560" w:right="1220"/>
        </w:sectPr>
      </w:pPr>
    </w:p>
    <w:p>
      <w:pPr>
        <w:spacing w:line="240" w:lineRule="auto" w:before="8"/>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3094"/>
        <w:gridCol w:w="1685"/>
        <w:gridCol w:w="1277"/>
        <w:gridCol w:w="1538"/>
        <w:gridCol w:w="1176"/>
      </w:tblGrid>
      <w:tr>
        <w:trPr>
          <w:trHeight w:val="636" w:hRule="exact"/>
        </w:trPr>
        <w:tc>
          <w:tcPr>
            <w:tcW w:w="3094"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spacing w:val="11"/>
                <w:sz w:val="18"/>
                <w:szCs w:val="18"/>
              </w:rPr>
              <w:t>单项金额虽不重大但单项计提坏账</w:t>
            </w:r>
          </w:p>
          <w:p>
            <w:pPr>
              <w:pStyle w:val="TableParagraph"/>
              <w:spacing w:line="240" w:lineRule="auto" w:before="67"/>
              <w:ind w:left="93" w:right="0"/>
              <w:jc w:val="left"/>
              <w:rPr>
                <w:rFonts w:ascii="宋体" w:hAnsi="宋体" w:cs="宋体" w:eastAsia="宋体" w:hint="default"/>
                <w:sz w:val="18"/>
                <w:szCs w:val="18"/>
              </w:rPr>
            </w:pPr>
            <w:r>
              <w:rPr>
                <w:rFonts w:ascii="宋体" w:hAnsi="宋体" w:cs="宋体" w:eastAsia="宋体" w:hint="default"/>
                <w:sz w:val="18"/>
                <w:szCs w:val="18"/>
              </w:rPr>
              <w:t>准备的应收账款</w:t>
            </w:r>
          </w:p>
        </w:tc>
        <w:tc>
          <w:tcPr>
            <w:tcW w:w="16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447,781.51</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sz w:val="18"/>
              </w:rPr>
              <w:t>1.01</w:t>
            </w:r>
          </w:p>
        </w:tc>
        <w:tc>
          <w:tcPr>
            <w:tcW w:w="15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center"/>
              <w:rPr>
                <w:rFonts w:ascii="Arial" w:hAnsi="Arial" w:cs="Arial" w:eastAsia="Arial" w:hint="default"/>
                <w:sz w:val="18"/>
                <w:szCs w:val="18"/>
              </w:rPr>
            </w:pPr>
            <w:r>
              <w:rPr>
                <w:rFonts w:ascii="Arial"/>
                <w:sz w:val="18"/>
              </w:rPr>
              <w:t>447,781.51</w:t>
            </w:r>
          </w:p>
        </w:tc>
        <w:tc>
          <w:tcPr>
            <w:tcW w:w="11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100.00</w:t>
            </w:r>
          </w:p>
        </w:tc>
      </w:tr>
      <w:tr>
        <w:trPr>
          <w:trHeight w:val="434" w:hRule="exact"/>
        </w:trPr>
        <w:tc>
          <w:tcPr>
            <w:tcW w:w="30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sz w:val="18"/>
              </w:rPr>
              <w:t>44,423,164.83</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100.00</w:t>
            </w:r>
          </w:p>
        </w:tc>
        <w:tc>
          <w:tcPr>
            <w:tcW w:w="15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0"/>
              <w:jc w:val="center"/>
              <w:rPr>
                <w:rFonts w:ascii="Arial" w:hAnsi="Arial" w:cs="Arial" w:eastAsia="Arial" w:hint="default"/>
                <w:sz w:val="18"/>
                <w:szCs w:val="18"/>
              </w:rPr>
            </w:pPr>
            <w:r>
              <w:rPr>
                <w:rFonts w:ascii="Arial"/>
                <w:sz w:val="18"/>
              </w:rPr>
              <w:t>2,649,249.21</w:t>
            </w:r>
          </w:p>
        </w:tc>
        <w:tc>
          <w:tcPr>
            <w:tcW w:w="11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sz w:val="18"/>
              </w:rPr>
              <w:t>5.96</w:t>
            </w:r>
          </w:p>
        </w:tc>
      </w:tr>
    </w:tbl>
    <w:p>
      <w:pPr>
        <w:spacing w:line="240" w:lineRule="auto" w:before="12"/>
        <w:rPr>
          <w:rFonts w:ascii="宋体" w:hAnsi="宋体" w:cs="宋体" w:eastAsia="宋体" w:hint="default"/>
          <w:sz w:val="23"/>
          <w:szCs w:val="23"/>
        </w:rPr>
      </w:pPr>
    </w:p>
    <w:p>
      <w:pPr>
        <w:pStyle w:val="BodyText"/>
        <w:spacing w:line="240" w:lineRule="auto"/>
        <w:ind w:left="636" w:right="0"/>
        <w:jc w:val="left"/>
      </w:pPr>
      <w:r>
        <w:rPr/>
        <w:t>应收账款种类的说明：</w:t>
      </w:r>
    </w:p>
    <w:p>
      <w:pPr>
        <w:pStyle w:val="BodyText"/>
        <w:spacing w:line="240" w:lineRule="auto" w:before="141"/>
        <w:ind w:left="636" w:right="0"/>
        <w:jc w:val="left"/>
      </w:pPr>
      <w:r>
        <w:rPr/>
        <w:t>（</w:t>
      </w:r>
      <w:r>
        <w:rPr>
          <w:rFonts w:ascii="Arial" w:hAnsi="Arial" w:cs="Arial" w:eastAsia="Arial" w:hint="default"/>
        </w:rPr>
        <w:t>1</w:t>
      </w:r>
      <w:r>
        <w:rPr/>
        <w:t>）单项金额重大并单项计提坏账准备的应收账款确定依据为余额单项金额</w:t>
      </w:r>
      <w:r>
        <w:rPr>
          <w:spacing w:val="-65"/>
        </w:rPr>
        <w:t> </w:t>
      </w:r>
      <w:r>
        <w:rPr>
          <w:rFonts w:ascii="Arial" w:hAnsi="Arial" w:cs="Arial" w:eastAsia="Arial" w:hint="default"/>
        </w:rPr>
        <w:t>70</w:t>
      </w:r>
      <w:r>
        <w:rPr>
          <w:rFonts w:ascii="Arial" w:hAnsi="Arial" w:cs="Arial" w:eastAsia="Arial" w:hint="default"/>
          <w:spacing w:val="-17"/>
        </w:rPr>
        <w:t> </w:t>
      </w:r>
      <w:r>
        <w:rPr/>
        <w:t>万元</w:t>
      </w:r>
    </w:p>
    <w:p>
      <w:pPr>
        <w:pStyle w:val="BodyText"/>
        <w:spacing w:line="240" w:lineRule="auto" w:before="123"/>
        <w:ind w:left="197" w:right="0"/>
        <w:jc w:val="both"/>
      </w:pPr>
      <w:r>
        <w:rPr>
          <w:rFonts w:ascii="Arial" w:hAnsi="Arial" w:cs="Arial" w:eastAsia="Arial" w:hint="default"/>
        </w:rPr>
        <w:t>(</w:t>
      </w:r>
      <w:r>
        <w:rPr/>
        <w:t>含</w:t>
      </w:r>
      <w:r>
        <w:rPr>
          <w:spacing w:val="-60"/>
        </w:rPr>
        <w:t> </w:t>
      </w:r>
      <w:r>
        <w:rPr>
          <w:rFonts w:ascii="Arial" w:hAnsi="Arial" w:cs="Arial" w:eastAsia="Arial" w:hint="default"/>
        </w:rPr>
        <w:t>70</w:t>
      </w:r>
      <w:r>
        <w:rPr>
          <w:rFonts w:ascii="Arial" w:hAnsi="Arial" w:cs="Arial" w:eastAsia="Arial" w:hint="default"/>
          <w:spacing w:val="-12"/>
        </w:rPr>
        <w:t> </w:t>
      </w:r>
      <w:r>
        <w:rPr/>
        <w:t>万元</w:t>
      </w:r>
      <w:r>
        <w:rPr>
          <w:rFonts w:ascii="Arial" w:hAnsi="Arial" w:cs="Arial" w:eastAsia="Arial" w:hint="default"/>
        </w:rPr>
        <w:t>)</w:t>
      </w:r>
      <w:r>
        <w:rPr/>
        <w:t>以上单项计提坏账准备的应收账款；</w:t>
      </w:r>
    </w:p>
    <w:p>
      <w:pPr>
        <w:pStyle w:val="BodyText"/>
        <w:spacing w:line="340" w:lineRule="auto" w:before="123"/>
        <w:ind w:left="636" w:right="0"/>
        <w:jc w:val="left"/>
      </w:pPr>
      <w:r>
        <w:rPr/>
        <w:t>（</w:t>
      </w:r>
      <w:r>
        <w:rPr>
          <w:rFonts w:ascii="Arial" w:hAnsi="Arial" w:cs="Arial" w:eastAsia="Arial" w:hint="default"/>
        </w:rPr>
        <w:t>2</w:t>
      </w:r>
      <w:r>
        <w:rPr/>
        <w:t>）按组合计提坏账准备的应收账款</w:t>
      </w:r>
      <w:r>
        <w:rPr>
          <w:w w:val="100"/>
        </w:rPr>
        <w:t> </w:t>
      </w:r>
      <w:r>
        <w:rPr/>
        <w:t>按账龄组合计提坏账准备的应收账款确定依据未单项计提坏账准备的应收款项按账龄</w:t>
      </w:r>
    </w:p>
    <w:p>
      <w:pPr>
        <w:pStyle w:val="BodyText"/>
        <w:spacing w:line="357" w:lineRule="auto" w:before="47"/>
        <w:ind w:left="197" w:right="229"/>
        <w:jc w:val="both"/>
      </w:pPr>
      <w:r>
        <w:rPr/>
        <w:t>划分为若干组合，根据以前年度与之相同或相类似的、具有类似信用风险特征的应收账款</w:t>
      </w:r>
      <w:r>
        <w:rPr>
          <w:spacing w:val="-85"/>
        </w:rPr>
        <w:t> </w:t>
      </w:r>
      <w:r>
        <w:rPr/>
        <w:t>组合的实际损失率为基础，结合现时情况确定各项组合计提坏账准备的比例，据此计算应</w:t>
      </w:r>
      <w:r>
        <w:rPr>
          <w:spacing w:val="-85"/>
        </w:rPr>
        <w:t> </w:t>
      </w:r>
      <w:r>
        <w:rPr>
          <w:spacing w:val="-7"/>
          <w:w w:val="100"/>
        </w:rPr>
        <w:t>计提的坏账准备。（含单项金额重大、单独进行减值测试未发生减值的应收账款）；</w:t>
      </w:r>
    </w:p>
    <w:p>
      <w:pPr>
        <w:pStyle w:val="BodyText"/>
        <w:spacing w:line="357" w:lineRule="auto" w:before="31"/>
        <w:ind w:left="197" w:right="0" w:firstLine="439"/>
        <w:jc w:val="left"/>
      </w:pPr>
      <w:r>
        <w:rPr>
          <w:spacing w:val="-4"/>
        </w:rPr>
        <w:t>按款项性质的组合：未单项计提坏账准备的应收账款按款项性质特征划分为若干组合，</w:t>
      </w:r>
      <w:r>
        <w:rPr>
          <w:w w:val="100"/>
        </w:rPr>
        <w:t> </w:t>
      </w:r>
      <w:r>
        <w:rPr/>
        <w:t>根据以前年度与之相同或相类似的、具有类似信用风险特征的应收账款组合的实际损失率</w:t>
      </w:r>
      <w:r>
        <w:rPr>
          <w:spacing w:val="-85"/>
        </w:rPr>
        <w:t> </w:t>
      </w:r>
      <w:r>
        <w:rPr/>
        <w:t>为基础，结合现时情况确定各项组合计提坏账准备的比例，据此计算应计提的坏账准备。</w:t>
      </w:r>
    </w:p>
    <w:p>
      <w:pPr>
        <w:pStyle w:val="BodyText"/>
        <w:spacing w:line="355" w:lineRule="auto" w:before="31"/>
        <w:ind w:left="197" w:right="229"/>
        <w:jc w:val="both"/>
      </w:pPr>
      <w:r>
        <w:rPr/>
        <w:t>（含单项金额重大、单独进行减值测试未发生减值，包含在具有类似信用风险特征的应收</w:t>
      </w:r>
      <w:r>
        <w:rPr>
          <w:spacing w:val="-85"/>
        </w:rPr>
        <w:t> </w:t>
      </w:r>
      <w:r>
        <w:rPr>
          <w:spacing w:val="-7"/>
          <w:w w:val="100"/>
        </w:rPr>
        <w:t>款项组合中进行减值测试的应收账款）；</w:t>
      </w:r>
    </w:p>
    <w:p>
      <w:pPr>
        <w:pStyle w:val="BodyText"/>
        <w:spacing w:line="338" w:lineRule="auto" w:before="36"/>
        <w:ind w:left="197" w:right="0" w:firstLine="439"/>
        <w:jc w:val="left"/>
      </w:pPr>
      <w:r>
        <w:rPr>
          <w:spacing w:val="-4"/>
          <w:w w:val="100"/>
        </w:rPr>
        <w:t>（</w:t>
      </w:r>
      <w:r>
        <w:rPr>
          <w:rFonts w:ascii="Arial" w:hAnsi="Arial" w:cs="Arial" w:eastAsia="Arial" w:hint="default"/>
          <w:spacing w:val="-4"/>
          <w:w w:val="100"/>
        </w:rPr>
        <w:t>3</w:t>
      </w:r>
      <w:r>
        <w:rPr>
          <w:spacing w:val="-4"/>
          <w:w w:val="100"/>
        </w:rPr>
        <w:t>）单项金额虽不重大但单项计提坏账准备的应收账款确定依据为除单项金额重大并</w:t>
      </w:r>
      <w:r>
        <w:rPr>
          <w:w w:val="100"/>
        </w:rPr>
        <w:t> </w:t>
      </w:r>
      <w:r>
        <w:rPr/>
        <w:t>单项计提坏账准备外单项认定进行减值测试计提坏账准备的应收账款；</w:t>
      </w:r>
    </w:p>
    <w:p>
      <w:pPr>
        <w:pStyle w:val="BodyText"/>
        <w:spacing w:line="240" w:lineRule="auto" w:before="49"/>
        <w:ind w:left="636" w:right="0"/>
        <w:jc w:val="left"/>
      </w:pPr>
      <w:r>
        <w:rPr>
          <w:rFonts w:ascii="Arial" w:hAnsi="Arial" w:cs="Arial" w:eastAsia="Arial" w:hint="default"/>
        </w:rPr>
        <w:t>12.1.2</w:t>
      </w:r>
      <w:r>
        <w:rPr>
          <w:rFonts w:ascii="Arial" w:hAnsi="Arial" w:cs="Arial" w:eastAsia="Arial" w:hint="default"/>
          <w:spacing w:val="-16"/>
        </w:rPr>
        <w:t> </w:t>
      </w:r>
      <w:r>
        <w:rPr/>
        <w:t>组合中，按款项账龄计提坏账准备的应收账款</w:t>
      </w:r>
    </w:p>
    <w:p>
      <w:pPr>
        <w:spacing w:line="240" w:lineRule="auto" w:before="5"/>
        <w:rPr>
          <w:rFonts w:ascii="宋体" w:hAnsi="宋体" w:cs="宋体" w:eastAsia="宋体" w:hint="default"/>
          <w:sz w:val="12"/>
          <w:szCs w:val="12"/>
        </w:rPr>
      </w:pPr>
    </w:p>
    <w:tbl>
      <w:tblPr>
        <w:tblW w:w="0" w:type="auto"/>
        <w:jc w:val="left"/>
        <w:tblInd w:w="197" w:type="dxa"/>
        <w:tblLayout w:type="fixed"/>
        <w:tblCellMar>
          <w:top w:w="0" w:type="dxa"/>
          <w:left w:w="0" w:type="dxa"/>
          <w:bottom w:w="0" w:type="dxa"/>
          <w:right w:w="0" w:type="dxa"/>
        </w:tblCellMar>
        <w:tblLook w:val="01E0"/>
      </w:tblPr>
      <w:tblGrid>
        <w:gridCol w:w="1524"/>
        <w:gridCol w:w="2174"/>
        <w:gridCol w:w="1502"/>
        <w:gridCol w:w="2050"/>
        <w:gridCol w:w="1361"/>
      </w:tblGrid>
      <w:tr>
        <w:trPr>
          <w:trHeight w:val="434" w:hRule="exact"/>
        </w:trPr>
        <w:tc>
          <w:tcPr>
            <w:tcW w:w="1524" w:type="dxa"/>
            <w:vMerge w:val="restart"/>
            <w:tcBorders>
              <w:top w:val="single" w:sz="12" w:space="0" w:color="000000"/>
              <w:left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7" w:type="dxa"/>
            <w:gridSpan w:val="4"/>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437" w:hRule="exact"/>
        </w:trPr>
        <w:tc>
          <w:tcPr>
            <w:tcW w:w="1524" w:type="dxa"/>
            <w:vMerge/>
            <w:tcBorders>
              <w:left w:val="single" w:sz="12" w:space="0" w:color="000000"/>
              <w:right w:val="single" w:sz="12" w:space="0" w:color="000000"/>
            </w:tcBorders>
          </w:tcPr>
          <w:p>
            <w:pPr/>
          </w:p>
        </w:tc>
        <w:tc>
          <w:tcPr>
            <w:tcW w:w="3677"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10"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34" w:hRule="exact"/>
        </w:trPr>
        <w:tc>
          <w:tcPr>
            <w:tcW w:w="1524" w:type="dxa"/>
            <w:vMerge/>
            <w:tcBorders>
              <w:left w:val="single" w:sz="12" w:space="0" w:color="000000"/>
              <w:bottom w:val="single" w:sz="12" w:space="0" w:color="000000"/>
              <w:right w:val="single" w:sz="12" w:space="0" w:color="000000"/>
            </w:tcBorders>
          </w:tcPr>
          <w:p>
            <w:pPr/>
          </w:p>
        </w:tc>
        <w:tc>
          <w:tcPr>
            <w:tcW w:w="21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415"/>
              <w:jc w:val="right"/>
              <w:rPr>
                <w:rFonts w:ascii="Arial" w:hAnsi="Arial" w:cs="Arial" w:eastAsia="Arial" w:hint="default"/>
                <w:sz w:val="18"/>
                <w:szCs w:val="18"/>
              </w:rPr>
            </w:pPr>
            <w:r>
              <w:rPr>
                <w:rFonts w:ascii="宋体" w:hAnsi="宋体" w:cs="宋体" w:eastAsia="宋体" w:hint="default"/>
                <w:w w:val="95"/>
                <w:sz w:val="18"/>
                <w:szCs w:val="18"/>
              </w:rPr>
              <w:t>比例</w:t>
            </w:r>
            <w:r>
              <w:rPr>
                <w:rFonts w:ascii="Arial" w:hAnsi="Arial" w:cs="Arial" w:eastAsia="Arial" w:hint="default"/>
                <w:w w:val="95"/>
                <w:sz w:val="18"/>
                <w:szCs w:val="18"/>
              </w:rPr>
              <w:t>(%)</w:t>
            </w:r>
            <w:r>
              <w:rPr>
                <w:rFonts w:ascii="Arial" w:hAnsi="Arial" w:cs="Arial" w:eastAsia="Arial" w:hint="default"/>
                <w:sz w:val="18"/>
                <w:szCs w:val="18"/>
              </w:rPr>
            </w:r>
          </w:p>
        </w:tc>
        <w:tc>
          <w:tcPr>
            <w:tcW w:w="20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Arial" w:hAnsi="Arial" w:cs="Arial" w:eastAsia="Arial"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p>
        </w:tc>
      </w:tr>
      <w:tr>
        <w:trPr>
          <w:trHeight w:val="437" w:hRule="exact"/>
        </w:trPr>
        <w:tc>
          <w:tcPr>
            <w:tcW w:w="152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年以内</w:t>
            </w:r>
          </w:p>
        </w:tc>
        <w:tc>
          <w:tcPr>
            <w:tcW w:w="21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sz w:val="18"/>
              </w:rPr>
              <w:t>41,023,446.02</w:t>
            </w:r>
          </w:p>
        </w:tc>
        <w:tc>
          <w:tcPr>
            <w:tcW w:w="15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sz w:val="18"/>
              </w:rPr>
              <w:t>96.10</w:t>
            </w:r>
          </w:p>
        </w:tc>
        <w:tc>
          <w:tcPr>
            <w:tcW w:w="20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sz w:val="18"/>
              </w:rPr>
              <w:t>2,054,757.10</w:t>
            </w:r>
          </w:p>
        </w:tc>
        <w:tc>
          <w:tcPr>
            <w:tcW w:w="13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5.01</w:t>
            </w:r>
          </w:p>
        </w:tc>
      </w:tr>
      <w:tr>
        <w:trPr>
          <w:trHeight w:val="434" w:hRule="exact"/>
        </w:trPr>
        <w:tc>
          <w:tcPr>
            <w:tcW w:w="152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21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sz w:val="18"/>
              </w:rPr>
              <w:t>1,323,909.37</w:t>
            </w:r>
          </w:p>
        </w:tc>
        <w:tc>
          <w:tcPr>
            <w:tcW w:w="15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sz w:val="18"/>
              </w:rPr>
              <w:t>3.10</w:t>
            </w:r>
          </w:p>
        </w:tc>
        <w:tc>
          <w:tcPr>
            <w:tcW w:w="20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152,782.69</w:t>
            </w:r>
          </w:p>
        </w:tc>
        <w:tc>
          <w:tcPr>
            <w:tcW w:w="13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pacing w:val="-3"/>
                <w:sz w:val="18"/>
              </w:rPr>
              <w:t>11.54</w:t>
            </w:r>
          </w:p>
        </w:tc>
      </w:tr>
      <w:tr>
        <w:trPr>
          <w:trHeight w:val="437" w:hRule="exact"/>
        </w:trPr>
        <w:tc>
          <w:tcPr>
            <w:tcW w:w="152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Arial" w:hAnsi="Arial" w:cs="Arial" w:eastAsia="Arial" w:hint="default"/>
                <w:sz w:val="18"/>
                <w:szCs w:val="18"/>
              </w:rPr>
              <w:t>2~3</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21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341,954.34</w:t>
            </w:r>
          </w:p>
        </w:tc>
        <w:tc>
          <w:tcPr>
            <w:tcW w:w="15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sz w:val="18"/>
              </w:rPr>
              <w:t>0.80</w:t>
            </w:r>
          </w:p>
        </w:tc>
        <w:tc>
          <w:tcPr>
            <w:tcW w:w="20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152,628.17</w:t>
            </w:r>
          </w:p>
        </w:tc>
        <w:tc>
          <w:tcPr>
            <w:tcW w:w="13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44.63</w:t>
            </w:r>
          </w:p>
        </w:tc>
      </w:tr>
      <w:tr>
        <w:trPr>
          <w:trHeight w:val="434" w:hRule="exact"/>
        </w:trPr>
        <w:tc>
          <w:tcPr>
            <w:tcW w:w="152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5"/>
                <w:sz w:val="18"/>
                <w:szCs w:val="18"/>
              </w:rPr>
              <w:t> </w:t>
            </w:r>
            <w:r>
              <w:rPr>
                <w:rFonts w:ascii="宋体" w:hAnsi="宋体" w:cs="宋体" w:eastAsia="宋体" w:hint="default"/>
                <w:sz w:val="18"/>
                <w:szCs w:val="18"/>
              </w:rPr>
              <w:t>年以上</w:t>
            </w:r>
          </w:p>
        </w:tc>
        <w:tc>
          <w:tcPr>
            <w:tcW w:w="21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15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20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1361" w:type="dxa"/>
            <w:tcBorders>
              <w:top w:val="single" w:sz="12" w:space="0" w:color="000000"/>
              <w:left w:val="single" w:sz="12" w:space="0" w:color="000000"/>
              <w:bottom w:val="single" w:sz="12" w:space="0" w:color="000000"/>
              <w:right w:val="single" w:sz="12" w:space="0" w:color="000000"/>
            </w:tcBorders>
          </w:tcPr>
          <w:p>
            <w:pPr/>
          </w:p>
        </w:tc>
      </w:tr>
      <w:tr>
        <w:trPr>
          <w:trHeight w:val="434" w:hRule="exact"/>
        </w:trPr>
        <w:tc>
          <w:tcPr>
            <w:tcW w:w="152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sz w:val="18"/>
              </w:rPr>
              <w:t>42,689,309.73</w:t>
            </w:r>
          </w:p>
        </w:tc>
        <w:tc>
          <w:tcPr>
            <w:tcW w:w="15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459"/>
              <w:jc w:val="right"/>
              <w:rPr>
                <w:rFonts w:ascii="Arial" w:hAnsi="Arial" w:cs="Arial" w:eastAsia="Arial" w:hint="default"/>
                <w:sz w:val="18"/>
                <w:szCs w:val="18"/>
              </w:rPr>
            </w:pPr>
            <w:r>
              <w:rPr>
                <w:rFonts w:ascii="Arial"/>
                <w:spacing w:val="-1"/>
                <w:sz w:val="18"/>
              </w:rPr>
              <w:t>100.00</w:t>
            </w:r>
          </w:p>
        </w:tc>
        <w:tc>
          <w:tcPr>
            <w:tcW w:w="20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sz w:val="18"/>
              </w:rPr>
              <w:t>2,360,167.96</w:t>
            </w:r>
          </w:p>
        </w:tc>
        <w:tc>
          <w:tcPr>
            <w:tcW w:w="13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5.53</w:t>
            </w:r>
          </w:p>
        </w:tc>
      </w:tr>
    </w:tbl>
    <w:p>
      <w:pPr>
        <w:spacing w:line="240" w:lineRule="auto" w:before="2"/>
        <w:rPr>
          <w:rFonts w:ascii="宋体" w:hAnsi="宋体" w:cs="宋体" w:eastAsia="宋体" w:hint="default"/>
          <w:sz w:val="29"/>
          <w:szCs w:val="29"/>
        </w:rPr>
      </w:pPr>
    </w:p>
    <w:tbl>
      <w:tblPr>
        <w:tblW w:w="0" w:type="auto"/>
        <w:jc w:val="left"/>
        <w:tblInd w:w="137" w:type="dxa"/>
        <w:tblLayout w:type="fixed"/>
        <w:tblCellMar>
          <w:top w:w="0" w:type="dxa"/>
          <w:left w:w="0" w:type="dxa"/>
          <w:bottom w:w="0" w:type="dxa"/>
          <w:right w:w="0" w:type="dxa"/>
        </w:tblCellMar>
        <w:tblLook w:val="01E0"/>
      </w:tblPr>
      <w:tblGrid>
        <w:gridCol w:w="1625"/>
        <w:gridCol w:w="2201"/>
        <w:gridCol w:w="1493"/>
        <w:gridCol w:w="2050"/>
        <w:gridCol w:w="1363"/>
      </w:tblGrid>
      <w:tr>
        <w:trPr>
          <w:trHeight w:val="437" w:hRule="exact"/>
        </w:trPr>
        <w:tc>
          <w:tcPr>
            <w:tcW w:w="1625" w:type="dxa"/>
            <w:vMerge w:val="restart"/>
            <w:tcBorders>
              <w:top w:val="single" w:sz="12" w:space="0" w:color="000000"/>
              <w:left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06" w:type="dxa"/>
            <w:gridSpan w:val="4"/>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2"/>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434" w:hRule="exact"/>
        </w:trPr>
        <w:tc>
          <w:tcPr>
            <w:tcW w:w="1625" w:type="dxa"/>
            <w:vMerge/>
            <w:tcBorders>
              <w:left w:val="single" w:sz="12" w:space="0" w:color="000000"/>
              <w:right w:val="single" w:sz="12" w:space="0" w:color="000000"/>
            </w:tcBorders>
          </w:tcPr>
          <w:p>
            <w:pPr/>
          </w:p>
        </w:tc>
        <w:tc>
          <w:tcPr>
            <w:tcW w:w="3694"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13"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37" w:hRule="exact"/>
        </w:trPr>
        <w:tc>
          <w:tcPr>
            <w:tcW w:w="1625" w:type="dxa"/>
            <w:vMerge/>
            <w:tcBorders>
              <w:left w:val="single" w:sz="12" w:space="0" w:color="000000"/>
              <w:bottom w:val="single" w:sz="12" w:space="0" w:color="000000"/>
              <w:right w:val="single" w:sz="12" w:space="0" w:color="000000"/>
            </w:tcBorders>
          </w:tcPr>
          <w:p>
            <w:pPr/>
          </w:p>
        </w:tc>
        <w:tc>
          <w:tcPr>
            <w:tcW w:w="22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9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left="410" w:right="0"/>
              <w:jc w:val="left"/>
              <w:rPr>
                <w:rFonts w:ascii="Arial" w:hAnsi="Arial" w:cs="Arial" w:eastAsia="Arial"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p>
        </w:tc>
        <w:tc>
          <w:tcPr>
            <w:tcW w:w="20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left="345" w:right="0"/>
              <w:jc w:val="left"/>
              <w:rPr>
                <w:rFonts w:ascii="Arial" w:hAnsi="Arial" w:cs="Arial" w:eastAsia="Arial"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p>
        </w:tc>
      </w:tr>
    </w:tbl>
    <w:p>
      <w:pPr>
        <w:spacing w:after="0" w:line="240" w:lineRule="auto"/>
        <w:jc w:val="left"/>
        <w:rPr>
          <w:rFonts w:ascii="Arial" w:hAnsi="Arial" w:cs="Arial" w:eastAsia="Arial" w:hint="default"/>
          <w:sz w:val="18"/>
          <w:szCs w:val="18"/>
        </w:rPr>
        <w:sectPr>
          <w:pgSz w:w="11900" w:h="16840"/>
          <w:pgMar w:header="0" w:footer="983" w:top="1100" w:bottom="1180" w:left="1600" w:right="1260"/>
        </w:sectPr>
      </w:pPr>
    </w:p>
    <w:p>
      <w:pPr>
        <w:spacing w:line="240" w:lineRule="auto" w:before="8"/>
        <w:rPr>
          <w:rFonts w:ascii="宋体" w:hAnsi="宋体" w:cs="宋体" w:eastAsia="宋体" w:hint="default"/>
          <w:sz w:val="24"/>
          <w:szCs w:val="24"/>
        </w:rPr>
      </w:pPr>
    </w:p>
    <w:tbl>
      <w:tblPr>
        <w:tblW w:w="0" w:type="auto"/>
        <w:jc w:val="left"/>
        <w:tblInd w:w="177" w:type="dxa"/>
        <w:tblLayout w:type="fixed"/>
        <w:tblCellMar>
          <w:top w:w="0" w:type="dxa"/>
          <w:left w:w="0" w:type="dxa"/>
          <w:bottom w:w="0" w:type="dxa"/>
          <w:right w:w="0" w:type="dxa"/>
        </w:tblCellMar>
        <w:tblLook w:val="01E0"/>
      </w:tblPr>
      <w:tblGrid>
        <w:gridCol w:w="1625"/>
        <w:gridCol w:w="2201"/>
        <w:gridCol w:w="1493"/>
        <w:gridCol w:w="2050"/>
        <w:gridCol w:w="1363"/>
      </w:tblGrid>
      <w:tr>
        <w:trPr>
          <w:trHeight w:val="434" w:hRule="exact"/>
        </w:trPr>
        <w:tc>
          <w:tcPr>
            <w:tcW w:w="16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年以内</w:t>
            </w:r>
          </w:p>
        </w:tc>
        <w:tc>
          <w:tcPr>
            <w:tcW w:w="22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41,905,809.58</w:t>
            </w:r>
          </w:p>
        </w:tc>
        <w:tc>
          <w:tcPr>
            <w:tcW w:w="149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sz w:val="18"/>
              </w:rPr>
              <w:t>95.29</w:t>
            </w:r>
          </w:p>
        </w:tc>
        <w:tc>
          <w:tcPr>
            <w:tcW w:w="20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sz w:val="18"/>
              </w:rPr>
              <w:t>1,787,552.95</w:t>
            </w:r>
          </w:p>
        </w:tc>
        <w:tc>
          <w:tcPr>
            <w:tcW w:w="136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sz w:val="18"/>
              </w:rPr>
              <w:t>4.27</w:t>
            </w:r>
          </w:p>
        </w:tc>
      </w:tr>
      <w:tr>
        <w:trPr>
          <w:trHeight w:val="437" w:hRule="exact"/>
        </w:trPr>
        <w:tc>
          <w:tcPr>
            <w:tcW w:w="16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22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2,069,573.74</w:t>
            </w:r>
          </w:p>
        </w:tc>
        <w:tc>
          <w:tcPr>
            <w:tcW w:w="149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sz w:val="18"/>
              </w:rPr>
              <w:t>4.71</w:t>
            </w:r>
          </w:p>
        </w:tc>
        <w:tc>
          <w:tcPr>
            <w:tcW w:w="20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413,914.75</w:t>
            </w:r>
          </w:p>
        </w:tc>
        <w:tc>
          <w:tcPr>
            <w:tcW w:w="136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sz w:val="18"/>
              </w:rPr>
              <w:t>20.00</w:t>
            </w:r>
          </w:p>
        </w:tc>
      </w:tr>
      <w:tr>
        <w:trPr>
          <w:trHeight w:val="434" w:hRule="exact"/>
        </w:trPr>
        <w:tc>
          <w:tcPr>
            <w:tcW w:w="16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Arial" w:hAnsi="Arial" w:cs="Arial" w:eastAsia="Arial" w:hint="default"/>
                <w:sz w:val="18"/>
                <w:szCs w:val="18"/>
              </w:rPr>
              <w:t>2~3</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22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149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20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136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37" w:hRule="exact"/>
        </w:trPr>
        <w:tc>
          <w:tcPr>
            <w:tcW w:w="16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5"/>
                <w:sz w:val="18"/>
                <w:szCs w:val="18"/>
              </w:rPr>
              <w:t> </w:t>
            </w:r>
            <w:r>
              <w:rPr>
                <w:rFonts w:ascii="宋体" w:hAnsi="宋体" w:cs="宋体" w:eastAsia="宋体" w:hint="default"/>
                <w:sz w:val="18"/>
                <w:szCs w:val="18"/>
              </w:rPr>
              <w:t>年以上</w:t>
            </w:r>
          </w:p>
        </w:tc>
        <w:tc>
          <w:tcPr>
            <w:tcW w:w="22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149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20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c>
          <w:tcPr>
            <w:tcW w:w="136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34" w:hRule="exact"/>
        </w:trPr>
        <w:tc>
          <w:tcPr>
            <w:tcW w:w="16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43,975,383.32</w:t>
            </w:r>
          </w:p>
        </w:tc>
        <w:tc>
          <w:tcPr>
            <w:tcW w:w="149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100.00</w:t>
            </w:r>
          </w:p>
        </w:tc>
        <w:tc>
          <w:tcPr>
            <w:tcW w:w="20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sz w:val="18"/>
              </w:rPr>
              <w:t>2,201,467.70</w:t>
            </w:r>
          </w:p>
        </w:tc>
        <w:tc>
          <w:tcPr>
            <w:tcW w:w="136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sz w:val="18"/>
              </w:rPr>
              <w:t>5.01</w:t>
            </w:r>
          </w:p>
        </w:tc>
      </w:tr>
    </w:tbl>
    <w:p>
      <w:pPr>
        <w:spacing w:line="240" w:lineRule="auto" w:before="12"/>
        <w:rPr>
          <w:rFonts w:ascii="宋体" w:hAnsi="宋体" w:cs="宋体" w:eastAsia="宋体" w:hint="default"/>
          <w:sz w:val="23"/>
          <w:szCs w:val="23"/>
        </w:rPr>
      </w:pPr>
    </w:p>
    <w:p>
      <w:pPr>
        <w:pStyle w:val="BodyText"/>
        <w:spacing w:line="240" w:lineRule="auto"/>
        <w:ind w:left="237" w:right="0"/>
        <w:jc w:val="left"/>
      </w:pPr>
      <w:r>
        <w:rPr>
          <w:rFonts w:ascii="Arial" w:hAnsi="Arial" w:cs="Arial" w:eastAsia="Arial" w:hint="default"/>
        </w:rPr>
        <w:t>12.1.3</w:t>
      </w:r>
      <w:r>
        <w:rPr>
          <w:rFonts w:ascii="Arial" w:hAnsi="Arial" w:cs="Arial" w:eastAsia="Arial" w:hint="default"/>
          <w:spacing w:val="-16"/>
        </w:rPr>
        <w:t> </w:t>
      </w:r>
      <w:r>
        <w:rPr/>
        <w:t>组合中，按款项性质计提坏账准备的应收账款</w:t>
      </w:r>
    </w:p>
    <w:p>
      <w:pPr>
        <w:spacing w:line="240" w:lineRule="auto" w:before="3"/>
        <w:rPr>
          <w:rFonts w:ascii="宋体" w:hAnsi="宋体" w:cs="宋体" w:eastAsia="宋体" w:hint="default"/>
          <w:sz w:val="12"/>
          <w:szCs w:val="12"/>
        </w:rPr>
      </w:pPr>
    </w:p>
    <w:tbl>
      <w:tblPr>
        <w:tblW w:w="0" w:type="auto"/>
        <w:jc w:val="left"/>
        <w:tblInd w:w="191" w:type="dxa"/>
        <w:tblLayout w:type="fixed"/>
        <w:tblCellMar>
          <w:top w:w="0" w:type="dxa"/>
          <w:left w:w="0" w:type="dxa"/>
          <w:bottom w:w="0" w:type="dxa"/>
          <w:right w:w="0" w:type="dxa"/>
        </w:tblCellMar>
        <w:tblLook w:val="01E0"/>
      </w:tblPr>
      <w:tblGrid>
        <w:gridCol w:w="2729"/>
        <w:gridCol w:w="1322"/>
        <w:gridCol w:w="1543"/>
        <w:gridCol w:w="1534"/>
        <w:gridCol w:w="1574"/>
      </w:tblGrid>
      <w:tr>
        <w:trPr>
          <w:trHeight w:val="485" w:hRule="exact"/>
        </w:trPr>
        <w:tc>
          <w:tcPr>
            <w:tcW w:w="27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2" w:right="0"/>
              <w:jc w:val="center"/>
              <w:rPr>
                <w:rFonts w:ascii="宋体" w:hAnsi="宋体" w:cs="宋体" w:eastAsia="宋体" w:hint="default"/>
                <w:sz w:val="18"/>
                <w:szCs w:val="18"/>
              </w:rPr>
            </w:pPr>
            <w:r>
              <w:rPr>
                <w:rFonts w:ascii="宋体" w:hAnsi="宋体" w:cs="宋体" w:eastAsia="宋体" w:hint="default"/>
                <w:sz w:val="18"/>
                <w:szCs w:val="18"/>
              </w:rPr>
              <w:t>应收账款内容</w:t>
            </w:r>
          </w:p>
        </w:tc>
        <w:tc>
          <w:tcPr>
            <w:tcW w:w="13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Arial" w:hAnsi="Arial" w:cs="Arial" w:eastAsia="Arial" w:hint="default"/>
                <w:sz w:val="18"/>
                <w:szCs w:val="18"/>
              </w:rPr>
            </w:pPr>
            <w:r>
              <w:rPr>
                <w:rFonts w:ascii="宋体" w:hAnsi="宋体" w:cs="宋体" w:eastAsia="宋体" w:hint="default"/>
                <w:sz w:val="18"/>
                <w:szCs w:val="18"/>
              </w:rPr>
              <w:t>计提比例</w:t>
            </w:r>
            <w:r>
              <w:rPr>
                <w:rFonts w:ascii="Arial" w:hAnsi="Arial" w:cs="Arial" w:eastAsia="Arial" w:hint="default"/>
                <w:sz w:val="18"/>
                <w:szCs w:val="18"/>
              </w:rPr>
              <w:t>(%)</w:t>
            </w:r>
          </w:p>
        </w:tc>
        <w:tc>
          <w:tcPr>
            <w:tcW w:w="15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85" w:hRule="exact"/>
        </w:trPr>
        <w:tc>
          <w:tcPr>
            <w:tcW w:w="27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浙江南方科技有限公司</w:t>
            </w:r>
          </w:p>
        </w:tc>
        <w:tc>
          <w:tcPr>
            <w:tcW w:w="13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4"/>
              <w:ind w:right="1"/>
              <w:jc w:val="center"/>
              <w:rPr>
                <w:rFonts w:ascii="Arial" w:hAnsi="Arial" w:cs="Arial" w:eastAsia="Arial" w:hint="default"/>
                <w:sz w:val="18"/>
                <w:szCs w:val="18"/>
              </w:rPr>
            </w:pPr>
            <w:r>
              <w:rPr>
                <w:rFonts w:ascii="Arial"/>
                <w:sz w:val="18"/>
              </w:rPr>
              <w:t>447,781.51</w:t>
            </w:r>
          </w:p>
        </w:tc>
        <w:tc>
          <w:tcPr>
            <w:tcW w:w="15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4"/>
              <w:ind w:left="304" w:right="0"/>
              <w:jc w:val="left"/>
              <w:rPr>
                <w:rFonts w:ascii="Arial" w:hAnsi="Arial" w:cs="Arial" w:eastAsia="Arial" w:hint="default"/>
                <w:sz w:val="18"/>
                <w:szCs w:val="18"/>
              </w:rPr>
            </w:pPr>
            <w:r>
              <w:rPr>
                <w:rFonts w:ascii="Arial"/>
                <w:sz w:val="18"/>
              </w:rPr>
              <w:t>447,781.51</w:t>
            </w:r>
          </w:p>
        </w:tc>
        <w:tc>
          <w:tcPr>
            <w:tcW w:w="15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4"/>
              <w:ind w:left="1" w:right="0"/>
              <w:jc w:val="center"/>
              <w:rPr>
                <w:rFonts w:ascii="Arial" w:hAnsi="Arial" w:cs="Arial" w:eastAsia="Arial" w:hint="default"/>
                <w:sz w:val="18"/>
                <w:szCs w:val="18"/>
              </w:rPr>
            </w:pPr>
            <w:r>
              <w:rPr>
                <w:rFonts w:ascii="Arial"/>
                <w:sz w:val="18"/>
              </w:rPr>
              <w:t>100.00</w:t>
            </w:r>
          </w:p>
        </w:tc>
        <w:tc>
          <w:tcPr>
            <w:tcW w:w="15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right="2"/>
              <w:jc w:val="center"/>
              <w:rPr>
                <w:rFonts w:ascii="宋体" w:hAnsi="宋体" w:cs="宋体" w:eastAsia="宋体" w:hint="default"/>
                <w:sz w:val="18"/>
                <w:szCs w:val="18"/>
              </w:rPr>
            </w:pPr>
            <w:r>
              <w:rPr>
                <w:rFonts w:ascii="宋体" w:hAnsi="宋体" w:cs="宋体" w:eastAsia="宋体" w:hint="default"/>
                <w:sz w:val="18"/>
                <w:szCs w:val="18"/>
              </w:rPr>
              <w:t>客户破产</w:t>
            </w:r>
          </w:p>
        </w:tc>
      </w:tr>
      <w:tr>
        <w:trPr>
          <w:trHeight w:val="840" w:hRule="exact"/>
        </w:trPr>
        <w:tc>
          <w:tcPr>
            <w:tcW w:w="2729" w:type="dxa"/>
            <w:tcBorders>
              <w:top w:val="single" w:sz="12" w:space="0" w:color="000000"/>
              <w:left w:val="single" w:sz="12" w:space="0" w:color="000000"/>
              <w:bottom w:val="single" w:sz="12" w:space="0" w:color="000000"/>
              <w:right w:val="single" w:sz="12" w:space="0" w:color="000000"/>
            </w:tcBorders>
          </w:tcPr>
          <w:p>
            <w:pPr>
              <w:pStyle w:val="TableParagraph"/>
              <w:spacing w:line="412" w:lineRule="auto" w:before="58"/>
              <w:ind w:left="1262" w:right="175" w:hanging="1080"/>
              <w:jc w:val="left"/>
              <w:rPr>
                <w:rFonts w:ascii="宋体" w:hAnsi="宋体" w:cs="宋体" w:eastAsia="宋体" w:hint="default"/>
                <w:sz w:val="18"/>
                <w:szCs w:val="18"/>
              </w:rPr>
            </w:pPr>
            <w:r>
              <w:rPr>
                <w:rFonts w:ascii="宋体" w:hAnsi="宋体" w:cs="宋体" w:eastAsia="宋体" w:hint="default"/>
                <w:sz w:val="18"/>
                <w:szCs w:val="18"/>
              </w:rPr>
              <w:t>福建晋江富盛织造漂染有限公</w:t>
            </w:r>
            <w:r>
              <w:rPr>
                <w:rFonts w:ascii="宋体" w:hAnsi="宋体" w:cs="宋体" w:eastAsia="宋体" w:hint="default"/>
                <w:w w:val="99"/>
                <w:sz w:val="18"/>
                <w:szCs w:val="18"/>
              </w:rPr>
              <w:t> </w:t>
            </w:r>
            <w:r>
              <w:rPr>
                <w:rFonts w:ascii="宋体" w:hAnsi="宋体" w:cs="宋体" w:eastAsia="宋体" w:hint="default"/>
                <w:sz w:val="18"/>
                <w:szCs w:val="18"/>
              </w:rPr>
              <w:t>司</w:t>
            </w:r>
          </w:p>
        </w:tc>
        <w:tc>
          <w:tcPr>
            <w:tcW w:w="13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3"/>
              <w:jc w:val="center"/>
              <w:rPr>
                <w:rFonts w:ascii="Arial" w:hAnsi="Arial" w:cs="Arial" w:eastAsia="Arial" w:hint="default"/>
                <w:sz w:val="18"/>
                <w:szCs w:val="18"/>
              </w:rPr>
            </w:pPr>
            <w:r>
              <w:rPr>
                <w:rFonts w:ascii="Arial"/>
                <w:sz w:val="18"/>
              </w:rPr>
              <w:t>114,125.00</w:t>
            </w:r>
          </w:p>
        </w:tc>
        <w:tc>
          <w:tcPr>
            <w:tcW w:w="15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311" w:right="0"/>
              <w:jc w:val="left"/>
              <w:rPr>
                <w:rFonts w:ascii="Arial" w:hAnsi="Arial" w:cs="Arial" w:eastAsia="Arial" w:hint="default"/>
                <w:sz w:val="18"/>
                <w:szCs w:val="18"/>
              </w:rPr>
            </w:pPr>
            <w:r>
              <w:rPr>
                <w:rFonts w:ascii="Arial"/>
                <w:sz w:val="18"/>
              </w:rPr>
              <w:t>114,125.00</w:t>
            </w:r>
          </w:p>
        </w:tc>
        <w:tc>
          <w:tcPr>
            <w:tcW w:w="15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 w:right="0"/>
              <w:jc w:val="center"/>
              <w:rPr>
                <w:rFonts w:ascii="Arial" w:hAnsi="Arial" w:cs="Arial" w:eastAsia="Arial" w:hint="default"/>
                <w:sz w:val="18"/>
                <w:szCs w:val="18"/>
              </w:rPr>
            </w:pPr>
            <w:r>
              <w:rPr>
                <w:rFonts w:ascii="Arial"/>
                <w:sz w:val="18"/>
              </w:rPr>
              <w:t>100.00</w:t>
            </w:r>
          </w:p>
        </w:tc>
        <w:tc>
          <w:tcPr>
            <w:tcW w:w="15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诉讼索赔结束</w:t>
            </w:r>
          </w:p>
        </w:tc>
      </w:tr>
      <w:tr>
        <w:trPr>
          <w:trHeight w:val="485" w:hRule="exact"/>
        </w:trPr>
        <w:tc>
          <w:tcPr>
            <w:tcW w:w="27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宋体" w:hAnsi="宋体" w:cs="宋体" w:eastAsia="宋体" w:hint="default"/>
                <w:sz w:val="18"/>
                <w:szCs w:val="18"/>
              </w:rPr>
              <w:t>苏州市帆顺织染有限公司</w:t>
            </w:r>
          </w:p>
        </w:tc>
        <w:tc>
          <w:tcPr>
            <w:tcW w:w="13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4"/>
              <w:ind w:right="3"/>
              <w:jc w:val="center"/>
              <w:rPr>
                <w:rFonts w:ascii="Arial" w:hAnsi="Arial" w:cs="Arial" w:eastAsia="Arial" w:hint="default"/>
                <w:sz w:val="18"/>
                <w:szCs w:val="18"/>
              </w:rPr>
            </w:pPr>
            <w:r>
              <w:rPr>
                <w:rFonts w:ascii="Arial"/>
                <w:sz w:val="18"/>
              </w:rPr>
              <w:t>44,648.00</w:t>
            </w:r>
          </w:p>
        </w:tc>
        <w:tc>
          <w:tcPr>
            <w:tcW w:w="15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4"/>
              <w:ind w:left="355" w:right="0"/>
              <w:jc w:val="left"/>
              <w:rPr>
                <w:rFonts w:ascii="Arial" w:hAnsi="Arial" w:cs="Arial" w:eastAsia="Arial" w:hint="default"/>
                <w:sz w:val="18"/>
                <w:szCs w:val="18"/>
              </w:rPr>
            </w:pPr>
            <w:r>
              <w:rPr>
                <w:rFonts w:ascii="Arial"/>
                <w:sz w:val="18"/>
              </w:rPr>
              <w:t>44,648.00</w:t>
            </w:r>
          </w:p>
        </w:tc>
        <w:tc>
          <w:tcPr>
            <w:tcW w:w="15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4"/>
              <w:ind w:left="1" w:right="0"/>
              <w:jc w:val="center"/>
              <w:rPr>
                <w:rFonts w:ascii="Arial" w:hAnsi="Arial" w:cs="Arial" w:eastAsia="Arial" w:hint="default"/>
                <w:sz w:val="18"/>
                <w:szCs w:val="18"/>
              </w:rPr>
            </w:pPr>
            <w:r>
              <w:rPr>
                <w:rFonts w:ascii="Arial"/>
                <w:sz w:val="18"/>
              </w:rPr>
              <w:t>100.00</w:t>
            </w:r>
          </w:p>
        </w:tc>
        <w:tc>
          <w:tcPr>
            <w:tcW w:w="15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right="2"/>
              <w:jc w:val="center"/>
              <w:rPr>
                <w:rFonts w:ascii="宋体" w:hAnsi="宋体" w:cs="宋体" w:eastAsia="宋体" w:hint="default"/>
                <w:sz w:val="18"/>
                <w:szCs w:val="18"/>
              </w:rPr>
            </w:pPr>
            <w:r>
              <w:rPr>
                <w:rFonts w:ascii="宋体" w:hAnsi="宋体" w:cs="宋体" w:eastAsia="宋体" w:hint="default"/>
                <w:sz w:val="18"/>
                <w:szCs w:val="18"/>
              </w:rPr>
              <w:t>诉讼索赔结束</w:t>
            </w:r>
          </w:p>
        </w:tc>
      </w:tr>
      <w:tr>
        <w:trPr>
          <w:trHeight w:val="482" w:hRule="exact"/>
        </w:trPr>
        <w:tc>
          <w:tcPr>
            <w:tcW w:w="27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606,554.51</w:t>
            </w:r>
          </w:p>
        </w:tc>
        <w:tc>
          <w:tcPr>
            <w:tcW w:w="15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left="304" w:right="0"/>
              <w:jc w:val="left"/>
              <w:rPr>
                <w:rFonts w:ascii="Arial" w:hAnsi="Arial" w:cs="Arial" w:eastAsia="Arial" w:hint="default"/>
                <w:sz w:val="18"/>
                <w:szCs w:val="18"/>
              </w:rPr>
            </w:pPr>
            <w:r>
              <w:rPr>
                <w:rFonts w:ascii="Arial"/>
                <w:sz w:val="18"/>
              </w:rPr>
              <w:t>606,554.51</w:t>
            </w:r>
          </w:p>
        </w:tc>
        <w:tc>
          <w:tcPr>
            <w:tcW w:w="1534" w:type="dxa"/>
            <w:tcBorders>
              <w:top w:val="single" w:sz="12" w:space="0" w:color="000000"/>
              <w:left w:val="single" w:sz="12" w:space="0" w:color="000000"/>
              <w:bottom w:val="single" w:sz="12" w:space="0" w:color="000000"/>
              <w:right w:val="single" w:sz="12" w:space="0" w:color="000000"/>
            </w:tcBorders>
          </w:tcPr>
          <w:p>
            <w:pPr/>
          </w:p>
        </w:tc>
        <w:tc>
          <w:tcPr>
            <w:tcW w:w="1574" w:type="dxa"/>
            <w:tcBorders>
              <w:top w:val="single" w:sz="12" w:space="0" w:color="000000"/>
              <w:left w:val="single" w:sz="12" w:space="0" w:color="000000"/>
              <w:bottom w:val="single" w:sz="12" w:space="0" w:color="000000"/>
              <w:right w:val="single" w:sz="12" w:space="0" w:color="000000"/>
            </w:tcBorders>
          </w:tcPr>
          <w:p>
            <w:pPr/>
          </w:p>
        </w:tc>
      </w:tr>
    </w:tbl>
    <w:p>
      <w:pPr>
        <w:spacing w:line="240" w:lineRule="auto" w:before="12"/>
        <w:rPr>
          <w:rFonts w:ascii="宋体" w:hAnsi="宋体" w:cs="宋体" w:eastAsia="宋体" w:hint="default"/>
          <w:sz w:val="23"/>
          <w:szCs w:val="23"/>
        </w:rPr>
      </w:pPr>
    </w:p>
    <w:p>
      <w:pPr>
        <w:pStyle w:val="BodyText"/>
        <w:spacing w:line="240" w:lineRule="auto"/>
        <w:ind w:left="237" w:right="0"/>
        <w:jc w:val="left"/>
      </w:pPr>
      <w:r>
        <w:rPr>
          <w:rFonts w:ascii="Arial" w:hAnsi="Arial" w:cs="Arial" w:eastAsia="Arial" w:hint="default"/>
        </w:rPr>
        <w:t>12.1.4</w:t>
      </w:r>
      <w:r>
        <w:rPr>
          <w:rFonts w:ascii="Arial" w:hAnsi="Arial" w:cs="Arial" w:eastAsia="Arial" w:hint="default"/>
          <w:spacing w:val="-13"/>
        </w:rPr>
        <w:t> </w:t>
      </w:r>
      <w:r>
        <w:rPr/>
        <w:t>本报告期应收账款中无欠持公司</w:t>
      </w:r>
      <w:r>
        <w:rPr>
          <w:spacing w:val="-59"/>
        </w:rPr>
        <w:t> </w:t>
      </w:r>
      <w:r>
        <w:rPr>
          <w:rFonts w:ascii="Arial" w:hAnsi="Arial" w:cs="Arial" w:eastAsia="Arial" w:hint="default"/>
        </w:rPr>
        <w:t>5%</w:t>
      </w:r>
      <w:r>
        <w:rPr/>
        <w:t>以上</w:t>
      </w:r>
      <w:r>
        <w:rPr>
          <w:rFonts w:ascii="Arial" w:hAnsi="Arial" w:cs="Arial" w:eastAsia="Arial" w:hint="default"/>
        </w:rPr>
        <w:t>(</w:t>
      </w:r>
      <w:r>
        <w:rPr/>
        <w:t>含</w:t>
      </w:r>
      <w:r>
        <w:rPr>
          <w:spacing w:val="-59"/>
        </w:rPr>
        <w:t> </w:t>
      </w:r>
      <w:r>
        <w:rPr>
          <w:rFonts w:ascii="Arial" w:hAnsi="Arial" w:cs="Arial" w:eastAsia="Arial" w:hint="default"/>
        </w:rPr>
        <w:t>5%)</w:t>
      </w:r>
      <w:r>
        <w:rPr/>
        <w:t>表决权股份的股东款项。</w:t>
      </w:r>
    </w:p>
    <w:p>
      <w:pPr>
        <w:pStyle w:val="BodyText"/>
        <w:spacing w:line="240" w:lineRule="auto" w:before="126"/>
        <w:ind w:left="237" w:right="0"/>
        <w:jc w:val="left"/>
      </w:pPr>
      <w:r>
        <w:rPr>
          <w:rFonts w:ascii="Arial" w:hAnsi="Arial" w:cs="Arial" w:eastAsia="Arial" w:hint="default"/>
        </w:rPr>
        <w:t>12.1.5</w:t>
      </w:r>
      <w:r>
        <w:rPr>
          <w:rFonts w:ascii="Arial" w:hAnsi="Arial" w:cs="Arial" w:eastAsia="Arial" w:hint="default"/>
          <w:spacing w:val="-12"/>
        </w:rPr>
        <w:t> </w:t>
      </w:r>
      <w:r>
        <w:rPr/>
        <w:t>应收账款余额前五名单位情况</w:t>
      </w:r>
    </w:p>
    <w:p>
      <w:pPr>
        <w:spacing w:line="240" w:lineRule="auto" w:before="3"/>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2861"/>
        <w:gridCol w:w="1303"/>
        <w:gridCol w:w="1522"/>
        <w:gridCol w:w="1524"/>
        <w:gridCol w:w="1567"/>
      </w:tblGrid>
      <w:tr>
        <w:trPr>
          <w:trHeight w:val="636" w:hRule="exact"/>
        </w:trPr>
        <w:tc>
          <w:tcPr>
            <w:tcW w:w="28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03"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与本公司</w:t>
            </w:r>
          </w:p>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关系</w:t>
            </w:r>
          </w:p>
        </w:tc>
        <w:tc>
          <w:tcPr>
            <w:tcW w:w="15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3"/>
              <w:ind w:right="103"/>
              <w:jc w:val="center"/>
              <w:rPr>
                <w:rFonts w:ascii="宋体" w:hAnsi="宋体" w:cs="宋体" w:eastAsia="宋体" w:hint="default"/>
                <w:sz w:val="18"/>
                <w:szCs w:val="18"/>
              </w:rPr>
            </w:pPr>
            <w:r>
              <w:rPr>
                <w:rFonts w:ascii="宋体" w:hAnsi="宋体" w:cs="宋体" w:eastAsia="宋体" w:hint="default"/>
                <w:sz w:val="18"/>
                <w:szCs w:val="18"/>
              </w:rPr>
              <w:t>金额</w:t>
            </w:r>
          </w:p>
        </w:tc>
        <w:tc>
          <w:tcPr>
            <w:tcW w:w="152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567"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占应收账款总额</w:t>
            </w:r>
          </w:p>
          <w:p>
            <w:pPr>
              <w:pStyle w:val="TableParagraph"/>
              <w:spacing w:line="240" w:lineRule="auto" w:before="67"/>
              <w:ind w:right="0"/>
              <w:jc w:val="center"/>
              <w:rPr>
                <w:rFonts w:ascii="Arial" w:hAnsi="Arial" w:cs="Arial" w:eastAsia="Arial"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p>
        </w:tc>
      </w:tr>
      <w:tr>
        <w:trPr>
          <w:trHeight w:val="485" w:hRule="exact"/>
        </w:trPr>
        <w:tc>
          <w:tcPr>
            <w:tcW w:w="28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汕头市龙凤印染有限公司</w:t>
            </w:r>
          </w:p>
        </w:tc>
        <w:tc>
          <w:tcPr>
            <w:tcW w:w="13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5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3,188,200.00</w:t>
            </w:r>
          </w:p>
        </w:tc>
        <w:tc>
          <w:tcPr>
            <w:tcW w:w="152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年以内</w:t>
            </w:r>
          </w:p>
        </w:tc>
        <w:tc>
          <w:tcPr>
            <w:tcW w:w="15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left="592" w:right="0"/>
              <w:jc w:val="left"/>
              <w:rPr>
                <w:rFonts w:ascii="Arial" w:hAnsi="Arial" w:cs="Arial" w:eastAsia="Arial" w:hint="default"/>
                <w:sz w:val="18"/>
                <w:szCs w:val="18"/>
              </w:rPr>
            </w:pPr>
            <w:r>
              <w:rPr>
                <w:rFonts w:ascii="Arial"/>
                <w:sz w:val="18"/>
              </w:rPr>
              <w:t>7.36</w:t>
            </w:r>
          </w:p>
        </w:tc>
      </w:tr>
      <w:tr>
        <w:trPr>
          <w:trHeight w:val="485" w:hRule="exact"/>
        </w:trPr>
        <w:tc>
          <w:tcPr>
            <w:tcW w:w="28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绍兴县建利印染有限公司</w:t>
            </w:r>
          </w:p>
        </w:tc>
        <w:tc>
          <w:tcPr>
            <w:tcW w:w="13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5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2,420,575.00</w:t>
            </w:r>
          </w:p>
        </w:tc>
        <w:tc>
          <w:tcPr>
            <w:tcW w:w="152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年以内</w:t>
            </w:r>
          </w:p>
        </w:tc>
        <w:tc>
          <w:tcPr>
            <w:tcW w:w="15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left="592" w:right="0"/>
              <w:jc w:val="left"/>
              <w:rPr>
                <w:rFonts w:ascii="Arial" w:hAnsi="Arial" w:cs="Arial" w:eastAsia="Arial" w:hint="default"/>
                <w:sz w:val="18"/>
                <w:szCs w:val="18"/>
              </w:rPr>
            </w:pPr>
            <w:r>
              <w:rPr>
                <w:rFonts w:ascii="Arial"/>
                <w:sz w:val="18"/>
              </w:rPr>
              <w:t>5.59</w:t>
            </w:r>
          </w:p>
        </w:tc>
      </w:tr>
      <w:tr>
        <w:trPr>
          <w:trHeight w:val="482" w:hRule="exact"/>
        </w:trPr>
        <w:tc>
          <w:tcPr>
            <w:tcW w:w="28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浙江稽山特宽幅印花有限公司</w:t>
            </w:r>
          </w:p>
        </w:tc>
        <w:tc>
          <w:tcPr>
            <w:tcW w:w="13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5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1,658,760.00</w:t>
            </w:r>
          </w:p>
        </w:tc>
        <w:tc>
          <w:tcPr>
            <w:tcW w:w="152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年以内</w:t>
            </w:r>
          </w:p>
        </w:tc>
        <w:tc>
          <w:tcPr>
            <w:tcW w:w="15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left="592" w:right="0"/>
              <w:jc w:val="left"/>
              <w:rPr>
                <w:rFonts w:ascii="Arial" w:hAnsi="Arial" w:cs="Arial" w:eastAsia="Arial" w:hint="default"/>
                <w:sz w:val="18"/>
                <w:szCs w:val="18"/>
              </w:rPr>
            </w:pPr>
            <w:r>
              <w:rPr>
                <w:rFonts w:ascii="Arial"/>
                <w:sz w:val="18"/>
              </w:rPr>
              <w:t>3.83</w:t>
            </w:r>
          </w:p>
        </w:tc>
      </w:tr>
      <w:tr>
        <w:trPr>
          <w:trHeight w:val="485" w:hRule="exact"/>
        </w:trPr>
        <w:tc>
          <w:tcPr>
            <w:tcW w:w="28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嘉兴富胜达染整有限公司</w:t>
            </w:r>
          </w:p>
        </w:tc>
        <w:tc>
          <w:tcPr>
            <w:tcW w:w="13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5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1,260,627.33</w:t>
            </w:r>
          </w:p>
        </w:tc>
        <w:tc>
          <w:tcPr>
            <w:tcW w:w="152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年以内</w:t>
            </w:r>
          </w:p>
        </w:tc>
        <w:tc>
          <w:tcPr>
            <w:tcW w:w="15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left="592" w:right="0"/>
              <w:jc w:val="left"/>
              <w:rPr>
                <w:rFonts w:ascii="Arial" w:hAnsi="Arial" w:cs="Arial" w:eastAsia="Arial" w:hint="default"/>
                <w:sz w:val="18"/>
                <w:szCs w:val="18"/>
              </w:rPr>
            </w:pPr>
            <w:r>
              <w:rPr>
                <w:rFonts w:ascii="Arial"/>
                <w:sz w:val="18"/>
              </w:rPr>
              <w:t>2.91</w:t>
            </w:r>
          </w:p>
        </w:tc>
      </w:tr>
      <w:tr>
        <w:trPr>
          <w:trHeight w:val="485" w:hRule="exact"/>
        </w:trPr>
        <w:tc>
          <w:tcPr>
            <w:tcW w:w="28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苏州金震纺织有限公司</w:t>
            </w:r>
          </w:p>
        </w:tc>
        <w:tc>
          <w:tcPr>
            <w:tcW w:w="130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5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1,015,415.00</w:t>
            </w:r>
          </w:p>
        </w:tc>
        <w:tc>
          <w:tcPr>
            <w:tcW w:w="152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年以内</w:t>
            </w:r>
          </w:p>
        </w:tc>
        <w:tc>
          <w:tcPr>
            <w:tcW w:w="15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left="592" w:right="0"/>
              <w:jc w:val="left"/>
              <w:rPr>
                <w:rFonts w:ascii="Arial" w:hAnsi="Arial" w:cs="Arial" w:eastAsia="Arial" w:hint="default"/>
                <w:sz w:val="18"/>
                <w:szCs w:val="18"/>
              </w:rPr>
            </w:pPr>
            <w:r>
              <w:rPr>
                <w:rFonts w:ascii="Arial"/>
                <w:sz w:val="18"/>
              </w:rPr>
              <w:t>2.35</w:t>
            </w:r>
          </w:p>
        </w:tc>
      </w:tr>
      <w:tr>
        <w:trPr>
          <w:trHeight w:val="482" w:hRule="exact"/>
        </w:trPr>
        <w:tc>
          <w:tcPr>
            <w:tcW w:w="28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03" w:type="dxa"/>
            <w:tcBorders>
              <w:top w:val="single" w:sz="12" w:space="0" w:color="000000"/>
              <w:left w:val="single" w:sz="12" w:space="0" w:color="000000"/>
              <w:bottom w:val="single" w:sz="12" w:space="0" w:color="000000"/>
              <w:right w:val="single" w:sz="12" w:space="0" w:color="000000"/>
            </w:tcBorders>
          </w:tcPr>
          <w:p>
            <w:pPr/>
          </w:p>
        </w:tc>
        <w:tc>
          <w:tcPr>
            <w:tcW w:w="15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9,543,577.33</w:t>
            </w:r>
          </w:p>
        </w:tc>
        <w:tc>
          <w:tcPr>
            <w:tcW w:w="1524" w:type="dxa"/>
            <w:tcBorders>
              <w:top w:val="single" w:sz="12" w:space="0" w:color="000000"/>
              <w:left w:val="single" w:sz="12" w:space="0" w:color="000000"/>
              <w:bottom w:val="single" w:sz="12" w:space="0" w:color="000000"/>
              <w:right w:val="single" w:sz="12" w:space="0" w:color="000000"/>
            </w:tcBorders>
          </w:tcPr>
          <w:p>
            <w:pPr/>
          </w:p>
        </w:tc>
        <w:tc>
          <w:tcPr>
            <w:tcW w:w="15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left="542" w:right="0"/>
              <w:jc w:val="left"/>
              <w:rPr>
                <w:rFonts w:ascii="Arial" w:hAnsi="Arial" w:cs="Arial" w:eastAsia="Arial" w:hint="default"/>
                <w:sz w:val="18"/>
                <w:szCs w:val="18"/>
              </w:rPr>
            </w:pPr>
            <w:r>
              <w:rPr>
                <w:rFonts w:ascii="Arial"/>
                <w:sz w:val="18"/>
              </w:rPr>
              <w:t>22.04</w:t>
            </w:r>
          </w:p>
        </w:tc>
      </w:tr>
    </w:tbl>
    <w:p>
      <w:pPr>
        <w:spacing w:line="240" w:lineRule="auto" w:before="12"/>
        <w:rPr>
          <w:rFonts w:ascii="宋体" w:hAnsi="宋体" w:cs="宋体" w:eastAsia="宋体" w:hint="default"/>
          <w:sz w:val="23"/>
          <w:szCs w:val="23"/>
        </w:rPr>
      </w:pPr>
    </w:p>
    <w:p>
      <w:pPr>
        <w:pStyle w:val="BodyText"/>
        <w:spacing w:line="240" w:lineRule="auto"/>
        <w:ind w:left="237" w:right="0"/>
        <w:jc w:val="left"/>
      </w:pPr>
      <w:r>
        <w:rPr>
          <w:rFonts w:ascii="Arial" w:hAnsi="Arial" w:cs="Arial" w:eastAsia="Arial" w:hint="default"/>
        </w:rPr>
        <w:t>12.2</w:t>
      </w:r>
      <w:r>
        <w:rPr>
          <w:rFonts w:ascii="Arial" w:hAnsi="Arial" w:cs="Arial" w:eastAsia="Arial" w:hint="default"/>
          <w:spacing w:val="-7"/>
        </w:rPr>
        <w:t> </w:t>
      </w:r>
      <w:r>
        <w:rPr/>
        <w:t>其他应收款</w:t>
      </w:r>
    </w:p>
    <w:p>
      <w:pPr>
        <w:pStyle w:val="BodyText"/>
        <w:spacing w:line="240" w:lineRule="auto" w:before="123"/>
        <w:ind w:left="237" w:right="0"/>
        <w:jc w:val="left"/>
      </w:pPr>
      <w:r>
        <w:rPr>
          <w:rFonts w:ascii="Arial" w:hAnsi="Arial" w:cs="Arial" w:eastAsia="Arial" w:hint="default"/>
        </w:rPr>
        <w:t>12.2.1</w:t>
      </w:r>
      <w:r>
        <w:rPr>
          <w:rFonts w:ascii="Arial" w:hAnsi="Arial" w:cs="Arial" w:eastAsia="Arial" w:hint="default"/>
          <w:spacing w:val="44"/>
        </w:rPr>
        <w:t> </w:t>
      </w:r>
      <w:r>
        <w:rPr/>
        <w:t>其他应收账款按种类分析如下：</w:t>
      </w:r>
    </w:p>
    <w:p>
      <w:pPr>
        <w:spacing w:line="240" w:lineRule="auto" w:before="3"/>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3134"/>
        <w:gridCol w:w="1613"/>
        <w:gridCol w:w="1279"/>
        <w:gridCol w:w="1538"/>
        <w:gridCol w:w="1224"/>
      </w:tblGrid>
      <w:tr>
        <w:trPr>
          <w:trHeight w:val="334" w:hRule="exact"/>
        </w:trPr>
        <w:tc>
          <w:tcPr>
            <w:tcW w:w="3134" w:type="dxa"/>
            <w:vMerge w:val="restart"/>
            <w:tcBorders>
              <w:top w:val="single" w:sz="12" w:space="0" w:color="000000"/>
              <w:left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654" w:type="dxa"/>
            <w:gridSpan w:val="4"/>
            <w:tcBorders>
              <w:top w:val="single" w:sz="12" w:space="0" w:color="000000"/>
              <w:left w:val="single" w:sz="12" w:space="0" w:color="000000"/>
              <w:bottom w:val="single" w:sz="12" w:space="0" w:color="000000"/>
              <w:right w:val="single" w:sz="12" w:space="0" w:color="000000"/>
            </w:tcBorders>
          </w:tcPr>
          <w:p>
            <w:pPr>
              <w:pStyle w:val="TableParagraph"/>
              <w:spacing w:line="221" w:lineRule="exact"/>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334" w:hRule="exact"/>
        </w:trPr>
        <w:tc>
          <w:tcPr>
            <w:tcW w:w="3134" w:type="dxa"/>
            <w:vMerge/>
            <w:tcBorders>
              <w:left w:val="single" w:sz="12" w:space="0" w:color="000000"/>
              <w:right w:val="single" w:sz="12" w:space="0" w:color="000000"/>
            </w:tcBorders>
          </w:tcPr>
          <w:p>
            <w:pPr/>
          </w:p>
        </w:tc>
        <w:tc>
          <w:tcPr>
            <w:tcW w:w="2892"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62"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34" w:hRule="exact"/>
        </w:trPr>
        <w:tc>
          <w:tcPr>
            <w:tcW w:w="3134" w:type="dxa"/>
            <w:vMerge/>
            <w:tcBorders>
              <w:left w:val="single" w:sz="12" w:space="0" w:color="000000"/>
              <w:bottom w:val="single" w:sz="12" w:space="0" w:color="000000"/>
              <w:right w:val="single" w:sz="12" w:space="0" w:color="000000"/>
            </w:tcBorders>
          </w:tcPr>
          <w:p>
            <w:pPr/>
          </w:p>
        </w:tc>
        <w:tc>
          <w:tcPr>
            <w:tcW w:w="1613"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9" w:type="dxa"/>
            <w:tcBorders>
              <w:top w:val="single" w:sz="12" w:space="0" w:color="000000"/>
              <w:left w:val="single" w:sz="12" w:space="0" w:color="000000"/>
              <w:bottom w:val="single" w:sz="12" w:space="0" w:color="000000"/>
              <w:right w:val="single" w:sz="12" w:space="0" w:color="000000"/>
            </w:tcBorders>
          </w:tcPr>
          <w:p>
            <w:pPr>
              <w:pStyle w:val="TableParagraph"/>
              <w:spacing w:line="221" w:lineRule="exact"/>
              <w:ind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c>
          <w:tcPr>
            <w:tcW w:w="1538"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24" w:type="dxa"/>
            <w:tcBorders>
              <w:top w:val="single" w:sz="12" w:space="0" w:color="000000"/>
              <w:left w:val="single" w:sz="12" w:space="0" w:color="000000"/>
              <w:bottom w:val="single" w:sz="12" w:space="0" w:color="000000"/>
              <w:right w:val="single" w:sz="12" w:space="0" w:color="000000"/>
            </w:tcBorders>
          </w:tcPr>
          <w:p>
            <w:pPr>
              <w:pStyle w:val="TableParagraph"/>
              <w:spacing w:line="221" w:lineRule="exact"/>
              <w:ind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r>
      <w:tr>
        <w:trPr>
          <w:trHeight w:val="636" w:hRule="exact"/>
        </w:trPr>
        <w:tc>
          <w:tcPr>
            <w:tcW w:w="3134"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w:t>
            </w:r>
          </w:p>
          <w:p>
            <w:pPr>
              <w:pStyle w:val="TableParagraph"/>
              <w:spacing w:line="240" w:lineRule="auto" w:before="69"/>
              <w:ind w:left="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12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15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122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center"/>
        <w:rPr>
          <w:rFonts w:ascii="Arial" w:hAnsi="Arial" w:cs="Arial" w:eastAsia="Arial" w:hint="default"/>
          <w:sz w:val="18"/>
          <w:szCs w:val="18"/>
        </w:rPr>
        <w:sectPr>
          <w:pgSz w:w="11900" w:h="16840"/>
          <w:pgMar w:header="0" w:footer="983" w:top="1100" w:bottom="1180" w:left="1560" w:right="1280"/>
        </w:sectPr>
      </w:pPr>
    </w:p>
    <w:p>
      <w:pPr>
        <w:spacing w:line="240" w:lineRule="auto" w:before="8"/>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3134"/>
        <w:gridCol w:w="1613"/>
        <w:gridCol w:w="1279"/>
        <w:gridCol w:w="1538"/>
        <w:gridCol w:w="1224"/>
      </w:tblGrid>
      <w:tr>
        <w:trPr>
          <w:trHeight w:val="434" w:hRule="exact"/>
        </w:trPr>
        <w:tc>
          <w:tcPr>
            <w:tcW w:w="31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2"/>
              <w:ind w:left="93"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16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pacing w:val="-3"/>
                <w:sz w:val="18"/>
              </w:rPr>
              <w:t>8,116,644.11</w:t>
            </w:r>
          </w:p>
        </w:tc>
        <w:tc>
          <w:tcPr>
            <w:tcW w:w="12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sz w:val="18"/>
              </w:rPr>
              <w:t>100.00</w:t>
            </w:r>
          </w:p>
        </w:tc>
        <w:tc>
          <w:tcPr>
            <w:tcW w:w="15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0"/>
              <w:jc w:val="center"/>
              <w:rPr>
                <w:rFonts w:ascii="Arial" w:hAnsi="Arial" w:cs="Arial" w:eastAsia="Arial" w:hint="default"/>
                <w:sz w:val="18"/>
                <w:szCs w:val="18"/>
              </w:rPr>
            </w:pPr>
            <w:r>
              <w:rPr>
                <w:rFonts w:ascii="Arial"/>
                <w:sz w:val="18"/>
              </w:rPr>
              <w:t>4,348.40</w:t>
            </w:r>
          </w:p>
        </w:tc>
        <w:tc>
          <w:tcPr>
            <w:tcW w:w="122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sz w:val="18"/>
              </w:rPr>
              <w:t>0.05</w:t>
            </w:r>
          </w:p>
        </w:tc>
      </w:tr>
      <w:tr>
        <w:trPr>
          <w:trHeight w:val="437" w:hRule="exact"/>
        </w:trPr>
        <w:tc>
          <w:tcPr>
            <w:tcW w:w="31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2"/>
              <w:ind w:left="93"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）按款项性质的组合</w:t>
            </w:r>
          </w:p>
        </w:tc>
        <w:tc>
          <w:tcPr>
            <w:tcW w:w="16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sz w:val="18"/>
              </w:rPr>
              <w:t>7,700,000.00</w:t>
            </w:r>
          </w:p>
        </w:tc>
        <w:tc>
          <w:tcPr>
            <w:tcW w:w="12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94.87</w:t>
            </w:r>
          </w:p>
        </w:tc>
        <w:tc>
          <w:tcPr>
            <w:tcW w:w="15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0"/>
              <w:jc w:val="center"/>
              <w:rPr>
                <w:rFonts w:ascii="Arial" w:hAnsi="Arial" w:cs="Arial" w:eastAsia="Arial" w:hint="default"/>
                <w:sz w:val="18"/>
                <w:szCs w:val="18"/>
              </w:rPr>
            </w:pPr>
            <w:r>
              <w:rPr>
                <w:rFonts w:ascii="Arial"/>
                <w:w w:val="99"/>
                <w:sz w:val="18"/>
              </w:rPr>
              <w:t>-</w:t>
            </w:r>
            <w:r>
              <w:rPr>
                <w:rFonts w:ascii="Arial"/>
                <w:sz w:val="18"/>
              </w:rPr>
            </w:r>
          </w:p>
        </w:tc>
        <w:tc>
          <w:tcPr>
            <w:tcW w:w="122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34" w:hRule="exact"/>
        </w:trPr>
        <w:tc>
          <w:tcPr>
            <w:tcW w:w="31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2"/>
              <w:ind w:left="93"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2</w:t>
            </w:r>
            <w:r>
              <w:rPr>
                <w:rFonts w:ascii="宋体" w:hAnsi="宋体" w:cs="宋体" w:eastAsia="宋体" w:hint="default"/>
                <w:sz w:val="18"/>
                <w:szCs w:val="18"/>
              </w:rPr>
              <w:t>）按款项账龄的组合</w:t>
            </w:r>
          </w:p>
        </w:tc>
        <w:tc>
          <w:tcPr>
            <w:tcW w:w="16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sz w:val="18"/>
              </w:rPr>
              <w:t>416,644.11</w:t>
            </w:r>
          </w:p>
        </w:tc>
        <w:tc>
          <w:tcPr>
            <w:tcW w:w="12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5.13</w:t>
            </w:r>
          </w:p>
        </w:tc>
        <w:tc>
          <w:tcPr>
            <w:tcW w:w="15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0"/>
              <w:jc w:val="center"/>
              <w:rPr>
                <w:rFonts w:ascii="Arial" w:hAnsi="Arial" w:cs="Arial" w:eastAsia="Arial" w:hint="default"/>
                <w:sz w:val="18"/>
                <w:szCs w:val="18"/>
              </w:rPr>
            </w:pPr>
            <w:r>
              <w:rPr>
                <w:rFonts w:ascii="Arial"/>
                <w:sz w:val="18"/>
              </w:rPr>
              <w:t>4,348.40</w:t>
            </w:r>
          </w:p>
        </w:tc>
        <w:tc>
          <w:tcPr>
            <w:tcW w:w="122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sz w:val="18"/>
              </w:rPr>
              <w:t>1.04</w:t>
            </w:r>
          </w:p>
        </w:tc>
      </w:tr>
      <w:tr>
        <w:trPr>
          <w:trHeight w:val="638" w:hRule="exact"/>
        </w:trPr>
        <w:tc>
          <w:tcPr>
            <w:tcW w:w="3134"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w:t>
            </w:r>
          </w:p>
          <w:p>
            <w:pPr>
              <w:pStyle w:val="TableParagraph"/>
              <w:spacing w:line="240" w:lineRule="auto" w:before="69"/>
              <w:ind w:left="93" w:right="0"/>
              <w:jc w:val="left"/>
              <w:rPr>
                <w:rFonts w:ascii="宋体" w:hAnsi="宋体" w:cs="宋体" w:eastAsia="宋体" w:hint="default"/>
                <w:sz w:val="18"/>
                <w:szCs w:val="18"/>
              </w:rPr>
            </w:pPr>
            <w:r>
              <w:rPr>
                <w:rFonts w:ascii="宋体" w:hAnsi="宋体" w:cs="宋体" w:eastAsia="宋体" w:hint="default"/>
                <w:sz w:val="18"/>
                <w:szCs w:val="18"/>
              </w:rPr>
              <w:t>备的其他应收款</w:t>
            </w:r>
          </w:p>
        </w:tc>
        <w:tc>
          <w:tcPr>
            <w:tcW w:w="16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12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15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122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34" w:hRule="exact"/>
        </w:trPr>
        <w:tc>
          <w:tcPr>
            <w:tcW w:w="31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pacing w:val="-3"/>
                <w:sz w:val="18"/>
              </w:rPr>
              <w:t>8,116,644.11</w:t>
            </w:r>
          </w:p>
        </w:tc>
        <w:tc>
          <w:tcPr>
            <w:tcW w:w="12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sz w:val="18"/>
              </w:rPr>
              <w:t>100.00</w:t>
            </w:r>
          </w:p>
        </w:tc>
        <w:tc>
          <w:tcPr>
            <w:tcW w:w="15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0"/>
              <w:jc w:val="center"/>
              <w:rPr>
                <w:rFonts w:ascii="Arial" w:hAnsi="Arial" w:cs="Arial" w:eastAsia="Arial" w:hint="default"/>
                <w:sz w:val="18"/>
                <w:szCs w:val="18"/>
              </w:rPr>
            </w:pPr>
            <w:r>
              <w:rPr>
                <w:rFonts w:ascii="Arial"/>
                <w:sz w:val="18"/>
              </w:rPr>
              <w:t>4,348.40</w:t>
            </w:r>
          </w:p>
        </w:tc>
        <w:tc>
          <w:tcPr>
            <w:tcW w:w="122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sz w:val="18"/>
              </w:rPr>
              <w:t>0.05</w:t>
            </w:r>
          </w:p>
        </w:tc>
      </w:tr>
    </w:tbl>
    <w:p>
      <w:pPr>
        <w:spacing w:line="240" w:lineRule="auto" w:before="2"/>
        <w:rPr>
          <w:rFonts w:ascii="宋体" w:hAnsi="宋体" w:cs="宋体" w:eastAsia="宋体" w:hint="default"/>
          <w:sz w:val="29"/>
          <w:szCs w:val="29"/>
        </w:rPr>
      </w:pPr>
    </w:p>
    <w:tbl>
      <w:tblPr>
        <w:tblW w:w="0" w:type="auto"/>
        <w:jc w:val="left"/>
        <w:tblInd w:w="115" w:type="dxa"/>
        <w:tblLayout w:type="fixed"/>
        <w:tblCellMar>
          <w:top w:w="0" w:type="dxa"/>
          <w:left w:w="0" w:type="dxa"/>
          <w:bottom w:w="0" w:type="dxa"/>
          <w:right w:w="0" w:type="dxa"/>
        </w:tblCellMar>
        <w:tblLook w:val="01E0"/>
      </w:tblPr>
      <w:tblGrid>
        <w:gridCol w:w="3072"/>
        <w:gridCol w:w="1591"/>
        <w:gridCol w:w="1344"/>
        <w:gridCol w:w="1764"/>
        <w:gridCol w:w="1085"/>
      </w:tblGrid>
      <w:tr>
        <w:trPr>
          <w:trHeight w:val="485" w:hRule="exact"/>
        </w:trPr>
        <w:tc>
          <w:tcPr>
            <w:tcW w:w="3072" w:type="dxa"/>
            <w:tcBorders>
              <w:top w:val="single" w:sz="12" w:space="0" w:color="000000"/>
              <w:left w:val="single" w:sz="12" w:space="0" w:color="000000"/>
              <w:bottom w:val="single" w:sz="12" w:space="0" w:color="000000"/>
              <w:right w:val="single" w:sz="12" w:space="0" w:color="000000"/>
            </w:tcBorders>
          </w:tcPr>
          <w:p>
            <w:pPr/>
          </w:p>
        </w:tc>
        <w:tc>
          <w:tcPr>
            <w:tcW w:w="5784" w:type="dxa"/>
            <w:gridSpan w:val="4"/>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482" w:hRule="exact"/>
        </w:trPr>
        <w:tc>
          <w:tcPr>
            <w:tcW w:w="3072" w:type="dxa"/>
            <w:vMerge w:val="restart"/>
            <w:tcBorders>
              <w:top w:val="single" w:sz="12" w:space="0" w:color="000000"/>
              <w:left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935"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849"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5" w:hRule="exact"/>
        </w:trPr>
        <w:tc>
          <w:tcPr>
            <w:tcW w:w="3072" w:type="dxa"/>
            <w:vMerge/>
            <w:tcBorders>
              <w:left w:val="single" w:sz="12" w:space="0" w:color="000000"/>
              <w:bottom w:val="single" w:sz="12" w:space="0" w:color="000000"/>
              <w:right w:val="single" w:sz="12" w:space="0" w:color="000000"/>
            </w:tcBorders>
          </w:tcPr>
          <w:p>
            <w:pPr/>
          </w:p>
        </w:tc>
        <w:tc>
          <w:tcPr>
            <w:tcW w:w="15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4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c>
          <w:tcPr>
            <w:tcW w:w="17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11"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r>
      <w:tr>
        <w:trPr>
          <w:trHeight w:val="636" w:hRule="exact"/>
        </w:trPr>
        <w:tc>
          <w:tcPr>
            <w:tcW w:w="3072"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spacing w:val="10"/>
                <w:sz w:val="18"/>
                <w:szCs w:val="18"/>
              </w:rPr>
              <w:t>单项金额重大并单项计提坏账准备</w:t>
            </w:r>
          </w:p>
          <w:p>
            <w:pPr>
              <w:pStyle w:val="TableParagraph"/>
              <w:spacing w:line="240" w:lineRule="auto" w:before="67"/>
              <w:ind w:left="93" w:right="0"/>
              <w:jc w:val="left"/>
              <w:rPr>
                <w:rFonts w:ascii="宋体" w:hAnsi="宋体" w:cs="宋体" w:eastAsia="宋体" w:hint="default"/>
                <w:sz w:val="18"/>
                <w:szCs w:val="18"/>
              </w:rPr>
            </w:pPr>
            <w:r>
              <w:rPr>
                <w:rFonts w:ascii="宋体" w:hAnsi="宋体" w:cs="宋体" w:eastAsia="宋体" w:hint="default"/>
                <w:sz w:val="18"/>
                <w:szCs w:val="18"/>
              </w:rPr>
              <w:t>的其他应收款</w:t>
            </w:r>
          </w:p>
        </w:tc>
        <w:tc>
          <w:tcPr>
            <w:tcW w:w="15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134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17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10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 w:right="0"/>
              <w:jc w:val="center"/>
              <w:rPr>
                <w:rFonts w:ascii="Arial" w:hAnsi="Arial" w:cs="Arial" w:eastAsia="Arial" w:hint="default"/>
                <w:sz w:val="18"/>
                <w:szCs w:val="18"/>
              </w:rPr>
            </w:pPr>
            <w:r>
              <w:rPr>
                <w:rFonts w:ascii="Arial"/>
                <w:w w:val="99"/>
                <w:sz w:val="18"/>
              </w:rPr>
              <w:t>-</w:t>
            </w:r>
            <w:r>
              <w:rPr>
                <w:rFonts w:ascii="Arial"/>
                <w:sz w:val="18"/>
              </w:rPr>
            </w:r>
          </w:p>
        </w:tc>
      </w:tr>
      <w:tr>
        <w:trPr>
          <w:trHeight w:val="485" w:hRule="exact"/>
        </w:trPr>
        <w:tc>
          <w:tcPr>
            <w:tcW w:w="30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15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4"/>
              <w:ind w:right="0"/>
              <w:jc w:val="center"/>
              <w:rPr>
                <w:rFonts w:ascii="Arial" w:hAnsi="Arial" w:cs="Arial" w:eastAsia="Arial" w:hint="default"/>
                <w:sz w:val="18"/>
                <w:szCs w:val="18"/>
              </w:rPr>
            </w:pPr>
            <w:r>
              <w:rPr>
                <w:rFonts w:ascii="Arial"/>
                <w:sz w:val="18"/>
              </w:rPr>
              <w:t>2,210,042.48</w:t>
            </w:r>
          </w:p>
        </w:tc>
        <w:tc>
          <w:tcPr>
            <w:tcW w:w="134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4"/>
              <w:ind w:right="0"/>
              <w:jc w:val="center"/>
              <w:rPr>
                <w:rFonts w:ascii="Arial" w:hAnsi="Arial" w:cs="Arial" w:eastAsia="Arial" w:hint="default"/>
                <w:sz w:val="18"/>
                <w:szCs w:val="18"/>
              </w:rPr>
            </w:pPr>
            <w:r>
              <w:rPr>
                <w:rFonts w:ascii="Arial"/>
                <w:sz w:val="18"/>
              </w:rPr>
              <w:t>100.00</w:t>
            </w:r>
          </w:p>
        </w:tc>
        <w:tc>
          <w:tcPr>
            <w:tcW w:w="17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21,502.12</w:t>
            </w:r>
          </w:p>
        </w:tc>
        <w:tc>
          <w:tcPr>
            <w:tcW w:w="10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4"/>
              <w:ind w:left="1" w:right="0"/>
              <w:jc w:val="center"/>
              <w:rPr>
                <w:rFonts w:ascii="Arial" w:hAnsi="Arial" w:cs="Arial" w:eastAsia="Arial" w:hint="default"/>
                <w:sz w:val="18"/>
                <w:szCs w:val="18"/>
              </w:rPr>
            </w:pPr>
            <w:r>
              <w:rPr>
                <w:rFonts w:ascii="Arial"/>
                <w:sz w:val="18"/>
              </w:rPr>
              <w:t>0.97</w:t>
            </w:r>
          </w:p>
        </w:tc>
      </w:tr>
      <w:tr>
        <w:trPr>
          <w:trHeight w:val="485" w:hRule="exact"/>
        </w:trPr>
        <w:tc>
          <w:tcPr>
            <w:tcW w:w="30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）按款项性质的组合</w:t>
            </w:r>
          </w:p>
        </w:tc>
        <w:tc>
          <w:tcPr>
            <w:tcW w:w="15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4"/>
              <w:ind w:right="0"/>
              <w:jc w:val="center"/>
              <w:rPr>
                <w:rFonts w:ascii="Arial" w:hAnsi="Arial" w:cs="Arial" w:eastAsia="Arial" w:hint="default"/>
                <w:sz w:val="18"/>
                <w:szCs w:val="18"/>
              </w:rPr>
            </w:pPr>
            <w:r>
              <w:rPr>
                <w:rFonts w:ascii="Arial"/>
                <w:sz w:val="18"/>
              </w:rPr>
              <w:t>1,780,000.00</w:t>
            </w:r>
          </w:p>
        </w:tc>
        <w:tc>
          <w:tcPr>
            <w:tcW w:w="134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4"/>
              <w:ind w:right="1"/>
              <w:jc w:val="center"/>
              <w:rPr>
                <w:rFonts w:ascii="Arial" w:hAnsi="Arial" w:cs="Arial" w:eastAsia="Arial" w:hint="default"/>
                <w:sz w:val="18"/>
                <w:szCs w:val="18"/>
              </w:rPr>
            </w:pPr>
            <w:r>
              <w:rPr>
                <w:rFonts w:ascii="Arial"/>
                <w:sz w:val="18"/>
              </w:rPr>
              <w:t>80.54</w:t>
            </w:r>
          </w:p>
        </w:tc>
        <w:tc>
          <w:tcPr>
            <w:tcW w:w="17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w:t>
            </w:r>
            <w:r>
              <w:rPr>
                <w:rFonts w:ascii="Arial"/>
                <w:sz w:val="18"/>
              </w:rPr>
            </w:r>
          </w:p>
        </w:tc>
        <w:tc>
          <w:tcPr>
            <w:tcW w:w="10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4"/>
              <w:ind w:left="2" w:right="0"/>
              <w:jc w:val="center"/>
              <w:rPr>
                <w:rFonts w:ascii="Arial" w:hAnsi="Arial" w:cs="Arial" w:eastAsia="Arial" w:hint="default"/>
                <w:sz w:val="18"/>
                <w:szCs w:val="18"/>
              </w:rPr>
            </w:pPr>
            <w:r>
              <w:rPr>
                <w:rFonts w:ascii="Arial"/>
                <w:w w:val="99"/>
                <w:sz w:val="18"/>
              </w:rPr>
              <w:t>-</w:t>
            </w:r>
            <w:r>
              <w:rPr>
                <w:rFonts w:ascii="Arial"/>
                <w:sz w:val="18"/>
              </w:rPr>
            </w:r>
          </w:p>
        </w:tc>
      </w:tr>
      <w:tr>
        <w:trPr>
          <w:trHeight w:val="482" w:hRule="exact"/>
        </w:trPr>
        <w:tc>
          <w:tcPr>
            <w:tcW w:w="30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2</w:t>
            </w:r>
            <w:r>
              <w:rPr>
                <w:rFonts w:ascii="宋体" w:hAnsi="宋体" w:cs="宋体" w:eastAsia="宋体" w:hint="default"/>
                <w:sz w:val="18"/>
                <w:szCs w:val="18"/>
              </w:rPr>
              <w:t>）按款项账龄的组合</w:t>
            </w:r>
          </w:p>
        </w:tc>
        <w:tc>
          <w:tcPr>
            <w:tcW w:w="15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4"/>
              <w:ind w:right="1"/>
              <w:jc w:val="center"/>
              <w:rPr>
                <w:rFonts w:ascii="Arial" w:hAnsi="Arial" w:cs="Arial" w:eastAsia="Arial" w:hint="default"/>
                <w:sz w:val="18"/>
                <w:szCs w:val="18"/>
              </w:rPr>
            </w:pPr>
            <w:r>
              <w:rPr>
                <w:rFonts w:ascii="Arial"/>
                <w:sz w:val="18"/>
              </w:rPr>
              <w:t>430,042.48</w:t>
            </w:r>
          </w:p>
        </w:tc>
        <w:tc>
          <w:tcPr>
            <w:tcW w:w="134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4"/>
              <w:ind w:right="1"/>
              <w:jc w:val="center"/>
              <w:rPr>
                <w:rFonts w:ascii="Arial" w:hAnsi="Arial" w:cs="Arial" w:eastAsia="Arial" w:hint="default"/>
                <w:sz w:val="18"/>
                <w:szCs w:val="18"/>
              </w:rPr>
            </w:pPr>
            <w:r>
              <w:rPr>
                <w:rFonts w:ascii="Arial"/>
                <w:sz w:val="18"/>
              </w:rPr>
              <w:t>19.46</w:t>
            </w:r>
          </w:p>
        </w:tc>
        <w:tc>
          <w:tcPr>
            <w:tcW w:w="17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21,502.12</w:t>
            </w:r>
          </w:p>
        </w:tc>
        <w:tc>
          <w:tcPr>
            <w:tcW w:w="10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4"/>
              <w:ind w:left="1" w:right="0"/>
              <w:jc w:val="center"/>
              <w:rPr>
                <w:rFonts w:ascii="Arial" w:hAnsi="Arial" w:cs="Arial" w:eastAsia="Arial" w:hint="default"/>
                <w:sz w:val="18"/>
                <w:szCs w:val="18"/>
              </w:rPr>
            </w:pPr>
            <w:r>
              <w:rPr>
                <w:rFonts w:ascii="Arial"/>
                <w:sz w:val="18"/>
              </w:rPr>
              <w:t>5.00</w:t>
            </w:r>
          </w:p>
        </w:tc>
      </w:tr>
      <w:tr>
        <w:trPr>
          <w:trHeight w:val="638" w:hRule="exact"/>
        </w:trPr>
        <w:tc>
          <w:tcPr>
            <w:tcW w:w="3072"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spacing w:val="10"/>
                <w:sz w:val="18"/>
                <w:szCs w:val="18"/>
              </w:rPr>
              <w:t>单项金额虽不重大但单项计提坏账</w:t>
            </w:r>
          </w:p>
          <w:p>
            <w:pPr>
              <w:pStyle w:val="TableParagraph"/>
              <w:spacing w:line="240" w:lineRule="auto" w:before="69"/>
              <w:ind w:left="93" w:right="0"/>
              <w:jc w:val="left"/>
              <w:rPr>
                <w:rFonts w:ascii="宋体" w:hAnsi="宋体" w:cs="宋体" w:eastAsia="宋体" w:hint="default"/>
                <w:sz w:val="18"/>
                <w:szCs w:val="18"/>
              </w:rPr>
            </w:pPr>
            <w:r>
              <w:rPr>
                <w:rFonts w:ascii="宋体" w:hAnsi="宋体" w:cs="宋体" w:eastAsia="宋体" w:hint="default"/>
                <w:sz w:val="18"/>
                <w:szCs w:val="18"/>
              </w:rPr>
              <w:t>准备的其他应收款</w:t>
            </w:r>
          </w:p>
        </w:tc>
        <w:tc>
          <w:tcPr>
            <w:tcW w:w="15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134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17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10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 w:right="0"/>
              <w:jc w:val="center"/>
              <w:rPr>
                <w:rFonts w:ascii="Arial" w:hAnsi="Arial" w:cs="Arial" w:eastAsia="Arial" w:hint="default"/>
                <w:sz w:val="18"/>
                <w:szCs w:val="18"/>
              </w:rPr>
            </w:pPr>
            <w:r>
              <w:rPr>
                <w:rFonts w:ascii="Arial"/>
                <w:w w:val="99"/>
                <w:sz w:val="18"/>
              </w:rPr>
              <w:t>-</w:t>
            </w:r>
            <w:r>
              <w:rPr>
                <w:rFonts w:ascii="Arial"/>
                <w:sz w:val="18"/>
              </w:rPr>
            </w:r>
          </w:p>
        </w:tc>
      </w:tr>
      <w:tr>
        <w:trPr>
          <w:trHeight w:val="482" w:hRule="exact"/>
        </w:trPr>
        <w:tc>
          <w:tcPr>
            <w:tcW w:w="30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4"/>
              <w:ind w:right="0"/>
              <w:jc w:val="center"/>
              <w:rPr>
                <w:rFonts w:ascii="Arial" w:hAnsi="Arial" w:cs="Arial" w:eastAsia="Arial" w:hint="default"/>
                <w:sz w:val="18"/>
                <w:szCs w:val="18"/>
              </w:rPr>
            </w:pPr>
            <w:r>
              <w:rPr>
                <w:rFonts w:ascii="Arial"/>
                <w:sz w:val="18"/>
              </w:rPr>
              <w:t>2,210,042.48</w:t>
            </w:r>
          </w:p>
        </w:tc>
        <w:tc>
          <w:tcPr>
            <w:tcW w:w="134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4"/>
              <w:ind w:right="0"/>
              <w:jc w:val="center"/>
              <w:rPr>
                <w:rFonts w:ascii="Arial" w:hAnsi="Arial" w:cs="Arial" w:eastAsia="Arial" w:hint="default"/>
                <w:sz w:val="18"/>
                <w:szCs w:val="18"/>
              </w:rPr>
            </w:pPr>
            <w:r>
              <w:rPr>
                <w:rFonts w:ascii="Arial"/>
                <w:sz w:val="18"/>
              </w:rPr>
              <w:t>100.00</w:t>
            </w:r>
          </w:p>
        </w:tc>
        <w:tc>
          <w:tcPr>
            <w:tcW w:w="17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21,502.12</w:t>
            </w:r>
          </w:p>
        </w:tc>
        <w:tc>
          <w:tcPr>
            <w:tcW w:w="10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4"/>
              <w:ind w:left="1" w:right="0"/>
              <w:jc w:val="center"/>
              <w:rPr>
                <w:rFonts w:ascii="Arial" w:hAnsi="Arial" w:cs="Arial" w:eastAsia="Arial" w:hint="default"/>
                <w:sz w:val="18"/>
                <w:szCs w:val="18"/>
              </w:rPr>
            </w:pPr>
            <w:r>
              <w:rPr>
                <w:rFonts w:ascii="Arial"/>
                <w:sz w:val="18"/>
              </w:rPr>
              <w:t>0.97</w:t>
            </w:r>
          </w:p>
        </w:tc>
      </w:tr>
    </w:tbl>
    <w:p>
      <w:pPr>
        <w:spacing w:line="240" w:lineRule="auto" w:before="12"/>
        <w:rPr>
          <w:rFonts w:ascii="宋体" w:hAnsi="宋体" w:cs="宋体" w:eastAsia="宋体" w:hint="default"/>
          <w:sz w:val="23"/>
          <w:szCs w:val="23"/>
        </w:rPr>
      </w:pPr>
    </w:p>
    <w:p>
      <w:pPr>
        <w:pStyle w:val="BodyText"/>
        <w:spacing w:line="240" w:lineRule="auto"/>
        <w:ind w:left="676" w:right="125"/>
        <w:jc w:val="left"/>
      </w:pPr>
      <w:r>
        <w:rPr/>
        <w:t>其他应收款种类的说明：</w:t>
      </w:r>
    </w:p>
    <w:p>
      <w:pPr>
        <w:pStyle w:val="BodyText"/>
        <w:spacing w:line="240" w:lineRule="auto" w:before="139"/>
        <w:ind w:left="676" w:right="125"/>
        <w:jc w:val="left"/>
        <w:rPr>
          <w:rFonts w:ascii="Arial" w:hAnsi="Arial" w:cs="Arial" w:eastAsia="Arial" w:hint="default"/>
        </w:rPr>
      </w:pPr>
      <w:r>
        <w:rPr/>
        <w:t>（</w:t>
      </w:r>
      <w:r>
        <w:rPr>
          <w:rFonts w:ascii="Arial" w:hAnsi="Arial" w:cs="Arial" w:eastAsia="Arial" w:hint="default"/>
        </w:rPr>
        <w:t>1</w:t>
      </w:r>
      <w:r>
        <w:rPr/>
        <w:t>）单项金额重大并单项计提坏账准备的其他应收款确定依据为余额为单项金额</w:t>
      </w:r>
      <w:r>
        <w:rPr>
          <w:spacing w:val="-18"/>
        </w:rPr>
        <w:t> </w:t>
      </w:r>
      <w:r>
        <w:rPr>
          <w:rFonts w:ascii="Arial" w:hAnsi="Arial" w:cs="Arial" w:eastAsia="Arial" w:hint="default"/>
        </w:rPr>
        <w:t>70</w:t>
      </w:r>
    </w:p>
    <w:p>
      <w:pPr>
        <w:pStyle w:val="BodyText"/>
        <w:spacing w:line="240" w:lineRule="auto" w:before="126"/>
        <w:ind w:left="237" w:right="0"/>
        <w:jc w:val="both"/>
      </w:pPr>
      <w:r>
        <w:rPr/>
        <w:t>万元</w:t>
      </w:r>
      <w:r>
        <w:rPr>
          <w:rFonts w:ascii="Arial" w:hAnsi="Arial" w:cs="Arial" w:eastAsia="Arial" w:hint="default"/>
        </w:rPr>
        <w:t>(</w:t>
      </w:r>
      <w:r>
        <w:rPr/>
        <w:t>含</w:t>
      </w:r>
      <w:r>
        <w:rPr>
          <w:spacing w:val="-60"/>
        </w:rPr>
        <w:t> </w:t>
      </w:r>
      <w:r>
        <w:rPr>
          <w:rFonts w:ascii="Arial" w:hAnsi="Arial" w:cs="Arial" w:eastAsia="Arial" w:hint="default"/>
        </w:rPr>
        <w:t>70</w:t>
      </w:r>
      <w:r>
        <w:rPr>
          <w:rFonts w:ascii="Arial" w:hAnsi="Arial" w:cs="Arial" w:eastAsia="Arial" w:hint="default"/>
          <w:spacing w:val="-12"/>
        </w:rPr>
        <w:t> </w:t>
      </w:r>
      <w:r>
        <w:rPr/>
        <w:t>万元</w:t>
      </w:r>
      <w:r>
        <w:rPr>
          <w:rFonts w:ascii="Arial" w:hAnsi="Arial" w:cs="Arial" w:eastAsia="Arial" w:hint="default"/>
        </w:rPr>
        <w:t>)</w:t>
      </w:r>
      <w:r>
        <w:rPr/>
        <w:t>以上单项计提坏账准备的其他应收款；</w:t>
      </w:r>
    </w:p>
    <w:p>
      <w:pPr>
        <w:pStyle w:val="BodyText"/>
        <w:spacing w:line="338" w:lineRule="auto" w:before="123"/>
        <w:ind w:left="676" w:right="125"/>
        <w:jc w:val="left"/>
      </w:pPr>
      <w:r>
        <w:rPr/>
        <w:t>（</w:t>
      </w:r>
      <w:r>
        <w:rPr>
          <w:rFonts w:ascii="Arial" w:hAnsi="Arial" w:cs="Arial" w:eastAsia="Arial" w:hint="default"/>
        </w:rPr>
        <w:t>2</w:t>
      </w:r>
      <w:r>
        <w:rPr/>
        <w:t>）按组合计提坏账准备的其他应收款</w:t>
      </w:r>
      <w:r>
        <w:rPr>
          <w:w w:val="100"/>
        </w:rPr>
        <w:t> </w:t>
      </w:r>
      <w:r>
        <w:rPr/>
        <w:t>按款项账龄的组合：未单项计提坏账准备的其他应收款按账龄划分为若干组合，根据</w:t>
      </w:r>
    </w:p>
    <w:p>
      <w:pPr>
        <w:pStyle w:val="BodyText"/>
        <w:spacing w:line="357" w:lineRule="auto" w:before="51"/>
        <w:ind w:left="237" w:right="269"/>
        <w:jc w:val="both"/>
      </w:pPr>
      <w:r>
        <w:rPr/>
        <w:t>以前年度与之相同或相类似的、具有类似信用风险特征的其他应收款组合的实际损失率为</w:t>
      </w:r>
      <w:r>
        <w:rPr>
          <w:spacing w:val="-85"/>
        </w:rPr>
        <w:t> </w:t>
      </w:r>
      <w:r>
        <w:rPr>
          <w:spacing w:val="-6"/>
          <w:w w:val="100"/>
        </w:rPr>
        <w:t>基础，结合现时情况确定各项组合计提坏账准备的比例，据此计算应计提的坏账准备。（含</w:t>
      </w:r>
      <w:r>
        <w:rPr>
          <w:spacing w:val="-101"/>
          <w:w w:val="100"/>
        </w:rPr>
        <w:t> </w:t>
      </w:r>
      <w:r>
        <w:rPr>
          <w:spacing w:val="-101"/>
          <w:w w:val="100"/>
        </w:rPr>
      </w:r>
      <w:r>
        <w:rPr/>
        <w:t>单项金额重大、单独进行减值测试未发生减值，包含在具有类似信用风险特征的其他应收</w:t>
      </w:r>
      <w:r>
        <w:rPr>
          <w:spacing w:val="-85"/>
        </w:rPr>
        <w:t> </w:t>
      </w:r>
      <w:r>
        <w:rPr>
          <w:spacing w:val="-7"/>
          <w:w w:val="100"/>
        </w:rPr>
        <w:t>款组合中进行减值测试的其他应收款）；</w:t>
      </w:r>
    </w:p>
    <w:p>
      <w:pPr>
        <w:pStyle w:val="BodyText"/>
        <w:spacing w:line="357" w:lineRule="auto" w:before="31"/>
        <w:ind w:left="237" w:right="266" w:firstLine="439"/>
        <w:jc w:val="both"/>
      </w:pPr>
      <w:r>
        <w:rPr/>
        <w:t>按款项性质的组合：未单项计提坏账准备的其他应收款按款项性质特征划分为若干组</w:t>
      </w:r>
      <w:r>
        <w:rPr>
          <w:w w:val="100"/>
        </w:rPr>
        <w:t> </w:t>
      </w:r>
      <w:r>
        <w:rPr/>
        <w:t>合，根据以前年度与之相同或相类似的、具有类似信用风险特征的其他应收款组合的实际</w:t>
      </w:r>
      <w:r>
        <w:rPr>
          <w:spacing w:val="-85"/>
        </w:rPr>
        <w:t> </w:t>
      </w:r>
      <w:r>
        <w:rPr/>
        <w:t>损失率为基础，结合现时情况确定各项组合计提坏账准备的比例，据此计算应计提的坏账</w:t>
      </w:r>
      <w:r>
        <w:rPr>
          <w:spacing w:val="-85"/>
        </w:rPr>
        <w:t> </w:t>
      </w:r>
      <w:r>
        <w:rPr>
          <w:spacing w:val="-6"/>
          <w:w w:val="100"/>
        </w:rPr>
        <w:t>准备。（含单项金额重大、单独进行减值测试未发生减值，包含在具有类似信用风险特征的</w:t>
      </w:r>
      <w:r>
        <w:rPr>
          <w:spacing w:val="-97"/>
          <w:w w:val="100"/>
        </w:rPr>
        <w:t> </w:t>
      </w:r>
      <w:r>
        <w:rPr>
          <w:spacing w:val="-97"/>
          <w:w w:val="100"/>
        </w:rPr>
      </w:r>
      <w:r>
        <w:rPr>
          <w:spacing w:val="-7"/>
          <w:w w:val="100"/>
        </w:rPr>
        <w:t>应收款项组合中进行减值测试的其他应收款）；</w:t>
      </w:r>
    </w:p>
    <w:p>
      <w:pPr>
        <w:spacing w:after="0" w:line="357" w:lineRule="auto"/>
        <w:jc w:val="both"/>
        <w:sectPr>
          <w:pgSz w:w="11900" w:h="16840"/>
          <w:pgMar w:header="0" w:footer="983" w:top="1100" w:bottom="1180" w:left="1560" w:right="1220"/>
        </w:sectPr>
      </w:pPr>
    </w:p>
    <w:p>
      <w:pPr>
        <w:spacing w:line="240" w:lineRule="auto" w:before="4"/>
        <w:rPr>
          <w:rFonts w:ascii="宋体" w:hAnsi="宋体" w:cs="宋体" w:eastAsia="宋体" w:hint="default"/>
          <w:sz w:val="19"/>
          <w:szCs w:val="19"/>
        </w:rPr>
      </w:pPr>
    </w:p>
    <w:p>
      <w:pPr>
        <w:pStyle w:val="BodyText"/>
        <w:spacing w:line="338" w:lineRule="auto"/>
        <w:ind w:right="137" w:firstLine="439"/>
        <w:jc w:val="left"/>
      </w:pPr>
      <w:r>
        <w:rPr>
          <w:spacing w:val="-4"/>
          <w:w w:val="100"/>
        </w:rPr>
        <w:t>（</w:t>
      </w:r>
      <w:r>
        <w:rPr>
          <w:rFonts w:ascii="Arial" w:hAnsi="Arial" w:cs="Arial" w:eastAsia="Arial" w:hint="default"/>
          <w:spacing w:val="-4"/>
          <w:w w:val="100"/>
        </w:rPr>
        <w:t>3</w:t>
      </w:r>
      <w:r>
        <w:rPr>
          <w:spacing w:val="-4"/>
          <w:w w:val="100"/>
        </w:rPr>
        <w:t>）单项金额虽不重大但单项计提坏账准备的其他应收款确定依据为除单项金额重大</w:t>
      </w:r>
      <w:r>
        <w:rPr>
          <w:w w:val="100"/>
        </w:rPr>
        <w:t> </w:t>
      </w:r>
      <w:r>
        <w:rPr/>
        <w:t>并单项计提坏账准备外单项认定进行减值测试计提坏账准备的其他应收款。</w:t>
      </w:r>
    </w:p>
    <w:p>
      <w:pPr>
        <w:pStyle w:val="BodyText"/>
        <w:spacing w:line="240" w:lineRule="auto" w:before="51"/>
        <w:ind w:right="137"/>
        <w:jc w:val="left"/>
      </w:pPr>
      <w:r>
        <w:rPr>
          <w:rFonts w:ascii="Arial" w:hAnsi="Arial" w:cs="Arial" w:eastAsia="Arial" w:hint="default"/>
        </w:rPr>
        <w:t>12.2.2</w:t>
      </w:r>
      <w:r>
        <w:rPr>
          <w:rFonts w:ascii="Arial" w:hAnsi="Arial" w:cs="Arial" w:eastAsia="Arial" w:hint="default"/>
          <w:spacing w:val="-11"/>
        </w:rPr>
        <w:t> </w:t>
      </w:r>
      <w:r>
        <w:rPr/>
        <w:t>按组合计提坏账准备的其他应收款</w:t>
      </w:r>
    </w:p>
    <w:p>
      <w:pPr>
        <w:pStyle w:val="BodyText"/>
        <w:spacing w:line="240" w:lineRule="auto" w:before="123"/>
        <w:ind w:left="576" w:right="137"/>
        <w:jc w:val="left"/>
      </w:pPr>
      <w:r>
        <w:rPr/>
        <w:t>（</w:t>
      </w:r>
      <w:r>
        <w:rPr>
          <w:rFonts w:ascii="Arial" w:hAnsi="Arial" w:cs="Arial" w:eastAsia="Arial" w:hint="default"/>
        </w:rPr>
        <w:t>1</w:t>
      </w:r>
      <w:r>
        <w:rPr/>
        <w:t>）组合中，按个别认定法计提坏账准备的其他应收款</w:t>
      </w:r>
    </w:p>
    <w:p>
      <w:pPr>
        <w:spacing w:line="240" w:lineRule="auto" w:before="3"/>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55"/>
        <w:gridCol w:w="1771"/>
        <w:gridCol w:w="1630"/>
        <w:gridCol w:w="1601"/>
        <w:gridCol w:w="1128"/>
      </w:tblGrid>
      <w:tr>
        <w:trPr>
          <w:trHeight w:val="485" w:hRule="exact"/>
        </w:trPr>
        <w:tc>
          <w:tcPr>
            <w:tcW w:w="2455" w:type="dxa"/>
            <w:vMerge w:val="restart"/>
            <w:tcBorders>
              <w:top w:val="single" w:sz="12" w:space="0" w:color="000000"/>
              <w:left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130" w:type="dxa"/>
            <w:gridSpan w:val="4"/>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85" w:hRule="exact"/>
        </w:trPr>
        <w:tc>
          <w:tcPr>
            <w:tcW w:w="2455" w:type="dxa"/>
            <w:vMerge/>
            <w:tcBorders>
              <w:left w:val="single" w:sz="12" w:space="0" w:color="000000"/>
              <w:right w:val="single" w:sz="12" w:space="0" w:color="000000"/>
            </w:tcBorders>
          </w:tcPr>
          <w:p>
            <w:pPr/>
          </w:p>
        </w:tc>
        <w:tc>
          <w:tcPr>
            <w:tcW w:w="3401"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29"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2" w:hRule="exact"/>
        </w:trPr>
        <w:tc>
          <w:tcPr>
            <w:tcW w:w="2455" w:type="dxa"/>
            <w:vMerge/>
            <w:tcBorders>
              <w:left w:val="single" w:sz="12" w:space="0" w:color="000000"/>
              <w:bottom w:val="single" w:sz="12" w:space="0" w:color="000000"/>
              <w:right w:val="single" w:sz="12" w:space="0" w:color="000000"/>
            </w:tcBorders>
          </w:tcPr>
          <w:p>
            <w:pPr/>
          </w:p>
        </w:tc>
        <w:tc>
          <w:tcPr>
            <w:tcW w:w="17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0"/>
              <w:ind w:left="48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6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2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778" w:hRule="exact"/>
        </w:trPr>
        <w:tc>
          <w:tcPr>
            <w:tcW w:w="2455" w:type="dxa"/>
            <w:tcBorders>
              <w:top w:val="single" w:sz="12" w:space="0" w:color="000000"/>
              <w:left w:val="single" w:sz="12" w:space="0" w:color="000000"/>
              <w:bottom w:val="single" w:sz="12" w:space="0" w:color="000000"/>
              <w:right w:val="single" w:sz="12" w:space="0" w:color="000000"/>
            </w:tcBorders>
          </w:tcPr>
          <w:p>
            <w:pPr>
              <w:pStyle w:val="TableParagraph"/>
              <w:spacing w:line="381" w:lineRule="auto" w:before="41"/>
              <w:ind w:left="1120" w:right="132" w:hanging="989"/>
              <w:jc w:val="left"/>
              <w:rPr>
                <w:rFonts w:ascii="宋体" w:hAnsi="宋体" w:cs="宋体" w:eastAsia="宋体" w:hint="default"/>
                <w:sz w:val="18"/>
                <w:szCs w:val="18"/>
              </w:rPr>
            </w:pPr>
            <w:r>
              <w:rPr>
                <w:rFonts w:ascii="宋体" w:hAnsi="宋体" w:cs="宋体" w:eastAsia="宋体" w:hint="default"/>
                <w:sz w:val="18"/>
                <w:szCs w:val="18"/>
              </w:rPr>
              <w:t>东营安诺其纺织材料有限公</w:t>
            </w:r>
            <w:r>
              <w:rPr>
                <w:rFonts w:ascii="宋体" w:hAnsi="宋体" w:cs="宋体" w:eastAsia="宋体" w:hint="default"/>
                <w:w w:val="99"/>
                <w:sz w:val="18"/>
                <w:szCs w:val="18"/>
              </w:rPr>
              <w:t> </w:t>
            </w:r>
            <w:r>
              <w:rPr>
                <w:rFonts w:ascii="宋体" w:hAnsi="宋体" w:cs="宋体" w:eastAsia="宋体" w:hint="default"/>
                <w:sz w:val="18"/>
                <w:szCs w:val="18"/>
              </w:rPr>
              <w:t>司</w:t>
            </w:r>
          </w:p>
        </w:tc>
        <w:tc>
          <w:tcPr>
            <w:tcW w:w="17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sz w:val="18"/>
              </w:rPr>
              <w:t>7,700,000.00</w:t>
            </w:r>
          </w:p>
        </w:tc>
        <w:tc>
          <w:tcPr>
            <w:tcW w:w="16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0" w:right="0"/>
              <w:jc w:val="left"/>
              <w:rPr>
                <w:rFonts w:ascii="宋体" w:hAnsi="宋体" w:cs="宋体" w:eastAsia="宋体" w:hint="default"/>
                <w:sz w:val="18"/>
                <w:szCs w:val="18"/>
              </w:rPr>
            </w:pPr>
            <w:r>
              <w:rPr>
                <w:rFonts w:ascii="宋体"/>
                <w:sz w:val="18"/>
              </w:rPr>
              <w:t>100.00</w:t>
            </w:r>
          </w:p>
        </w:tc>
        <w:tc>
          <w:tcPr>
            <w:tcW w:w="16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w w:val="99"/>
                <w:sz w:val="18"/>
              </w:rPr>
              <w:t>-</w:t>
            </w:r>
            <w:r>
              <w:rPr>
                <w:rFonts w:ascii="宋体"/>
                <w:sz w:val="18"/>
              </w:rPr>
            </w:r>
          </w:p>
        </w:tc>
        <w:tc>
          <w:tcPr>
            <w:tcW w:w="112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w w:val="99"/>
                <w:sz w:val="18"/>
              </w:rPr>
              <w:t>-</w:t>
            </w:r>
            <w:r>
              <w:rPr>
                <w:rFonts w:ascii="宋体"/>
                <w:sz w:val="18"/>
              </w:rPr>
            </w:r>
          </w:p>
        </w:tc>
      </w:tr>
    </w:tbl>
    <w:p>
      <w:pPr>
        <w:spacing w:line="240" w:lineRule="auto" w:before="2"/>
        <w:rPr>
          <w:rFonts w:ascii="宋体" w:hAnsi="宋体" w:cs="宋体" w:eastAsia="宋体"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2455"/>
        <w:gridCol w:w="1769"/>
        <w:gridCol w:w="1632"/>
        <w:gridCol w:w="1601"/>
        <w:gridCol w:w="1128"/>
      </w:tblGrid>
      <w:tr>
        <w:trPr>
          <w:trHeight w:val="485" w:hRule="exact"/>
        </w:trPr>
        <w:tc>
          <w:tcPr>
            <w:tcW w:w="2455" w:type="dxa"/>
            <w:vMerge w:val="restart"/>
            <w:tcBorders>
              <w:top w:val="single" w:sz="12" w:space="0" w:color="000000"/>
              <w:left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130" w:type="dxa"/>
            <w:gridSpan w:val="4"/>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485" w:hRule="exact"/>
        </w:trPr>
        <w:tc>
          <w:tcPr>
            <w:tcW w:w="2455" w:type="dxa"/>
            <w:vMerge/>
            <w:tcBorders>
              <w:left w:val="single" w:sz="12" w:space="0" w:color="000000"/>
              <w:right w:val="single" w:sz="12" w:space="0" w:color="000000"/>
            </w:tcBorders>
          </w:tcPr>
          <w:p>
            <w:pPr/>
          </w:p>
        </w:tc>
        <w:tc>
          <w:tcPr>
            <w:tcW w:w="3401"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29"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2" w:hRule="exact"/>
        </w:trPr>
        <w:tc>
          <w:tcPr>
            <w:tcW w:w="2455" w:type="dxa"/>
            <w:vMerge/>
            <w:tcBorders>
              <w:left w:val="single" w:sz="12" w:space="0" w:color="000000"/>
              <w:bottom w:val="single" w:sz="12" w:space="0" w:color="000000"/>
              <w:right w:val="single" w:sz="12" w:space="0" w:color="000000"/>
            </w:tcBorders>
          </w:tcPr>
          <w:p>
            <w:pPr/>
          </w:p>
        </w:tc>
        <w:tc>
          <w:tcPr>
            <w:tcW w:w="17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3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0"/>
              <w:ind w:left="479" w:right="0"/>
              <w:jc w:val="left"/>
              <w:rPr>
                <w:rFonts w:ascii="Arial" w:hAnsi="Arial" w:cs="Arial" w:eastAsia="Arial"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p>
        </w:tc>
        <w:tc>
          <w:tcPr>
            <w:tcW w:w="16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2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0"/>
              <w:ind w:left="2" w:right="0"/>
              <w:jc w:val="center"/>
              <w:rPr>
                <w:rFonts w:ascii="Arial" w:hAnsi="Arial" w:cs="Arial" w:eastAsia="Arial"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p>
        </w:tc>
      </w:tr>
      <w:tr>
        <w:trPr>
          <w:trHeight w:val="485" w:hRule="exact"/>
        </w:trPr>
        <w:tc>
          <w:tcPr>
            <w:tcW w:w="24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0"/>
              <w:ind w:left="580" w:right="0"/>
              <w:jc w:val="left"/>
              <w:rPr>
                <w:rFonts w:ascii="宋体" w:hAnsi="宋体" w:cs="宋体" w:eastAsia="宋体" w:hint="default"/>
                <w:sz w:val="18"/>
                <w:szCs w:val="18"/>
              </w:rPr>
            </w:pPr>
            <w:r>
              <w:rPr>
                <w:rFonts w:ascii="宋体" w:hAnsi="宋体" w:cs="宋体" w:eastAsia="宋体" w:hint="default"/>
                <w:sz w:val="18"/>
                <w:szCs w:val="18"/>
              </w:rPr>
              <w:t>首次发行中介费</w:t>
            </w:r>
          </w:p>
        </w:tc>
        <w:tc>
          <w:tcPr>
            <w:tcW w:w="17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left="4" w:right="0"/>
              <w:jc w:val="center"/>
              <w:rPr>
                <w:rFonts w:ascii="Arial" w:hAnsi="Arial" w:cs="Arial" w:eastAsia="Arial" w:hint="default"/>
                <w:sz w:val="18"/>
                <w:szCs w:val="18"/>
              </w:rPr>
            </w:pPr>
            <w:r>
              <w:rPr>
                <w:rFonts w:ascii="Arial"/>
                <w:sz w:val="18"/>
              </w:rPr>
              <w:t>1,780,000.00</w:t>
            </w:r>
          </w:p>
        </w:tc>
        <w:tc>
          <w:tcPr>
            <w:tcW w:w="163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left="527" w:right="0"/>
              <w:jc w:val="left"/>
              <w:rPr>
                <w:rFonts w:ascii="Arial" w:hAnsi="Arial" w:cs="Arial" w:eastAsia="Arial" w:hint="default"/>
                <w:sz w:val="18"/>
                <w:szCs w:val="18"/>
              </w:rPr>
            </w:pPr>
            <w:r>
              <w:rPr>
                <w:rFonts w:ascii="Arial"/>
                <w:sz w:val="18"/>
              </w:rPr>
              <w:t>100.00</w:t>
            </w:r>
          </w:p>
        </w:tc>
        <w:tc>
          <w:tcPr>
            <w:tcW w:w="16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left="4" w:right="0"/>
              <w:jc w:val="center"/>
              <w:rPr>
                <w:rFonts w:ascii="Arial" w:hAnsi="Arial" w:cs="Arial" w:eastAsia="Arial" w:hint="default"/>
                <w:sz w:val="18"/>
                <w:szCs w:val="18"/>
              </w:rPr>
            </w:pPr>
            <w:r>
              <w:rPr>
                <w:rFonts w:ascii="Arial"/>
                <w:w w:val="99"/>
                <w:sz w:val="18"/>
              </w:rPr>
              <w:t>-</w:t>
            </w:r>
            <w:r>
              <w:rPr>
                <w:rFonts w:ascii="Arial"/>
                <w:sz w:val="18"/>
              </w:rPr>
            </w:r>
          </w:p>
        </w:tc>
        <w:tc>
          <w:tcPr>
            <w:tcW w:w="112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left="7" w:right="0"/>
              <w:jc w:val="center"/>
              <w:rPr>
                <w:rFonts w:ascii="Arial" w:hAnsi="Arial" w:cs="Arial" w:eastAsia="Arial" w:hint="default"/>
                <w:sz w:val="18"/>
                <w:szCs w:val="18"/>
              </w:rPr>
            </w:pPr>
            <w:r>
              <w:rPr>
                <w:rFonts w:ascii="Arial"/>
                <w:w w:val="99"/>
                <w:sz w:val="18"/>
              </w:rPr>
              <w:t>-</w:t>
            </w:r>
            <w:r>
              <w:rPr>
                <w:rFonts w:ascii="Arial"/>
                <w:sz w:val="18"/>
              </w:rPr>
            </w:r>
          </w:p>
        </w:tc>
      </w:tr>
    </w:tbl>
    <w:p>
      <w:pPr>
        <w:spacing w:line="240" w:lineRule="auto" w:before="12"/>
        <w:rPr>
          <w:rFonts w:ascii="宋体" w:hAnsi="宋体" w:cs="宋体" w:eastAsia="宋体" w:hint="default"/>
          <w:sz w:val="23"/>
          <w:szCs w:val="23"/>
        </w:rPr>
      </w:pPr>
    </w:p>
    <w:p>
      <w:pPr>
        <w:pStyle w:val="BodyText"/>
        <w:spacing w:line="240" w:lineRule="auto"/>
        <w:ind w:left="576" w:right="137"/>
        <w:jc w:val="left"/>
      </w:pPr>
      <w:r>
        <w:rPr/>
        <w:t>（</w:t>
      </w:r>
      <w:r>
        <w:rPr>
          <w:rFonts w:ascii="Arial" w:hAnsi="Arial" w:cs="Arial" w:eastAsia="Arial" w:hint="default"/>
        </w:rPr>
        <w:t>2</w:t>
      </w:r>
      <w:r>
        <w:rPr/>
        <w:t>）组合中，按款项账龄计提坏账准备的其他应收款</w:t>
      </w:r>
    </w:p>
    <w:p>
      <w:pPr>
        <w:spacing w:line="240" w:lineRule="auto" w:before="3"/>
        <w:rPr>
          <w:rFonts w:ascii="宋体" w:hAnsi="宋体" w:cs="宋体" w:eastAsia="宋体" w:hint="default"/>
          <w:sz w:val="12"/>
          <w:szCs w:val="12"/>
        </w:rPr>
      </w:pPr>
    </w:p>
    <w:tbl>
      <w:tblPr>
        <w:tblW w:w="0" w:type="auto"/>
        <w:jc w:val="left"/>
        <w:tblInd w:w="163" w:type="dxa"/>
        <w:tblLayout w:type="fixed"/>
        <w:tblCellMar>
          <w:top w:w="0" w:type="dxa"/>
          <w:left w:w="0" w:type="dxa"/>
          <w:bottom w:w="0" w:type="dxa"/>
          <w:right w:w="0" w:type="dxa"/>
        </w:tblCellMar>
        <w:tblLook w:val="01E0"/>
      </w:tblPr>
      <w:tblGrid>
        <w:gridCol w:w="2431"/>
        <w:gridCol w:w="1759"/>
        <w:gridCol w:w="1613"/>
        <w:gridCol w:w="1622"/>
        <w:gridCol w:w="1133"/>
      </w:tblGrid>
      <w:tr>
        <w:trPr>
          <w:trHeight w:val="485" w:hRule="exact"/>
        </w:trPr>
        <w:tc>
          <w:tcPr>
            <w:tcW w:w="2431" w:type="dxa"/>
            <w:vMerge w:val="restart"/>
            <w:tcBorders>
              <w:top w:val="single" w:sz="12" w:space="0" w:color="000000"/>
              <w:left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6127" w:type="dxa"/>
            <w:gridSpan w:val="4"/>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1"/>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482" w:hRule="exact"/>
        </w:trPr>
        <w:tc>
          <w:tcPr>
            <w:tcW w:w="2431" w:type="dxa"/>
            <w:vMerge/>
            <w:tcBorders>
              <w:left w:val="single" w:sz="12" w:space="0" w:color="000000"/>
              <w:right w:val="single" w:sz="12" w:space="0" w:color="000000"/>
            </w:tcBorders>
          </w:tcPr>
          <w:p>
            <w:pPr/>
          </w:p>
        </w:tc>
        <w:tc>
          <w:tcPr>
            <w:tcW w:w="3372"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55"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5" w:hRule="exact"/>
        </w:trPr>
        <w:tc>
          <w:tcPr>
            <w:tcW w:w="2431" w:type="dxa"/>
            <w:vMerge/>
            <w:tcBorders>
              <w:left w:val="single" w:sz="12" w:space="0" w:color="000000"/>
              <w:bottom w:val="single" w:sz="12" w:space="0" w:color="000000"/>
              <w:right w:val="single" w:sz="12" w:space="0" w:color="000000"/>
            </w:tcBorders>
          </w:tcPr>
          <w:p>
            <w:pPr/>
          </w:p>
        </w:tc>
        <w:tc>
          <w:tcPr>
            <w:tcW w:w="17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1"/>
              <w:ind w:right="470"/>
              <w:jc w:val="right"/>
              <w:rPr>
                <w:rFonts w:ascii="Arial" w:hAnsi="Arial" w:cs="Arial" w:eastAsia="Arial" w:hint="default"/>
                <w:sz w:val="18"/>
                <w:szCs w:val="18"/>
              </w:rPr>
            </w:pPr>
            <w:r>
              <w:rPr>
                <w:rFonts w:ascii="宋体" w:hAnsi="宋体" w:cs="宋体" w:eastAsia="宋体" w:hint="default"/>
                <w:w w:val="95"/>
                <w:sz w:val="18"/>
                <w:szCs w:val="18"/>
              </w:rPr>
              <w:t>比例</w:t>
            </w:r>
            <w:r>
              <w:rPr>
                <w:rFonts w:ascii="Arial" w:hAnsi="Arial" w:cs="Arial" w:eastAsia="Arial" w:hint="default"/>
                <w:w w:val="95"/>
                <w:sz w:val="18"/>
                <w:szCs w:val="18"/>
              </w:rPr>
              <w:t>(%)</w:t>
            </w:r>
            <w:r>
              <w:rPr>
                <w:rFonts w:ascii="Arial" w:hAnsi="Arial" w:cs="Arial" w:eastAsia="Arial" w:hint="default"/>
                <w:sz w:val="18"/>
                <w:szCs w:val="18"/>
              </w:rPr>
            </w:r>
          </w:p>
        </w:tc>
        <w:tc>
          <w:tcPr>
            <w:tcW w:w="16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1"/>
              <w:ind w:right="0"/>
              <w:jc w:val="center"/>
              <w:rPr>
                <w:rFonts w:ascii="Arial" w:hAnsi="Arial" w:cs="Arial" w:eastAsia="Arial"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p>
        </w:tc>
      </w:tr>
      <w:tr>
        <w:trPr>
          <w:trHeight w:val="485" w:hRule="exact"/>
        </w:trPr>
        <w:tc>
          <w:tcPr>
            <w:tcW w:w="243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1"/>
              <w:ind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年以内</w:t>
            </w:r>
          </w:p>
        </w:tc>
        <w:tc>
          <w:tcPr>
            <w:tcW w:w="17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spacing w:val="-3"/>
                <w:sz w:val="18"/>
              </w:rPr>
              <w:t>411,944.11</w:t>
            </w:r>
          </w:p>
        </w:tc>
        <w:tc>
          <w:tcPr>
            <w:tcW w:w="16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3"/>
              <w:ind w:right="1"/>
              <w:jc w:val="center"/>
              <w:rPr>
                <w:rFonts w:ascii="Arial" w:hAnsi="Arial" w:cs="Arial" w:eastAsia="Arial" w:hint="default"/>
                <w:sz w:val="18"/>
                <w:szCs w:val="18"/>
              </w:rPr>
            </w:pPr>
            <w:r>
              <w:rPr>
                <w:rFonts w:ascii="Arial"/>
                <w:sz w:val="18"/>
              </w:rPr>
              <w:t>98.87</w:t>
            </w:r>
          </w:p>
        </w:tc>
        <w:tc>
          <w:tcPr>
            <w:tcW w:w="16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3"/>
              <w:ind w:right="1"/>
              <w:jc w:val="center"/>
              <w:rPr>
                <w:rFonts w:ascii="Arial" w:hAnsi="Arial" w:cs="Arial" w:eastAsia="Arial" w:hint="default"/>
                <w:sz w:val="18"/>
                <w:szCs w:val="18"/>
              </w:rPr>
            </w:pPr>
            <w:r>
              <w:rPr>
                <w:rFonts w:ascii="Arial"/>
                <w:sz w:val="18"/>
              </w:rPr>
              <w:t>48.40</w:t>
            </w:r>
          </w:p>
        </w:tc>
        <w:tc>
          <w:tcPr>
            <w:tcW w:w="11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3"/>
              <w:ind w:right="1"/>
              <w:jc w:val="center"/>
              <w:rPr>
                <w:rFonts w:ascii="Arial" w:hAnsi="Arial" w:cs="Arial" w:eastAsia="Arial" w:hint="default"/>
                <w:sz w:val="18"/>
                <w:szCs w:val="18"/>
              </w:rPr>
            </w:pPr>
            <w:r>
              <w:rPr>
                <w:rFonts w:ascii="Arial"/>
                <w:sz w:val="18"/>
              </w:rPr>
              <w:t>0.01</w:t>
            </w:r>
          </w:p>
        </w:tc>
      </w:tr>
      <w:tr>
        <w:trPr>
          <w:trHeight w:val="482" w:hRule="exact"/>
        </w:trPr>
        <w:tc>
          <w:tcPr>
            <w:tcW w:w="243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1"/>
              <w:ind w:right="0"/>
              <w:jc w:val="center"/>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7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right="0"/>
              <w:jc w:val="center"/>
              <w:rPr>
                <w:rFonts w:ascii="Arial" w:hAnsi="Arial" w:cs="Arial" w:eastAsia="Arial" w:hint="default"/>
                <w:sz w:val="18"/>
                <w:szCs w:val="18"/>
              </w:rPr>
            </w:pPr>
            <w:r>
              <w:rPr>
                <w:rFonts w:ascii="Arial"/>
                <w:sz w:val="18"/>
              </w:rPr>
              <w:t>4,700.00</w:t>
            </w:r>
          </w:p>
        </w:tc>
        <w:tc>
          <w:tcPr>
            <w:tcW w:w="16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right="534"/>
              <w:jc w:val="right"/>
              <w:rPr>
                <w:rFonts w:ascii="Arial" w:hAnsi="Arial" w:cs="Arial" w:eastAsia="Arial" w:hint="default"/>
                <w:sz w:val="18"/>
                <w:szCs w:val="18"/>
              </w:rPr>
            </w:pPr>
            <w:r>
              <w:rPr>
                <w:rFonts w:ascii="Arial"/>
                <w:w w:val="95"/>
                <w:sz w:val="18"/>
              </w:rPr>
              <w:t>1.13%</w:t>
            </w:r>
            <w:r>
              <w:rPr>
                <w:rFonts w:ascii="Arial"/>
                <w:sz w:val="18"/>
              </w:rPr>
            </w:r>
          </w:p>
        </w:tc>
        <w:tc>
          <w:tcPr>
            <w:tcW w:w="16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right="1"/>
              <w:jc w:val="center"/>
              <w:rPr>
                <w:rFonts w:ascii="Arial" w:hAnsi="Arial" w:cs="Arial" w:eastAsia="Arial" w:hint="default"/>
                <w:sz w:val="18"/>
                <w:szCs w:val="18"/>
              </w:rPr>
            </w:pPr>
            <w:r>
              <w:rPr>
                <w:rFonts w:ascii="Arial"/>
                <w:sz w:val="18"/>
              </w:rPr>
              <w:t>4,300.00</w:t>
            </w:r>
          </w:p>
        </w:tc>
        <w:tc>
          <w:tcPr>
            <w:tcW w:w="11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right="1"/>
              <w:jc w:val="center"/>
              <w:rPr>
                <w:rFonts w:ascii="Arial" w:hAnsi="Arial" w:cs="Arial" w:eastAsia="Arial" w:hint="default"/>
                <w:sz w:val="18"/>
                <w:szCs w:val="18"/>
              </w:rPr>
            </w:pPr>
            <w:r>
              <w:rPr>
                <w:rFonts w:ascii="Arial"/>
                <w:sz w:val="18"/>
              </w:rPr>
              <w:t>91.49%</w:t>
            </w:r>
          </w:p>
        </w:tc>
      </w:tr>
      <w:tr>
        <w:trPr>
          <w:trHeight w:val="485" w:hRule="exact"/>
        </w:trPr>
        <w:tc>
          <w:tcPr>
            <w:tcW w:w="243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1"/>
              <w:ind w:right="0"/>
              <w:jc w:val="center"/>
              <w:rPr>
                <w:rFonts w:ascii="宋体" w:hAnsi="宋体" w:cs="宋体" w:eastAsia="宋体" w:hint="default"/>
                <w:sz w:val="18"/>
                <w:szCs w:val="18"/>
              </w:rPr>
            </w:pPr>
            <w:r>
              <w:rPr>
                <w:rFonts w:ascii="Arial" w:hAnsi="Arial" w:cs="Arial" w:eastAsia="Arial" w:hint="default"/>
                <w:sz w:val="18"/>
                <w:szCs w:val="18"/>
              </w:rPr>
              <w:t>2~3</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7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w w:val="99"/>
                <w:sz w:val="18"/>
              </w:rPr>
              <w:t>-</w:t>
            </w:r>
            <w:r>
              <w:rPr>
                <w:rFonts w:ascii="Arial"/>
                <w:sz w:val="18"/>
              </w:rPr>
            </w:r>
          </w:p>
        </w:tc>
        <w:tc>
          <w:tcPr>
            <w:tcW w:w="16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w w:val="99"/>
                <w:sz w:val="18"/>
              </w:rPr>
              <w:t>-</w:t>
            </w:r>
            <w:r>
              <w:rPr>
                <w:rFonts w:ascii="Arial"/>
                <w:sz w:val="18"/>
              </w:rPr>
            </w:r>
          </w:p>
        </w:tc>
        <w:tc>
          <w:tcPr>
            <w:tcW w:w="16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w w:val="99"/>
                <w:sz w:val="18"/>
              </w:rPr>
              <w:t>-</w:t>
            </w:r>
            <w:r>
              <w:rPr>
                <w:rFonts w:ascii="Arial"/>
                <w:sz w:val="18"/>
              </w:rPr>
            </w:r>
          </w:p>
        </w:tc>
        <w:tc>
          <w:tcPr>
            <w:tcW w:w="11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85" w:hRule="exact"/>
        </w:trPr>
        <w:tc>
          <w:tcPr>
            <w:tcW w:w="243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1"/>
              <w:ind w:right="0"/>
              <w:jc w:val="center"/>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5"/>
                <w:sz w:val="18"/>
                <w:szCs w:val="18"/>
              </w:rPr>
              <w:t> </w:t>
            </w:r>
            <w:r>
              <w:rPr>
                <w:rFonts w:ascii="宋体" w:hAnsi="宋体" w:cs="宋体" w:eastAsia="宋体" w:hint="default"/>
                <w:sz w:val="18"/>
                <w:szCs w:val="18"/>
              </w:rPr>
              <w:t>年以上</w:t>
            </w:r>
          </w:p>
        </w:tc>
        <w:tc>
          <w:tcPr>
            <w:tcW w:w="17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w w:val="99"/>
                <w:sz w:val="18"/>
              </w:rPr>
              <w:t>-</w:t>
            </w:r>
            <w:r>
              <w:rPr>
                <w:rFonts w:ascii="Arial"/>
                <w:sz w:val="18"/>
              </w:rPr>
            </w:r>
          </w:p>
        </w:tc>
        <w:tc>
          <w:tcPr>
            <w:tcW w:w="16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w w:val="99"/>
                <w:sz w:val="18"/>
              </w:rPr>
              <w:t>-</w:t>
            </w:r>
            <w:r>
              <w:rPr>
                <w:rFonts w:ascii="Arial"/>
                <w:sz w:val="18"/>
              </w:rPr>
            </w:r>
          </w:p>
        </w:tc>
        <w:tc>
          <w:tcPr>
            <w:tcW w:w="16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w w:val="99"/>
                <w:sz w:val="18"/>
              </w:rPr>
              <w:t>-</w:t>
            </w:r>
            <w:r>
              <w:rPr>
                <w:rFonts w:ascii="Arial"/>
                <w:sz w:val="18"/>
              </w:rPr>
            </w:r>
          </w:p>
        </w:tc>
        <w:tc>
          <w:tcPr>
            <w:tcW w:w="11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82" w:hRule="exact"/>
        </w:trPr>
        <w:tc>
          <w:tcPr>
            <w:tcW w:w="243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sz w:val="18"/>
              </w:rPr>
              <w:t>416,644.11</w:t>
            </w:r>
          </w:p>
        </w:tc>
        <w:tc>
          <w:tcPr>
            <w:tcW w:w="16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3"/>
              <w:ind w:right="435"/>
              <w:jc w:val="right"/>
              <w:rPr>
                <w:rFonts w:ascii="Arial" w:hAnsi="Arial" w:cs="Arial" w:eastAsia="Arial" w:hint="default"/>
                <w:sz w:val="18"/>
                <w:szCs w:val="18"/>
              </w:rPr>
            </w:pPr>
            <w:r>
              <w:rPr>
                <w:rFonts w:ascii="Arial"/>
                <w:spacing w:val="-1"/>
                <w:sz w:val="18"/>
              </w:rPr>
              <w:t>100.00%</w:t>
            </w:r>
          </w:p>
        </w:tc>
        <w:tc>
          <w:tcPr>
            <w:tcW w:w="16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3"/>
              <w:ind w:right="1"/>
              <w:jc w:val="center"/>
              <w:rPr>
                <w:rFonts w:ascii="Arial" w:hAnsi="Arial" w:cs="Arial" w:eastAsia="Arial" w:hint="default"/>
                <w:sz w:val="18"/>
                <w:szCs w:val="18"/>
              </w:rPr>
            </w:pPr>
            <w:r>
              <w:rPr>
                <w:rFonts w:ascii="Arial"/>
                <w:sz w:val="18"/>
              </w:rPr>
              <w:t>4,348.40</w:t>
            </w:r>
          </w:p>
        </w:tc>
        <w:tc>
          <w:tcPr>
            <w:tcW w:w="11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3"/>
              <w:ind w:right="1"/>
              <w:jc w:val="center"/>
              <w:rPr>
                <w:rFonts w:ascii="Arial" w:hAnsi="Arial" w:cs="Arial" w:eastAsia="Arial" w:hint="default"/>
                <w:sz w:val="18"/>
                <w:szCs w:val="18"/>
              </w:rPr>
            </w:pPr>
            <w:r>
              <w:rPr>
                <w:rFonts w:ascii="Arial"/>
                <w:sz w:val="18"/>
              </w:rPr>
              <w:t>1.04</w:t>
            </w:r>
          </w:p>
        </w:tc>
      </w:tr>
    </w:tbl>
    <w:p>
      <w:pPr>
        <w:spacing w:line="240" w:lineRule="auto" w:before="2"/>
        <w:rPr>
          <w:rFonts w:ascii="宋体" w:hAnsi="宋体" w:cs="宋体" w:eastAsia="宋体" w:hint="default"/>
          <w:sz w:val="29"/>
          <w:szCs w:val="29"/>
        </w:rPr>
      </w:pPr>
    </w:p>
    <w:tbl>
      <w:tblPr>
        <w:tblW w:w="0" w:type="auto"/>
        <w:jc w:val="left"/>
        <w:tblInd w:w="183" w:type="dxa"/>
        <w:tblLayout w:type="fixed"/>
        <w:tblCellMar>
          <w:top w:w="0" w:type="dxa"/>
          <w:left w:w="0" w:type="dxa"/>
          <w:bottom w:w="0" w:type="dxa"/>
          <w:right w:w="0" w:type="dxa"/>
        </w:tblCellMar>
        <w:tblLook w:val="01E0"/>
      </w:tblPr>
      <w:tblGrid>
        <w:gridCol w:w="2388"/>
        <w:gridCol w:w="1754"/>
        <w:gridCol w:w="1361"/>
        <w:gridCol w:w="1872"/>
        <w:gridCol w:w="1145"/>
      </w:tblGrid>
      <w:tr>
        <w:trPr>
          <w:trHeight w:val="485" w:hRule="exact"/>
        </w:trPr>
        <w:tc>
          <w:tcPr>
            <w:tcW w:w="2388" w:type="dxa"/>
            <w:vMerge w:val="restart"/>
            <w:tcBorders>
              <w:top w:val="single" w:sz="12" w:space="0" w:color="000000"/>
              <w:left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6132" w:type="dxa"/>
            <w:gridSpan w:val="4"/>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1"/>
              <w:ind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482" w:hRule="exact"/>
        </w:trPr>
        <w:tc>
          <w:tcPr>
            <w:tcW w:w="2388" w:type="dxa"/>
            <w:vMerge/>
            <w:tcBorders>
              <w:left w:val="single" w:sz="12" w:space="0" w:color="000000"/>
              <w:right w:val="single" w:sz="12" w:space="0" w:color="000000"/>
            </w:tcBorders>
          </w:tcPr>
          <w:p>
            <w:pPr/>
          </w:p>
        </w:tc>
        <w:tc>
          <w:tcPr>
            <w:tcW w:w="3115"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017"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5" w:hRule="exact"/>
        </w:trPr>
        <w:tc>
          <w:tcPr>
            <w:tcW w:w="2388" w:type="dxa"/>
            <w:vMerge/>
            <w:tcBorders>
              <w:left w:val="single" w:sz="12" w:space="0" w:color="000000"/>
              <w:bottom w:val="single" w:sz="12" w:space="0" w:color="000000"/>
              <w:right w:val="single" w:sz="12" w:space="0" w:color="000000"/>
            </w:tcBorders>
          </w:tcPr>
          <w:p>
            <w:pPr/>
          </w:p>
        </w:tc>
        <w:tc>
          <w:tcPr>
            <w:tcW w:w="17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1"/>
              <w:ind w:right="0"/>
              <w:jc w:val="center"/>
              <w:rPr>
                <w:rFonts w:ascii="Arial" w:hAnsi="Arial" w:cs="Arial" w:eastAsia="Arial"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p>
        </w:tc>
        <w:tc>
          <w:tcPr>
            <w:tcW w:w="18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4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1"/>
              <w:ind w:right="0"/>
              <w:jc w:val="center"/>
              <w:rPr>
                <w:rFonts w:ascii="Arial" w:hAnsi="Arial" w:cs="Arial" w:eastAsia="Arial"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p>
        </w:tc>
      </w:tr>
      <w:tr>
        <w:trPr>
          <w:trHeight w:val="485" w:hRule="exact"/>
        </w:trPr>
        <w:tc>
          <w:tcPr>
            <w:tcW w:w="23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1"/>
              <w:ind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年以内</w:t>
            </w:r>
          </w:p>
        </w:tc>
        <w:tc>
          <w:tcPr>
            <w:tcW w:w="17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3"/>
              <w:ind w:right="1"/>
              <w:jc w:val="center"/>
              <w:rPr>
                <w:rFonts w:ascii="Arial" w:hAnsi="Arial" w:cs="Arial" w:eastAsia="Arial" w:hint="default"/>
                <w:sz w:val="18"/>
                <w:szCs w:val="18"/>
              </w:rPr>
            </w:pPr>
            <w:r>
              <w:rPr>
                <w:rFonts w:ascii="Arial"/>
                <w:sz w:val="18"/>
              </w:rPr>
              <w:t>430,042.48</w:t>
            </w:r>
          </w:p>
        </w:tc>
        <w:tc>
          <w:tcPr>
            <w:tcW w:w="13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sz w:val="18"/>
              </w:rPr>
              <w:t>100.00%</w:t>
            </w:r>
          </w:p>
        </w:tc>
        <w:tc>
          <w:tcPr>
            <w:tcW w:w="18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3"/>
              <w:ind w:right="1"/>
              <w:jc w:val="center"/>
              <w:rPr>
                <w:rFonts w:ascii="Arial" w:hAnsi="Arial" w:cs="Arial" w:eastAsia="Arial" w:hint="default"/>
                <w:sz w:val="18"/>
                <w:szCs w:val="18"/>
              </w:rPr>
            </w:pPr>
            <w:r>
              <w:rPr>
                <w:rFonts w:ascii="Arial"/>
                <w:sz w:val="18"/>
              </w:rPr>
              <w:t>21,502.12</w:t>
            </w:r>
          </w:p>
        </w:tc>
        <w:tc>
          <w:tcPr>
            <w:tcW w:w="114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sz w:val="18"/>
              </w:rPr>
              <w:t>5.00</w:t>
            </w:r>
          </w:p>
        </w:tc>
      </w:tr>
      <w:tr>
        <w:trPr>
          <w:trHeight w:val="482" w:hRule="exact"/>
        </w:trPr>
        <w:tc>
          <w:tcPr>
            <w:tcW w:w="23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1"/>
              <w:ind w:right="0"/>
              <w:jc w:val="center"/>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7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w w:val="99"/>
                <w:sz w:val="18"/>
              </w:rPr>
              <w:t>-</w:t>
            </w:r>
            <w:r>
              <w:rPr>
                <w:rFonts w:ascii="Arial"/>
                <w:sz w:val="18"/>
              </w:rPr>
            </w:r>
          </w:p>
        </w:tc>
        <w:tc>
          <w:tcPr>
            <w:tcW w:w="13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w w:val="99"/>
                <w:sz w:val="18"/>
              </w:rPr>
              <w:t>-</w:t>
            </w:r>
            <w:r>
              <w:rPr>
                <w:rFonts w:ascii="Arial"/>
                <w:sz w:val="18"/>
              </w:rPr>
            </w:r>
          </w:p>
        </w:tc>
        <w:tc>
          <w:tcPr>
            <w:tcW w:w="18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w w:val="99"/>
                <w:sz w:val="18"/>
              </w:rPr>
              <w:t>-</w:t>
            </w:r>
            <w:r>
              <w:rPr>
                <w:rFonts w:ascii="Arial"/>
                <w:sz w:val="18"/>
              </w:rPr>
            </w:r>
          </w:p>
        </w:tc>
        <w:tc>
          <w:tcPr>
            <w:tcW w:w="114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center"/>
        <w:rPr>
          <w:rFonts w:ascii="Arial" w:hAnsi="Arial" w:cs="Arial" w:eastAsia="Arial" w:hint="default"/>
          <w:sz w:val="18"/>
          <w:szCs w:val="18"/>
        </w:rPr>
        <w:sectPr>
          <w:pgSz w:w="11900" w:h="16840"/>
          <w:pgMar w:header="0" w:footer="983" w:top="1100" w:bottom="1180" w:left="1660" w:right="1320"/>
        </w:sectPr>
      </w:pPr>
    </w:p>
    <w:p>
      <w:pPr>
        <w:spacing w:line="240" w:lineRule="auto" w:before="8"/>
        <w:rPr>
          <w:rFonts w:ascii="宋体" w:hAnsi="宋体" w:cs="宋体" w:eastAsia="宋体" w:hint="default"/>
          <w:sz w:val="24"/>
          <w:szCs w:val="24"/>
        </w:rPr>
      </w:pPr>
    </w:p>
    <w:tbl>
      <w:tblPr>
        <w:tblW w:w="0" w:type="auto"/>
        <w:jc w:val="left"/>
        <w:tblInd w:w="283" w:type="dxa"/>
        <w:tblLayout w:type="fixed"/>
        <w:tblCellMar>
          <w:top w:w="0" w:type="dxa"/>
          <w:left w:w="0" w:type="dxa"/>
          <w:bottom w:w="0" w:type="dxa"/>
          <w:right w:w="0" w:type="dxa"/>
        </w:tblCellMar>
        <w:tblLook w:val="01E0"/>
      </w:tblPr>
      <w:tblGrid>
        <w:gridCol w:w="2388"/>
        <w:gridCol w:w="1754"/>
        <w:gridCol w:w="1361"/>
        <w:gridCol w:w="1872"/>
        <w:gridCol w:w="1145"/>
      </w:tblGrid>
      <w:tr>
        <w:trPr>
          <w:trHeight w:val="485" w:hRule="exact"/>
        </w:trPr>
        <w:tc>
          <w:tcPr>
            <w:tcW w:w="23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1"/>
              <w:ind w:right="0"/>
              <w:jc w:val="center"/>
              <w:rPr>
                <w:rFonts w:ascii="宋体" w:hAnsi="宋体" w:cs="宋体" w:eastAsia="宋体" w:hint="default"/>
                <w:sz w:val="18"/>
                <w:szCs w:val="18"/>
              </w:rPr>
            </w:pPr>
            <w:r>
              <w:rPr>
                <w:rFonts w:ascii="Arial" w:hAnsi="Arial" w:cs="Arial" w:eastAsia="Arial" w:hint="default"/>
                <w:sz w:val="18"/>
                <w:szCs w:val="18"/>
              </w:rPr>
              <w:t>2~3</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7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w w:val="99"/>
                <w:sz w:val="18"/>
              </w:rPr>
              <w:t>-</w:t>
            </w:r>
            <w:r>
              <w:rPr>
                <w:rFonts w:ascii="Arial"/>
                <w:sz w:val="18"/>
              </w:rPr>
            </w:r>
          </w:p>
        </w:tc>
        <w:tc>
          <w:tcPr>
            <w:tcW w:w="13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w w:val="99"/>
                <w:sz w:val="18"/>
              </w:rPr>
              <w:t>-</w:t>
            </w:r>
            <w:r>
              <w:rPr>
                <w:rFonts w:ascii="Arial"/>
                <w:sz w:val="18"/>
              </w:rPr>
            </w:r>
          </w:p>
        </w:tc>
        <w:tc>
          <w:tcPr>
            <w:tcW w:w="18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w w:val="99"/>
                <w:sz w:val="18"/>
              </w:rPr>
              <w:t>-</w:t>
            </w:r>
            <w:r>
              <w:rPr>
                <w:rFonts w:ascii="Arial"/>
                <w:sz w:val="18"/>
              </w:rPr>
            </w:r>
          </w:p>
        </w:tc>
        <w:tc>
          <w:tcPr>
            <w:tcW w:w="114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82" w:hRule="exact"/>
        </w:trPr>
        <w:tc>
          <w:tcPr>
            <w:tcW w:w="23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1"/>
              <w:ind w:right="0"/>
              <w:jc w:val="center"/>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5"/>
                <w:sz w:val="18"/>
                <w:szCs w:val="18"/>
              </w:rPr>
              <w:t> </w:t>
            </w:r>
            <w:r>
              <w:rPr>
                <w:rFonts w:ascii="宋体" w:hAnsi="宋体" w:cs="宋体" w:eastAsia="宋体" w:hint="default"/>
                <w:sz w:val="18"/>
                <w:szCs w:val="18"/>
              </w:rPr>
              <w:t>年以上</w:t>
            </w:r>
          </w:p>
        </w:tc>
        <w:tc>
          <w:tcPr>
            <w:tcW w:w="17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w w:val="99"/>
                <w:sz w:val="18"/>
              </w:rPr>
              <w:t>-</w:t>
            </w:r>
            <w:r>
              <w:rPr>
                <w:rFonts w:ascii="Arial"/>
                <w:sz w:val="18"/>
              </w:rPr>
            </w:r>
          </w:p>
        </w:tc>
        <w:tc>
          <w:tcPr>
            <w:tcW w:w="13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w w:val="99"/>
                <w:sz w:val="18"/>
              </w:rPr>
              <w:t>-</w:t>
            </w:r>
            <w:r>
              <w:rPr>
                <w:rFonts w:ascii="Arial"/>
                <w:sz w:val="18"/>
              </w:rPr>
            </w:r>
          </w:p>
        </w:tc>
        <w:tc>
          <w:tcPr>
            <w:tcW w:w="18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w w:val="99"/>
                <w:sz w:val="18"/>
              </w:rPr>
              <w:t>-</w:t>
            </w:r>
            <w:r>
              <w:rPr>
                <w:rFonts w:ascii="Arial"/>
                <w:sz w:val="18"/>
              </w:rPr>
            </w:r>
          </w:p>
        </w:tc>
        <w:tc>
          <w:tcPr>
            <w:tcW w:w="114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82" w:hRule="exact"/>
        </w:trPr>
        <w:tc>
          <w:tcPr>
            <w:tcW w:w="23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3"/>
              <w:ind w:right="1"/>
              <w:jc w:val="center"/>
              <w:rPr>
                <w:rFonts w:ascii="Arial" w:hAnsi="Arial" w:cs="Arial" w:eastAsia="Arial" w:hint="default"/>
                <w:sz w:val="18"/>
                <w:szCs w:val="18"/>
              </w:rPr>
            </w:pPr>
            <w:r>
              <w:rPr>
                <w:rFonts w:ascii="Arial"/>
                <w:sz w:val="18"/>
              </w:rPr>
              <w:t>430,042.48</w:t>
            </w:r>
          </w:p>
        </w:tc>
        <w:tc>
          <w:tcPr>
            <w:tcW w:w="13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sz w:val="18"/>
              </w:rPr>
              <w:t>100.00%</w:t>
            </w:r>
          </w:p>
        </w:tc>
        <w:tc>
          <w:tcPr>
            <w:tcW w:w="18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3"/>
              <w:ind w:right="1"/>
              <w:jc w:val="center"/>
              <w:rPr>
                <w:rFonts w:ascii="Arial" w:hAnsi="Arial" w:cs="Arial" w:eastAsia="Arial" w:hint="default"/>
                <w:sz w:val="18"/>
                <w:szCs w:val="18"/>
              </w:rPr>
            </w:pPr>
            <w:r>
              <w:rPr>
                <w:rFonts w:ascii="Arial"/>
                <w:sz w:val="18"/>
              </w:rPr>
              <w:t>21,502.12</w:t>
            </w:r>
          </w:p>
        </w:tc>
        <w:tc>
          <w:tcPr>
            <w:tcW w:w="114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sz w:val="18"/>
              </w:rPr>
              <w:t>5.00</w:t>
            </w:r>
          </w:p>
        </w:tc>
      </w:tr>
    </w:tbl>
    <w:p>
      <w:pPr>
        <w:spacing w:line="240" w:lineRule="auto" w:before="1"/>
        <w:rPr>
          <w:rFonts w:ascii="宋体" w:hAnsi="宋体" w:cs="宋体" w:eastAsia="宋体" w:hint="default"/>
          <w:sz w:val="24"/>
          <w:szCs w:val="24"/>
        </w:rPr>
      </w:pPr>
    </w:p>
    <w:p>
      <w:pPr>
        <w:pStyle w:val="BodyText"/>
        <w:spacing w:line="240" w:lineRule="auto"/>
        <w:ind w:left="676" w:right="0"/>
        <w:jc w:val="left"/>
      </w:pPr>
      <w:r>
        <w:rPr>
          <w:rFonts w:ascii="Arial" w:hAnsi="Arial" w:cs="Arial" w:eastAsia="Arial" w:hint="default"/>
        </w:rPr>
        <w:t>12.2.3</w:t>
      </w:r>
      <w:r>
        <w:rPr>
          <w:rFonts w:ascii="Arial" w:hAnsi="Arial" w:cs="Arial" w:eastAsia="Arial" w:hint="default"/>
          <w:spacing w:val="-13"/>
        </w:rPr>
        <w:t> </w:t>
      </w:r>
      <w:r>
        <w:rPr/>
        <w:t>本报告期其他应收款中无欠持公司</w:t>
      </w:r>
      <w:r>
        <w:rPr>
          <w:spacing w:val="-59"/>
        </w:rPr>
        <w:t> </w:t>
      </w:r>
      <w:r>
        <w:rPr>
          <w:rFonts w:ascii="Arial" w:hAnsi="Arial" w:cs="Arial" w:eastAsia="Arial" w:hint="default"/>
        </w:rPr>
        <w:t>5%</w:t>
      </w:r>
      <w:r>
        <w:rPr/>
        <w:t>以上</w:t>
      </w:r>
      <w:r>
        <w:rPr>
          <w:rFonts w:ascii="Arial" w:hAnsi="Arial" w:cs="Arial" w:eastAsia="Arial" w:hint="default"/>
        </w:rPr>
        <w:t>(</w:t>
      </w:r>
      <w:r>
        <w:rPr/>
        <w:t>含</w:t>
      </w:r>
      <w:r>
        <w:rPr>
          <w:spacing w:val="-59"/>
        </w:rPr>
        <w:t> </w:t>
      </w:r>
      <w:r>
        <w:rPr>
          <w:rFonts w:ascii="Arial" w:hAnsi="Arial" w:cs="Arial" w:eastAsia="Arial" w:hint="default"/>
        </w:rPr>
        <w:t>5%)</w:t>
      </w:r>
      <w:r>
        <w:rPr/>
        <w:t>表决权股份的股东款项。</w:t>
      </w:r>
    </w:p>
    <w:p>
      <w:pPr>
        <w:pStyle w:val="BodyText"/>
        <w:spacing w:line="240" w:lineRule="auto" w:before="123"/>
        <w:ind w:left="676" w:right="0"/>
        <w:jc w:val="left"/>
      </w:pPr>
      <w:r>
        <w:rPr>
          <w:rFonts w:ascii="Arial" w:hAnsi="Arial" w:cs="Arial" w:eastAsia="Arial" w:hint="default"/>
        </w:rPr>
        <w:t>12.2.4</w:t>
      </w:r>
      <w:r>
        <w:rPr>
          <w:rFonts w:ascii="Arial" w:hAnsi="Arial" w:cs="Arial" w:eastAsia="Arial" w:hint="default"/>
          <w:spacing w:val="-11"/>
        </w:rPr>
        <w:t> </w:t>
      </w:r>
      <w:r>
        <w:rPr/>
        <w:t>其他应收款余额前五名单位情况</w:t>
      </w:r>
    </w:p>
    <w:p>
      <w:pPr>
        <w:spacing w:line="240" w:lineRule="auto" w:before="3"/>
        <w:rPr>
          <w:rFonts w:ascii="宋体" w:hAnsi="宋体" w:cs="宋体" w:eastAsia="宋体" w:hint="default"/>
          <w:sz w:val="12"/>
          <w:szCs w:val="12"/>
        </w:rPr>
      </w:pPr>
    </w:p>
    <w:tbl>
      <w:tblPr>
        <w:tblW w:w="0" w:type="auto"/>
        <w:jc w:val="left"/>
        <w:tblInd w:w="175" w:type="dxa"/>
        <w:tblLayout w:type="fixed"/>
        <w:tblCellMar>
          <w:top w:w="0" w:type="dxa"/>
          <w:left w:w="0" w:type="dxa"/>
          <w:bottom w:w="0" w:type="dxa"/>
          <w:right w:w="0" w:type="dxa"/>
        </w:tblCellMar>
        <w:tblLook w:val="01E0"/>
      </w:tblPr>
      <w:tblGrid>
        <w:gridCol w:w="2587"/>
        <w:gridCol w:w="1918"/>
        <w:gridCol w:w="1522"/>
        <w:gridCol w:w="955"/>
        <w:gridCol w:w="1754"/>
      </w:tblGrid>
      <w:tr>
        <w:trPr>
          <w:trHeight w:val="497" w:hRule="exact"/>
        </w:trPr>
        <w:tc>
          <w:tcPr>
            <w:tcW w:w="25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7"/>
              <w:ind w:left="403"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5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7"/>
              <w:ind w:right="103"/>
              <w:jc w:val="center"/>
              <w:rPr>
                <w:rFonts w:ascii="宋体" w:hAnsi="宋体" w:cs="宋体" w:eastAsia="宋体" w:hint="default"/>
                <w:sz w:val="18"/>
                <w:szCs w:val="18"/>
              </w:rPr>
            </w:pPr>
            <w:r>
              <w:rPr>
                <w:rFonts w:ascii="宋体" w:hAnsi="宋体" w:cs="宋体" w:eastAsia="宋体" w:hint="default"/>
                <w:sz w:val="18"/>
                <w:szCs w:val="18"/>
              </w:rPr>
              <w:t>金额</w:t>
            </w:r>
          </w:p>
        </w:tc>
        <w:tc>
          <w:tcPr>
            <w:tcW w:w="9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年限</w:t>
            </w:r>
          </w:p>
        </w:tc>
        <w:tc>
          <w:tcPr>
            <w:tcW w:w="1754"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占其他应收款总额</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r>
      <w:tr>
        <w:trPr>
          <w:trHeight w:val="485" w:hRule="exact"/>
        </w:trPr>
        <w:tc>
          <w:tcPr>
            <w:tcW w:w="25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left="93" w:right="0"/>
              <w:jc w:val="left"/>
              <w:rPr>
                <w:rFonts w:ascii="宋体" w:hAnsi="宋体" w:cs="宋体" w:eastAsia="宋体" w:hint="default"/>
                <w:sz w:val="18"/>
                <w:szCs w:val="18"/>
              </w:rPr>
            </w:pPr>
            <w:r>
              <w:rPr>
                <w:rFonts w:ascii="宋体" w:hAnsi="宋体" w:cs="宋体" w:eastAsia="宋体" w:hint="default"/>
                <w:sz w:val="18"/>
                <w:szCs w:val="18"/>
              </w:rPr>
              <w:t>东营安诺其纺织材料有限公司</w:t>
            </w:r>
          </w:p>
        </w:tc>
        <w:tc>
          <w:tcPr>
            <w:tcW w:w="19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left="9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4"/>
              <w:ind w:left="1" w:right="0"/>
              <w:jc w:val="center"/>
              <w:rPr>
                <w:rFonts w:ascii="Arial" w:hAnsi="Arial" w:cs="Arial" w:eastAsia="Arial" w:hint="default"/>
                <w:sz w:val="18"/>
                <w:szCs w:val="18"/>
              </w:rPr>
            </w:pPr>
            <w:r>
              <w:rPr>
                <w:rFonts w:ascii="Arial"/>
                <w:sz w:val="18"/>
              </w:rPr>
              <w:t>7,700,000.00</w:t>
            </w:r>
          </w:p>
        </w:tc>
        <w:tc>
          <w:tcPr>
            <w:tcW w:w="9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right="2"/>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年以内</w:t>
            </w:r>
          </w:p>
        </w:tc>
        <w:tc>
          <w:tcPr>
            <w:tcW w:w="17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left="635" w:right="0"/>
              <w:jc w:val="left"/>
              <w:rPr>
                <w:rFonts w:ascii="Arial" w:hAnsi="Arial" w:cs="Arial" w:eastAsia="Arial" w:hint="default"/>
                <w:sz w:val="18"/>
                <w:szCs w:val="18"/>
              </w:rPr>
            </w:pPr>
            <w:r>
              <w:rPr>
                <w:rFonts w:ascii="Arial"/>
                <w:sz w:val="18"/>
              </w:rPr>
              <w:t>94.87</w:t>
            </w:r>
          </w:p>
        </w:tc>
      </w:tr>
      <w:tr>
        <w:trPr>
          <w:trHeight w:val="485" w:hRule="exact"/>
        </w:trPr>
        <w:tc>
          <w:tcPr>
            <w:tcW w:w="25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left="93" w:right="0"/>
              <w:jc w:val="left"/>
              <w:rPr>
                <w:rFonts w:ascii="宋体" w:hAnsi="宋体" w:cs="宋体" w:eastAsia="宋体" w:hint="default"/>
                <w:sz w:val="18"/>
                <w:szCs w:val="18"/>
              </w:rPr>
            </w:pPr>
            <w:r>
              <w:rPr>
                <w:rFonts w:ascii="宋体" w:hAnsi="宋体" w:cs="宋体" w:eastAsia="宋体" w:hint="default"/>
                <w:sz w:val="18"/>
                <w:szCs w:val="18"/>
              </w:rPr>
              <w:t>上海金蝶软件科技有限公司</w:t>
            </w:r>
          </w:p>
        </w:tc>
        <w:tc>
          <w:tcPr>
            <w:tcW w:w="19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left="93" w:right="0"/>
              <w:jc w:val="left"/>
              <w:rPr>
                <w:rFonts w:ascii="宋体" w:hAnsi="宋体" w:cs="宋体" w:eastAsia="宋体" w:hint="default"/>
                <w:sz w:val="18"/>
                <w:szCs w:val="18"/>
              </w:rPr>
            </w:pPr>
            <w:r>
              <w:rPr>
                <w:rFonts w:ascii="宋体" w:hAnsi="宋体" w:cs="宋体" w:eastAsia="宋体" w:hint="default"/>
                <w:sz w:val="18"/>
                <w:szCs w:val="18"/>
              </w:rPr>
              <w:t>公司软件供应商</w:t>
            </w:r>
          </w:p>
        </w:tc>
        <w:tc>
          <w:tcPr>
            <w:tcW w:w="15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4"/>
              <w:ind w:left="1" w:right="0"/>
              <w:jc w:val="center"/>
              <w:rPr>
                <w:rFonts w:ascii="Arial" w:hAnsi="Arial" w:cs="Arial" w:eastAsia="Arial" w:hint="default"/>
                <w:sz w:val="18"/>
                <w:szCs w:val="18"/>
              </w:rPr>
            </w:pPr>
            <w:r>
              <w:rPr>
                <w:rFonts w:ascii="Arial"/>
                <w:sz w:val="18"/>
              </w:rPr>
              <w:t>130,811.97</w:t>
            </w:r>
          </w:p>
        </w:tc>
        <w:tc>
          <w:tcPr>
            <w:tcW w:w="9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right="2"/>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年以内</w:t>
            </w:r>
          </w:p>
        </w:tc>
        <w:tc>
          <w:tcPr>
            <w:tcW w:w="17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left="686" w:right="0"/>
              <w:jc w:val="left"/>
              <w:rPr>
                <w:rFonts w:ascii="Arial" w:hAnsi="Arial" w:cs="Arial" w:eastAsia="Arial" w:hint="default"/>
                <w:sz w:val="18"/>
                <w:szCs w:val="18"/>
              </w:rPr>
            </w:pPr>
            <w:r>
              <w:rPr>
                <w:rFonts w:ascii="Arial"/>
                <w:sz w:val="18"/>
              </w:rPr>
              <w:t>1.61</w:t>
            </w:r>
          </w:p>
        </w:tc>
      </w:tr>
      <w:tr>
        <w:trPr>
          <w:trHeight w:val="482" w:hRule="exact"/>
        </w:trPr>
        <w:tc>
          <w:tcPr>
            <w:tcW w:w="25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left="93" w:right="0"/>
              <w:jc w:val="left"/>
              <w:rPr>
                <w:rFonts w:ascii="宋体" w:hAnsi="宋体" w:cs="宋体" w:eastAsia="宋体" w:hint="default"/>
                <w:sz w:val="18"/>
                <w:szCs w:val="18"/>
              </w:rPr>
            </w:pPr>
            <w:r>
              <w:rPr>
                <w:rFonts w:ascii="宋体" w:hAnsi="宋体" w:cs="宋体" w:eastAsia="宋体" w:hint="default"/>
                <w:sz w:val="18"/>
                <w:szCs w:val="18"/>
              </w:rPr>
              <w:t>杭州凯迈科技有限公司</w:t>
            </w:r>
          </w:p>
        </w:tc>
        <w:tc>
          <w:tcPr>
            <w:tcW w:w="19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left="93" w:right="0"/>
              <w:jc w:val="left"/>
              <w:rPr>
                <w:rFonts w:ascii="宋体" w:hAnsi="宋体" w:cs="宋体" w:eastAsia="宋体" w:hint="default"/>
                <w:sz w:val="18"/>
                <w:szCs w:val="18"/>
              </w:rPr>
            </w:pPr>
            <w:r>
              <w:rPr>
                <w:rFonts w:ascii="宋体" w:hAnsi="宋体" w:cs="宋体" w:eastAsia="宋体" w:hint="default"/>
                <w:sz w:val="18"/>
                <w:szCs w:val="18"/>
              </w:rPr>
              <w:t>设备供应商</w:t>
            </w:r>
          </w:p>
        </w:tc>
        <w:tc>
          <w:tcPr>
            <w:tcW w:w="15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4"/>
              <w:ind w:left="1" w:right="0"/>
              <w:jc w:val="center"/>
              <w:rPr>
                <w:rFonts w:ascii="Arial" w:hAnsi="Arial" w:cs="Arial" w:eastAsia="Arial" w:hint="default"/>
                <w:sz w:val="18"/>
                <w:szCs w:val="18"/>
              </w:rPr>
            </w:pPr>
            <w:r>
              <w:rPr>
                <w:rFonts w:ascii="Arial"/>
                <w:sz w:val="18"/>
              </w:rPr>
              <w:t>73,500.00</w:t>
            </w:r>
          </w:p>
        </w:tc>
        <w:tc>
          <w:tcPr>
            <w:tcW w:w="9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right="2"/>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年以内</w:t>
            </w:r>
          </w:p>
        </w:tc>
        <w:tc>
          <w:tcPr>
            <w:tcW w:w="17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left="686" w:right="0"/>
              <w:jc w:val="left"/>
              <w:rPr>
                <w:rFonts w:ascii="Arial" w:hAnsi="Arial" w:cs="Arial" w:eastAsia="Arial" w:hint="default"/>
                <w:sz w:val="18"/>
                <w:szCs w:val="18"/>
              </w:rPr>
            </w:pPr>
            <w:r>
              <w:rPr>
                <w:rFonts w:ascii="Arial"/>
                <w:sz w:val="18"/>
              </w:rPr>
              <w:t>0.91</w:t>
            </w:r>
          </w:p>
        </w:tc>
      </w:tr>
      <w:tr>
        <w:trPr>
          <w:trHeight w:val="485" w:hRule="exact"/>
        </w:trPr>
        <w:tc>
          <w:tcPr>
            <w:tcW w:w="25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left="93" w:right="0"/>
              <w:jc w:val="left"/>
              <w:rPr>
                <w:rFonts w:ascii="宋体" w:hAnsi="宋体" w:cs="宋体" w:eastAsia="宋体" w:hint="default"/>
                <w:sz w:val="18"/>
                <w:szCs w:val="18"/>
              </w:rPr>
            </w:pPr>
            <w:r>
              <w:rPr>
                <w:rFonts w:ascii="宋体" w:hAnsi="宋体" w:cs="宋体" w:eastAsia="宋体" w:hint="default"/>
                <w:sz w:val="18"/>
                <w:szCs w:val="18"/>
              </w:rPr>
              <w:t>工会</w:t>
            </w:r>
          </w:p>
        </w:tc>
        <w:tc>
          <w:tcPr>
            <w:tcW w:w="19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left="93" w:right="0"/>
              <w:jc w:val="left"/>
              <w:rPr>
                <w:rFonts w:ascii="宋体" w:hAnsi="宋体" w:cs="宋体" w:eastAsia="宋体" w:hint="default"/>
                <w:sz w:val="18"/>
                <w:szCs w:val="18"/>
              </w:rPr>
            </w:pPr>
            <w:r>
              <w:rPr>
                <w:rFonts w:ascii="宋体" w:hAnsi="宋体" w:cs="宋体" w:eastAsia="宋体" w:hint="default"/>
                <w:sz w:val="18"/>
                <w:szCs w:val="18"/>
              </w:rPr>
              <w:t>工会</w:t>
            </w:r>
          </w:p>
        </w:tc>
        <w:tc>
          <w:tcPr>
            <w:tcW w:w="15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4"/>
              <w:ind w:left="1" w:right="0"/>
              <w:jc w:val="center"/>
              <w:rPr>
                <w:rFonts w:ascii="Arial" w:hAnsi="Arial" w:cs="Arial" w:eastAsia="Arial" w:hint="default"/>
                <w:sz w:val="18"/>
                <w:szCs w:val="18"/>
              </w:rPr>
            </w:pPr>
            <w:r>
              <w:rPr>
                <w:rFonts w:ascii="Arial"/>
                <w:sz w:val="18"/>
              </w:rPr>
              <w:t>60,000.00</w:t>
            </w:r>
          </w:p>
        </w:tc>
        <w:tc>
          <w:tcPr>
            <w:tcW w:w="9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right="2"/>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年以内</w:t>
            </w:r>
          </w:p>
        </w:tc>
        <w:tc>
          <w:tcPr>
            <w:tcW w:w="17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left="686" w:right="0"/>
              <w:jc w:val="left"/>
              <w:rPr>
                <w:rFonts w:ascii="Arial" w:hAnsi="Arial" w:cs="Arial" w:eastAsia="Arial" w:hint="default"/>
                <w:sz w:val="18"/>
                <w:szCs w:val="18"/>
              </w:rPr>
            </w:pPr>
            <w:r>
              <w:rPr>
                <w:rFonts w:ascii="Arial"/>
                <w:sz w:val="18"/>
              </w:rPr>
              <w:t>0.74</w:t>
            </w:r>
          </w:p>
        </w:tc>
      </w:tr>
      <w:tr>
        <w:trPr>
          <w:trHeight w:val="485" w:hRule="exact"/>
        </w:trPr>
        <w:tc>
          <w:tcPr>
            <w:tcW w:w="25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left="93" w:right="0"/>
              <w:jc w:val="left"/>
              <w:rPr>
                <w:rFonts w:ascii="宋体" w:hAnsi="宋体" w:cs="宋体" w:eastAsia="宋体" w:hint="default"/>
                <w:sz w:val="18"/>
                <w:szCs w:val="18"/>
              </w:rPr>
            </w:pPr>
            <w:r>
              <w:rPr>
                <w:rFonts w:ascii="宋体" w:hAnsi="宋体" w:cs="宋体" w:eastAsia="宋体" w:hint="default"/>
                <w:sz w:val="18"/>
                <w:szCs w:val="18"/>
              </w:rPr>
              <w:t>上海智信专利代理有限公司</w:t>
            </w:r>
          </w:p>
        </w:tc>
        <w:tc>
          <w:tcPr>
            <w:tcW w:w="19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left="93" w:right="0"/>
              <w:jc w:val="left"/>
              <w:rPr>
                <w:rFonts w:ascii="宋体" w:hAnsi="宋体" w:cs="宋体" w:eastAsia="宋体" w:hint="default"/>
                <w:sz w:val="18"/>
                <w:szCs w:val="18"/>
              </w:rPr>
            </w:pPr>
            <w:r>
              <w:rPr>
                <w:rFonts w:ascii="宋体" w:hAnsi="宋体" w:cs="宋体" w:eastAsia="宋体" w:hint="default"/>
                <w:sz w:val="18"/>
                <w:szCs w:val="18"/>
              </w:rPr>
              <w:t>专利代理公司</w:t>
            </w:r>
          </w:p>
        </w:tc>
        <w:tc>
          <w:tcPr>
            <w:tcW w:w="15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4"/>
              <w:ind w:left="1" w:right="0"/>
              <w:jc w:val="center"/>
              <w:rPr>
                <w:rFonts w:ascii="Arial" w:hAnsi="Arial" w:cs="Arial" w:eastAsia="Arial" w:hint="default"/>
                <w:sz w:val="18"/>
                <w:szCs w:val="18"/>
              </w:rPr>
            </w:pPr>
            <w:r>
              <w:rPr>
                <w:rFonts w:ascii="Arial"/>
                <w:sz w:val="18"/>
              </w:rPr>
              <w:t>57,730.00</w:t>
            </w:r>
          </w:p>
        </w:tc>
        <w:tc>
          <w:tcPr>
            <w:tcW w:w="9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right="2"/>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年以内</w:t>
            </w:r>
          </w:p>
        </w:tc>
        <w:tc>
          <w:tcPr>
            <w:tcW w:w="17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left="686" w:right="0"/>
              <w:jc w:val="left"/>
              <w:rPr>
                <w:rFonts w:ascii="Arial" w:hAnsi="Arial" w:cs="Arial" w:eastAsia="Arial" w:hint="default"/>
                <w:sz w:val="18"/>
                <w:szCs w:val="18"/>
              </w:rPr>
            </w:pPr>
            <w:r>
              <w:rPr>
                <w:rFonts w:ascii="Arial"/>
                <w:sz w:val="18"/>
              </w:rPr>
              <w:t>0.71</w:t>
            </w:r>
          </w:p>
        </w:tc>
      </w:tr>
      <w:tr>
        <w:trPr>
          <w:trHeight w:val="482" w:hRule="exact"/>
        </w:trPr>
        <w:tc>
          <w:tcPr>
            <w:tcW w:w="25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12" w:space="0" w:color="000000"/>
              <w:left w:val="single" w:sz="12" w:space="0" w:color="000000"/>
              <w:bottom w:val="single" w:sz="12" w:space="0" w:color="000000"/>
              <w:right w:val="single" w:sz="12" w:space="0" w:color="000000"/>
            </w:tcBorders>
          </w:tcPr>
          <w:p>
            <w:pPr/>
          </w:p>
        </w:tc>
        <w:tc>
          <w:tcPr>
            <w:tcW w:w="15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4"/>
              <w:ind w:left="1" w:right="0"/>
              <w:jc w:val="center"/>
              <w:rPr>
                <w:rFonts w:ascii="Arial" w:hAnsi="Arial" w:cs="Arial" w:eastAsia="Arial" w:hint="default"/>
                <w:sz w:val="18"/>
                <w:szCs w:val="18"/>
              </w:rPr>
            </w:pPr>
            <w:r>
              <w:rPr>
                <w:rFonts w:ascii="Arial"/>
                <w:sz w:val="18"/>
              </w:rPr>
              <w:t>8,022,041.97</w:t>
            </w:r>
          </w:p>
        </w:tc>
        <w:tc>
          <w:tcPr>
            <w:tcW w:w="955" w:type="dxa"/>
            <w:tcBorders>
              <w:top w:val="single" w:sz="12" w:space="0" w:color="000000"/>
              <w:left w:val="single" w:sz="12" w:space="0" w:color="000000"/>
              <w:bottom w:val="single" w:sz="12" w:space="0" w:color="000000"/>
              <w:right w:val="single" w:sz="12" w:space="0" w:color="000000"/>
            </w:tcBorders>
          </w:tcPr>
          <w:p>
            <w:pPr/>
          </w:p>
        </w:tc>
        <w:tc>
          <w:tcPr>
            <w:tcW w:w="17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4"/>
              <w:ind w:left="636" w:right="0"/>
              <w:jc w:val="left"/>
              <w:rPr>
                <w:rFonts w:ascii="Arial" w:hAnsi="Arial" w:cs="Arial" w:eastAsia="Arial" w:hint="default"/>
                <w:sz w:val="18"/>
                <w:szCs w:val="18"/>
              </w:rPr>
            </w:pPr>
            <w:r>
              <w:rPr>
                <w:rFonts w:ascii="Arial"/>
                <w:sz w:val="18"/>
              </w:rPr>
              <w:t>98.84</w:t>
            </w:r>
          </w:p>
        </w:tc>
      </w:tr>
    </w:tbl>
    <w:p>
      <w:pPr>
        <w:spacing w:line="240" w:lineRule="auto" w:before="12"/>
        <w:rPr>
          <w:rFonts w:ascii="宋体" w:hAnsi="宋体" w:cs="宋体" w:eastAsia="宋体" w:hint="default"/>
          <w:sz w:val="23"/>
          <w:szCs w:val="23"/>
        </w:rPr>
      </w:pPr>
    </w:p>
    <w:p>
      <w:pPr>
        <w:pStyle w:val="BodyText"/>
        <w:spacing w:line="240" w:lineRule="auto"/>
        <w:ind w:left="676" w:right="0"/>
        <w:jc w:val="left"/>
      </w:pPr>
      <w:r>
        <w:rPr>
          <w:rFonts w:ascii="Arial" w:hAnsi="Arial" w:cs="Arial" w:eastAsia="Arial" w:hint="default"/>
        </w:rPr>
        <w:t>12.2.5</w:t>
      </w:r>
      <w:r>
        <w:rPr>
          <w:rFonts w:ascii="Arial" w:hAnsi="Arial" w:cs="Arial" w:eastAsia="Arial" w:hint="default"/>
          <w:spacing w:val="-10"/>
        </w:rPr>
        <w:t> </w:t>
      </w:r>
      <w:r>
        <w:rPr/>
        <w:t>其他应收关联方款项情况</w:t>
      </w:r>
    </w:p>
    <w:p>
      <w:pPr>
        <w:spacing w:line="240" w:lineRule="auto" w:before="3"/>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2858"/>
        <w:gridCol w:w="1646"/>
        <w:gridCol w:w="1586"/>
        <w:gridCol w:w="2686"/>
      </w:tblGrid>
      <w:tr>
        <w:trPr>
          <w:trHeight w:val="485" w:hRule="exact"/>
        </w:trPr>
        <w:tc>
          <w:tcPr>
            <w:tcW w:w="28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5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6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占其他应收款总额的比例（%）</w:t>
            </w:r>
          </w:p>
        </w:tc>
      </w:tr>
      <w:tr>
        <w:trPr>
          <w:trHeight w:val="482" w:hRule="exact"/>
        </w:trPr>
        <w:tc>
          <w:tcPr>
            <w:tcW w:w="28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东营安诺其纺织材料有限公司</w:t>
            </w:r>
          </w:p>
        </w:tc>
        <w:tc>
          <w:tcPr>
            <w:tcW w:w="16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5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sz w:val="18"/>
              </w:rPr>
              <w:t>7,700,000.00</w:t>
            </w:r>
          </w:p>
        </w:tc>
        <w:tc>
          <w:tcPr>
            <w:tcW w:w="26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sz w:val="18"/>
              </w:rPr>
              <w:t>94.87</w:t>
            </w:r>
          </w:p>
        </w:tc>
      </w:tr>
    </w:tbl>
    <w:p>
      <w:pPr>
        <w:spacing w:line="240" w:lineRule="auto" w:before="12"/>
        <w:rPr>
          <w:rFonts w:ascii="宋体" w:hAnsi="宋体" w:cs="宋体" w:eastAsia="宋体" w:hint="default"/>
          <w:sz w:val="23"/>
          <w:szCs w:val="23"/>
        </w:rPr>
      </w:pPr>
    </w:p>
    <w:p>
      <w:pPr>
        <w:pStyle w:val="BodyText"/>
        <w:spacing w:line="338" w:lineRule="auto"/>
        <w:ind w:left="237" w:right="0"/>
        <w:jc w:val="left"/>
      </w:pPr>
      <w:r>
        <w:rPr>
          <w:rFonts w:ascii="Arial" w:hAnsi="Arial" w:cs="Arial" w:eastAsia="Arial" w:hint="default"/>
        </w:rPr>
        <w:t>12.2.6</w:t>
      </w:r>
      <w:r>
        <w:rPr>
          <w:rFonts w:ascii="Arial" w:hAnsi="Arial" w:cs="Arial" w:eastAsia="Arial" w:hint="default"/>
          <w:spacing w:val="-8"/>
        </w:rPr>
        <w:t> </w:t>
      </w:r>
      <w:r>
        <w:rPr/>
        <w:t>其他应收款年末数比年初数增加</w:t>
      </w:r>
      <w:r>
        <w:rPr>
          <w:spacing w:val="-54"/>
        </w:rPr>
        <w:t> </w:t>
      </w:r>
      <w:r>
        <w:rPr>
          <w:rFonts w:ascii="Arial" w:hAnsi="Arial" w:cs="Arial" w:eastAsia="Arial" w:hint="default"/>
        </w:rPr>
        <w:t>5,906,601.63</w:t>
      </w:r>
      <w:r>
        <w:rPr>
          <w:rFonts w:ascii="Arial" w:hAnsi="Arial" w:cs="Arial" w:eastAsia="Arial" w:hint="default"/>
          <w:spacing w:val="-6"/>
        </w:rPr>
        <w:t> </w:t>
      </w:r>
      <w:r>
        <w:rPr>
          <w:spacing w:val="-8"/>
        </w:rPr>
        <w:t>元，增加比例为</w:t>
      </w:r>
      <w:r>
        <w:rPr>
          <w:spacing w:val="-54"/>
        </w:rPr>
        <w:t> </w:t>
      </w:r>
      <w:r>
        <w:rPr>
          <w:rFonts w:ascii="Arial" w:hAnsi="Arial" w:cs="Arial" w:eastAsia="Arial" w:hint="default"/>
          <w:spacing w:val="-5"/>
        </w:rPr>
        <w:t>267.26%</w:t>
      </w:r>
      <w:r>
        <w:rPr>
          <w:spacing w:val="-5"/>
        </w:rPr>
        <w:t>，增加原因</w:t>
      </w:r>
      <w:r>
        <w:rPr>
          <w:w w:val="100"/>
        </w:rPr>
        <w:t> </w:t>
      </w:r>
      <w:r>
        <w:rPr/>
        <w:t>为：本公司本年年初首发中介费转出所致。</w:t>
      </w:r>
    </w:p>
    <w:p>
      <w:pPr>
        <w:pStyle w:val="BodyText"/>
        <w:spacing w:line="240" w:lineRule="auto" w:before="51"/>
        <w:ind w:left="237" w:right="0"/>
        <w:jc w:val="left"/>
      </w:pPr>
      <w:r>
        <w:rPr>
          <w:rFonts w:ascii="Arial" w:hAnsi="Arial" w:cs="Arial" w:eastAsia="Arial" w:hint="default"/>
        </w:rPr>
        <w:t>12.3</w:t>
      </w:r>
      <w:r>
        <w:rPr>
          <w:rFonts w:ascii="Arial" w:hAnsi="Arial" w:cs="Arial" w:eastAsia="Arial" w:hint="default"/>
          <w:spacing w:val="-9"/>
        </w:rPr>
        <w:t> </w:t>
      </w:r>
      <w:r>
        <w:rPr/>
        <w:t>长期股权投资</w:t>
      </w:r>
    </w:p>
    <w:p>
      <w:pPr>
        <w:pStyle w:val="BodyText"/>
        <w:spacing w:line="240" w:lineRule="auto" w:before="123"/>
        <w:ind w:left="237" w:right="0"/>
        <w:jc w:val="left"/>
      </w:pPr>
      <w:r>
        <w:rPr>
          <w:rFonts w:ascii="Arial" w:hAnsi="Arial" w:cs="Arial" w:eastAsia="Arial" w:hint="default"/>
        </w:rPr>
        <w:t>12.3.1</w:t>
      </w:r>
      <w:r>
        <w:rPr>
          <w:rFonts w:ascii="Arial" w:hAnsi="Arial" w:cs="Arial" w:eastAsia="Arial" w:hint="default"/>
          <w:spacing w:val="-12"/>
        </w:rPr>
        <w:t> </w:t>
      </w:r>
      <w:r>
        <w:rPr/>
        <w:t>长期股权投资情况表</w:t>
      </w:r>
    </w:p>
    <w:p>
      <w:pPr>
        <w:spacing w:after="0" w:line="240" w:lineRule="auto"/>
        <w:jc w:val="left"/>
        <w:sectPr>
          <w:footerReference w:type="default" r:id="rId71"/>
          <w:pgSz w:w="11900" w:h="16840"/>
          <w:pgMar w:footer="983" w:header="0" w:top="1100" w:bottom="1180" w:left="1560" w:right="1280"/>
          <w:pgNumType w:start="130"/>
        </w:sectPr>
      </w:pPr>
    </w:p>
    <w:p>
      <w:pPr>
        <w:tabs>
          <w:tab w:pos="7533" w:val="left" w:leader="none"/>
        </w:tabs>
        <w:spacing w:before="21"/>
        <w:ind w:left="239" w:right="0" w:firstLine="0"/>
        <w:jc w:val="left"/>
        <w:rPr>
          <w:rFonts w:ascii="宋体" w:hAnsi="宋体" w:cs="宋体" w:eastAsia="宋体" w:hint="default"/>
          <w:sz w:val="18"/>
          <w:szCs w:val="18"/>
        </w:rPr>
      </w:pPr>
      <w:r>
        <w:rPr>
          <w:rFonts w:ascii="宋体" w:hAnsi="宋体" w:cs="宋体" w:eastAsia="宋体" w:hint="default"/>
          <w:spacing w:val="-1"/>
          <w:sz w:val="18"/>
          <w:szCs w:val="18"/>
        </w:rPr>
        <w:t>上海安诺其纺织化工股份有限公司</w:t>
        <w:tab/>
      </w:r>
      <w:r>
        <w:rPr>
          <w:rFonts w:ascii="Times New Roman" w:hAnsi="Times New Roman" w:cs="Times New Roman" w:eastAsia="Times New Roman" w:hint="default"/>
          <w:spacing w:val="-1"/>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年年度报告</w:t>
      </w:r>
    </w:p>
    <w:p>
      <w:pPr>
        <w:spacing w:line="240" w:lineRule="auto" w:before="7"/>
        <w:rPr>
          <w:rFonts w:ascii="宋体" w:hAnsi="宋体" w:cs="宋体" w:eastAsia="宋体" w:hint="default"/>
          <w:sz w:val="2"/>
          <w:szCs w:val="2"/>
        </w:rPr>
      </w:pPr>
    </w:p>
    <w:p>
      <w:pPr>
        <w:spacing w:line="20" w:lineRule="exact"/>
        <w:ind w:left="203" w:right="0" w:firstLine="0"/>
        <w:rPr>
          <w:rFonts w:ascii="宋体" w:hAnsi="宋体" w:cs="宋体" w:eastAsia="宋体" w:hint="default"/>
          <w:sz w:val="2"/>
          <w:szCs w:val="2"/>
        </w:rPr>
      </w:pPr>
      <w:r>
        <w:rPr>
          <w:rFonts w:ascii="宋体" w:hAnsi="宋体" w:cs="宋体" w:eastAsia="宋体" w:hint="default"/>
          <w:sz w:val="2"/>
          <w:szCs w:val="2"/>
        </w:rPr>
        <w:pict>
          <v:group style="width:701.55pt;height:.75pt;mso-position-horizontal-relative:char;mso-position-vertical-relative:line" coordorigin="0,0" coordsize="14031,15">
            <v:group style="position:absolute;left:7;top:7;width:14016;height:2" coordorigin="7,7" coordsize="14016,2">
              <v:shape style="position:absolute;left:7;top:7;width:14016;height:2" coordorigin="7,7" coordsize="14016,0" path="m7,7l1402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1157"/>
        <w:gridCol w:w="751"/>
        <w:gridCol w:w="1471"/>
        <w:gridCol w:w="1370"/>
        <w:gridCol w:w="1471"/>
        <w:gridCol w:w="1471"/>
        <w:gridCol w:w="1058"/>
        <w:gridCol w:w="1078"/>
        <w:gridCol w:w="1126"/>
        <w:gridCol w:w="722"/>
        <w:gridCol w:w="902"/>
        <w:gridCol w:w="893"/>
      </w:tblGrid>
      <w:tr>
        <w:trPr>
          <w:trHeight w:val="1546" w:hRule="exact"/>
        </w:trPr>
        <w:tc>
          <w:tcPr>
            <w:tcW w:w="11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07" w:lineRule="auto"/>
              <w:ind w:left="384" w:right="113" w:hanging="272"/>
              <w:jc w:val="left"/>
              <w:rPr>
                <w:rFonts w:ascii="宋体" w:hAnsi="宋体" w:cs="宋体" w:eastAsia="宋体" w:hint="default"/>
                <w:sz w:val="18"/>
                <w:szCs w:val="18"/>
              </w:rPr>
            </w:pPr>
            <w:r>
              <w:rPr>
                <w:rFonts w:ascii="宋体" w:hAnsi="宋体" w:cs="宋体" w:eastAsia="宋体" w:hint="default"/>
                <w:sz w:val="18"/>
                <w:szCs w:val="18"/>
              </w:rPr>
              <w:t>被投资单位</w:t>
            </w:r>
            <w:r>
              <w:rPr>
                <w:rFonts w:ascii="宋体" w:hAnsi="宋体" w:cs="宋体" w:eastAsia="宋体" w:hint="default"/>
                <w:w w:val="100"/>
                <w:sz w:val="18"/>
                <w:szCs w:val="18"/>
              </w:rPr>
              <w:t> </w:t>
            </w:r>
            <w:r>
              <w:rPr>
                <w:rFonts w:ascii="宋体" w:hAnsi="宋体" w:cs="宋体" w:eastAsia="宋体" w:hint="default"/>
                <w:sz w:val="18"/>
                <w:szCs w:val="18"/>
              </w:rPr>
              <w:t>名称</w:t>
            </w:r>
          </w:p>
        </w:tc>
        <w:tc>
          <w:tcPr>
            <w:tcW w:w="7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07" w:lineRule="auto"/>
              <w:ind w:left="180" w:right="180"/>
              <w:jc w:val="left"/>
              <w:rPr>
                <w:rFonts w:ascii="宋体" w:hAnsi="宋体" w:cs="宋体" w:eastAsia="宋体" w:hint="default"/>
                <w:sz w:val="18"/>
                <w:szCs w:val="18"/>
              </w:rPr>
            </w:pPr>
            <w:r>
              <w:rPr>
                <w:rFonts w:ascii="宋体" w:hAnsi="宋体" w:cs="宋体" w:eastAsia="宋体" w:hint="default"/>
                <w:sz w:val="18"/>
                <w:szCs w:val="18"/>
              </w:rPr>
              <w:t>核算</w:t>
            </w:r>
            <w:r>
              <w:rPr>
                <w:rFonts w:ascii="宋体" w:hAnsi="宋体" w:cs="宋体" w:eastAsia="宋体" w:hint="default"/>
                <w:w w:val="100"/>
                <w:sz w:val="18"/>
                <w:szCs w:val="18"/>
              </w:rPr>
              <w:t> </w:t>
            </w:r>
            <w:r>
              <w:rPr>
                <w:rFonts w:ascii="宋体" w:hAnsi="宋体" w:cs="宋体" w:eastAsia="宋体" w:hint="default"/>
                <w:sz w:val="18"/>
                <w:szCs w:val="18"/>
              </w:rPr>
              <w:t>方法</w:t>
            </w:r>
          </w:p>
        </w:tc>
        <w:tc>
          <w:tcPr>
            <w:tcW w:w="14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投资成本</w:t>
            </w:r>
          </w:p>
        </w:tc>
        <w:tc>
          <w:tcPr>
            <w:tcW w:w="13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07" w:lineRule="auto"/>
              <w:ind w:left="472" w:right="506"/>
              <w:jc w:val="center"/>
              <w:rPr>
                <w:rFonts w:ascii="宋体" w:hAnsi="宋体" w:cs="宋体" w:eastAsia="宋体" w:hint="default"/>
                <w:sz w:val="18"/>
                <w:szCs w:val="18"/>
              </w:rPr>
            </w:pPr>
            <w:r>
              <w:rPr>
                <w:rFonts w:ascii="宋体" w:hAnsi="宋体" w:cs="宋体" w:eastAsia="宋体" w:hint="default"/>
                <w:sz w:val="18"/>
                <w:szCs w:val="18"/>
              </w:rPr>
              <w:t>年初</w:t>
            </w:r>
            <w:r>
              <w:rPr>
                <w:rFonts w:ascii="宋体" w:hAnsi="宋体" w:cs="宋体" w:eastAsia="宋体" w:hint="default"/>
                <w:w w:val="100"/>
                <w:sz w:val="18"/>
                <w:szCs w:val="18"/>
              </w:rPr>
              <w:t> </w:t>
            </w:r>
            <w:r>
              <w:rPr>
                <w:rFonts w:ascii="宋体" w:hAnsi="宋体" w:cs="宋体" w:eastAsia="宋体" w:hint="default"/>
                <w:sz w:val="18"/>
                <w:szCs w:val="18"/>
              </w:rPr>
              <w:t>余额</w:t>
            </w:r>
          </w:p>
        </w:tc>
        <w:tc>
          <w:tcPr>
            <w:tcW w:w="14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增减变动</w:t>
            </w:r>
          </w:p>
        </w:tc>
        <w:tc>
          <w:tcPr>
            <w:tcW w:w="14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309" w:lineRule="auto"/>
              <w:ind w:left="93" w:right="53" w:firstLine="60"/>
              <w:jc w:val="both"/>
              <w:rPr>
                <w:rFonts w:ascii="宋体" w:hAnsi="宋体" w:cs="宋体" w:eastAsia="宋体" w:hint="default"/>
                <w:sz w:val="18"/>
                <w:szCs w:val="18"/>
              </w:rPr>
            </w:pPr>
            <w:r>
              <w:rPr>
                <w:rFonts w:ascii="宋体" w:hAnsi="宋体" w:cs="宋体" w:eastAsia="宋体" w:hint="default"/>
                <w:sz w:val="18"/>
                <w:szCs w:val="18"/>
              </w:rPr>
              <w:t>在被投资</w:t>
            </w:r>
            <w:r>
              <w:rPr>
                <w:rFonts w:ascii="宋体" w:hAnsi="宋体" w:cs="宋体" w:eastAsia="宋体" w:hint="default"/>
                <w:w w:val="100"/>
                <w:sz w:val="18"/>
                <w:szCs w:val="18"/>
              </w:rPr>
              <w:t> </w:t>
            </w:r>
            <w:r>
              <w:rPr>
                <w:rFonts w:ascii="宋体" w:hAnsi="宋体" w:cs="宋体" w:eastAsia="宋体" w:hint="default"/>
                <w:sz w:val="18"/>
                <w:szCs w:val="18"/>
              </w:rPr>
              <w:t>单位持股</w:t>
            </w:r>
            <w:r>
              <w:rPr>
                <w:rFonts w:ascii="宋体" w:hAnsi="宋体" w:cs="宋体" w:eastAsia="宋体" w:hint="default"/>
                <w:w w:val="100"/>
                <w:sz w:val="18"/>
                <w:szCs w:val="18"/>
              </w:rPr>
              <w:t> </w:t>
            </w: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c>
          <w:tcPr>
            <w:tcW w:w="1078" w:type="dxa"/>
            <w:tcBorders>
              <w:top w:val="single" w:sz="12" w:space="0" w:color="000000"/>
              <w:left w:val="single" w:sz="12" w:space="0" w:color="000000"/>
              <w:bottom w:val="single" w:sz="12" w:space="0" w:color="000000"/>
              <w:right w:val="single" w:sz="12" w:space="0" w:color="000000"/>
            </w:tcBorders>
          </w:tcPr>
          <w:p>
            <w:pPr>
              <w:pStyle w:val="TableParagraph"/>
              <w:spacing w:line="309" w:lineRule="auto" w:before="123"/>
              <w:ind w:left="163" w:right="163"/>
              <w:jc w:val="both"/>
              <w:rPr>
                <w:rFonts w:ascii="宋体" w:hAnsi="宋体" w:cs="宋体" w:eastAsia="宋体" w:hint="default"/>
                <w:sz w:val="18"/>
                <w:szCs w:val="18"/>
              </w:rPr>
            </w:pPr>
            <w:r>
              <w:rPr>
                <w:rFonts w:ascii="宋体" w:hAnsi="宋体" w:cs="宋体" w:eastAsia="宋体" w:hint="default"/>
                <w:sz w:val="18"/>
                <w:szCs w:val="18"/>
              </w:rPr>
              <w:t>在被投资</w:t>
            </w:r>
            <w:r>
              <w:rPr>
                <w:rFonts w:ascii="宋体" w:hAnsi="宋体" w:cs="宋体" w:eastAsia="宋体" w:hint="default"/>
                <w:w w:val="100"/>
                <w:sz w:val="18"/>
                <w:szCs w:val="18"/>
              </w:rPr>
              <w:t> </w:t>
            </w:r>
            <w:r>
              <w:rPr>
                <w:rFonts w:ascii="宋体" w:hAnsi="宋体" w:cs="宋体" w:eastAsia="宋体" w:hint="default"/>
                <w:sz w:val="18"/>
                <w:szCs w:val="18"/>
              </w:rPr>
              <w:t>单位表决</w:t>
            </w:r>
            <w:r>
              <w:rPr>
                <w:rFonts w:ascii="宋体" w:hAnsi="宋体" w:cs="宋体" w:eastAsia="宋体" w:hint="default"/>
                <w:w w:val="100"/>
                <w:sz w:val="18"/>
                <w:szCs w:val="18"/>
              </w:rPr>
              <w:t> </w:t>
            </w:r>
            <w:r>
              <w:rPr>
                <w:rFonts w:ascii="宋体" w:hAnsi="宋体" w:cs="宋体" w:eastAsia="宋体" w:hint="default"/>
                <w:sz w:val="18"/>
                <w:szCs w:val="18"/>
              </w:rPr>
              <w:t>权比例</w:t>
            </w:r>
          </w:p>
          <w:p>
            <w:pPr>
              <w:pStyle w:val="TableParagraph"/>
              <w:spacing w:line="240" w:lineRule="auto" w:before="14"/>
              <w:ind w:left="264"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126"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在被投资单</w:t>
            </w:r>
          </w:p>
          <w:p>
            <w:pPr>
              <w:pStyle w:val="TableParagraph"/>
              <w:spacing w:line="309" w:lineRule="auto" w:before="67"/>
              <w:ind w:left="98" w:right="96"/>
              <w:jc w:val="center"/>
              <w:rPr>
                <w:rFonts w:ascii="宋体" w:hAnsi="宋体" w:cs="宋体" w:eastAsia="宋体" w:hint="default"/>
                <w:sz w:val="18"/>
                <w:szCs w:val="18"/>
              </w:rPr>
            </w:pPr>
            <w:r>
              <w:rPr>
                <w:rFonts w:ascii="宋体" w:hAnsi="宋体" w:cs="宋体" w:eastAsia="宋体" w:hint="default"/>
                <w:sz w:val="18"/>
                <w:szCs w:val="18"/>
              </w:rPr>
              <w:t>位持股比例</w:t>
            </w:r>
            <w:r>
              <w:rPr>
                <w:rFonts w:ascii="宋体" w:hAnsi="宋体" w:cs="宋体" w:eastAsia="宋体" w:hint="default"/>
                <w:w w:val="100"/>
                <w:sz w:val="18"/>
                <w:szCs w:val="18"/>
              </w:rPr>
              <w:t> </w:t>
            </w:r>
            <w:r>
              <w:rPr>
                <w:rFonts w:ascii="宋体" w:hAnsi="宋体" w:cs="宋体" w:eastAsia="宋体" w:hint="default"/>
                <w:sz w:val="18"/>
                <w:szCs w:val="18"/>
              </w:rPr>
              <w:t>与表决权比</w:t>
            </w:r>
            <w:r>
              <w:rPr>
                <w:rFonts w:ascii="宋体" w:hAnsi="宋体" w:cs="宋体" w:eastAsia="宋体" w:hint="default"/>
                <w:w w:val="100"/>
                <w:sz w:val="18"/>
                <w:szCs w:val="18"/>
              </w:rPr>
              <w:t> </w:t>
            </w:r>
            <w:r>
              <w:rPr>
                <w:rFonts w:ascii="宋体" w:hAnsi="宋体" w:cs="宋体" w:eastAsia="宋体" w:hint="default"/>
                <w:sz w:val="18"/>
                <w:szCs w:val="18"/>
              </w:rPr>
              <w:t>例不一致的</w:t>
            </w:r>
            <w:r>
              <w:rPr>
                <w:rFonts w:ascii="宋体" w:hAnsi="宋体" w:cs="宋体" w:eastAsia="宋体" w:hint="default"/>
                <w:w w:val="100"/>
                <w:sz w:val="18"/>
                <w:szCs w:val="18"/>
              </w:rPr>
              <w:t> </w:t>
            </w:r>
            <w:r>
              <w:rPr>
                <w:rFonts w:ascii="宋体" w:hAnsi="宋体" w:cs="宋体" w:eastAsia="宋体" w:hint="default"/>
                <w:sz w:val="18"/>
                <w:szCs w:val="18"/>
              </w:rPr>
              <w:t>说明</w:t>
            </w:r>
          </w:p>
        </w:tc>
        <w:tc>
          <w:tcPr>
            <w:tcW w:w="7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07" w:lineRule="auto"/>
              <w:ind w:left="165" w:right="165"/>
              <w:jc w:val="left"/>
              <w:rPr>
                <w:rFonts w:ascii="宋体" w:hAnsi="宋体" w:cs="宋体" w:eastAsia="宋体" w:hint="default"/>
                <w:sz w:val="18"/>
                <w:szCs w:val="18"/>
              </w:rPr>
            </w:pPr>
            <w:r>
              <w:rPr>
                <w:rFonts w:ascii="宋体" w:hAnsi="宋体" w:cs="宋体" w:eastAsia="宋体" w:hint="default"/>
                <w:sz w:val="18"/>
                <w:szCs w:val="18"/>
              </w:rPr>
              <w:t>减值</w:t>
            </w:r>
            <w:r>
              <w:rPr>
                <w:rFonts w:ascii="宋体" w:hAnsi="宋体" w:cs="宋体" w:eastAsia="宋体" w:hint="default"/>
                <w:w w:val="100"/>
                <w:sz w:val="18"/>
                <w:szCs w:val="18"/>
              </w:rPr>
              <w:t> </w:t>
            </w:r>
            <w:r>
              <w:rPr>
                <w:rFonts w:ascii="宋体" w:hAnsi="宋体" w:cs="宋体" w:eastAsia="宋体" w:hint="default"/>
                <w:sz w:val="18"/>
                <w:szCs w:val="18"/>
              </w:rPr>
              <w:t>准备</w:t>
            </w:r>
          </w:p>
        </w:tc>
        <w:tc>
          <w:tcPr>
            <w:tcW w:w="9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309" w:lineRule="auto"/>
              <w:ind w:left="165" w:right="165"/>
              <w:jc w:val="both"/>
              <w:rPr>
                <w:rFonts w:ascii="宋体" w:hAnsi="宋体" w:cs="宋体" w:eastAsia="宋体" w:hint="default"/>
                <w:sz w:val="18"/>
                <w:szCs w:val="18"/>
              </w:rPr>
            </w:pPr>
            <w:r>
              <w:rPr>
                <w:rFonts w:ascii="宋体" w:hAnsi="宋体" w:cs="宋体" w:eastAsia="宋体" w:hint="default"/>
                <w:sz w:val="18"/>
                <w:szCs w:val="18"/>
              </w:rPr>
              <w:t>本年计</w:t>
            </w:r>
            <w:r>
              <w:rPr>
                <w:rFonts w:ascii="宋体" w:hAnsi="宋体" w:cs="宋体" w:eastAsia="宋体" w:hint="default"/>
                <w:w w:val="100"/>
                <w:sz w:val="18"/>
                <w:szCs w:val="18"/>
              </w:rPr>
              <w:t> </w:t>
            </w:r>
            <w:r>
              <w:rPr>
                <w:rFonts w:ascii="宋体" w:hAnsi="宋体" w:cs="宋体" w:eastAsia="宋体" w:hint="default"/>
                <w:sz w:val="18"/>
                <w:szCs w:val="18"/>
              </w:rPr>
              <w:t>提减值</w:t>
            </w:r>
            <w:r>
              <w:rPr>
                <w:rFonts w:ascii="宋体" w:hAnsi="宋体" w:cs="宋体" w:eastAsia="宋体" w:hint="default"/>
                <w:w w:val="100"/>
                <w:sz w:val="18"/>
                <w:szCs w:val="18"/>
              </w:rPr>
              <w:t> </w:t>
            </w:r>
            <w:r>
              <w:rPr>
                <w:rFonts w:ascii="宋体" w:hAnsi="宋体" w:cs="宋体" w:eastAsia="宋体" w:hint="default"/>
                <w:sz w:val="18"/>
                <w:szCs w:val="18"/>
              </w:rPr>
              <w:t>准备</w:t>
            </w:r>
          </w:p>
        </w:tc>
        <w:tc>
          <w:tcPr>
            <w:tcW w:w="89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307" w:lineRule="auto"/>
              <w:ind w:left="160" w:right="161"/>
              <w:jc w:val="left"/>
              <w:rPr>
                <w:rFonts w:ascii="宋体" w:hAnsi="宋体" w:cs="宋体" w:eastAsia="宋体" w:hint="default"/>
                <w:sz w:val="18"/>
                <w:szCs w:val="18"/>
              </w:rPr>
            </w:pPr>
            <w:r>
              <w:rPr>
                <w:rFonts w:ascii="宋体" w:hAnsi="宋体" w:cs="宋体" w:eastAsia="宋体" w:hint="default"/>
                <w:sz w:val="18"/>
                <w:szCs w:val="18"/>
              </w:rPr>
              <w:t>本期现</w:t>
            </w:r>
            <w:r>
              <w:rPr>
                <w:rFonts w:ascii="宋体" w:hAnsi="宋体" w:cs="宋体" w:eastAsia="宋体" w:hint="default"/>
                <w:w w:val="100"/>
                <w:sz w:val="18"/>
                <w:szCs w:val="18"/>
              </w:rPr>
              <w:t> </w:t>
            </w:r>
            <w:r>
              <w:rPr>
                <w:rFonts w:ascii="宋体" w:hAnsi="宋体" w:cs="宋体" w:eastAsia="宋体" w:hint="default"/>
                <w:sz w:val="18"/>
                <w:szCs w:val="18"/>
              </w:rPr>
              <w:t>金红利</w:t>
            </w:r>
          </w:p>
        </w:tc>
      </w:tr>
      <w:tr>
        <w:trPr>
          <w:trHeight w:val="697" w:hRule="exact"/>
        </w:trPr>
        <w:tc>
          <w:tcPr>
            <w:tcW w:w="1157" w:type="dxa"/>
            <w:tcBorders>
              <w:top w:val="single" w:sz="12" w:space="0" w:color="000000"/>
              <w:left w:val="single" w:sz="12" w:space="0" w:color="000000"/>
              <w:bottom w:val="nil" w:sz="6" w:space="0" w:color="auto"/>
              <w:right w:val="single" w:sz="12" w:space="0" w:color="000000"/>
            </w:tcBorders>
          </w:tcPr>
          <w:p>
            <w:pPr>
              <w:pStyle w:val="TableParagraph"/>
              <w:spacing w:line="316" w:lineRule="auto" w:before="10"/>
              <w:ind w:left="112" w:right="113"/>
              <w:jc w:val="left"/>
              <w:rPr>
                <w:rFonts w:ascii="宋体" w:hAnsi="宋体" w:cs="宋体" w:eastAsia="宋体" w:hint="default"/>
                <w:sz w:val="18"/>
                <w:szCs w:val="18"/>
              </w:rPr>
            </w:pPr>
            <w:r>
              <w:rPr>
                <w:rFonts w:ascii="宋体" w:hAnsi="宋体" w:cs="宋体" w:eastAsia="宋体" w:hint="default"/>
                <w:sz w:val="18"/>
                <w:szCs w:val="18"/>
              </w:rPr>
              <w:t>烟台安诺其</w:t>
            </w:r>
            <w:r>
              <w:rPr>
                <w:rFonts w:ascii="宋体" w:hAnsi="宋体" w:cs="宋体" w:eastAsia="宋体" w:hint="default"/>
                <w:w w:val="100"/>
                <w:sz w:val="18"/>
                <w:szCs w:val="18"/>
              </w:rPr>
              <w:t> </w:t>
            </w:r>
            <w:r>
              <w:rPr>
                <w:rFonts w:ascii="宋体" w:hAnsi="宋体" w:cs="宋体" w:eastAsia="宋体" w:hint="default"/>
                <w:sz w:val="18"/>
                <w:szCs w:val="18"/>
              </w:rPr>
              <w:t>纺织材料有</w:t>
            </w:r>
          </w:p>
        </w:tc>
        <w:tc>
          <w:tcPr>
            <w:tcW w:w="751" w:type="dxa"/>
            <w:tcBorders>
              <w:top w:val="single" w:sz="12" w:space="0" w:color="000000"/>
              <w:left w:val="single" w:sz="12" w:space="0" w:color="000000"/>
              <w:bottom w:val="nil" w:sz="6" w:space="0" w:color="auto"/>
              <w:right w:val="single" w:sz="12" w:space="0" w:color="000000"/>
            </w:tcBorders>
          </w:tcPr>
          <w:p>
            <w:pPr>
              <w:pStyle w:val="TableParagraph"/>
              <w:spacing w:line="309" w:lineRule="auto" w:before="135"/>
              <w:ind w:left="271" w:right="180" w:hanging="92"/>
              <w:jc w:val="left"/>
              <w:rPr>
                <w:rFonts w:ascii="宋体" w:hAnsi="宋体" w:cs="宋体" w:eastAsia="宋体" w:hint="default"/>
                <w:sz w:val="18"/>
                <w:szCs w:val="18"/>
              </w:rPr>
            </w:pPr>
            <w:r>
              <w:rPr>
                <w:rFonts w:ascii="宋体" w:hAnsi="宋体" w:cs="宋体" w:eastAsia="宋体" w:hint="default"/>
                <w:sz w:val="18"/>
                <w:szCs w:val="18"/>
              </w:rPr>
              <w:t>成本</w:t>
            </w:r>
            <w:r>
              <w:rPr>
                <w:rFonts w:ascii="宋体" w:hAnsi="宋体" w:cs="宋体" w:eastAsia="宋体" w:hint="default"/>
                <w:w w:val="100"/>
                <w:sz w:val="18"/>
                <w:szCs w:val="18"/>
              </w:rPr>
              <w:t> </w:t>
            </w:r>
            <w:r>
              <w:rPr>
                <w:rFonts w:ascii="宋体" w:hAnsi="宋体" w:cs="宋体" w:eastAsia="宋体" w:hint="default"/>
                <w:sz w:val="18"/>
                <w:szCs w:val="18"/>
              </w:rPr>
              <w:t>法</w:t>
            </w:r>
          </w:p>
        </w:tc>
        <w:tc>
          <w:tcPr>
            <w:tcW w:w="1471" w:type="dxa"/>
            <w:tcBorders>
              <w:top w:val="single" w:sz="12" w:space="0" w:color="000000"/>
              <w:left w:val="single" w:sz="12" w:space="0" w:color="000000"/>
              <w:bottom w:val="nil" w:sz="6" w:space="0" w:color="auto"/>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Arial" w:hAnsi="Arial" w:cs="Arial" w:eastAsia="Arial" w:hint="default"/>
                <w:sz w:val="18"/>
                <w:szCs w:val="18"/>
              </w:rPr>
            </w:pPr>
            <w:r>
              <w:rPr>
                <w:rFonts w:ascii="Arial"/>
                <w:sz w:val="18"/>
              </w:rPr>
              <w:t>59,050,000.00</w:t>
            </w:r>
          </w:p>
        </w:tc>
        <w:tc>
          <w:tcPr>
            <w:tcW w:w="1370" w:type="dxa"/>
            <w:tcBorders>
              <w:top w:val="single" w:sz="12" w:space="0" w:color="000000"/>
              <w:left w:val="single" w:sz="12" w:space="0" w:color="000000"/>
              <w:bottom w:val="nil" w:sz="6" w:space="0" w:color="auto"/>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Arial" w:hAnsi="Arial" w:cs="Arial" w:eastAsia="Arial" w:hint="default"/>
                <w:sz w:val="18"/>
                <w:szCs w:val="18"/>
              </w:rPr>
            </w:pPr>
            <w:r>
              <w:rPr>
                <w:rFonts w:ascii="Arial"/>
                <w:sz w:val="18"/>
              </w:rPr>
              <w:t>19,200,000.00</w:t>
            </w:r>
          </w:p>
        </w:tc>
        <w:tc>
          <w:tcPr>
            <w:tcW w:w="1471" w:type="dxa"/>
            <w:tcBorders>
              <w:top w:val="single" w:sz="12" w:space="0" w:color="000000"/>
              <w:left w:val="single" w:sz="12" w:space="0" w:color="000000"/>
              <w:bottom w:val="nil" w:sz="6" w:space="0" w:color="auto"/>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Arial" w:hAnsi="Arial" w:cs="Arial" w:eastAsia="Arial" w:hint="default"/>
                <w:sz w:val="18"/>
                <w:szCs w:val="18"/>
              </w:rPr>
            </w:pPr>
            <w:r>
              <w:rPr>
                <w:rFonts w:ascii="Arial"/>
                <w:sz w:val="18"/>
              </w:rPr>
              <w:t>39,850,000.00</w:t>
            </w:r>
          </w:p>
        </w:tc>
        <w:tc>
          <w:tcPr>
            <w:tcW w:w="1471" w:type="dxa"/>
            <w:tcBorders>
              <w:top w:val="single" w:sz="12" w:space="0" w:color="000000"/>
              <w:left w:val="single" w:sz="12" w:space="0" w:color="000000"/>
              <w:bottom w:val="nil" w:sz="6" w:space="0" w:color="auto"/>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Arial" w:hAnsi="Arial" w:cs="Arial" w:eastAsia="Arial" w:hint="default"/>
                <w:sz w:val="18"/>
                <w:szCs w:val="18"/>
              </w:rPr>
            </w:pPr>
            <w:r>
              <w:rPr>
                <w:rFonts w:ascii="Arial"/>
                <w:sz w:val="18"/>
              </w:rPr>
              <w:t>59,050,000.00</w:t>
            </w:r>
          </w:p>
        </w:tc>
        <w:tc>
          <w:tcPr>
            <w:tcW w:w="1058" w:type="dxa"/>
            <w:tcBorders>
              <w:top w:val="single" w:sz="12" w:space="0" w:color="000000"/>
              <w:left w:val="single" w:sz="12" w:space="0" w:color="000000"/>
              <w:bottom w:val="nil" w:sz="6" w:space="0" w:color="auto"/>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Arial" w:hAnsi="Arial" w:cs="Arial" w:eastAsia="Arial" w:hint="default"/>
                <w:sz w:val="18"/>
                <w:szCs w:val="18"/>
              </w:rPr>
            </w:pPr>
            <w:r>
              <w:rPr>
                <w:rFonts w:ascii="Arial"/>
                <w:sz w:val="18"/>
              </w:rPr>
              <w:t>100%</w:t>
            </w:r>
          </w:p>
        </w:tc>
        <w:tc>
          <w:tcPr>
            <w:tcW w:w="1078" w:type="dxa"/>
            <w:tcBorders>
              <w:top w:val="single" w:sz="12" w:space="0" w:color="000000"/>
              <w:left w:val="single" w:sz="12" w:space="0" w:color="000000"/>
              <w:bottom w:val="nil" w:sz="6" w:space="0" w:color="auto"/>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91"/>
              <w:jc w:val="right"/>
              <w:rPr>
                <w:rFonts w:ascii="Arial" w:hAnsi="Arial" w:cs="Arial" w:eastAsia="Arial" w:hint="default"/>
                <w:sz w:val="18"/>
                <w:szCs w:val="18"/>
              </w:rPr>
            </w:pPr>
            <w:r>
              <w:rPr>
                <w:rFonts w:ascii="Arial"/>
                <w:sz w:val="18"/>
              </w:rPr>
              <w:t>100%</w:t>
            </w:r>
          </w:p>
        </w:tc>
        <w:tc>
          <w:tcPr>
            <w:tcW w:w="1126" w:type="dxa"/>
            <w:tcBorders>
              <w:top w:val="single" w:sz="12" w:space="0" w:color="000000"/>
              <w:left w:val="single" w:sz="12" w:space="0" w:color="000000"/>
              <w:bottom w:val="nil" w:sz="6" w:space="0" w:color="auto"/>
              <w:right w:val="single" w:sz="12"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Arial" w:hAnsi="Arial" w:cs="Arial" w:eastAsia="Arial" w:hint="default"/>
                <w:sz w:val="18"/>
                <w:szCs w:val="18"/>
              </w:rPr>
            </w:pPr>
            <w:r>
              <w:rPr>
                <w:rFonts w:ascii="Arial"/>
                <w:w w:val="100"/>
                <w:sz w:val="18"/>
              </w:rPr>
              <w:t>-</w:t>
            </w:r>
          </w:p>
        </w:tc>
        <w:tc>
          <w:tcPr>
            <w:tcW w:w="722" w:type="dxa"/>
            <w:tcBorders>
              <w:top w:val="single" w:sz="12" w:space="0" w:color="000000"/>
              <w:left w:val="single" w:sz="12" w:space="0" w:color="000000"/>
              <w:bottom w:val="nil" w:sz="6" w:space="0" w:color="auto"/>
              <w:right w:val="single" w:sz="12"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316" w:right="0"/>
              <w:jc w:val="left"/>
              <w:rPr>
                <w:rFonts w:ascii="Arial" w:hAnsi="Arial" w:cs="Arial" w:eastAsia="Arial" w:hint="default"/>
                <w:sz w:val="18"/>
                <w:szCs w:val="18"/>
              </w:rPr>
            </w:pPr>
            <w:r>
              <w:rPr>
                <w:rFonts w:ascii="Arial"/>
                <w:w w:val="100"/>
                <w:sz w:val="18"/>
              </w:rPr>
              <w:t>-</w:t>
            </w:r>
          </w:p>
        </w:tc>
        <w:tc>
          <w:tcPr>
            <w:tcW w:w="902" w:type="dxa"/>
            <w:tcBorders>
              <w:top w:val="single" w:sz="12" w:space="0" w:color="000000"/>
              <w:left w:val="single" w:sz="12" w:space="0" w:color="000000"/>
              <w:bottom w:val="nil" w:sz="6" w:space="0" w:color="auto"/>
              <w:right w:val="single" w:sz="12"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Arial" w:hAnsi="Arial" w:cs="Arial" w:eastAsia="Arial" w:hint="default"/>
                <w:sz w:val="18"/>
                <w:szCs w:val="18"/>
              </w:rPr>
            </w:pPr>
            <w:r>
              <w:rPr>
                <w:rFonts w:ascii="Arial"/>
                <w:w w:val="100"/>
                <w:sz w:val="18"/>
              </w:rPr>
              <w:t>-</w:t>
            </w:r>
          </w:p>
        </w:tc>
        <w:tc>
          <w:tcPr>
            <w:tcW w:w="893" w:type="dxa"/>
            <w:tcBorders>
              <w:top w:val="single" w:sz="12" w:space="0" w:color="000000"/>
              <w:left w:val="single" w:sz="12" w:space="0" w:color="000000"/>
              <w:bottom w:val="nil" w:sz="6" w:space="0" w:color="auto"/>
              <w:right w:val="single" w:sz="12"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Arial" w:hAnsi="Arial" w:cs="Arial" w:eastAsia="Arial" w:hint="default"/>
                <w:sz w:val="18"/>
                <w:szCs w:val="18"/>
              </w:rPr>
            </w:pPr>
            <w:r>
              <w:rPr>
                <w:rFonts w:ascii="Arial"/>
                <w:w w:val="100"/>
                <w:sz w:val="18"/>
              </w:rPr>
              <w:t>-</w:t>
            </w:r>
          </w:p>
        </w:tc>
      </w:tr>
      <w:tr>
        <w:trPr>
          <w:trHeight w:val="270" w:hRule="exact"/>
        </w:trPr>
        <w:tc>
          <w:tcPr>
            <w:tcW w:w="1157" w:type="dxa"/>
            <w:tcBorders>
              <w:top w:val="nil" w:sz="6" w:space="0" w:color="auto"/>
              <w:left w:val="single" w:sz="12" w:space="0" w:color="000000"/>
              <w:bottom w:val="single" w:sz="12" w:space="0" w:color="000000"/>
              <w:right w:val="single" w:sz="12" w:space="0" w:color="000000"/>
            </w:tcBorders>
          </w:tcPr>
          <w:p>
            <w:pPr>
              <w:pStyle w:val="TableParagraph"/>
              <w:spacing w:line="187" w:lineRule="exact"/>
              <w:ind w:right="0"/>
              <w:jc w:val="center"/>
              <w:rPr>
                <w:rFonts w:ascii="宋体" w:hAnsi="宋体" w:cs="宋体" w:eastAsia="宋体" w:hint="default"/>
                <w:sz w:val="18"/>
                <w:szCs w:val="18"/>
              </w:rPr>
            </w:pPr>
            <w:r>
              <w:rPr>
                <w:rFonts w:ascii="宋体" w:hAnsi="宋体" w:cs="宋体" w:eastAsia="宋体" w:hint="default"/>
                <w:sz w:val="18"/>
                <w:szCs w:val="18"/>
              </w:rPr>
              <w:t>限公司</w:t>
            </w:r>
          </w:p>
        </w:tc>
        <w:tc>
          <w:tcPr>
            <w:tcW w:w="751" w:type="dxa"/>
            <w:tcBorders>
              <w:top w:val="nil" w:sz="6" w:space="0" w:color="auto"/>
              <w:left w:val="single" w:sz="12" w:space="0" w:color="000000"/>
              <w:bottom w:val="single" w:sz="12" w:space="0" w:color="000000"/>
              <w:right w:val="single" w:sz="12" w:space="0" w:color="000000"/>
            </w:tcBorders>
          </w:tcPr>
          <w:p>
            <w:pPr/>
          </w:p>
        </w:tc>
        <w:tc>
          <w:tcPr>
            <w:tcW w:w="1471" w:type="dxa"/>
            <w:tcBorders>
              <w:top w:val="nil" w:sz="6" w:space="0" w:color="auto"/>
              <w:left w:val="single" w:sz="12" w:space="0" w:color="000000"/>
              <w:bottom w:val="single" w:sz="12" w:space="0" w:color="000000"/>
              <w:right w:val="single" w:sz="12" w:space="0" w:color="000000"/>
            </w:tcBorders>
          </w:tcPr>
          <w:p>
            <w:pPr/>
          </w:p>
        </w:tc>
        <w:tc>
          <w:tcPr>
            <w:tcW w:w="1370" w:type="dxa"/>
            <w:tcBorders>
              <w:top w:val="nil" w:sz="6" w:space="0" w:color="auto"/>
              <w:left w:val="single" w:sz="12" w:space="0" w:color="000000"/>
              <w:bottom w:val="single" w:sz="12" w:space="0" w:color="000000"/>
              <w:right w:val="single" w:sz="12" w:space="0" w:color="000000"/>
            </w:tcBorders>
          </w:tcPr>
          <w:p>
            <w:pPr/>
          </w:p>
        </w:tc>
        <w:tc>
          <w:tcPr>
            <w:tcW w:w="1471" w:type="dxa"/>
            <w:tcBorders>
              <w:top w:val="nil" w:sz="6" w:space="0" w:color="auto"/>
              <w:left w:val="single" w:sz="12" w:space="0" w:color="000000"/>
              <w:bottom w:val="single" w:sz="12" w:space="0" w:color="000000"/>
              <w:right w:val="single" w:sz="12" w:space="0" w:color="000000"/>
            </w:tcBorders>
          </w:tcPr>
          <w:p>
            <w:pPr/>
          </w:p>
        </w:tc>
        <w:tc>
          <w:tcPr>
            <w:tcW w:w="1471" w:type="dxa"/>
            <w:tcBorders>
              <w:top w:val="nil" w:sz="6" w:space="0" w:color="auto"/>
              <w:left w:val="single" w:sz="12" w:space="0" w:color="000000"/>
              <w:bottom w:val="single" w:sz="12" w:space="0" w:color="000000"/>
              <w:right w:val="single" w:sz="12" w:space="0" w:color="000000"/>
            </w:tcBorders>
          </w:tcPr>
          <w:p>
            <w:pPr/>
          </w:p>
        </w:tc>
        <w:tc>
          <w:tcPr>
            <w:tcW w:w="1058" w:type="dxa"/>
            <w:tcBorders>
              <w:top w:val="nil" w:sz="6" w:space="0" w:color="auto"/>
              <w:left w:val="single" w:sz="12" w:space="0" w:color="000000"/>
              <w:bottom w:val="single" w:sz="12" w:space="0" w:color="000000"/>
              <w:right w:val="single" w:sz="12" w:space="0" w:color="000000"/>
            </w:tcBorders>
          </w:tcPr>
          <w:p>
            <w:pPr/>
          </w:p>
        </w:tc>
        <w:tc>
          <w:tcPr>
            <w:tcW w:w="1078" w:type="dxa"/>
            <w:tcBorders>
              <w:top w:val="nil" w:sz="6" w:space="0" w:color="auto"/>
              <w:left w:val="single" w:sz="12" w:space="0" w:color="000000"/>
              <w:bottom w:val="single" w:sz="12" w:space="0" w:color="000000"/>
              <w:right w:val="single" w:sz="12" w:space="0" w:color="000000"/>
            </w:tcBorders>
          </w:tcPr>
          <w:p>
            <w:pPr/>
          </w:p>
        </w:tc>
        <w:tc>
          <w:tcPr>
            <w:tcW w:w="1126" w:type="dxa"/>
            <w:tcBorders>
              <w:top w:val="nil" w:sz="6" w:space="0" w:color="auto"/>
              <w:left w:val="single" w:sz="12" w:space="0" w:color="000000"/>
              <w:bottom w:val="single" w:sz="12" w:space="0" w:color="000000"/>
              <w:right w:val="single" w:sz="12" w:space="0" w:color="000000"/>
            </w:tcBorders>
          </w:tcPr>
          <w:p>
            <w:pPr/>
          </w:p>
        </w:tc>
        <w:tc>
          <w:tcPr>
            <w:tcW w:w="722" w:type="dxa"/>
            <w:tcBorders>
              <w:top w:val="nil" w:sz="6" w:space="0" w:color="auto"/>
              <w:left w:val="single" w:sz="12" w:space="0" w:color="000000"/>
              <w:bottom w:val="single" w:sz="12" w:space="0" w:color="000000"/>
              <w:right w:val="single" w:sz="12" w:space="0" w:color="000000"/>
            </w:tcBorders>
          </w:tcPr>
          <w:p>
            <w:pPr/>
          </w:p>
        </w:tc>
        <w:tc>
          <w:tcPr>
            <w:tcW w:w="902" w:type="dxa"/>
            <w:tcBorders>
              <w:top w:val="nil" w:sz="6" w:space="0" w:color="auto"/>
              <w:left w:val="single" w:sz="12" w:space="0" w:color="000000"/>
              <w:bottom w:val="single" w:sz="12" w:space="0" w:color="000000"/>
              <w:right w:val="single" w:sz="12" w:space="0" w:color="000000"/>
            </w:tcBorders>
          </w:tcPr>
          <w:p>
            <w:pPr/>
          </w:p>
        </w:tc>
        <w:tc>
          <w:tcPr>
            <w:tcW w:w="893" w:type="dxa"/>
            <w:tcBorders>
              <w:top w:val="nil" w:sz="6" w:space="0" w:color="auto"/>
              <w:left w:val="single" w:sz="12" w:space="0" w:color="000000"/>
              <w:bottom w:val="single" w:sz="12" w:space="0" w:color="000000"/>
              <w:right w:val="single" w:sz="12" w:space="0" w:color="000000"/>
            </w:tcBorders>
          </w:tcPr>
          <w:p>
            <w:pPr/>
          </w:p>
        </w:tc>
      </w:tr>
      <w:tr>
        <w:trPr>
          <w:trHeight w:val="696" w:hRule="exact"/>
        </w:trPr>
        <w:tc>
          <w:tcPr>
            <w:tcW w:w="1157" w:type="dxa"/>
            <w:tcBorders>
              <w:top w:val="single" w:sz="12" w:space="0" w:color="000000"/>
              <w:left w:val="single" w:sz="12" w:space="0" w:color="000000"/>
              <w:bottom w:val="nil" w:sz="6" w:space="0" w:color="auto"/>
              <w:right w:val="single" w:sz="12" w:space="0" w:color="000000"/>
            </w:tcBorders>
          </w:tcPr>
          <w:p>
            <w:pPr>
              <w:pStyle w:val="TableParagraph"/>
              <w:spacing w:line="316" w:lineRule="auto" w:before="10"/>
              <w:ind w:left="112" w:right="113"/>
              <w:jc w:val="left"/>
              <w:rPr>
                <w:rFonts w:ascii="宋体" w:hAnsi="宋体" w:cs="宋体" w:eastAsia="宋体" w:hint="default"/>
                <w:sz w:val="18"/>
                <w:szCs w:val="18"/>
              </w:rPr>
            </w:pPr>
            <w:r>
              <w:rPr>
                <w:rFonts w:ascii="宋体" w:hAnsi="宋体" w:cs="宋体" w:eastAsia="宋体" w:hint="default"/>
                <w:sz w:val="18"/>
                <w:szCs w:val="18"/>
              </w:rPr>
              <w:t>东营安诺其</w:t>
            </w:r>
            <w:r>
              <w:rPr>
                <w:rFonts w:ascii="宋体" w:hAnsi="宋体" w:cs="宋体" w:eastAsia="宋体" w:hint="default"/>
                <w:w w:val="100"/>
                <w:sz w:val="18"/>
                <w:szCs w:val="18"/>
              </w:rPr>
              <w:t> </w:t>
            </w:r>
            <w:r>
              <w:rPr>
                <w:rFonts w:ascii="宋体" w:hAnsi="宋体" w:cs="宋体" w:eastAsia="宋体" w:hint="default"/>
                <w:sz w:val="18"/>
                <w:szCs w:val="18"/>
              </w:rPr>
              <w:t>纺织材料有</w:t>
            </w:r>
          </w:p>
        </w:tc>
        <w:tc>
          <w:tcPr>
            <w:tcW w:w="751" w:type="dxa"/>
            <w:tcBorders>
              <w:top w:val="single" w:sz="12" w:space="0" w:color="000000"/>
              <w:left w:val="single" w:sz="12" w:space="0" w:color="000000"/>
              <w:bottom w:val="nil" w:sz="6" w:space="0" w:color="auto"/>
              <w:right w:val="single" w:sz="12" w:space="0" w:color="000000"/>
            </w:tcBorders>
          </w:tcPr>
          <w:p>
            <w:pPr>
              <w:pStyle w:val="TableParagraph"/>
              <w:spacing w:line="307" w:lineRule="auto" w:before="135"/>
              <w:ind w:left="271" w:right="180" w:hanging="92"/>
              <w:jc w:val="left"/>
              <w:rPr>
                <w:rFonts w:ascii="宋体" w:hAnsi="宋体" w:cs="宋体" w:eastAsia="宋体" w:hint="default"/>
                <w:sz w:val="18"/>
                <w:szCs w:val="18"/>
              </w:rPr>
            </w:pPr>
            <w:r>
              <w:rPr>
                <w:rFonts w:ascii="宋体" w:hAnsi="宋体" w:cs="宋体" w:eastAsia="宋体" w:hint="default"/>
                <w:sz w:val="18"/>
                <w:szCs w:val="18"/>
              </w:rPr>
              <w:t>成本</w:t>
            </w:r>
            <w:r>
              <w:rPr>
                <w:rFonts w:ascii="宋体" w:hAnsi="宋体" w:cs="宋体" w:eastAsia="宋体" w:hint="default"/>
                <w:w w:val="100"/>
                <w:sz w:val="18"/>
                <w:szCs w:val="18"/>
              </w:rPr>
              <w:t> </w:t>
            </w:r>
            <w:r>
              <w:rPr>
                <w:rFonts w:ascii="宋体" w:hAnsi="宋体" w:cs="宋体" w:eastAsia="宋体" w:hint="default"/>
                <w:sz w:val="18"/>
                <w:szCs w:val="18"/>
              </w:rPr>
              <w:t>法</w:t>
            </w:r>
          </w:p>
        </w:tc>
        <w:tc>
          <w:tcPr>
            <w:tcW w:w="1471" w:type="dxa"/>
            <w:tcBorders>
              <w:top w:val="single" w:sz="12" w:space="0" w:color="000000"/>
              <w:left w:val="single" w:sz="12" w:space="0" w:color="000000"/>
              <w:bottom w:val="nil" w:sz="6" w:space="0" w:color="auto"/>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Arial" w:hAnsi="Arial" w:cs="Arial" w:eastAsia="Arial" w:hint="default"/>
                <w:sz w:val="18"/>
                <w:szCs w:val="18"/>
              </w:rPr>
            </w:pPr>
            <w:r>
              <w:rPr>
                <w:rFonts w:ascii="Arial"/>
                <w:sz w:val="18"/>
              </w:rPr>
              <w:t>164,539,800.00</w:t>
            </w:r>
          </w:p>
        </w:tc>
        <w:tc>
          <w:tcPr>
            <w:tcW w:w="1370" w:type="dxa"/>
            <w:tcBorders>
              <w:top w:val="single" w:sz="12" w:space="0" w:color="000000"/>
              <w:left w:val="single" w:sz="12" w:space="0" w:color="000000"/>
              <w:bottom w:val="nil" w:sz="6" w:space="0" w:color="auto"/>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Arial" w:hAnsi="Arial" w:cs="Arial" w:eastAsia="Arial" w:hint="default"/>
                <w:sz w:val="18"/>
                <w:szCs w:val="18"/>
              </w:rPr>
            </w:pPr>
            <w:r>
              <w:rPr>
                <w:rFonts w:ascii="Arial"/>
                <w:sz w:val="18"/>
              </w:rPr>
              <w:t>42,000,000.00</w:t>
            </w:r>
          </w:p>
        </w:tc>
        <w:tc>
          <w:tcPr>
            <w:tcW w:w="1471" w:type="dxa"/>
            <w:tcBorders>
              <w:top w:val="single" w:sz="12" w:space="0" w:color="000000"/>
              <w:left w:val="single" w:sz="12" w:space="0" w:color="000000"/>
              <w:bottom w:val="nil" w:sz="6" w:space="0" w:color="auto"/>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Arial" w:hAnsi="Arial" w:cs="Arial" w:eastAsia="Arial" w:hint="default"/>
                <w:sz w:val="18"/>
                <w:szCs w:val="18"/>
              </w:rPr>
            </w:pPr>
            <w:r>
              <w:rPr>
                <w:rFonts w:ascii="Arial"/>
                <w:sz w:val="18"/>
              </w:rPr>
              <w:t>122,539,800.00</w:t>
            </w:r>
          </w:p>
        </w:tc>
        <w:tc>
          <w:tcPr>
            <w:tcW w:w="1471" w:type="dxa"/>
            <w:tcBorders>
              <w:top w:val="single" w:sz="12" w:space="0" w:color="000000"/>
              <w:left w:val="single" w:sz="12" w:space="0" w:color="000000"/>
              <w:bottom w:val="nil" w:sz="6" w:space="0" w:color="auto"/>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Arial" w:hAnsi="Arial" w:cs="Arial" w:eastAsia="Arial" w:hint="default"/>
                <w:sz w:val="18"/>
                <w:szCs w:val="18"/>
              </w:rPr>
            </w:pPr>
            <w:r>
              <w:rPr>
                <w:rFonts w:ascii="Arial"/>
                <w:sz w:val="18"/>
              </w:rPr>
              <w:t>164,539,800.00</w:t>
            </w:r>
          </w:p>
        </w:tc>
        <w:tc>
          <w:tcPr>
            <w:tcW w:w="1058" w:type="dxa"/>
            <w:tcBorders>
              <w:top w:val="single" w:sz="12" w:space="0" w:color="000000"/>
              <w:left w:val="single" w:sz="12" w:space="0" w:color="000000"/>
              <w:bottom w:val="nil" w:sz="6" w:space="0" w:color="auto"/>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Arial" w:hAnsi="Arial" w:cs="Arial" w:eastAsia="Arial" w:hint="default"/>
                <w:sz w:val="18"/>
                <w:szCs w:val="18"/>
              </w:rPr>
            </w:pPr>
            <w:r>
              <w:rPr>
                <w:rFonts w:ascii="Arial"/>
                <w:sz w:val="18"/>
              </w:rPr>
              <w:t>100%</w:t>
            </w:r>
          </w:p>
        </w:tc>
        <w:tc>
          <w:tcPr>
            <w:tcW w:w="1078" w:type="dxa"/>
            <w:tcBorders>
              <w:top w:val="single" w:sz="12" w:space="0" w:color="000000"/>
              <w:left w:val="single" w:sz="12" w:space="0" w:color="000000"/>
              <w:bottom w:val="nil" w:sz="6" w:space="0" w:color="auto"/>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91"/>
              <w:jc w:val="right"/>
              <w:rPr>
                <w:rFonts w:ascii="Arial" w:hAnsi="Arial" w:cs="Arial" w:eastAsia="Arial" w:hint="default"/>
                <w:sz w:val="18"/>
                <w:szCs w:val="18"/>
              </w:rPr>
            </w:pPr>
            <w:r>
              <w:rPr>
                <w:rFonts w:ascii="Arial"/>
                <w:sz w:val="18"/>
              </w:rPr>
              <w:t>100%</w:t>
            </w:r>
          </w:p>
        </w:tc>
        <w:tc>
          <w:tcPr>
            <w:tcW w:w="1126" w:type="dxa"/>
            <w:tcBorders>
              <w:top w:val="single" w:sz="12" w:space="0" w:color="000000"/>
              <w:left w:val="single" w:sz="12" w:space="0" w:color="000000"/>
              <w:bottom w:val="nil" w:sz="6" w:space="0" w:color="auto"/>
              <w:right w:val="single" w:sz="12"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Arial" w:hAnsi="Arial" w:cs="Arial" w:eastAsia="Arial" w:hint="default"/>
                <w:sz w:val="18"/>
                <w:szCs w:val="18"/>
              </w:rPr>
            </w:pPr>
            <w:r>
              <w:rPr>
                <w:rFonts w:ascii="Arial"/>
                <w:w w:val="100"/>
                <w:sz w:val="18"/>
              </w:rPr>
              <w:t>-</w:t>
            </w:r>
          </w:p>
        </w:tc>
        <w:tc>
          <w:tcPr>
            <w:tcW w:w="722" w:type="dxa"/>
            <w:tcBorders>
              <w:top w:val="single" w:sz="12" w:space="0" w:color="000000"/>
              <w:left w:val="single" w:sz="12" w:space="0" w:color="000000"/>
              <w:bottom w:val="nil" w:sz="6" w:space="0" w:color="auto"/>
              <w:right w:val="single" w:sz="12"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316" w:right="0"/>
              <w:jc w:val="left"/>
              <w:rPr>
                <w:rFonts w:ascii="Arial" w:hAnsi="Arial" w:cs="Arial" w:eastAsia="Arial" w:hint="default"/>
                <w:sz w:val="18"/>
                <w:szCs w:val="18"/>
              </w:rPr>
            </w:pPr>
            <w:r>
              <w:rPr>
                <w:rFonts w:ascii="Arial"/>
                <w:w w:val="100"/>
                <w:sz w:val="18"/>
              </w:rPr>
              <w:t>-</w:t>
            </w:r>
          </w:p>
        </w:tc>
        <w:tc>
          <w:tcPr>
            <w:tcW w:w="902" w:type="dxa"/>
            <w:tcBorders>
              <w:top w:val="single" w:sz="12" w:space="0" w:color="000000"/>
              <w:left w:val="single" w:sz="12" w:space="0" w:color="000000"/>
              <w:bottom w:val="nil" w:sz="6" w:space="0" w:color="auto"/>
              <w:right w:val="single" w:sz="12"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Arial" w:hAnsi="Arial" w:cs="Arial" w:eastAsia="Arial" w:hint="default"/>
                <w:sz w:val="18"/>
                <w:szCs w:val="18"/>
              </w:rPr>
            </w:pPr>
            <w:r>
              <w:rPr>
                <w:rFonts w:ascii="Arial"/>
                <w:w w:val="100"/>
                <w:sz w:val="18"/>
              </w:rPr>
              <w:t>-</w:t>
            </w:r>
          </w:p>
        </w:tc>
        <w:tc>
          <w:tcPr>
            <w:tcW w:w="893" w:type="dxa"/>
            <w:tcBorders>
              <w:top w:val="single" w:sz="12" w:space="0" w:color="000000"/>
              <w:left w:val="single" w:sz="12" w:space="0" w:color="000000"/>
              <w:bottom w:val="nil" w:sz="6" w:space="0" w:color="auto"/>
              <w:right w:val="single" w:sz="12"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Arial" w:hAnsi="Arial" w:cs="Arial" w:eastAsia="Arial" w:hint="default"/>
                <w:sz w:val="18"/>
                <w:szCs w:val="18"/>
              </w:rPr>
            </w:pPr>
            <w:r>
              <w:rPr>
                <w:rFonts w:ascii="Arial"/>
                <w:w w:val="100"/>
                <w:sz w:val="18"/>
              </w:rPr>
              <w:t>-</w:t>
            </w:r>
          </w:p>
        </w:tc>
      </w:tr>
      <w:tr>
        <w:trPr>
          <w:trHeight w:val="269" w:hRule="exact"/>
        </w:trPr>
        <w:tc>
          <w:tcPr>
            <w:tcW w:w="1157" w:type="dxa"/>
            <w:tcBorders>
              <w:top w:val="nil" w:sz="6" w:space="0" w:color="auto"/>
              <w:left w:val="single" w:sz="12" w:space="0" w:color="000000"/>
              <w:bottom w:val="single" w:sz="12" w:space="0" w:color="000000"/>
              <w:right w:val="single" w:sz="12" w:space="0" w:color="000000"/>
            </w:tcBorders>
          </w:tcPr>
          <w:p>
            <w:pPr>
              <w:pStyle w:val="TableParagraph"/>
              <w:spacing w:line="188" w:lineRule="exact"/>
              <w:ind w:right="0"/>
              <w:jc w:val="center"/>
              <w:rPr>
                <w:rFonts w:ascii="宋体" w:hAnsi="宋体" w:cs="宋体" w:eastAsia="宋体" w:hint="default"/>
                <w:sz w:val="18"/>
                <w:szCs w:val="18"/>
              </w:rPr>
            </w:pPr>
            <w:r>
              <w:rPr>
                <w:rFonts w:ascii="宋体" w:hAnsi="宋体" w:cs="宋体" w:eastAsia="宋体" w:hint="default"/>
                <w:sz w:val="18"/>
                <w:szCs w:val="18"/>
              </w:rPr>
              <w:t>限公司</w:t>
            </w:r>
          </w:p>
        </w:tc>
        <w:tc>
          <w:tcPr>
            <w:tcW w:w="751" w:type="dxa"/>
            <w:tcBorders>
              <w:top w:val="nil" w:sz="6" w:space="0" w:color="auto"/>
              <w:left w:val="single" w:sz="12" w:space="0" w:color="000000"/>
              <w:bottom w:val="single" w:sz="12" w:space="0" w:color="000000"/>
              <w:right w:val="single" w:sz="12" w:space="0" w:color="000000"/>
            </w:tcBorders>
          </w:tcPr>
          <w:p>
            <w:pPr/>
          </w:p>
        </w:tc>
        <w:tc>
          <w:tcPr>
            <w:tcW w:w="1471" w:type="dxa"/>
            <w:tcBorders>
              <w:top w:val="nil" w:sz="6" w:space="0" w:color="auto"/>
              <w:left w:val="single" w:sz="12" w:space="0" w:color="000000"/>
              <w:bottom w:val="single" w:sz="12" w:space="0" w:color="000000"/>
              <w:right w:val="single" w:sz="12" w:space="0" w:color="000000"/>
            </w:tcBorders>
          </w:tcPr>
          <w:p>
            <w:pPr/>
          </w:p>
        </w:tc>
        <w:tc>
          <w:tcPr>
            <w:tcW w:w="1370" w:type="dxa"/>
            <w:tcBorders>
              <w:top w:val="nil" w:sz="6" w:space="0" w:color="auto"/>
              <w:left w:val="single" w:sz="12" w:space="0" w:color="000000"/>
              <w:bottom w:val="single" w:sz="12" w:space="0" w:color="000000"/>
              <w:right w:val="single" w:sz="12" w:space="0" w:color="000000"/>
            </w:tcBorders>
          </w:tcPr>
          <w:p>
            <w:pPr/>
          </w:p>
        </w:tc>
        <w:tc>
          <w:tcPr>
            <w:tcW w:w="1471" w:type="dxa"/>
            <w:tcBorders>
              <w:top w:val="nil" w:sz="6" w:space="0" w:color="auto"/>
              <w:left w:val="single" w:sz="12" w:space="0" w:color="000000"/>
              <w:bottom w:val="single" w:sz="12" w:space="0" w:color="000000"/>
              <w:right w:val="single" w:sz="12" w:space="0" w:color="000000"/>
            </w:tcBorders>
          </w:tcPr>
          <w:p>
            <w:pPr/>
          </w:p>
        </w:tc>
        <w:tc>
          <w:tcPr>
            <w:tcW w:w="1471" w:type="dxa"/>
            <w:tcBorders>
              <w:top w:val="nil" w:sz="6" w:space="0" w:color="auto"/>
              <w:left w:val="single" w:sz="12" w:space="0" w:color="000000"/>
              <w:bottom w:val="single" w:sz="12" w:space="0" w:color="000000"/>
              <w:right w:val="single" w:sz="12" w:space="0" w:color="000000"/>
            </w:tcBorders>
          </w:tcPr>
          <w:p>
            <w:pPr/>
          </w:p>
        </w:tc>
        <w:tc>
          <w:tcPr>
            <w:tcW w:w="1058" w:type="dxa"/>
            <w:tcBorders>
              <w:top w:val="nil" w:sz="6" w:space="0" w:color="auto"/>
              <w:left w:val="single" w:sz="12" w:space="0" w:color="000000"/>
              <w:bottom w:val="single" w:sz="12" w:space="0" w:color="000000"/>
              <w:right w:val="single" w:sz="12" w:space="0" w:color="000000"/>
            </w:tcBorders>
          </w:tcPr>
          <w:p>
            <w:pPr/>
          </w:p>
        </w:tc>
        <w:tc>
          <w:tcPr>
            <w:tcW w:w="1078" w:type="dxa"/>
            <w:tcBorders>
              <w:top w:val="nil" w:sz="6" w:space="0" w:color="auto"/>
              <w:left w:val="single" w:sz="12" w:space="0" w:color="000000"/>
              <w:bottom w:val="single" w:sz="12" w:space="0" w:color="000000"/>
              <w:right w:val="single" w:sz="12" w:space="0" w:color="000000"/>
            </w:tcBorders>
          </w:tcPr>
          <w:p>
            <w:pPr/>
          </w:p>
        </w:tc>
        <w:tc>
          <w:tcPr>
            <w:tcW w:w="1126" w:type="dxa"/>
            <w:tcBorders>
              <w:top w:val="nil" w:sz="6" w:space="0" w:color="auto"/>
              <w:left w:val="single" w:sz="12" w:space="0" w:color="000000"/>
              <w:bottom w:val="single" w:sz="12" w:space="0" w:color="000000"/>
              <w:right w:val="single" w:sz="12" w:space="0" w:color="000000"/>
            </w:tcBorders>
          </w:tcPr>
          <w:p>
            <w:pPr/>
          </w:p>
        </w:tc>
        <w:tc>
          <w:tcPr>
            <w:tcW w:w="722" w:type="dxa"/>
            <w:tcBorders>
              <w:top w:val="nil" w:sz="6" w:space="0" w:color="auto"/>
              <w:left w:val="single" w:sz="12" w:space="0" w:color="000000"/>
              <w:bottom w:val="single" w:sz="12" w:space="0" w:color="000000"/>
              <w:right w:val="single" w:sz="12" w:space="0" w:color="000000"/>
            </w:tcBorders>
          </w:tcPr>
          <w:p>
            <w:pPr/>
          </w:p>
        </w:tc>
        <w:tc>
          <w:tcPr>
            <w:tcW w:w="902" w:type="dxa"/>
            <w:tcBorders>
              <w:top w:val="nil" w:sz="6" w:space="0" w:color="auto"/>
              <w:left w:val="single" w:sz="12" w:space="0" w:color="000000"/>
              <w:bottom w:val="single" w:sz="12" w:space="0" w:color="000000"/>
              <w:right w:val="single" w:sz="12" w:space="0" w:color="000000"/>
            </w:tcBorders>
          </w:tcPr>
          <w:p>
            <w:pPr/>
          </w:p>
        </w:tc>
        <w:tc>
          <w:tcPr>
            <w:tcW w:w="893" w:type="dxa"/>
            <w:tcBorders>
              <w:top w:val="nil" w:sz="6" w:space="0" w:color="auto"/>
              <w:left w:val="single" w:sz="12" w:space="0" w:color="000000"/>
              <w:bottom w:val="single" w:sz="12" w:space="0" w:color="000000"/>
              <w:right w:val="single" w:sz="12" w:space="0" w:color="000000"/>
            </w:tcBorders>
          </w:tcPr>
          <w:p>
            <w:pPr/>
          </w:p>
        </w:tc>
      </w:tr>
      <w:tr>
        <w:trPr>
          <w:trHeight w:val="559" w:hRule="exact"/>
        </w:trPr>
        <w:tc>
          <w:tcPr>
            <w:tcW w:w="11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51" w:type="dxa"/>
            <w:tcBorders>
              <w:top w:val="single" w:sz="12" w:space="0" w:color="000000"/>
              <w:left w:val="single" w:sz="12" w:space="0" w:color="000000"/>
              <w:bottom w:val="single" w:sz="12" w:space="0" w:color="000000"/>
              <w:right w:val="single" w:sz="12" w:space="0" w:color="000000"/>
            </w:tcBorders>
          </w:tcPr>
          <w:p>
            <w:pPr/>
          </w:p>
        </w:tc>
        <w:tc>
          <w:tcPr>
            <w:tcW w:w="14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60"/>
              <w:ind w:right="1"/>
              <w:jc w:val="center"/>
              <w:rPr>
                <w:rFonts w:ascii="Arial" w:hAnsi="Arial" w:cs="Arial" w:eastAsia="Arial" w:hint="default"/>
                <w:sz w:val="18"/>
                <w:szCs w:val="18"/>
              </w:rPr>
            </w:pPr>
            <w:r>
              <w:rPr>
                <w:rFonts w:ascii="Arial"/>
                <w:sz w:val="18"/>
              </w:rPr>
              <w:t>223,589,800.00</w:t>
            </w:r>
          </w:p>
        </w:tc>
        <w:tc>
          <w:tcPr>
            <w:tcW w:w="13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60"/>
              <w:ind w:right="0"/>
              <w:jc w:val="center"/>
              <w:rPr>
                <w:rFonts w:ascii="Arial" w:hAnsi="Arial" w:cs="Arial" w:eastAsia="Arial" w:hint="default"/>
                <w:sz w:val="18"/>
                <w:szCs w:val="18"/>
              </w:rPr>
            </w:pPr>
            <w:r>
              <w:rPr>
                <w:rFonts w:ascii="Arial"/>
                <w:sz w:val="18"/>
              </w:rPr>
              <w:t>61,200,000.00</w:t>
            </w:r>
          </w:p>
        </w:tc>
        <w:tc>
          <w:tcPr>
            <w:tcW w:w="14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60"/>
              <w:ind w:right="1"/>
              <w:jc w:val="center"/>
              <w:rPr>
                <w:rFonts w:ascii="Arial" w:hAnsi="Arial" w:cs="Arial" w:eastAsia="Arial" w:hint="default"/>
                <w:sz w:val="18"/>
                <w:szCs w:val="18"/>
              </w:rPr>
            </w:pPr>
            <w:r>
              <w:rPr>
                <w:rFonts w:ascii="Arial"/>
                <w:sz w:val="18"/>
              </w:rPr>
              <w:t>162,389,800.00</w:t>
            </w:r>
          </w:p>
        </w:tc>
        <w:tc>
          <w:tcPr>
            <w:tcW w:w="14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60"/>
              <w:ind w:right="1"/>
              <w:jc w:val="center"/>
              <w:rPr>
                <w:rFonts w:ascii="Arial" w:hAnsi="Arial" w:cs="Arial" w:eastAsia="Arial" w:hint="default"/>
                <w:sz w:val="18"/>
                <w:szCs w:val="18"/>
              </w:rPr>
            </w:pPr>
            <w:r>
              <w:rPr>
                <w:rFonts w:ascii="Arial"/>
                <w:sz w:val="18"/>
              </w:rPr>
              <w:t>223,589,800.00</w:t>
            </w:r>
          </w:p>
        </w:tc>
        <w:tc>
          <w:tcPr>
            <w:tcW w:w="1058" w:type="dxa"/>
            <w:tcBorders>
              <w:top w:val="single" w:sz="12" w:space="0" w:color="000000"/>
              <w:left w:val="single" w:sz="12" w:space="0" w:color="000000"/>
              <w:bottom w:val="single" w:sz="12" w:space="0" w:color="000000"/>
              <w:right w:val="single" w:sz="12" w:space="0" w:color="000000"/>
            </w:tcBorders>
          </w:tcPr>
          <w:p>
            <w:pPr/>
          </w:p>
        </w:tc>
        <w:tc>
          <w:tcPr>
            <w:tcW w:w="1078" w:type="dxa"/>
            <w:tcBorders>
              <w:top w:val="single" w:sz="12" w:space="0" w:color="000000"/>
              <w:left w:val="single" w:sz="12" w:space="0" w:color="000000"/>
              <w:bottom w:val="single" w:sz="12" w:space="0" w:color="000000"/>
              <w:right w:val="single" w:sz="12" w:space="0" w:color="000000"/>
            </w:tcBorders>
          </w:tcPr>
          <w:p>
            <w:pPr/>
          </w:p>
        </w:tc>
        <w:tc>
          <w:tcPr>
            <w:tcW w:w="11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w w:val="100"/>
                <w:sz w:val="18"/>
              </w:rPr>
              <w:t>-</w:t>
            </w:r>
          </w:p>
        </w:tc>
        <w:tc>
          <w:tcPr>
            <w:tcW w:w="7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left="316" w:right="0"/>
              <w:jc w:val="left"/>
              <w:rPr>
                <w:rFonts w:ascii="Arial" w:hAnsi="Arial" w:cs="Arial" w:eastAsia="Arial" w:hint="default"/>
                <w:sz w:val="18"/>
                <w:szCs w:val="18"/>
              </w:rPr>
            </w:pPr>
            <w:r>
              <w:rPr>
                <w:rFonts w:ascii="Arial"/>
                <w:w w:val="100"/>
                <w:sz w:val="18"/>
              </w:rPr>
              <w:t>-</w:t>
            </w:r>
          </w:p>
        </w:tc>
        <w:tc>
          <w:tcPr>
            <w:tcW w:w="9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w w:val="100"/>
                <w:sz w:val="18"/>
              </w:rPr>
              <w:t>-</w:t>
            </w:r>
          </w:p>
        </w:tc>
        <w:tc>
          <w:tcPr>
            <w:tcW w:w="89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w w:val="100"/>
                <w:sz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before="76"/>
        <w:ind w:left="0" w:right="140" w:firstLine="0"/>
        <w:jc w:val="right"/>
        <w:rPr>
          <w:rFonts w:ascii="Times New Roman" w:hAnsi="Times New Roman" w:cs="Times New Roman" w:eastAsia="Times New Roman" w:hint="default"/>
          <w:sz w:val="18"/>
          <w:szCs w:val="18"/>
        </w:rPr>
      </w:pPr>
      <w:r>
        <w:rPr>
          <w:rFonts w:ascii="Times New Roman"/>
          <w:sz w:val="18"/>
        </w:rPr>
        <w:t>131</w:t>
      </w:r>
    </w:p>
    <w:p>
      <w:pPr>
        <w:spacing w:after="0"/>
        <w:jc w:val="right"/>
        <w:rPr>
          <w:rFonts w:ascii="Times New Roman" w:hAnsi="Times New Roman" w:cs="Times New Roman" w:eastAsia="Times New Roman" w:hint="default"/>
          <w:sz w:val="18"/>
          <w:szCs w:val="18"/>
        </w:rPr>
        <w:sectPr>
          <w:headerReference w:type="default" r:id="rId72"/>
          <w:footerReference w:type="default" r:id="rId73"/>
          <w:pgSz w:w="16840" w:h="11900" w:orient="landscape"/>
          <w:pgMar w:header="0" w:footer="0" w:top="800" w:bottom="280" w:left="1200" w:right="1300"/>
        </w:sectPr>
      </w:pPr>
    </w:p>
    <w:p>
      <w:pPr>
        <w:spacing w:line="240" w:lineRule="auto" w:before="11"/>
        <w:rPr>
          <w:rFonts w:ascii="Times New Roman" w:hAnsi="Times New Roman" w:cs="Times New Roman" w:eastAsia="Times New Roman" w:hint="default"/>
          <w:sz w:val="21"/>
          <w:szCs w:val="21"/>
        </w:rPr>
      </w:pPr>
    </w:p>
    <w:p>
      <w:pPr>
        <w:pStyle w:val="BodyText"/>
        <w:spacing w:line="338" w:lineRule="auto"/>
        <w:ind w:left="157" w:right="0"/>
        <w:jc w:val="left"/>
      </w:pPr>
      <w:r>
        <w:rPr>
          <w:rFonts w:ascii="Arial" w:hAnsi="Arial" w:cs="Arial" w:eastAsia="Arial" w:hint="default"/>
        </w:rPr>
        <w:t>12.3.2</w:t>
      </w:r>
      <w:r>
        <w:rPr>
          <w:rFonts w:ascii="Arial" w:hAnsi="Arial" w:cs="Arial" w:eastAsia="Arial" w:hint="default"/>
          <w:spacing w:val="-5"/>
        </w:rPr>
        <w:t> </w:t>
      </w:r>
      <w:r>
        <w:rPr/>
        <w:t>长期股权投资年末数比年初数增加</w:t>
      </w:r>
      <w:r>
        <w:rPr>
          <w:spacing w:val="-53"/>
        </w:rPr>
        <w:t> </w:t>
      </w:r>
      <w:r>
        <w:rPr>
          <w:rFonts w:ascii="Arial" w:hAnsi="Arial" w:cs="Arial" w:eastAsia="Arial" w:hint="default"/>
        </w:rPr>
        <w:t>162,389,800.00</w:t>
      </w:r>
      <w:r>
        <w:rPr>
          <w:rFonts w:ascii="Arial" w:hAnsi="Arial" w:cs="Arial" w:eastAsia="Arial" w:hint="default"/>
          <w:spacing w:val="-5"/>
        </w:rPr>
        <w:t> </w:t>
      </w:r>
      <w:r>
        <w:rPr/>
        <w:t>元，增加比例为</w:t>
      </w:r>
      <w:r>
        <w:rPr>
          <w:spacing w:val="-56"/>
        </w:rPr>
        <w:t> </w:t>
      </w:r>
      <w:r>
        <w:rPr>
          <w:rFonts w:ascii="Arial" w:hAnsi="Arial" w:cs="Arial" w:eastAsia="Arial" w:hint="default"/>
        </w:rPr>
        <w:t>265.34</w:t>
      </w:r>
      <w:r>
        <w:rPr>
          <w:rFonts w:ascii="Arial" w:hAnsi="Arial" w:cs="Arial" w:eastAsia="Arial" w:hint="default"/>
          <w:spacing w:val="44"/>
        </w:rPr>
        <w:t> </w:t>
      </w:r>
      <w:r>
        <w:rPr>
          <w:rFonts w:ascii="Arial" w:hAnsi="Arial" w:cs="Arial" w:eastAsia="Arial" w:hint="default"/>
        </w:rPr>
        <w:t>%</w:t>
      </w:r>
      <w:r>
        <w:rPr/>
        <w:t>，增</w:t>
      </w:r>
      <w:r>
        <w:rPr>
          <w:w w:val="100"/>
        </w:rPr>
        <w:t> </w:t>
      </w:r>
      <w:r>
        <w:rPr/>
        <w:t>加原因为：本公司本年对子公司追加投资所致。</w:t>
      </w:r>
    </w:p>
    <w:p>
      <w:pPr>
        <w:pStyle w:val="BodyText"/>
        <w:spacing w:line="240" w:lineRule="auto" w:before="51"/>
        <w:ind w:left="157" w:right="0"/>
        <w:jc w:val="left"/>
      </w:pPr>
      <w:r>
        <w:rPr>
          <w:rFonts w:ascii="Arial" w:hAnsi="Arial" w:cs="Arial" w:eastAsia="Arial" w:hint="default"/>
        </w:rPr>
        <w:t>12.4</w:t>
      </w:r>
      <w:r>
        <w:rPr>
          <w:rFonts w:ascii="Arial" w:hAnsi="Arial" w:cs="Arial" w:eastAsia="Arial" w:hint="default"/>
          <w:spacing w:val="-10"/>
        </w:rPr>
        <w:t> </w:t>
      </w:r>
      <w:r>
        <w:rPr/>
        <w:t>营业收入及营业成本</w:t>
      </w:r>
    </w:p>
    <w:p>
      <w:pPr>
        <w:pStyle w:val="BodyText"/>
        <w:spacing w:line="240" w:lineRule="auto" w:before="123"/>
        <w:ind w:left="157" w:right="0"/>
        <w:jc w:val="left"/>
      </w:pPr>
      <w:r>
        <w:rPr>
          <w:rFonts w:ascii="Arial" w:hAnsi="Arial" w:cs="Arial" w:eastAsia="Arial" w:hint="default"/>
        </w:rPr>
        <w:t>12.4.1</w:t>
      </w:r>
      <w:r>
        <w:rPr>
          <w:rFonts w:ascii="Arial" w:hAnsi="Arial" w:cs="Arial" w:eastAsia="Arial" w:hint="default"/>
          <w:spacing w:val="-9"/>
        </w:rPr>
        <w:t> </w:t>
      </w:r>
      <w:r>
        <w:rPr/>
        <w:t>营业收入</w:t>
      </w:r>
    </w:p>
    <w:p>
      <w:pPr>
        <w:spacing w:line="240" w:lineRule="auto" w:before="3"/>
        <w:rPr>
          <w:rFonts w:ascii="宋体" w:hAnsi="宋体" w:cs="宋体" w:eastAsia="宋体" w:hint="default"/>
          <w:sz w:val="12"/>
          <w:szCs w:val="12"/>
        </w:rPr>
      </w:pPr>
    </w:p>
    <w:tbl>
      <w:tblPr>
        <w:tblW w:w="0" w:type="auto"/>
        <w:jc w:val="left"/>
        <w:tblInd w:w="126" w:type="dxa"/>
        <w:tblLayout w:type="fixed"/>
        <w:tblCellMar>
          <w:top w:w="0" w:type="dxa"/>
          <w:left w:w="0" w:type="dxa"/>
          <w:bottom w:w="0" w:type="dxa"/>
          <w:right w:w="0" w:type="dxa"/>
        </w:tblCellMar>
        <w:tblLook w:val="01E0"/>
      </w:tblPr>
      <w:tblGrid>
        <w:gridCol w:w="2921"/>
        <w:gridCol w:w="2642"/>
        <w:gridCol w:w="3110"/>
      </w:tblGrid>
      <w:tr>
        <w:trPr>
          <w:trHeight w:val="485" w:hRule="exact"/>
        </w:trPr>
        <w:tc>
          <w:tcPr>
            <w:tcW w:w="29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139"/>
              <w:jc w:val="center"/>
              <w:rPr>
                <w:rFonts w:ascii="宋体" w:hAnsi="宋体" w:cs="宋体" w:eastAsia="宋体" w:hint="default"/>
                <w:sz w:val="18"/>
                <w:szCs w:val="18"/>
              </w:rPr>
            </w:pPr>
            <w:r>
              <w:rPr>
                <w:rFonts w:ascii="宋体" w:hAnsi="宋体" w:cs="宋体" w:eastAsia="宋体" w:hint="default"/>
                <w:sz w:val="18"/>
                <w:szCs w:val="18"/>
              </w:rPr>
              <w:t>项目</w:t>
            </w:r>
          </w:p>
        </w:tc>
        <w:tc>
          <w:tcPr>
            <w:tcW w:w="26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137"/>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年度</w:t>
            </w:r>
          </w:p>
        </w:tc>
        <w:tc>
          <w:tcPr>
            <w:tcW w:w="31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134"/>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5"/>
                <w:sz w:val="18"/>
                <w:szCs w:val="18"/>
              </w:rPr>
              <w:t> </w:t>
            </w:r>
            <w:r>
              <w:rPr>
                <w:rFonts w:ascii="宋体" w:hAnsi="宋体" w:cs="宋体" w:eastAsia="宋体" w:hint="default"/>
                <w:sz w:val="18"/>
                <w:szCs w:val="18"/>
              </w:rPr>
              <w:t>年度</w:t>
            </w:r>
          </w:p>
        </w:tc>
      </w:tr>
      <w:tr>
        <w:trPr>
          <w:trHeight w:val="485" w:hRule="exact"/>
        </w:trPr>
        <w:tc>
          <w:tcPr>
            <w:tcW w:w="29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139"/>
              <w:jc w:val="center"/>
              <w:rPr>
                <w:rFonts w:ascii="宋体" w:hAnsi="宋体" w:cs="宋体" w:eastAsia="宋体" w:hint="default"/>
                <w:sz w:val="18"/>
                <w:szCs w:val="18"/>
              </w:rPr>
            </w:pPr>
            <w:r>
              <w:rPr>
                <w:rFonts w:ascii="宋体" w:hAnsi="宋体" w:cs="宋体" w:eastAsia="宋体" w:hint="default"/>
                <w:sz w:val="18"/>
                <w:szCs w:val="18"/>
              </w:rPr>
              <w:t>主营业务收入</w:t>
            </w:r>
          </w:p>
        </w:tc>
        <w:tc>
          <w:tcPr>
            <w:tcW w:w="26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35"/>
              <w:jc w:val="center"/>
              <w:rPr>
                <w:rFonts w:ascii="Arial" w:hAnsi="Arial" w:cs="Arial" w:eastAsia="Arial" w:hint="default"/>
                <w:sz w:val="18"/>
                <w:szCs w:val="18"/>
              </w:rPr>
            </w:pPr>
            <w:r>
              <w:rPr>
                <w:rFonts w:ascii="Arial"/>
                <w:sz w:val="18"/>
              </w:rPr>
              <w:t>174,658,331.47</w:t>
            </w:r>
          </w:p>
        </w:tc>
        <w:tc>
          <w:tcPr>
            <w:tcW w:w="31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37"/>
              <w:jc w:val="center"/>
              <w:rPr>
                <w:rFonts w:ascii="Arial" w:hAnsi="Arial" w:cs="Arial" w:eastAsia="Arial" w:hint="default"/>
                <w:sz w:val="18"/>
                <w:szCs w:val="18"/>
              </w:rPr>
            </w:pPr>
            <w:r>
              <w:rPr>
                <w:rFonts w:ascii="Arial"/>
                <w:sz w:val="18"/>
              </w:rPr>
              <w:t>192,812,548.21</w:t>
            </w:r>
          </w:p>
        </w:tc>
      </w:tr>
      <w:tr>
        <w:trPr>
          <w:trHeight w:val="482" w:hRule="exact"/>
        </w:trPr>
        <w:tc>
          <w:tcPr>
            <w:tcW w:w="29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139"/>
              <w:jc w:val="center"/>
              <w:rPr>
                <w:rFonts w:ascii="宋体" w:hAnsi="宋体" w:cs="宋体" w:eastAsia="宋体" w:hint="default"/>
                <w:sz w:val="18"/>
                <w:szCs w:val="18"/>
              </w:rPr>
            </w:pPr>
            <w:r>
              <w:rPr>
                <w:rFonts w:ascii="宋体" w:hAnsi="宋体" w:cs="宋体" w:eastAsia="宋体" w:hint="default"/>
                <w:sz w:val="18"/>
                <w:szCs w:val="18"/>
              </w:rPr>
              <w:t>其他业务收入</w:t>
            </w:r>
          </w:p>
        </w:tc>
        <w:tc>
          <w:tcPr>
            <w:tcW w:w="26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35"/>
              <w:jc w:val="center"/>
              <w:rPr>
                <w:rFonts w:ascii="Arial" w:hAnsi="Arial" w:cs="Arial" w:eastAsia="Arial" w:hint="default"/>
                <w:sz w:val="18"/>
                <w:szCs w:val="18"/>
              </w:rPr>
            </w:pPr>
            <w:r>
              <w:rPr>
                <w:rFonts w:ascii="Arial"/>
                <w:sz w:val="18"/>
              </w:rPr>
              <w:t>222,648.00</w:t>
            </w:r>
          </w:p>
        </w:tc>
        <w:tc>
          <w:tcPr>
            <w:tcW w:w="31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37"/>
              <w:jc w:val="center"/>
              <w:rPr>
                <w:rFonts w:ascii="Arial" w:hAnsi="Arial" w:cs="Arial" w:eastAsia="Arial" w:hint="default"/>
                <w:sz w:val="18"/>
                <w:szCs w:val="18"/>
              </w:rPr>
            </w:pPr>
            <w:r>
              <w:rPr>
                <w:rFonts w:ascii="Arial"/>
                <w:sz w:val="18"/>
              </w:rPr>
              <w:t>393,591.00</w:t>
            </w:r>
          </w:p>
        </w:tc>
      </w:tr>
      <w:tr>
        <w:trPr>
          <w:trHeight w:val="485" w:hRule="exact"/>
        </w:trPr>
        <w:tc>
          <w:tcPr>
            <w:tcW w:w="29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139"/>
              <w:jc w:val="center"/>
              <w:rPr>
                <w:rFonts w:ascii="宋体" w:hAnsi="宋体" w:cs="宋体" w:eastAsia="宋体" w:hint="default"/>
                <w:sz w:val="18"/>
                <w:szCs w:val="18"/>
              </w:rPr>
            </w:pPr>
            <w:r>
              <w:rPr>
                <w:rFonts w:ascii="宋体" w:hAnsi="宋体" w:cs="宋体" w:eastAsia="宋体" w:hint="default"/>
                <w:sz w:val="18"/>
                <w:szCs w:val="18"/>
              </w:rPr>
              <w:t>主营业务成本</w:t>
            </w:r>
          </w:p>
        </w:tc>
        <w:tc>
          <w:tcPr>
            <w:tcW w:w="26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37"/>
              <w:jc w:val="center"/>
              <w:rPr>
                <w:rFonts w:ascii="Arial" w:hAnsi="Arial" w:cs="Arial" w:eastAsia="Arial" w:hint="default"/>
                <w:sz w:val="18"/>
                <w:szCs w:val="18"/>
              </w:rPr>
            </w:pPr>
            <w:r>
              <w:rPr>
                <w:rFonts w:ascii="Arial"/>
                <w:sz w:val="18"/>
              </w:rPr>
              <w:t>113,689,719.76</w:t>
            </w:r>
          </w:p>
        </w:tc>
        <w:tc>
          <w:tcPr>
            <w:tcW w:w="31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35"/>
              <w:jc w:val="center"/>
              <w:rPr>
                <w:rFonts w:ascii="Arial" w:hAnsi="Arial" w:cs="Arial" w:eastAsia="Arial" w:hint="default"/>
                <w:sz w:val="18"/>
                <w:szCs w:val="18"/>
              </w:rPr>
            </w:pPr>
            <w:r>
              <w:rPr>
                <w:rFonts w:ascii="Arial"/>
                <w:sz w:val="18"/>
              </w:rPr>
              <w:t>118,101,270.24</w:t>
            </w:r>
          </w:p>
        </w:tc>
      </w:tr>
      <w:tr>
        <w:trPr>
          <w:trHeight w:val="482" w:hRule="exact"/>
        </w:trPr>
        <w:tc>
          <w:tcPr>
            <w:tcW w:w="29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139"/>
              <w:jc w:val="center"/>
              <w:rPr>
                <w:rFonts w:ascii="宋体" w:hAnsi="宋体" w:cs="宋体" w:eastAsia="宋体" w:hint="default"/>
                <w:sz w:val="18"/>
                <w:szCs w:val="18"/>
              </w:rPr>
            </w:pPr>
            <w:r>
              <w:rPr>
                <w:rFonts w:ascii="宋体" w:hAnsi="宋体" w:cs="宋体" w:eastAsia="宋体" w:hint="default"/>
                <w:sz w:val="18"/>
                <w:szCs w:val="18"/>
              </w:rPr>
              <w:t>其他业务成本</w:t>
            </w:r>
          </w:p>
        </w:tc>
        <w:tc>
          <w:tcPr>
            <w:tcW w:w="26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35"/>
              <w:jc w:val="center"/>
              <w:rPr>
                <w:rFonts w:ascii="Arial" w:hAnsi="Arial" w:cs="Arial" w:eastAsia="Arial" w:hint="default"/>
                <w:sz w:val="18"/>
                <w:szCs w:val="18"/>
              </w:rPr>
            </w:pPr>
            <w:r>
              <w:rPr>
                <w:rFonts w:ascii="Arial"/>
                <w:sz w:val="18"/>
              </w:rPr>
              <w:t>139,096.96</w:t>
            </w:r>
          </w:p>
        </w:tc>
        <w:tc>
          <w:tcPr>
            <w:tcW w:w="31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35"/>
              <w:jc w:val="center"/>
              <w:rPr>
                <w:rFonts w:ascii="Arial" w:hAnsi="Arial" w:cs="Arial" w:eastAsia="Arial" w:hint="default"/>
                <w:sz w:val="18"/>
                <w:szCs w:val="18"/>
              </w:rPr>
            </w:pPr>
            <w:r>
              <w:rPr>
                <w:rFonts w:ascii="Arial"/>
                <w:sz w:val="18"/>
              </w:rPr>
              <w:t>98,769.75</w:t>
            </w:r>
          </w:p>
        </w:tc>
      </w:tr>
    </w:tbl>
    <w:p>
      <w:pPr>
        <w:spacing w:line="240" w:lineRule="auto" w:before="12"/>
        <w:rPr>
          <w:rFonts w:ascii="宋体" w:hAnsi="宋体" w:cs="宋体" w:eastAsia="宋体" w:hint="default"/>
          <w:sz w:val="23"/>
          <w:szCs w:val="23"/>
        </w:rPr>
      </w:pPr>
    </w:p>
    <w:p>
      <w:pPr>
        <w:pStyle w:val="BodyText"/>
        <w:spacing w:line="240" w:lineRule="auto"/>
        <w:ind w:left="157" w:right="0"/>
        <w:jc w:val="left"/>
      </w:pPr>
      <w:r>
        <w:rPr>
          <w:rFonts w:ascii="Arial" w:hAnsi="Arial" w:cs="Arial" w:eastAsia="Arial" w:hint="default"/>
        </w:rPr>
        <w:t>12.4.2</w:t>
      </w:r>
      <w:r>
        <w:rPr>
          <w:rFonts w:ascii="Arial" w:hAnsi="Arial" w:cs="Arial" w:eastAsia="Arial" w:hint="default"/>
          <w:spacing w:val="-12"/>
        </w:rPr>
        <w:t> </w:t>
      </w:r>
      <w:r>
        <w:rPr/>
        <w:t>主营业务（分行业）</w:t>
      </w:r>
    </w:p>
    <w:p>
      <w:pPr>
        <w:spacing w:line="240" w:lineRule="auto" w:before="5"/>
        <w:rPr>
          <w:rFonts w:ascii="宋体" w:hAnsi="宋体" w:cs="宋体" w:eastAsia="宋体" w:hint="default"/>
          <w:sz w:val="12"/>
          <w:szCs w:val="12"/>
        </w:rPr>
      </w:pPr>
    </w:p>
    <w:tbl>
      <w:tblPr>
        <w:tblW w:w="0" w:type="auto"/>
        <w:jc w:val="left"/>
        <w:tblInd w:w="174" w:type="dxa"/>
        <w:tblLayout w:type="fixed"/>
        <w:tblCellMar>
          <w:top w:w="0" w:type="dxa"/>
          <w:left w:w="0" w:type="dxa"/>
          <w:bottom w:w="0" w:type="dxa"/>
          <w:right w:w="0" w:type="dxa"/>
        </w:tblCellMar>
        <w:tblLook w:val="01E0"/>
      </w:tblPr>
      <w:tblGrid>
        <w:gridCol w:w="1517"/>
        <w:gridCol w:w="1930"/>
        <w:gridCol w:w="1514"/>
        <w:gridCol w:w="1788"/>
        <w:gridCol w:w="1829"/>
      </w:tblGrid>
      <w:tr>
        <w:trPr>
          <w:trHeight w:val="482" w:hRule="exact"/>
        </w:trPr>
        <w:tc>
          <w:tcPr>
            <w:tcW w:w="1517" w:type="dxa"/>
            <w:vMerge w:val="restart"/>
            <w:tcBorders>
              <w:top w:val="single" w:sz="12" w:space="0" w:color="000000"/>
              <w:left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444"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年度</w:t>
            </w:r>
          </w:p>
        </w:tc>
        <w:tc>
          <w:tcPr>
            <w:tcW w:w="3617"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年度</w:t>
            </w:r>
          </w:p>
        </w:tc>
      </w:tr>
      <w:tr>
        <w:trPr>
          <w:trHeight w:val="485" w:hRule="exact"/>
        </w:trPr>
        <w:tc>
          <w:tcPr>
            <w:tcW w:w="1517" w:type="dxa"/>
            <w:vMerge/>
            <w:tcBorders>
              <w:left w:val="single" w:sz="12" w:space="0" w:color="000000"/>
              <w:bottom w:val="single" w:sz="12" w:space="0" w:color="000000"/>
              <w:right w:val="single" w:sz="12" w:space="0" w:color="000000"/>
            </w:tcBorders>
          </w:tcPr>
          <w:p>
            <w:pPr/>
          </w:p>
        </w:tc>
        <w:tc>
          <w:tcPr>
            <w:tcW w:w="19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5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7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8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营业成本</w:t>
            </w:r>
          </w:p>
        </w:tc>
      </w:tr>
      <w:tr>
        <w:trPr>
          <w:trHeight w:val="482" w:hRule="exact"/>
        </w:trPr>
        <w:tc>
          <w:tcPr>
            <w:tcW w:w="151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383" w:right="0"/>
              <w:jc w:val="left"/>
              <w:rPr>
                <w:rFonts w:ascii="宋体" w:hAnsi="宋体" w:cs="宋体" w:eastAsia="宋体" w:hint="default"/>
                <w:sz w:val="18"/>
                <w:szCs w:val="18"/>
              </w:rPr>
            </w:pPr>
            <w:r>
              <w:rPr>
                <w:rFonts w:ascii="宋体" w:hAnsi="宋体" w:cs="宋体" w:eastAsia="宋体" w:hint="default"/>
                <w:sz w:val="18"/>
                <w:szCs w:val="18"/>
              </w:rPr>
              <w:t>染料行业</w:t>
            </w:r>
          </w:p>
        </w:tc>
        <w:tc>
          <w:tcPr>
            <w:tcW w:w="19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4"/>
              <w:jc w:val="center"/>
              <w:rPr>
                <w:rFonts w:ascii="宋体" w:hAnsi="宋体" w:cs="宋体" w:eastAsia="宋体" w:hint="default"/>
                <w:sz w:val="18"/>
                <w:szCs w:val="18"/>
              </w:rPr>
            </w:pPr>
            <w:r>
              <w:rPr>
                <w:rFonts w:ascii="宋体"/>
                <w:sz w:val="18"/>
              </w:rPr>
              <w:t>174,658,331.47</w:t>
            </w:r>
          </w:p>
        </w:tc>
        <w:tc>
          <w:tcPr>
            <w:tcW w:w="15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113,689,719.76</w:t>
            </w:r>
          </w:p>
        </w:tc>
        <w:tc>
          <w:tcPr>
            <w:tcW w:w="17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192,812,548.21</w:t>
            </w:r>
          </w:p>
        </w:tc>
        <w:tc>
          <w:tcPr>
            <w:tcW w:w="18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4"/>
              <w:jc w:val="center"/>
              <w:rPr>
                <w:rFonts w:ascii="宋体" w:hAnsi="宋体" w:cs="宋体" w:eastAsia="宋体" w:hint="default"/>
                <w:sz w:val="18"/>
                <w:szCs w:val="18"/>
              </w:rPr>
            </w:pPr>
            <w:r>
              <w:rPr>
                <w:rFonts w:ascii="宋体"/>
                <w:sz w:val="18"/>
              </w:rPr>
              <w:t>118,101,270.24</w:t>
            </w:r>
          </w:p>
        </w:tc>
      </w:tr>
    </w:tbl>
    <w:p>
      <w:pPr>
        <w:spacing w:line="240" w:lineRule="auto" w:before="12"/>
        <w:rPr>
          <w:rFonts w:ascii="宋体" w:hAnsi="宋体" w:cs="宋体" w:eastAsia="宋体" w:hint="default"/>
          <w:sz w:val="23"/>
          <w:szCs w:val="23"/>
        </w:rPr>
      </w:pPr>
    </w:p>
    <w:p>
      <w:pPr>
        <w:pStyle w:val="BodyText"/>
        <w:spacing w:line="240" w:lineRule="auto"/>
        <w:ind w:left="157" w:right="0"/>
        <w:jc w:val="left"/>
      </w:pPr>
      <w:r>
        <w:rPr>
          <w:rFonts w:ascii="Arial" w:hAnsi="Arial" w:cs="Arial" w:eastAsia="Arial" w:hint="default"/>
        </w:rPr>
        <w:t>12.4.3</w:t>
      </w:r>
      <w:r>
        <w:rPr>
          <w:rFonts w:ascii="Arial" w:hAnsi="Arial" w:cs="Arial" w:eastAsia="Arial" w:hint="default"/>
          <w:spacing w:val="43"/>
        </w:rPr>
        <w:t> </w:t>
      </w:r>
      <w:r>
        <w:rPr/>
        <w:t>主营业务（分产品）</w:t>
      </w:r>
    </w:p>
    <w:p>
      <w:pPr>
        <w:spacing w:line="240" w:lineRule="auto" w:before="3"/>
        <w:rPr>
          <w:rFonts w:ascii="宋体" w:hAnsi="宋体" w:cs="宋体" w:eastAsia="宋体" w:hint="default"/>
          <w:sz w:val="12"/>
          <w:szCs w:val="12"/>
        </w:rPr>
      </w:pPr>
    </w:p>
    <w:tbl>
      <w:tblPr>
        <w:tblW w:w="0" w:type="auto"/>
        <w:jc w:val="left"/>
        <w:tblInd w:w="234" w:type="dxa"/>
        <w:tblLayout w:type="fixed"/>
        <w:tblCellMar>
          <w:top w:w="0" w:type="dxa"/>
          <w:left w:w="0" w:type="dxa"/>
          <w:bottom w:w="0" w:type="dxa"/>
          <w:right w:w="0" w:type="dxa"/>
        </w:tblCellMar>
        <w:tblLook w:val="01E0"/>
      </w:tblPr>
      <w:tblGrid>
        <w:gridCol w:w="1697"/>
        <w:gridCol w:w="1788"/>
        <w:gridCol w:w="1519"/>
        <w:gridCol w:w="1788"/>
        <w:gridCol w:w="1666"/>
      </w:tblGrid>
      <w:tr>
        <w:trPr>
          <w:trHeight w:val="334" w:hRule="exact"/>
        </w:trPr>
        <w:tc>
          <w:tcPr>
            <w:tcW w:w="1697" w:type="dxa"/>
            <w:vMerge w:val="restart"/>
            <w:tcBorders>
              <w:top w:val="single" w:sz="12" w:space="0" w:color="000000"/>
              <w:left w:val="single" w:sz="12" w:space="0" w:color="000000"/>
              <w:right w:val="single" w:sz="12" w:space="0" w:color="000000"/>
            </w:tcBorders>
          </w:tcPr>
          <w:p>
            <w:pPr>
              <w:pStyle w:val="TableParagraph"/>
              <w:spacing w:line="240" w:lineRule="auto" w:before="123"/>
              <w:ind w:left="475"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3307"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年度</w:t>
            </w:r>
          </w:p>
        </w:tc>
        <w:tc>
          <w:tcPr>
            <w:tcW w:w="3454"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年度</w:t>
            </w:r>
          </w:p>
        </w:tc>
      </w:tr>
      <w:tr>
        <w:trPr>
          <w:trHeight w:val="334" w:hRule="exact"/>
        </w:trPr>
        <w:tc>
          <w:tcPr>
            <w:tcW w:w="1697" w:type="dxa"/>
            <w:vMerge/>
            <w:tcBorders>
              <w:left w:val="single" w:sz="12" w:space="0" w:color="000000"/>
              <w:bottom w:val="single" w:sz="12" w:space="0" w:color="000000"/>
              <w:right w:val="single" w:sz="12" w:space="0" w:color="000000"/>
            </w:tcBorders>
          </w:tcPr>
          <w:p>
            <w:pPr/>
          </w:p>
        </w:tc>
        <w:tc>
          <w:tcPr>
            <w:tcW w:w="1788"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519"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38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88"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666"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45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43" w:hRule="exact"/>
        </w:trPr>
        <w:tc>
          <w:tcPr>
            <w:tcW w:w="1697" w:type="dxa"/>
            <w:tcBorders>
              <w:top w:val="single" w:sz="12" w:space="0" w:color="000000"/>
              <w:left w:val="single" w:sz="12" w:space="0" w:color="000000"/>
              <w:bottom w:val="single" w:sz="12" w:space="0" w:color="000000"/>
              <w:right w:val="single" w:sz="12" w:space="0" w:color="000000"/>
            </w:tcBorders>
          </w:tcPr>
          <w:p>
            <w:pPr>
              <w:pStyle w:val="TableParagraph"/>
              <w:spacing w:line="210" w:lineRule="exact"/>
              <w:ind w:left="93" w:right="0"/>
              <w:jc w:val="left"/>
              <w:rPr>
                <w:rFonts w:ascii="宋体" w:hAnsi="宋体" w:cs="宋体" w:eastAsia="宋体" w:hint="default"/>
                <w:sz w:val="18"/>
                <w:szCs w:val="18"/>
              </w:rPr>
            </w:pPr>
            <w:r>
              <w:rPr>
                <w:rFonts w:ascii="宋体" w:hAnsi="宋体" w:cs="宋体" w:eastAsia="宋体" w:hint="default"/>
                <w:sz w:val="18"/>
                <w:szCs w:val="18"/>
              </w:rPr>
              <w:t>分散染料</w:t>
            </w:r>
          </w:p>
        </w:tc>
        <w:tc>
          <w:tcPr>
            <w:tcW w:w="1788" w:type="dxa"/>
            <w:tcBorders>
              <w:top w:val="single" w:sz="12" w:space="0" w:color="000000"/>
              <w:left w:val="single" w:sz="12" w:space="0" w:color="000000"/>
              <w:bottom w:val="single" w:sz="12" w:space="0" w:color="000000"/>
              <w:right w:val="single" w:sz="12" w:space="0" w:color="000000"/>
            </w:tcBorders>
          </w:tcPr>
          <w:p>
            <w:pPr>
              <w:pStyle w:val="TableParagraph"/>
              <w:spacing w:line="210" w:lineRule="exact"/>
              <w:ind w:right="1"/>
              <w:jc w:val="center"/>
              <w:rPr>
                <w:rFonts w:ascii="宋体" w:hAnsi="宋体" w:cs="宋体" w:eastAsia="宋体" w:hint="default"/>
                <w:sz w:val="18"/>
                <w:szCs w:val="18"/>
              </w:rPr>
            </w:pPr>
            <w:r>
              <w:rPr>
                <w:rFonts w:ascii="宋体"/>
                <w:sz w:val="18"/>
              </w:rPr>
              <w:t>110,252,883.38</w:t>
            </w:r>
          </w:p>
        </w:tc>
        <w:tc>
          <w:tcPr>
            <w:tcW w:w="15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55" w:right="0"/>
              <w:jc w:val="left"/>
              <w:rPr>
                <w:rFonts w:ascii="宋体" w:hAnsi="宋体" w:cs="宋体" w:eastAsia="宋体" w:hint="default"/>
                <w:sz w:val="18"/>
                <w:szCs w:val="18"/>
              </w:rPr>
            </w:pPr>
            <w:r>
              <w:rPr>
                <w:rFonts w:ascii="宋体"/>
                <w:sz w:val="18"/>
              </w:rPr>
              <w:t>77,194,480.29</w:t>
            </w:r>
          </w:p>
        </w:tc>
        <w:tc>
          <w:tcPr>
            <w:tcW w:w="1788" w:type="dxa"/>
            <w:tcBorders>
              <w:top w:val="single" w:sz="12" w:space="0" w:color="000000"/>
              <w:left w:val="single" w:sz="12" w:space="0" w:color="000000"/>
              <w:bottom w:val="single" w:sz="12" w:space="0" w:color="000000"/>
              <w:right w:val="single" w:sz="12" w:space="0" w:color="000000"/>
            </w:tcBorders>
          </w:tcPr>
          <w:p>
            <w:pPr>
              <w:pStyle w:val="TableParagraph"/>
              <w:spacing w:line="210" w:lineRule="exact"/>
              <w:ind w:right="1"/>
              <w:jc w:val="center"/>
              <w:rPr>
                <w:rFonts w:ascii="宋体" w:hAnsi="宋体" w:cs="宋体" w:eastAsia="宋体" w:hint="default"/>
                <w:sz w:val="18"/>
                <w:szCs w:val="18"/>
              </w:rPr>
            </w:pPr>
            <w:r>
              <w:rPr>
                <w:rFonts w:ascii="宋体"/>
                <w:sz w:val="18"/>
              </w:rPr>
              <w:t>119,291,148.10</w:t>
            </w:r>
          </w:p>
        </w:tc>
        <w:tc>
          <w:tcPr>
            <w:tcW w:w="1666" w:type="dxa"/>
            <w:tcBorders>
              <w:top w:val="single" w:sz="12" w:space="0" w:color="000000"/>
              <w:left w:val="single" w:sz="12" w:space="0" w:color="000000"/>
              <w:bottom w:val="single" w:sz="12" w:space="0" w:color="000000"/>
              <w:right w:val="single" w:sz="12" w:space="0" w:color="000000"/>
            </w:tcBorders>
          </w:tcPr>
          <w:p>
            <w:pPr>
              <w:pStyle w:val="TableParagraph"/>
              <w:spacing w:line="210" w:lineRule="exact"/>
              <w:ind w:right="232"/>
              <w:jc w:val="right"/>
              <w:rPr>
                <w:rFonts w:ascii="宋体" w:hAnsi="宋体" w:cs="宋体" w:eastAsia="宋体" w:hint="default"/>
                <w:sz w:val="18"/>
                <w:szCs w:val="18"/>
              </w:rPr>
            </w:pPr>
            <w:r>
              <w:rPr>
                <w:rFonts w:ascii="宋体"/>
                <w:spacing w:val="-1"/>
                <w:sz w:val="18"/>
              </w:rPr>
              <w:t>79,483,659.58</w:t>
            </w:r>
          </w:p>
        </w:tc>
      </w:tr>
      <w:tr>
        <w:trPr>
          <w:trHeight w:val="341" w:hRule="exact"/>
        </w:trPr>
        <w:tc>
          <w:tcPr>
            <w:tcW w:w="1697" w:type="dxa"/>
            <w:tcBorders>
              <w:top w:val="single" w:sz="12" w:space="0" w:color="000000"/>
              <w:left w:val="single" w:sz="12" w:space="0" w:color="000000"/>
              <w:bottom w:val="single" w:sz="12" w:space="0" w:color="000000"/>
              <w:right w:val="single" w:sz="12" w:space="0" w:color="000000"/>
            </w:tcBorders>
          </w:tcPr>
          <w:p>
            <w:pPr>
              <w:pStyle w:val="TableParagraph"/>
              <w:spacing w:line="210" w:lineRule="exact"/>
              <w:ind w:left="93" w:right="0"/>
              <w:jc w:val="left"/>
              <w:rPr>
                <w:rFonts w:ascii="宋体" w:hAnsi="宋体" w:cs="宋体" w:eastAsia="宋体" w:hint="default"/>
                <w:sz w:val="18"/>
                <w:szCs w:val="18"/>
              </w:rPr>
            </w:pPr>
            <w:r>
              <w:rPr>
                <w:rFonts w:ascii="宋体" w:hAnsi="宋体" w:cs="宋体" w:eastAsia="宋体" w:hint="default"/>
                <w:sz w:val="18"/>
                <w:szCs w:val="18"/>
              </w:rPr>
              <w:t>活性染料</w:t>
            </w:r>
          </w:p>
        </w:tc>
        <w:tc>
          <w:tcPr>
            <w:tcW w:w="1788" w:type="dxa"/>
            <w:tcBorders>
              <w:top w:val="single" w:sz="12" w:space="0" w:color="000000"/>
              <w:left w:val="single" w:sz="12" w:space="0" w:color="000000"/>
              <w:bottom w:val="single" w:sz="12" w:space="0" w:color="000000"/>
              <w:right w:val="single" w:sz="12" w:space="0" w:color="000000"/>
            </w:tcBorders>
          </w:tcPr>
          <w:p>
            <w:pPr>
              <w:pStyle w:val="TableParagraph"/>
              <w:spacing w:line="210" w:lineRule="exact"/>
              <w:ind w:right="1"/>
              <w:jc w:val="center"/>
              <w:rPr>
                <w:rFonts w:ascii="宋体" w:hAnsi="宋体" w:cs="宋体" w:eastAsia="宋体" w:hint="default"/>
                <w:sz w:val="18"/>
                <w:szCs w:val="18"/>
              </w:rPr>
            </w:pPr>
            <w:r>
              <w:rPr>
                <w:rFonts w:ascii="宋体"/>
                <w:sz w:val="18"/>
              </w:rPr>
              <w:t>46,007,472.90</w:t>
            </w:r>
          </w:p>
        </w:tc>
        <w:tc>
          <w:tcPr>
            <w:tcW w:w="15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55" w:right="0"/>
              <w:jc w:val="left"/>
              <w:rPr>
                <w:rFonts w:ascii="宋体" w:hAnsi="宋体" w:cs="宋体" w:eastAsia="宋体" w:hint="default"/>
                <w:sz w:val="18"/>
                <w:szCs w:val="18"/>
              </w:rPr>
            </w:pPr>
            <w:r>
              <w:rPr>
                <w:rFonts w:ascii="宋体"/>
                <w:sz w:val="18"/>
              </w:rPr>
              <w:t>26,315,017.28</w:t>
            </w:r>
          </w:p>
        </w:tc>
        <w:tc>
          <w:tcPr>
            <w:tcW w:w="1788" w:type="dxa"/>
            <w:tcBorders>
              <w:top w:val="single" w:sz="12" w:space="0" w:color="000000"/>
              <w:left w:val="single" w:sz="12" w:space="0" w:color="000000"/>
              <w:bottom w:val="single" w:sz="12" w:space="0" w:color="000000"/>
              <w:right w:val="single" w:sz="12" w:space="0" w:color="000000"/>
            </w:tcBorders>
          </w:tcPr>
          <w:p>
            <w:pPr>
              <w:pStyle w:val="TableParagraph"/>
              <w:spacing w:line="210" w:lineRule="exact"/>
              <w:ind w:right="1"/>
              <w:jc w:val="center"/>
              <w:rPr>
                <w:rFonts w:ascii="宋体" w:hAnsi="宋体" w:cs="宋体" w:eastAsia="宋体" w:hint="default"/>
                <w:sz w:val="18"/>
                <w:szCs w:val="18"/>
              </w:rPr>
            </w:pPr>
            <w:r>
              <w:rPr>
                <w:rFonts w:ascii="宋体"/>
                <w:sz w:val="18"/>
              </w:rPr>
              <w:t>59,319,454.67</w:t>
            </w:r>
          </w:p>
        </w:tc>
        <w:tc>
          <w:tcPr>
            <w:tcW w:w="1666" w:type="dxa"/>
            <w:tcBorders>
              <w:top w:val="single" w:sz="12" w:space="0" w:color="000000"/>
              <w:left w:val="single" w:sz="12" w:space="0" w:color="000000"/>
              <w:bottom w:val="single" w:sz="12" w:space="0" w:color="000000"/>
              <w:right w:val="single" w:sz="12" w:space="0" w:color="000000"/>
            </w:tcBorders>
          </w:tcPr>
          <w:p>
            <w:pPr>
              <w:pStyle w:val="TableParagraph"/>
              <w:spacing w:line="210" w:lineRule="exact"/>
              <w:ind w:right="232"/>
              <w:jc w:val="right"/>
              <w:rPr>
                <w:rFonts w:ascii="宋体" w:hAnsi="宋体" w:cs="宋体" w:eastAsia="宋体" w:hint="default"/>
                <w:sz w:val="18"/>
                <w:szCs w:val="18"/>
              </w:rPr>
            </w:pPr>
            <w:r>
              <w:rPr>
                <w:rFonts w:ascii="宋体"/>
                <w:spacing w:val="-1"/>
                <w:sz w:val="18"/>
              </w:rPr>
              <w:t>31,502,096.52</w:t>
            </w:r>
          </w:p>
        </w:tc>
      </w:tr>
      <w:tr>
        <w:trPr>
          <w:trHeight w:val="343" w:hRule="exact"/>
        </w:trPr>
        <w:tc>
          <w:tcPr>
            <w:tcW w:w="1697" w:type="dxa"/>
            <w:tcBorders>
              <w:top w:val="single" w:sz="12" w:space="0" w:color="000000"/>
              <w:left w:val="single" w:sz="12" w:space="0" w:color="000000"/>
              <w:bottom w:val="single" w:sz="12" w:space="0" w:color="000000"/>
              <w:right w:val="single" w:sz="12" w:space="0" w:color="000000"/>
            </w:tcBorders>
          </w:tcPr>
          <w:p>
            <w:pPr>
              <w:pStyle w:val="TableParagraph"/>
              <w:spacing w:line="210" w:lineRule="exact"/>
              <w:ind w:left="93" w:right="0"/>
              <w:jc w:val="left"/>
              <w:rPr>
                <w:rFonts w:ascii="宋体" w:hAnsi="宋体" w:cs="宋体" w:eastAsia="宋体" w:hint="default"/>
                <w:sz w:val="18"/>
                <w:szCs w:val="18"/>
              </w:rPr>
            </w:pPr>
            <w:r>
              <w:rPr>
                <w:rFonts w:ascii="宋体" w:hAnsi="宋体" w:cs="宋体" w:eastAsia="宋体" w:hint="default"/>
                <w:sz w:val="18"/>
                <w:szCs w:val="18"/>
              </w:rPr>
              <w:t>酸性及其他染料</w:t>
            </w:r>
          </w:p>
        </w:tc>
        <w:tc>
          <w:tcPr>
            <w:tcW w:w="1788" w:type="dxa"/>
            <w:tcBorders>
              <w:top w:val="single" w:sz="12" w:space="0" w:color="000000"/>
              <w:left w:val="single" w:sz="12" w:space="0" w:color="000000"/>
              <w:bottom w:val="single" w:sz="12" w:space="0" w:color="000000"/>
              <w:right w:val="single" w:sz="12" w:space="0" w:color="000000"/>
            </w:tcBorders>
          </w:tcPr>
          <w:p>
            <w:pPr>
              <w:pStyle w:val="TableParagraph"/>
              <w:spacing w:line="210" w:lineRule="exact"/>
              <w:ind w:right="1"/>
              <w:jc w:val="center"/>
              <w:rPr>
                <w:rFonts w:ascii="宋体" w:hAnsi="宋体" w:cs="宋体" w:eastAsia="宋体" w:hint="default"/>
                <w:sz w:val="18"/>
                <w:szCs w:val="18"/>
              </w:rPr>
            </w:pPr>
            <w:r>
              <w:rPr>
                <w:rFonts w:ascii="宋体"/>
                <w:sz w:val="18"/>
              </w:rPr>
              <w:t>18,397,975.19</w:t>
            </w:r>
          </w:p>
        </w:tc>
        <w:tc>
          <w:tcPr>
            <w:tcW w:w="15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56" w:right="0"/>
              <w:jc w:val="left"/>
              <w:rPr>
                <w:rFonts w:ascii="宋体" w:hAnsi="宋体" w:cs="宋体" w:eastAsia="宋体" w:hint="default"/>
                <w:sz w:val="18"/>
                <w:szCs w:val="18"/>
              </w:rPr>
            </w:pPr>
            <w:r>
              <w:rPr>
                <w:rFonts w:ascii="宋体"/>
                <w:sz w:val="18"/>
              </w:rPr>
              <w:t>10,180,222.19</w:t>
            </w:r>
          </w:p>
        </w:tc>
        <w:tc>
          <w:tcPr>
            <w:tcW w:w="1788" w:type="dxa"/>
            <w:tcBorders>
              <w:top w:val="single" w:sz="12" w:space="0" w:color="000000"/>
              <w:left w:val="single" w:sz="12" w:space="0" w:color="000000"/>
              <w:bottom w:val="single" w:sz="12" w:space="0" w:color="000000"/>
              <w:right w:val="single" w:sz="12" w:space="0" w:color="000000"/>
            </w:tcBorders>
          </w:tcPr>
          <w:p>
            <w:pPr>
              <w:pStyle w:val="TableParagraph"/>
              <w:spacing w:line="210" w:lineRule="exact"/>
              <w:ind w:right="1"/>
              <w:jc w:val="center"/>
              <w:rPr>
                <w:rFonts w:ascii="宋体" w:hAnsi="宋体" w:cs="宋体" w:eastAsia="宋体" w:hint="default"/>
                <w:sz w:val="18"/>
                <w:szCs w:val="18"/>
              </w:rPr>
            </w:pPr>
            <w:r>
              <w:rPr>
                <w:rFonts w:ascii="宋体"/>
                <w:sz w:val="18"/>
              </w:rPr>
              <w:t>14,201,945.44</w:t>
            </w:r>
          </w:p>
        </w:tc>
        <w:tc>
          <w:tcPr>
            <w:tcW w:w="1666" w:type="dxa"/>
            <w:tcBorders>
              <w:top w:val="single" w:sz="12" w:space="0" w:color="000000"/>
              <w:left w:val="single" w:sz="12" w:space="0" w:color="000000"/>
              <w:bottom w:val="single" w:sz="12" w:space="0" w:color="000000"/>
              <w:right w:val="single" w:sz="12" w:space="0" w:color="000000"/>
            </w:tcBorders>
          </w:tcPr>
          <w:p>
            <w:pPr>
              <w:pStyle w:val="TableParagraph"/>
              <w:spacing w:line="210" w:lineRule="exact"/>
              <w:ind w:right="277"/>
              <w:jc w:val="right"/>
              <w:rPr>
                <w:rFonts w:ascii="宋体" w:hAnsi="宋体" w:cs="宋体" w:eastAsia="宋体" w:hint="default"/>
                <w:sz w:val="18"/>
                <w:szCs w:val="18"/>
              </w:rPr>
            </w:pPr>
            <w:r>
              <w:rPr>
                <w:rFonts w:ascii="宋体"/>
                <w:spacing w:val="-1"/>
                <w:sz w:val="18"/>
              </w:rPr>
              <w:t>7,115,514.14</w:t>
            </w:r>
          </w:p>
        </w:tc>
      </w:tr>
      <w:tr>
        <w:trPr>
          <w:trHeight w:val="331" w:hRule="exact"/>
        </w:trPr>
        <w:tc>
          <w:tcPr>
            <w:tcW w:w="1697"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88"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174,658,331.47</w:t>
            </w:r>
          </w:p>
        </w:tc>
        <w:tc>
          <w:tcPr>
            <w:tcW w:w="1519"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112" w:right="0"/>
              <w:jc w:val="left"/>
              <w:rPr>
                <w:rFonts w:ascii="宋体" w:hAnsi="宋体" w:cs="宋体" w:eastAsia="宋体" w:hint="default"/>
                <w:sz w:val="18"/>
                <w:szCs w:val="18"/>
              </w:rPr>
            </w:pPr>
            <w:r>
              <w:rPr>
                <w:rFonts w:ascii="宋体"/>
                <w:sz w:val="18"/>
              </w:rPr>
              <w:t>113,689,719.76</w:t>
            </w:r>
          </w:p>
        </w:tc>
        <w:tc>
          <w:tcPr>
            <w:tcW w:w="1788"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192,812,548.21</w:t>
            </w:r>
          </w:p>
        </w:tc>
        <w:tc>
          <w:tcPr>
            <w:tcW w:w="1666"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right="186"/>
              <w:jc w:val="right"/>
              <w:rPr>
                <w:rFonts w:ascii="宋体" w:hAnsi="宋体" w:cs="宋体" w:eastAsia="宋体" w:hint="default"/>
                <w:sz w:val="18"/>
                <w:szCs w:val="18"/>
              </w:rPr>
            </w:pPr>
            <w:r>
              <w:rPr>
                <w:rFonts w:ascii="宋体"/>
                <w:spacing w:val="-1"/>
                <w:sz w:val="18"/>
              </w:rPr>
              <w:t>118,101,270.24</w:t>
            </w:r>
          </w:p>
        </w:tc>
      </w:tr>
    </w:tbl>
    <w:p>
      <w:pPr>
        <w:spacing w:line="240" w:lineRule="auto" w:before="12"/>
        <w:rPr>
          <w:rFonts w:ascii="宋体" w:hAnsi="宋体" w:cs="宋体" w:eastAsia="宋体" w:hint="default"/>
          <w:sz w:val="23"/>
          <w:szCs w:val="23"/>
        </w:rPr>
      </w:pPr>
    </w:p>
    <w:p>
      <w:pPr>
        <w:pStyle w:val="BodyText"/>
        <w:spacing w:line="240" w:lineRule="auto"/>
        <w:ind w:left="157" w:right="0"/>
        <w:jc w:val="left"/>
      </w:pPr>
      <w:r>
        <w:rPr>
          <w:rFonts w:ascii="Arial" w:hAnsi="Arial" w:cs="Arial" w:eastAsia="Arial" w:hint="default"/>
        </w:rPr>
        <w:t>12.4.4</w:t>
      </w:r>
      <w:r>
        <w:rPr>
          <w:rFonts w:ascii="Arial" w:hAnsi="Arial" w:cs="Arial" w:eastAsia="Arial" w:hint="default"/>
          <w:spacing w:val="43"/>
        </w:rPr>
        <w:t> </w:t>
      </w:r>
      <w:r>
        <w:rPr/>
        <w:t>主营业务（分地区）</w:t>
      </w:r>
    </w:p>
    <w:p>
      <w:pPr>
        <w:spacing w:line="240" w:lineRule="auto" w:before="5"/>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1687"/>
        <w:gridCol w:w="1930"/>
        <w:gridCol w:w="1654"/>
        <w:gridCol w:w="1898"/>
        <w:gridCol w:w="1543"/>
      </w:tblGrid>
      <w:tr>
        <w:trPr>
          <w:trHeight w:val="482" w:hRule="exact"/>
        </w:trPr>
        <w:tc>
          <w:tcPr>
            <w:tcW w:w="1687" w:type="dxa"/>
            <w:vMerge w:val="restart"/>
            <w:tcBorders>
              <w:top w:val="single" w:sz="12" w:space="0" w:color="000000"/>
              <w:left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3583"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年度</w:t>
            </w:r>
          </w:p>
        </w:tc>
        <w:tc>
          <w:tcPr>
            <w:tcW w:w="3442"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年度</w:t>
            </w:r>
          </w:p>
        </w:tc>
      </w:tr>
      <w:tr>
        <w:trPr>
          <w:trHeight w:val="485" w:hRule="exact"/>
        </w:trPr>
        <w:tc>
          <w:tcPr>
            <w:tcW w:w="1687" w:type="dxa"/>
            <w:vMerge/>
            <w:tcBorders>
              <w:left w:val="single" w:sz="12" w:space="0" w:color="000000"/>
              <w:bottom w:val="single" w:sz="12" w:space="0" w:color="000000"/>
              <w:right w:val="single" w:sz="12" w:space="0" w:color="000000"/>
            </w:tcBorders>
          </w:tcPr>
          <w:p>
            <w:pPr/>
          </w:p>
        </w:tc>
        <w:tc>
          <w:tcPr>
            <w:tcW w:w="19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6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8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5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395"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85" w:hRule="exact"/>
        </w:trPr>
        <w:tc>
          <w:tcPr>
            <w:tcW w:w="16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浙江区</w:t>
            </w:r>
          </w:p>
        </w:tc>
        <w:tc>
          <w:tcPr>
            <w:tcW w:w="19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77,374,866.53</w:t>
            </w:r>
          </w:p>
        </w:tc>
        <w:tc>
          <w:tcPr>
            <w:tcW w:w="16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54,543,874.65</w:t>
            </w:r>
          </w:p>
        </w:tc>
        <w:tc>
          <w:tcPr>
            <w:tcW w:w="18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78,449,568.64</w:t>
            </w:r>
          </w:p>
        </w:tc>
        <w:tc>
          <w:tcPr>
            <w:tcW w:w="15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169"/>
              <w:jc w:val="right"/>
              <w:rPr>
                <w:rFonts w:ascii="宋体" w:hAnsi="宋体" w:cs="宋体" w:eastAsia="宋体" w:hint="default"/>
                <w:sz w:val="18"/>
                <w:szCs w:val="18"/>
              </w:rPr>
            </w:pPr>
            <w:r>
              <w:rPr>
                <w:rFonts w:ascii="宋体"/>
                <w:spacing w:val="-1"/>
                <w:sz w:val="18"/>
              </w:rPr>
              <w:t>52,696,736.04</w:t>
            </w:r>
          </w:p>
        </w:tc>
      </w:tr>
      <w:tr>
        <w:trPr>
          <w:trHeight w:val="482" w:hRule="exact"/>
        </w:trPr>
        <w:tc>
          <w:tcPr>
            <w:tcW w:w="16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江苏区</w:t>
            </w:r>
          </w:p>
        </w:tc>
        <w:tc>
          <w:tcPr>
            <w:tcW w:w="19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43,131,702.26</w:t>
            </w:r>
          </w:p>
        </w:tc>
        <w:tc>
          <w:tcPr>
            <w:tcW w:w="16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27,799,834.77</w:t>
            </w:r>
          </w:p>
        </w:tc>
        <w:tc>
          <w:tcPr>
            <w:tcW w:w="18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57,791,268.82</w:t>
            </w:r>
          </w:p>
        </w:tc>
        <w:tc>
          <w:tcPr>
            <w:tcW w:w="15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169"/>
              <w:jc w:val="right"/>
              <w:rPr>
                <w:rFonts w:ascii="宋体" w:hAnsi="宋体" w:cs="宋体" w:eastAsia="宋体" w:hint="default"/>
                <w:sz w:val="18"/>
                <w:szCs w:val="18"/>
              </w:rPr>
            </w:pPr>
            <w:r>
              <w:rPr>
                <w:rFonts w:ascii="宋体"/>
                <w:spacing w:val="-1"/>
                <w:sz w:val="18"/>
              </w:rPr>
              <w:t>33,959,609.08</w:t>
            </w:r>
          </w:p>
        </w:tc>
      </w:tr>
      <w:tr>
        <w:trPr>
          <w:trHeight w:val="485" w:hRule="exact"/>
        </w:trPr>
        <w:tc>
          <w:tcPr>
            <w:tcW w:w="16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华南区</w:t>
            </w:r>
          </w:p>
        </w:tc>
        <w:tc>
          <w:tcPr>
            <w:tcW w:w="19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24,042,688.16</w:t>
            </w:r>
          </w:p>
        </w:tc>
        <w:tc>
          <w:tcPr>
            <w:tcW w:w="16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15,444,584.65</w:t>
            </w:r>
          </w:p>
        </w:tc>
        <w:tc>
          <w:tcPr>
            <w:tcW w:w="18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27,124,569.91</w:t>
            </w:r>
          </w:p>
        </w:tc>
        <w:tc>
          <w:tcPr>
            <w:tcW w:w="15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169"/>
              <w:jc w:val="right"/>
              <w:rPr>
                <w:rFonts w:ascii="宋体" w:hAnsi="宋体" w:cs="宋体" w:eastAsia="宋体" w:hint="default"/>
                <w:sz w:val="18"/>
                <w:szCs w:val="18"/>
              </w:rPr>
            </w:pPr>
            <w:r>
              <w:rPr>
                <w:rFonts w:ascii="宋体"/>
                <w:spacing w:val="-1"/>
                <w:sz w:val="18"/>
              </w:rPr>
              <w:t>16,724,455.21</w:t>
            </w:r>
          </w:p>
        </w:tc>
      </w:tr>
      <w:tr>
        <w:trPr>
          <w:trHeight w:val="485" w:hRule="exact"/>
        </w:trPr>
        <w:tc>
          <w:tcPr>
            <w:tcW w:w="16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北方区</w:t>
            </w:r>
          </w:p>
        </w:tc>
        <w:tc>
          <w:tcPr>
            <w:tcW w:w="19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13,212,883.92</w:t>
            </w:r>
          </w:p>
        </w:tc>
        <w:tc>
          <w:tcPr>
            <w:tcW w:w="16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6,040,494.13</w:t>
            </w:r>
          </w:p>
        </w:tc>
        <w:tc>
          <w:tcPr>
            <w:tcW w:w="18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13,477,186.82</w:t>
            </w:r>
          </w:p>
        </w:tc>
        <w:tc>
          <w:tcPr>
            <w:tcW w:w="15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215"/>
              <w:jc w:val="right"/>
              <w:rPr>
                <w:rFonts w:ascii="宋体" w:hAnsi="宋体" w:cs="宋体" w:eastAsia="宋体" w:hint="default"/>
                <w:sz w:val="18"/>
                <w:szCs w:val="18"/>
              </w:rPr>
            </w:pPr>
            <w:r>
              <w:rPr>
                <w:rFonts w:ascii="宋体"/>
                <w:spacing w:val="-1"/>
                <w:sz w:val="18"/>
              </w:rPr>
              <w:t>6,095,480.02</w:t>
            </w:r>
          </w:p>
        </w:tc>
      </w:tr>
      <w:tr>
        <w:trPr>
          <w:trHeight w:val="482" w:hRule="exact"/>
        </w:trPr>
        <w:tc>
          <w:tcPr>
            <w:tcW w:w="16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9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16,896,190.60</w:t>
            </w:r>
          </w:p>
        </w:tc>
        <w:tc>
          <w:tcPr>
            <w:tcW w:w="16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9,860,931.56</w:t>
            </w:r>
          </w:p>
        </w:tc>
        <w:tc>
          <w:tcPr>
            <w:tcW w:w="18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15,969,954.02</w:t>
            </w:r>
          </w:p>
        </w:tc>
        <w:tc>
          <w:tcPr>
            <w:tcW w:w="15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215"/>
              <w:jc w:val="right"/>
              <w:rPr>
                <w:rFonts w:ascii="宋体" w:hAnsi="宋体" w:cs="宋体" w:eastAsia="宋体" w:hint="default"/>
                <w:sz w:val="18"/>
                <w:szCs w:val="18"/>
              </w:rPr>
            </w:pPr>
            <w:r>
              <w:rPr>
                <w:rFonts w:ascii="宋体"/>
                <w:spacing w:val="-1"/>
                <w:sz w:val="18"/>
              </w:rPr>
              <w:t>8,624,989.89</w:t>
            </w:r>
          </w:p>
        </w:tc>
      </w:tr>
    </w:tbl>
    <w:p>
      <w:pPr>
        <w:spacing w:after="0" w:line="240" w:lineRule="auto"/>
        <w:jc w:val="right"/>
        <w:rPr>
          <w:rFonts w:ascii="宋体" w:hAnsi="宋体" w:cs="宋体" w:eastAsia="宋体" w:hint="default"/>
          <w:sz w:val="18"/>
          <w:szCs w:val="18"/>
        </w:rPr>
        <w:sectPr>
          <w:footerReference w:type="default" r:id="rId74"/>
          <w:pgSz w:w="11900" w:h="16840"/>
          <w:pgMar w:footer="983" w:header="0" w:top="1100" w:bottom="1180" w:left="1640" w:right="1280"/>
          <w:pgNumType w:start="132"/>
        </w:sectPr>
      </w:pPr>
    </w:p>
    <w:p>
      <w:pPr>
        <w:spacing w:line="240" w:lineRule="auto" w:before="8"/>
        <w:rPr>
          <w:rFonts w:ascii="宋体" w:hAnsi="宋体" w:cs="宋体" w:eastAsia="宋体"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1687"/>
        <w:gridCol w:w="1930"/>
        <w:gridCol w:w="1654"/>
        <w:gridCol w:w="1898"/>
        <w:gridCol w:w="1543"/>
      </w:tblGrid>
      <w:tr>
        <w:trPr>
          <w:trHeight w:val="482" w:hRule="exact"/>
        </w:trPr>
        <w:tc>
          <w:tcPr>
            <w:tcW w:w="16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319" w:right="0"/>
              <w:jc w:val="left"/>
              <w:rPr>
                <w:rFonts w:ascii="宋体" w:hAnsi="宋体" w:cs="宋体" w:eastAsia="宋体" w:hint="default"/>
                <w:sz w:val="18"/>
                <w:szCs w:val="18"/>
              </w:rPr>
            </w:pPr>
            <w:r>
              <w:rPr>
                <w:rFonts w:ascii="宋体"/>
                <w:sz w:val="18"/>
              </w:rPr>
              <w:t>174,658,331.47</w:t>
            </w:r>
          </w:p>
        </w:tc>
        <w:tc>
          <w:tcPr>
            <w:tcW w:w="16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5"/>
              <w:ind w:left="179" w:right="0"/>
              <w:jc w:val="left"/>
              <w:rPr>
                <w:rFonts w:ascii="宋体" w:hAnsi="宋体" w:cs="宋体" w:eastAsia="宋体" w:hint="default"/>
                <w:sz w:val="18"/>
                <w:szCs w:val="18"/>
              </w:rPr>
            </w:pPr>
            <w:r>
              <w:rPr>
                <w:rFonts w:ascii="宋体"/>
                <w:sz w:val="18"/>
              </w:rPr>
              <w:t>113,689,719.76</w:t>
            </w:r>
          </w:p>
        </w:tc>
        <w:tc>
          <w:tcPr>
            <w:tcW w:w="18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302" w:right="0"/>
              <w:jc w:val="left"/>
              <w:rPr>
                <w:rFonts w:ascii="宋体" w:hAnsi="宋体" w:cs="宋体" w:eastAsia="宋体" w:hint="default"/>
                <w:sz w:val="18"/>
                <w:szCs w:val="18"/>
              </w:rPr>
            </w:pPr>
            <w:r>
              <w:rPr>
                <w:rFonts w:ascii="宋体"/>
                <w:sz w:val="18"/>
              </w:rPr>
              <w:t>192,812,548.21</w:t>
            </w:r>
          </w:p>
        </w:tc>
        <w:tc>
          <w:tcPr>
            <w:tcW w:w="15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124" w:right="0"/>
              <w:jc w:val="left"/>
              <w:rPr>
                <w:rFonts w:ascii="宋体" w:hAnsi="宋体" w:cs="宋体" w:eastAsia="宋体" w:hint="default"/>
                <w:sz w:val="18"/>
                <w:szCs w:val="18"/>
              </w:rPr>
            </w:pPr>
            <w:r>
              <w:rPr>
                <w:rFonts w:ascii="宋体"/>
                <w:sz w:val="18"/>
              </w:rPr>
              <w:t>118,101,270.24</w:t>
            </w:r>
          </w:p>
        </w:tc>
      </w:tr>
    </w:tbl>
    <w:p>
      <w:pPr>
        <w:spacing w:line="240" w:lineRule="auto" w:before="12"/>
        <w:rPr>
          <w:rFonts w:ascii="宋体" w:hAnsi="宋体" w:cs="宋体" w:eastAsia="宋体" w:hint="default"/>
          <w:sz w:val="23"/>
          <w:szCs w:val="23"/>
        </w:rPr>
      </w:pPr>
    </w:p>
    <w:p>
      <w:pPr>
        <w:pStyle w:val="BodyText"/>
        <w:spacing w:line="240" w:lineRule="auto"/>
        <w:ind w:left="157" w:right="0"/>
        <w:jc w:val="left"/>
      </w:pPr>
      <w:r>
        <w:rPr>
          <w:rFonts w:ascii="Arial" w:hAnsi="Arial" w:cs="Arial" w:eastAsia="Arial" w:hint="default"/>
        </w:rPr>
        <w:t>12.4.5</w:t>
      </w:r>
      <w:r>
        <w:rPr>
          <w:rFonts w:ascii="Arial" w:hAnsi="Arial" w:cs="Arial" w:eastAsia="Arial" w:hint="default"/>
          <w:spacing w:val="44"/>
        </w:rPr>
        <w:t> </w:t>
      </w:r>
      <w:r>
        <w:rPr/>
        <w:t>公司前五名客户的营业收入情况</w:t>
      </w:r>
    </w:p>
    <w:p>
      <w:pPr>
        <w:spacing w:line="240" w:lineRule="auto" w:before="5"/>
        <w:rPr>
          <w:rFonts w:ascii="宋体" w:hAnsi="宋体" w:cs="宋体" w:eastAsia="宋体" w:hint="default"/>
          <w:sz w:val="12"/>
          <w:szCs w:val="12"/>
        </w:rPr>
      </w:pPr>
    </w:p>
    <w:tbl>
      <w:tblPr>
        <w:tblW w:w="0" w:type="auto"/>
        <w:jc w:val="left"/>
        <w:tblInd w:w="203" w:type="dxa"/>
        <w:tblLayout w:type="fixed"/>
        <w:tblCellMar>
          <w:top w:w="0" w:type="dxa"/>
          <w:left w:w="0" w:type="dxa"/>
          <w:bottom w:w="0" w:type="dxa"/>
          <w:right w:w="0" w:type="dxa"/>
        </w:tblCellMar>
        <w:tblLook w:val="01E0"/>
      </w:tblPr>
      <w:tblGrid>
        <w:gridCol w:w="3151"/>
        <w:gridCol w:w="2316"/>
        <w:gridCol w:w="3053"/>
      </w:tblGrid>
      <w:tr>
        <w:trPr>
          <w:trHeight w:val="482" w:hRule="exact"/>
        </w:trPr>
        <w:tc>
          <w:tcPr>
            <w:tcW w:w="31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602"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305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36"/>
              <w:jc w:val="center"/>
              <w:rPr>
                <w:rFonts w:ascii="宋体" w:hAnsi="宋体" w:cs="宋体" w:eastAsia="宋体" w:hint="default"/>
                <w:sz w:val="18"/>
                <w:szCs w:val="18"/>
              </w:rPr>
            </w:pPr>
            <w:r>
              <w:rPr>
                <w:rFonts w:ascii="宋体" w:hAnsi="宋体" w:cs="宋体" w:eastAsia="宋体" w:hint="default"/>
                <w:sz w:val="18"/>
                <w:szCs w:val="18"/>
              </w:rPr>
              <w:t>占公司全部营业收入的比例</w:t>
            </w:r>
          </w:p>
        </w:tc>
      </w:tr>
      <w:tr>
        <w:trPr>
          <w:trHeight w:val="485" w:hRule="exact"/>
        </w:trPr>
        <w:tc>
          <w:tcPr>
            <w:tcW w:w="31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鲁泰纺织股份有限公司</w:t>
            </w:r>
          </w:p>
        </w:tc>
        <w:tc>
          <w:tcPr>
            <w:tcW w:w="23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left="249" w:right="0"/>
              <w:jc w:val="left"/>
              <w:rPr>
                <w:rFonts w:ascii="Arial" w:hAnsi="Arial" w:cs="Arial" w:eastAsia="Arial" w:hint="default"/>
                <w:sz w:val="18"/>
                <w:szCs w:val="18"/>
              </w:rPr>
            </w:pPr>
            <w:r>
              <w:rPr>
                <w:rFonts w:ascii="Arial"/>
                <w:sz w:val="18"/>
              </w:rPr>
              <w:t>7,525,726.47</w:t>
            </w:r>
          </w:p>
        </w:tc>
        <w:tc>
          <w:tcPr>
            <w:tcW w:w="305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4"/>
              <w:ind w:right="0"/>
              <w:jc w:val="center"/>
              <w:rPr>
                <w:rFonts w:ascii="Arial" w:hAnsi="Arial" w:cs="Arial" w:eastAsia="Arial" w:hint="default"/>
                <w:sz w:val="18"/>
                <w:szCs w:val="18"/>
              </w:rPr>
            </w:pPr>
            <w:r>
              <w:rPr>
                <w:rFonts w:ascii="Arial"/>
                <w:sz w:val="18"/>
              </w:rPr>
              <w:t>4.31%</w:t>
            </w:r>
          </w:p>
        </w:tc>
      </w:tr>
      <w:tr>
        <w:trPr>
          <w:trHeight w:val="485" w:hRule="exact"/>
        </w:trPr>
        <w:tc>
          <w:tcPr>
            <w:tcW w:w="31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汕头市龙凤印染有限公司</w:t>
            </w:r>
          </w:p>
        </w:tc>
        <w:tc>
          <w:tcPr>
            <w:tcW w:w="23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left="249" w:right="0"/>
              <w:jc w:val="left"/>
              <w:rPr>
                <w:rFonts w:ascii="Arial" w:hAnsi="Arial" w:cs="Arial" w:eastAsia="Arial" w:hint="default"/>
                <w:sz w:val="18"/>
                <w:szCs w:val="18"/>
              </w:rPr>
            </w:pPr>
            <w:r>
              <w:rPr>
                <w:rFonts w:ascii="Arial"/>
                <w:sz w:val="18"/>
              </w:rPr>
              <w:t>7,029,679.52</w:t>
            </w:r>
          </w:p>
        </w:tc>
        <w:tc>
          <w:tcPr>
            <w:tcW w:w="305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4"/>
              <w:ind w:right="0"/>
              <w:jc w:val="center"/>
              <w:rPr>
                <w:rFonts w:ascii="Arial" w:hAnsi="Arial" w:cs="Arial" w:eastAsia="Arial" w:hint="default"/>
                <w:sz w:val="18"/>
                <w:szCs w:val="18"/>
              </w:rPr>
            </w:pPr>
            <w:r>
              <w:rPr>
                <w:rFonts w:ascii="Arial"/>
                <w:sz w:val="18"/>
              </w:rPr>
              <w:t>4.02%</w:t>
            </w:r>
          </w:p>
        </w:tc>
      </w:tr>
      <w:tr>
        <w:trPr>
          <w:trHeight w:val="482" w:hRule="exact"/>
        </w:trPr>
        <w:tc>
          <w:tcPr>
            <w:tcW w:w="31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绍兴县建利印染有限公司</w:t>
            </w:r>
          </w:p>
        </w:tc>
        <w:tc>
          <w:tcPr>
            <w:tcW w:w="23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left="249" w:right="0"/>
              <w:jc w:val="left"/>
              <w:rPr>
                <w:rFonts w:ascii="Arial" w:hAnsi="Arial" w:cs="Arial" w:eastAsia="Arial" w:hint="default"/>
                <w:sz w:val="18"/>
                <w:szCs w:val="18"/>
              </w:rPr>
            </w:pPr>
            <w:r>
              <w:rPr>
                <w:rFonts w:ascii="Arial"/>
                <w:sz w:val="18"/>
              </w:rPr>
              <w:t>5,137,243.59</w:t>
            </w:r>
          </w:p>
        </w:tc>
        <w:tc>
          <w:tcPr>
            <w:tcW w:w="305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4"/>
              <w:ind w:right="0"/>
              <w:jc w:val="center"/>
              <w:rPr>
                <w:rFonts w:ascii="Arial" w:hAnsi="Arial" w:cs="Arial" w:eastAsia="Arial" w:hint="default"/>
                <w:sz w:val="18"/>
                <w:szCs w:val="18"/>
              </w:rPr>
            </w:pPr>
            <w:r>
              <w:rPr>
                <w:rFonts w:ascii="Arial"/>
                <w:sz w:val="18"/>
              </w:rPr>
              <w:t>2.94%</w:t>
            </w:r>
          </w:p>
        </w:tc>
      </w:tr>
      <w:tr>
        <w:trPr>
          <w:trHeight w:val="485" w:hRule="exact"/>
        </w:trPr>
        <w:tc>
          <w:tcPr>
            <w:tcW w:w="31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嘉兴富胜达染整有限公司</w:t>
            </w:r>
          </w:p>
        </w:tc>
        <w:tc>
          <w:tcPr>
            <w:tcW w:w="23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left="249" w:right="0"/>
              <w:jc w:val="left"/>
              <w:rPr>
                <w:rFonts w:ascii="Arial" w:hAnsi="Arial" w:cs="Arial" w:eastAsia="Arial" w:hint="default"/>
                <w:sz w:val="18"/>
                <w:szCs w:val="18"/>
              </w:rPr>
            </w:pPr>
            <w:r>
              <w:rPr>
                <w:rFonts w:ascii="Arial"/>
                <w:sz w:val="18"/>
              </w:rPr>
              <w:t>4,862,870.49</w:t>
            </w:r>
          </w:p>
        </w:tc>
        <w:tc>
          <w:tcPr>
            <w:tcW w:w="305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4"/>
              <w:ind w:right="0"/>
              <w:jc w:val="center"/>
              <w:rPr>
                <w:rFonts w:ascii="Arial" w:hAnsi="Arial" w:cs="Arial" w:eastAsia="Arial" w:hint="default"/>
                <w:sz w:val="18"/>
                <w:szCs w:val="18"/>
              </w:rPr>
            </w:pPr>
            <w:r>
              <w:rPr>
                <w:rFonts w:ascii="Arial"/>
                <w:sz w:val="18"/>
              </w:rPr>
              <w:t>2.78%</w:t>
            </w:r>
          </w:p>
        </w:tc>
      </w:tr>
      <w:tr>
        <w:trPr>
          <w:trHeight w:val="485" w:hRule="exact"/>
        </w:trPr>
        <w:tc>
          <w:tcPr>
            <w:tcW w:w="31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桐乡市亚太印染有限责任公司</w:t>
            </w:r>
          </w:p>
        </w:tc>
        <w:tc>
          <w:tcPr>
            <w:tcW w:w="23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left="249" w:right="0"/>
              <w:jc w:val="left"/>
              <w:rPr>
                <w:rFonts w:ascii="Arial" w:hAnsi="Arial" w:cs="Arial" w:eastAsia="Arial" w:hint="default"/>
                <w:sz w:val="18"/>
                <w:szCs w:val="18"/>
              </w:rPr>
            </w:pPr>
            <w:r>
              <w:rPr>
                <w:rFonts w:ascii="Arial"/>
                <w:sz w:val="18"/>
              </w:rPr>
              <w:t>4,810,769.10</w:t>
            </w:r>
          </w:p>
        </w:tc>
        <w:tc>
          <w:tcPr>
            <w:tcW w:w="305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4"/>
              <w:ind w:right="0"/>
              <w:jc w:val="center"/>
              <w:rPr>
                <w:rFonts w:ascii="Arial" w:hAnsi="Arial" w:cs="Arial" w:eastAsia="Arial" w:hint="default"/>
                <w:sz w:val="18"/>
                <w:szCs w:val="18"/>
              </w:rPr>
            </w:pPr>
            <w:r>
              <w:rPr>
                <w:rFonts w:ascii="Arial"/>
                <w:sz w:val="18"/>
              </w:rPr>
              <w:t>2.75%</w:t>
            </w:r>
          </w:p>
        </w:tc>
      </w:tr>
      <w:tr>
        <w:trPr>
          <w:trHeight w:val="482" w:hRule="exact"/>
        </w:trPr>
        <w:tc>
          <w:tcPr>
            <w:tcW w:w="31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left="199" w:right="0"/>
              <w:jc w:val="left"/>
              <w:rPr>
                <w:rFonts w:ascii="Arial" w:hAnsi="Arial" w:cs="Arial" w:eastAsia="Arial" w:hint="default"/>
                <w:sz w:val="18"/>
                <w:szCs w:val="18"/>
              </w:rPr>
            </w:pPr>
            <w:r>
              <w:rPr>
                <w:rFonts w:ascii="Arial"/>
                <w:sz w:val="18"/>
              </w:rPr>
              <w:t>29,366,289.17</w:t>
            </w:r>
          </w:p>
        </w:tc>
        <w:tc>
          <w:tcPr>
            <w:tcW w:w="305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4"/>
              <w:ind w:right="1"/>
              <w:jc w:val="center"/>
              <w:rPr>
                <w:rFonts w:ascii="Arial" w:hAnsi="Arial" w:cs="Arial" w:eastAsia="Arial" w:hint="default"/>
                <w:sz w:val="18"/>
                <w:szCs w:val="18"/>
              </w:rPr>
            </w:pPr>
            <w:r>
              <w:rPr>
                <w:rFonts w:ascii="Arial"/>
                <w:sz w:val="18"/>
              </w:rPr>
              <w:t>16.80%</w:t>
            </w:r>
          </w:p>
        </w:tc>
      </w:tr>
    </w:tbl>
    <w:p>
      <w:pPr>
        <w:spacing w:line="240" w:lineRule="auto" w:before="12"/>
        <w:rPr>
          <w:rFonts w:ascii="宋体" w:hAnsi="宋体" w:cs="宋体" w:eastAsia="宋体" w:hint="default"/>
          <w:sz w:val="23"/>
          <w:szCs w:val="23"/>
        </w:rPr>
      </w:pPr>
    </w:p>
    <w:p>
      <w:pPr>
        <w:pStyle w:val="BodyText"/>
        <w:spacing w:line="240" w:lineRule="auto"/>
        <w:ind w:left="157" w:right="0"/>
        <w:jc w:val="left"/>
      </w:pPr>
      <w:r>
        <w:rPr>
          <w:rFonts w:ascii="Arial" w:hAnsi="Arial" w:cs="Arial" w:eastAsia="Arial" w:hint="default"/>
        </w:rPr>
        <w:t>12.5</w:t>
      </w:r>
      <w:r>
        <w:rPr>
          <w:rFonts w:ascii="Arial" w:hAnsi="Arial" w:cs="Arial" w:eastAsia="Arial" w:hint="default"/>
          <w:spacing w:val="-10"/>
        </w:rPr>
        <w:t> </w:t>
      </w:r>
      <w:r>
        <w:rPr/>
        <w:t>现金流量表补充资料</w:t>
      </w:r>
    </w:p>
    <w:p>
      <w:pPr>
        <w:pStyle w:val="BodyText"/>
        <w:spacing w:line="240" w:lineRule="auto" w:before="123"/>
        <w:ind w:left="157" w:right="0"/>
        <w:jc w:val="left"/>
      </w:pPr>
      <w:r>
        <w:rPr>
          <w:rFonts w:ascii="Arial" w:hAnsi="Arial" w:cs="Arial" w:eastAsia="Arial" w:hint="default"/>
        </w:rPr>
        <w:t>12.5.1</w:t>
      </w:r>
      <w:r>
        <w:rPr>
          <w:rFonts w:ascii="Arial" w:hAnsi="Arial" w:cs="Arial" w:eastAsia="Arial" w:hint="default"/>
          <w:spacing w:val="45"/>
        </w:rPr>
        <w:t> </w:t>
      </w:r>
      <w:r>
        <w:rPr/>
        <w:t>现金流量表情况</w:t>
      </w:r>
    </w:p>
    <w:p>
      <w:pPr>
        <w:spacing w:line="240" w:lineRule="auto" w:before="5"/>
        <w:rPr>
          <w:rFonts w:ascii="宋体" w:hAnsi="宋体" w:cs="宋体" w:eastAsia="宋体" w:hint="default"/>
          <w:sz w:val="12"/>
          <w:szCs w:val="12"/>
        </w:rPr>
      </w:pPr>
    </w:p>
    <w:tbl>
      <w:tblPr>
        <w:tblW w:w="0" w:type="auto"/>
        <w:jc w:val="left"/>
        <w:tblInd w:w="315" w:type="dxa"/>
        <w:tblLayout w:type="fixed"/>
        <w:tblCellMar>
          <w:top w:w="0" w:type="dxa"/>
          <w:left w:w="0" w:type="dxa"/>
          <w:bottom w:w="0" w:type="dxa"/>
          <w:right w:w="0" w:type="dxa"/>
        </w:tblCellMar>
        <w:tblLook w:val="01E0"/>
      </w:tblPr>
      <w:tblGrid>
        <w:gridCol w:w="4685"/>
        <w:gridCol w:w="1690"/>
        <w:gridCol w:w="1920"/>
      </w:tblGrid>
      <w:tr>
        <w:trPr>
          <w:trHeight w:val="482" w:hRule="exact"/>
        </w:trPr>
        <w:tc>
          <w:tcPr>
            <w:tcW w:w="46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年度</w:t>
            </w:r>
          </w:p>
        </w:tc>
        <w:tc>
          <w:tcPr>
            <w:tcW w:w="19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539"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5"/>
                <w:sz w:val="18"/>
                <w:szCs w:val="18"/>
              </w:rPr>
              <w:t> </w:t>
            </w:r>
            <w:r>
              <w:rPr>
                <w:rFonts w:ascii="宋体" w:hAnsi="宋体" w:cs="宋体" w:eastAsia="宋体" w:hint="default"/>
                <w:sz w:val="18"/>
                <w:szCs w:val="18"/>
              </w:rPr>
              <w:t>年度</w:t>
            </w:r>
          </w:p>
        </w:tc>
      </w:tr>
      <w:tr>
        <w:trPr>
          <w:trHeight w:val="485" w:hRule="exact"/>
        </w:trPr>
        <w:tc>
          <w:tcPr>
            <w:tcW w:w="46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Arial" w:hAnsi="Arial" w:cs="Arial" w:eastAsia="Arial" w:hint="default"/>
                <w:b/>
                <w:bCs/>
                <w:sz w:val="18"/>
                <w:szCs w:val="18"/>
              </w:rPr>
              <w:t>1.</w:t>
            </w:r>
            <w:r>
              <w:rPr>
                <w:rFonts w:ascii="宋体" w:hAnsi="宋体" w:cs="宋体" w:eastAsia="宋体" w:hint="default"/>
                <w:sz w:val="18"/>
                <w:szCs w:val="18"/>
              </w:rPr>
              <w:t>将净利润调节为经营活动现金流量：</w:t>
            </w:r>
          </w:p>
        </w:tc>
        <w:tc>
          <w:tcPr>
            <w:tcW w:w="1690" w:type="dxa"/>
            <w:tcBorders>
              <w:top w:val="single" w:sz="12" w:space="0" w:color="000000"/>
              <w:left w:val="single" w:sz="12" w:space="0" w:color="000000"/>
              <w:bottom w:val="single" w:sz="12" w:space="0" w:color="000000"/>
              <w:right w:val="single" w:sz="12" w:space="0" w:color="000000"/>
            </w:tcBorders>
          </w:tcPr>
          <w:p>
            <w:pPr/>
          </w:p>
        </w:tc>
        <w:tc>
          <w:tcPr>
            <w:tcW w:w="1920" w:type="dxa"/>
            <w:tcBorders>
              <w:top w:val="single" w:sz="12" w:space="0" w:color="000000"/>
              <w:left w:val="single" w:sz="12" w:space="0" w:color="000000"/>
              <w:bottom w:val="single" w:sz="12" w:space="0" w:color="000000"/>
              <w:right w:val="single" w:sz="12" w:space="0" w:color="000000"/>
            </w:tcBorders>
          </w:tcPr>
          <w:p>
            <w:pPr/>
          </w:p>
        </w:tc>
      </w:tr>
      <w:tr>
        <w:trPr>
          <w:trHeight w:val="485" w:hRule="exact"/>
        </w:trPr>
        <w:tc>
          <w:tcPr>
            <w:tcW w:w="46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23,918,441.71</w:t>
            </w:r>
          </w:p>
        </w:tc>
        <w:tc>
          <w:tcPr>
            <w:tcW w:w="19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left="367" w:right="0"/>
              <w:jc w:val="left"/>
              <w:rPr>
                <w:rFonts w:ascii="Arial" w:hAnsi="Arial" w:cs="Arial" w:eastAsia="Arial" w:hint="default"/>
                <w:sz w:val="18"/>
                <w:szCs w:val="18"/>
              </w:rPr>
            </w:pPr>
            <w:r>
              <w:rPr>
                <w:rFonts w:ascii="Arial"/>
                <w:sz w:val="18"/>
              </w:rPr>
              <w:t>41,945,731.03</w:t>
            </w:r>
          </w:p>
        </w:tc>
      </w:tr>
      <w:tr>
        <w:trPr>
          <w:trHeight w:val="482" w:hRule="exact"/>
        </w:trPr>
        <w:tc>
          <w:tcPr>
            <w:tcW w:w="46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6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301,160.83</w:t>
            </w:r>
          </w:p>
        </w:tc>
        <w:tc>
          <w:tcPr>
            <w:tcW w:w="19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left="494" w:right="0"/>
              <w:jc w:val="left"/>
              <w:rPr>
                <w:rFonts w:ascii="Arial" w:hAnsi="Arial" w:cs="Arial" w:eastAsia="Arial" w:hint="default"/>
                <w:sz w:val="18"/>
                <w:szCs w:val="18"/>
              </w:rPr>
            </w:pPr>
            <w:r>
              <w:rPr>
                <w:rFonts w:ascii="Arial"/>
                <w:sz w:val="18"/>
              </w:rPr>
              <w:t>847,653.10</w:t>
            </w:r>
          </w:p>
        </w:tc>
      </w:tr>
      <w:tr>
        <w:trPr>
          <w:trHeight w:val="485" w:hRule="exact"/>
        </w:trPr>
        <w:tc>
          <w:tcPr>
            <w:tcW w:w="46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453"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6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3,377,980.38</w:t>
            </w:r>
          </w:p>
        </w:tc>
        <w:tc>
          <w:tcPr>
            <w:tcW w:w="19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left="417" w:right="0"/>
              <w:jc w:val="left"/>
              <w:rPr>
                <w:rFonts w:ascii="Arial" w:hAnsi="Arial" w:cs="Arial" w:eastAsia="Arial" w:hint="default"/>
                <w:sz w:val="18"/>
                <w:szCs w:val="18"/>
              </w:rPr>
            </w:pPr>
            <w:r>
              <w:rPr>
                <w:rFonts w:ascii="Arial"/>
                <w:sz w:val="18"/>
              </w:rPr>
              <w:t>3,134,679.23</w:t>
            </w:r>
          </w:p>
        </w:tc>
      </w:tr>
      <w:tr>
        <w:trPr>
          <w:trHeight w:val="485" w:hRule="exact"/>
        </w:trPr>
        <w:tc>
          <w:tcPr>
            <w:tcW w:w="46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45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6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w:t>
            </w:r>
            <w:r>
              <w:rPr>
                <w:rFonts w:ascii="Arial"/>
                <w:sz w:val="18"/>
              </w:rPr>
            </w:r>
          </w:p>
        </w:tc>
        <w:tc>
          <w:tcPr>
            <w:tcW w:w="19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82" w:hRule="exact"/>
        </w:trPr>
        <w:tc>
          <w:tcPr>
            <w:tcW w:w="46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45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6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w:t>
            </w:r>
            <w:r>
              <w:rPr>
                <w:rFonts w:ascii="Arial"/>
                <w:sz w:val="18"/>
              </w:rPr>
            </w:r>
          </w:p>
        </w:tc>
        <w:tc>
          <w:tcPr>
            <w:tcW w:w="19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638" w:hRule="exact"/>
        </w:trPr>
        <w:tc>
          <w:tcPr>
            <w:tcW w:w="4685"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45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w:t>
            </w:r>
          </w:p>
          <w:p>
            <w:pPr>
              <w:pStyle w:val="TableParagraph"/>
              <w:spacing w:line="240" w:lineRule="auto" w:before="69"/>
              <w:ind w:left="93" w:right="0"/>
              <w:jc w:val="left"/>
              <w:rPr>
                <w:rFonts w:ascii="宋体" w:hAnsi="宋体" w:cs="宋体" w:eastAsia="宋体" w:hint="default"/>
                <w:sz w:val="18"/>
                <w:szCs w:val="18"/>
              </w:rPr>
            </w:pPr>
            <w:r>
              <w:rPr>
                <w:rFonts w:ascii="宋体" w:hAnsi="宋体" w:cs="宋体" w:eastAsia="宋体" w:hint="default"/>
                <w:sz w:val="18"/>
                <w:szCs w:val="18"/>
              </w:rPr>
              <w:t>益以</w:t>
            </w:r>
            <w:r>
              <w:rPr>
                <w:rFonts w:ascii="Arial" w:hAnsi="Arial" w:cs="Arial" w:eastAsia="Arial" w:hint="default"/>
                <w:sz w:val="18"/>
                <w:szCs w:val="18"/>
              </w:rPr>
              <w:t>“-”</w:t>
            </w:r>
            <w:r>
              <w:rPr>
                <w:rFonts w:ascii="宋体" w:hAnsi="宋体" w:cs="宋体" w:eastAsia="宋体" w:hint="default"/>
                <w:sz w:val="18"/>
                <w:szCs w:val="18"/>
              </w:rPr>
              <w:t>号填列）</w:t>
            </w:r>
          </w:p>
        </w:tc>
        <w:tc>
          <w:tcPr>
            <w:tcW w:w="16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19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82" w:hRule="exact"/>
        </w:trPr>
        <w:tc>
          <w:tcPr>
            <w:tcW w:w="46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453"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Arial" w:hAnsi="Arial" w:cs="Arial" w:eastAsia="Arial" w:hint="default"/>
                <w:sz w:val="18"/>
                <w:szCs w:val="18"/>
              </w:rPr>
              <w:t>“-”</w:t>
            </w:r>
            <w:r>
              <w:rPr>
                <w:rFonts w:ascii="宋体" w:hAnsi="宋体" w:cs="宋体" w:eastAsia="宋体" w:hint="default"/>
                <w:sz w:val="18"/>
                <w:szCs w:val="18"/>
              </w:rPr>
              <w:t>号填列）</w:t>
            </w:r>
          </w:p>
        </w:tc>
        <w:tc>
          <w:tcPr>
            <w:tcW w:w="1690" w:type="dxa"/>
            <w:tcBorders>
              <w:top w:val="single" w:sz="12" w:space="0" w:color="000000"/>
              <w:left w:val="single" w:sz="12" w:space="0" w:color="000000"/>
              <w:bottom w:val="single" w:sz="12" w:space="0" w:color="000000"/>
              <w:right w:val="single" w:sz="12" w:space="0" w:color="000000"/>
            </w:tcBorders>
          </w:tcPr>
          <w:p>
            <w:pPr/>
          </w:p>
        </w:tc>
        <w:tc>
          <w:tcPr>
            <w:tcW w:w="19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85" w:hRule="exact"/>
        </w:trPr>
        <w:tc>
          <w:tcPr>
            <w:tcW w:w="46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453"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Arial" w:hAnsi="Arial" w:cs="Arial" w:eastAsia="Arial" w:hint="default"/>
                <w:sz w:val="18"/>
                <w:szCs w:val="18"/>
              </w:rPr>
              <w:t>“-”</w:t>
            </w:r>
            <w:r>
              <w:rPr>
                <w:rFonts w:ascii="宋体" w:hAnsi="宋体" w:cs="宋体" w:eastAsia="宋体" w:hint="default"/>
                <w:sz w:val="18"/>
                <w:szCs w:val="18"/>
              </w:rPr>
              <w:t>号填列）</w:t>
            </w:r>
          </w:p>
        </w:tc>
        <w:tc>
          <w:tcPr>
            <w:tcW w:w="16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-25,583.34</w:t>
            </w:r>
          </w:p>
        </w:tc>
        <w:tc>
          <w:tcPr>
            <w:tcW w:w="19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85" w:hRule="exact"/>
        </w:trPr>
        <w:tc>
          <w:tcPr>
            <w:tcW w:w="46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453"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Arial" w:hAnsi="Arial" w:cs="Arial" w:eastAsia="Arial" w:hint="default"/>
                <w:sz w:val="18"/>
                <w:szCs w:val="18"/>
              </w:rPr>
              <w:t>“-”</w:t>
            </w:r>
            <w:r>
              <w:rPr>
                <w:rFonts w:ascii="宋体" w:hAnsi="宋体" w:cs="宋体" w:eastAsia="宋体" w:hint="default"/>
                <w:sz w:val="18"/>
                <w:szCs w:val="18"/>
              </w:rPr>
              <w:t>号填列）</w:t>
            </w:r>
          </w:p>
        </w:tc>
        <w:tc>
          <w:tcPr>
            <w:tcW w:w="16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679,069.00</w:t>
            </w:r>
          </w:p>
        </w:tc>
        <w:tc>
          <w:tcPr>
            <w:tcW w:w="19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left="417" w:right="0"/>
              <w:jc w:val="left"/>
              <w:rPr>
                <w:rFonts w:ascii="Arial" w:hAnsi="Arial" w:cs="Arial" w:eastAsia="Arial" w:hint="default"/>
                <w:sz w:val="18"/>
                <w:szCs w:val="18"/>
              </w:rPr>
            </w:pPr>
            <w:r>
              <w:rPr>
                <w:rFonts w:ascii="Arial"/>
                <w:sz w:val="18"/>
              </w:rPr>
              <w:t>1,165,255.50</w:t>
            </w:r>
          </w:p>
        </w:tc>
      </w:tr>
      <w:tr>
        <w:trPr>
          <w:trHeight w:val="482" w:hRule="exact"/>
        </w:trPr>
        <w:tc>
          <w:tcPr>
            <w:tcW w:w="46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453"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Arial" w:hAnsi="Arial" w:cs="Arial" w:eastAsia="Arial" w:hint="default"/>
                <w:sz w:val="18"/>
                <w:szCs w:val="18"/>
              </w:rPr>
              <w:t>“-”</w:t>
            </w:r>
            <w:r>
              <w:rPr>
                <w:rFonts w:ascii="宋体" w:hAnsi="宋体" w:cs="宋体" w:eastAsia="宋体" w:hint="default"/>
                <w:sz w:val="18"/>
                <w:szCs w:val="18"/>
              </w:rPr>
              <w:t>号填列）</w:t>
            </w:r>
          </w:p>
        </w:tc>
        <w:tc>
          <w:tcPr>
            <w:tcW w:w="16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-69,333.36</w:t>
            </w:r>
          </w:p>
        </w:tc>
        <w:tc>
          <w:tcPr>
            <w:tcW w:w="19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85" w:hRule="exact"/>
        </w:trPr>
        <w:tc>
          <w:tcPr>
            <w:tcW w:w="46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453"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Arial" w:hAnsi="Arial" w:cs="Arial" w:eastAsia="Arial" w:hint="default"/>
                <w:sz w:val="18"/>
                <w:szCs w:val="18"/>
              </w:rPr>
              <w:t>“-”</w:t>
            </w:r>
            <w:r>
              <w:rPr>
                <w:rFonts w:ascii="宋体" w:hAnsi="宋体" w:cs="宋体" w:eastAsia="宋体" w:hint="default"/>
                <w:sz w:val="18"/>
                <w:szCs w:val="18"/>
              </w:rPr>
              <w:t>号填列）</w:t>
            </w:r>
          </w:p>
        </w:tc>
        <w:tc>
          <w:tcPr>
            <w:tcW w:w="16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-65,485.16</w:t>
            </w:r>
          </w:p>
        </w:tc>
        <w:tc>
          <w:tcPr>
            <w:tcW w:w="19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left="542" w:right="0"/>
              <w:jc w:val="left"/>
              <w:rPr>
                <w:rFonts w:ascii="Arial" w:hAnsi="Arial" w:cs="Arial" w:eastAsia="Arial" w:hint="default"/>
                <w:sz w:val="18"/>
                <w:szCs w:val="18"/>
              </w:rPr>
            </w:pPr>
            <w:r>
              <w:rPr>
                <w:rFonts w:ascii="Arial"/>
                <w:sz w:val="18"/>
              </w:rPr>
              <w:t>50,145.23</w:t>
            </w:r>
          </w:p>
        </w:tc>
      </w:tr>
      <w:tr>
        <w:trPr>
          <w:trHeight w:val="485" w:hRule="exact"/>
        </w:trPr>
        <w:tc>
          <w:tcPr>
            <w:tcW w:w="46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453"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Arial" w:hAnsi="Arial" w:cs="Arial" w:eastAsia="Arial" w:hint="default"/>
                <w:sz w:val="18"/>
                <w:szCs w:val="18"/>
              </w:rPr>
              <w:t>“-”</w:t>
            </w:r>
            <w:r>
              <w:rPr>
                <w:rFonts w:ascii="宋体" w:hAnsi="宋体" w:cs="宋体" w:eastAsia="宋体" w:hint="default"/>
                <w:sz w:val="18"/>
                <w:szCs w:val="18"/>
              </w:rPr>
              <w:t>号填列）</w:t>
            </w:r>
          </w:p>
        </w:tc>
        <w:tc>
          <w:tcPr>
            <w:tcW w:w="16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w:t>
            </w:r>
            <w:r>
              <w:rPr>
                <w:rFonts w:ascii="Arial"/>
                <w:sz w:val="18"/>
              </w:rPr>
            </w:r>
          </w:p>
        </w:tc>
        <w:tc>
          <w:tcPr>
            <w:tcW w:w="19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82" w:hRule="exact"/>
        </w:trPr>
        <w:tc>
          <w:tcPr>
            <w:tcW w:w="46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453"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Arial" w:hAnsi="Arial" w:cs="Arial" w:eastAsia="Arial" w:hint="default"/>
                <w:sz w:val="18"/>
                <w:szCs w:val="18"/>
              </w:rPr>
              <w:t>“-”</w:t>
            </w:r>
            <w:r>
              <w:rPr>
                <w:rFonts w:ascii="宋体" w:hAnsi="宋体" w:cs="宋体" w:eastAsia="宋体" w:hint="default"/>
                <w:sz w:val="18"/>
                <w:szCs w:val="18"/>
              </w:rPr>
              <w:t>号填列）</w:t>
            </w:r>
          </w:p>
        </w:tc>
        <w:tc>
          <w:tcPr>
            <w:tcW w:w="16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right="0"/>
              <w:jc w:val="center"/>
              <w:rPr>
                <w:rFonts w:ascii="Arial" w:hAnsi="Arial" w:cs="Arial" w:eastAsia="Arial" w:hint="default"/>
                <w:sz w:val="18"/>
                <w:szCs w:val="18"/>
              </w:rPr>
            </w:pPr>
            <w:r>
              <w:rPr>
                <w:rFonts w:ascii="Arial"/>
                <w:sz w:val="18"/>
              </w:rPr>
              <w:t>-22,978,737.43</w:t>
            </w:r>
          </w:p>
        </w:tc>
        <w:tc>
          <w:tcPr>
            <w:tcW w:w="19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left="494" w:right="0"/>
              <w:jc w:val="left"/>
              <w:rPr>
                <w:rFonts w:ascii="Arial" w:hAnsi="Arial" w:cs="Arial" w:eastAsia="Arial" w:hint="default"/>
                <w:sz w:val="18"/>
                <w:szCs w:val="18"/>
              </w:rPr>
            </w:pPr>
            <w:r>
              <w:rPr>
                <w:rFonts w:ascii="Arial"/>
                <w:sz w:val="18"/>
              </w:rPr>
              <w:t>977,373.87</w:t>
            </w:r>
          </w:p>
        </w:tc>
      </w:tr>
      <w:tr>
        <w:trPr>
          <w:trHeight w:val="482" w:hRule="exact"/>
        </w:trPr>
        <w:tc>
          <w:tcPr>
            <w:tcW w:w="46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453"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Arial" w:hAnsi="Arial" w:cs="Arial" w:eastAsia="Arial" w:hint="default"/>
                <w:sz w:val="18"/>
                <w:szCs w:val="18"/>
              </w:rPr>
              <w:t>“-”</w:t>
            </w:r>
            <w:r>
              <w:rPr>
                <w:rFonts w:ascii="宋体" w:hAnsi="宋体" w:cs="宋体" w:eastAsia="宋体" w:hint="default"/>
                <w:sz w:val="18"/>
                <w:szCs w:val="18"/>
              </w:rPr>
              <w:t>号填列）</w:t>
            </w:r>
          </w:p>
        </w:tc>
        <w:tc>
          <w:tcPr>
            <w:tcW w:w="16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right="1"/>
              <w:jc w:val="center"/>
              <w:rPr>
                <w:rFonts w:ascii="Arial" w:hAnsi="Arial" w:cs="Arial" w:eastAsia="Arial" w:hint="default"/>
                <w:sz w:val="18"/>
                <w:szCs w:val="18"/>
              </w:rPr>
            </w:pPr>
            <w:r>
              <w:rPr>
                <w:rFonts w:ascii="Arial"/>
                <w:sz w:val="18"/>
              </w:rPr>
              <w:t>2,075,520.37</w:t>
            </w:r>
          </w:p>
        </w:tc>
        <w:tc>
          <w:tcPr>
            <w:tcW w:w="19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left="338" w:right="0"/>
              <w:jc w:val="left"/>
              <w:rPr>
                <w:rFonts w:ascii="Arial" w:hAnsi="Arial" w:cs="Arial" w:eastAsia="Arial" w:hint="default"/>
                <w:sz w:val="18"/>
                <w:szCs w:val="18"/>
              </w:rPr>
            </w:pPr>
            <w:r>
              <w:rPr>
                <w:rFonts w:ascii="Arial"/>
                <w:sz w:val="18"/>
              </w:rPr>
              <w:t>-40,366,492.03</w:t>
            </w:r>
          </w:p>
        </w:tc>
      </w:tr>
    </w:tbl>
    <w:p>
      <w:pPr>
        <w:spacing w:after="0" w:line="240" w:lineRule="auto"/>
        <w:jc w:val="left"/>
        <w:rPr>
          <w:rFonts w:ascii="Arial" w:hAnsi="Arial" w:cs="Arial" w:eastAsia="Arial" w:hint="default"/>
          <w:sz w:val="18"/>
          <w:szCs w:val="18"/>
        </w:rPr>
        <w:sectPr>
          <w:pgSz w:w="11900" w:h="16840"/>
          <w:pgMar w:header="0" w:footer="983" w:top="1100" w:bottom="1180" w:left="1640" w:right="1280"/>
        </w:sectPr>
      </w:pPr>
    </w:p>
    <w:p>
      <w:pPr>
        <w:spacing w:line="240" w:lineRule="auto" w:before="8"/>
        <w:rPr>
          <w:rFonts w:ascii="宋体" w:hAnsi="宋体" w:cs="宋体" w:eastAsia="宋体" w:hint="default"/>
          <w:sz w:val="24"/>
          <w:szCs w:val="24"/>
        </w:rPr>
      </w:pPr>
    </w:p>
    <w:tbl>
      <w:tblPr>
        <w:tblW w:w="0" w:type="auto"/>
        <w:jc w:val="left"/>
        <w:tblInd w:w="395" w:type="dxa"/>
        <w:tblLayout w:type="fixed"/>
        <w:tblCellMar>
          <w:top w:w="0" w:type="dxa"/>
          <w:left w:w="0" w:type="dxa"/>
          <w:bottom w:w="0" w:type="dxa"/>
          <w:right w:w="0" w:type="dxa"/>
        </w:tblCellMar>
        <w:tblLook w:val="01E0"/>
      </w:tblPr>
      <w:tblGrid>
        <w:gridCol w:w="4685"/>
        <w:gridCol w:w="1690"/>
        <w:gridCol w:w="1920"/>
      </w:tblGrid>
      <w:tr>
        <w:trPr>
          <w:trHeight w:val="485" w:hRule="exact"/>
        </w:trPr>
        <w:tc>
          <w:tcPr>
            <w:tcW w:w="46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453"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Arial" w:hAnsi="Arial" w:cs="Arial" w:eastAsia="Arial" w:hint="default"/>
                <w:sz w:val="18"/>
                <w:szCs w:val="18"/>
              </w:rPr>
              <w:t>“-”</w:t>
            </w:r>
            <w:r>
              <w:rPr>
                <w:rFonts w:ascii="宋体" w:hAnsi="宋体" w:cs="宋体" w:eastAsia="宋体" w:hint="default"/>
                <w:sz w:val="18"/>
                <w:szCs w:val="18"/>
              </w:rPr>
              <w:t>号填列）</w:t>
            </w:r>
          </w:p>
        </w:tc>
        <w:tc>
          <w:tcPr>
            <w:tcW w:w="16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right="0"/>
              <w:jc w:val="center"/>
              <w:rPr>
                <w:rFonts w:ascii="Arial" w:hAnsi="Arial" w:cs="Arial" w:eastAsia="Arial" w:hint="default"/>
                <w:sz w:val="18"/>
                <w:szCs w:val="18"/>
              </w:rPr>
            </w:pPr>
            <w:r>
              <w:rPr>
                <w:rFonts w:ascii="Arial"/>
                <w:sz w:val="18"/>
              </w:rPr>
              <w:t>-18,653,692.83</w:t>
            </w:r>
          </w:p>
        </w:tc>
        <w:tc>
          <w:tcPr>
            <w:tcW w:w="19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24,649,770.87</w:t>
            </w:r>
          </w:p>
        </w:tc>
      </w:tr>
      <w:tr>
        <w:trPr>
          <w:trHeight w:val="482" w:hRule="exact"/>
        </w:trPr>
        <w:tc>
          <w:tcPr>
            <w:tcW w:w="46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45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right="0"/>
              <w:jc w:val="center"/>
              <w:rPr>
                <w:rFonts w:ascii="Arial" w:hAnsi="Arial" w:cs="Arial" w:eastAsia="Arial" w:hint="default"/>
                <w:sz w:val="18"/>
                <w:szCs w:val="18"/>
              </w:rPr>
            </w:pPr>
            <w:r>
              <w:rPr>
                <w:rFonts w:ascii="Arial"/>
                <w:w w:val="99"/>
                <w:sz w:val="18"/>
              </w:rPr>
              <w:t>-</w:t>
            </w:r>
            <w:r>
              <w:rPr>
                <w:rFonts w:ascii="Arial"/>
                <w:sz w:val="18"/>
              </w:rPr>
            </w:r>
          </w:p>
        </w:tc>
        <w:tc>
          <w:tcPr>
            <w:tcW w:w="19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85" w:hRule="exact"/>
        </w:trPr>
        <w:tc>
          <w:tcPr>
            <w:tcW w:w="46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45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right="0"/>
              <w:jc w:val="center"/>
              <w:rPr>
                <w:rFonts w:ascii="Arial" w:hAnsi="Arial" w:cs="Arial" w:eastAsia="Arial" w:hint="default"/>
                <w:sz w:val="18"/>
                <w:szCs w:val="18"/>
              </w:rPr>
            </w:pPr>
            <w:r>
              <w:rPr>
                <w:rFonts w:ascii="Arial"/>
                <w:sz w:val="18"/>
              </w:rPr>
              <w:t>-11,440,659.83</w:t>
            </w:r>
          </w:p>
        </w:tc>
        <w:tc>
          <w:tcPr>
            <w:tcW w:w="19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32,404,116.80</w:t>
            </w:r>
          </w:p>
        </w:tc>
      </w:tr>
      <w:tr>
        <w:trPr>
          <w:trHeight w:val="485" w:hRule="exact"/>
        </w:trPr>
        <w:tc>
          <w:tcPr>
            <w:tcW w:w="46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Arial" w:hAnsi="Arial" w:cs="Arial" w:eastAsia="Arial" w:hint="default"/>
                <w:b/>
                <w:bCs/>
                <w:sz w:val="18"/>
                <w:szCs w:val="18"/>
              </w:rPr>
              <w:t>2.</w:t>
            </w:r>
            <w:r>
              <w:rPr>
                <w:rFonts w:ascii="Arial" w:hAnsi="Arial" w:cs="Arial" w:eastAsia="Arial" w:hint="default"/>
                <w:b/>
                <w:bCs/>
                <w:spacing w:val="49"/>
                <w:sz w:val="18"/>
                <w:szCs w:val="18"/>
              </w:rPr>
              <w:t> </w:t>
            </w:r>
            <w:r>
              <w:rPr>
                <w:rFonts w:ascii="宋体" w:hAnsi="宋体" w:cs="宋体" w:eastAsia="宋体" w:hint="default"/>
                <w:sz w:val="18"/>
                <w:szCs w:val="18"/>
              </w:rPr>
              <w:t>不涉及现金收支的重大投资和筹资活动：</w:t>
            </w:r>
          </w:p>
        </w:tc>
        <w:tc>
          <w:tcPr>
            <w:tcW w:w="1690" w:type="dxa"/>
            <w:tcBorders>
              <w:top w:val="single" w:sz="12" w:space="0" w:color="000000"/>
              <w:left w:val="single" w:sz="12" w:space="0" w:color="000000"/>
              <w:bottom w:val="single" w:sz="12" w:space="0" w:color="000000"/>
              <w:right w:val="single" w:sz="12" w:space="0" w:color="000000"/>
            </w:tcBorders>
          </w:tcPr>
          <w:p>
            <w:pPr/>
          </w:p>
        </w:tc>
        <w:tc>
          <w:tcPr>
            <w:tcW w:w="1920" w:type="dxa"/>
            <w:tcBorders>
              <w:top w:val="single" w:sz="12" w:space="0" w:color="000000"/>
              <w:left w:val="single" w:sz="12" w:space="0" w:color="000000"/>
              <w:bottom w:val="single" w:sz="12" w:space="0" w:color="000000"/>
              <w:right w:val="single" w:sz="12" w:space="0" w:color="000000"/>
            </w:tcBorders>
          </w:tcPr>
          <w:p>
            <w:pPr/>
          </w:p>
        </w:tc>
      </w:tr>
      <w:tr>
        <w:trPr>
          <w:trHeight w:val="482" w:hRule="exact"/>
        </w:trPr>
        <w:tc>
          <w:tcPr>
            <w:tcW w:w="46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453"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6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w:t>
            </w:r>
            <w:r>
              <w:rPr>
                <w:rFonts w:ascii="Arial"/>
                <w:sz w:val="18"/>
              </w:rPr>
            </w:r>
          </w:p>
        </w:tc>
        <w:tc>
          <w:tcPr>
            <w:tcW w:w="19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85" w:hRule="exact"/>
        </w:trPr>
        <w:tc>
          <w:tcPr>
            <w:tcW w:w="46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453"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6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w:t>
            </w:r>
            <w:r>
              <w:rPr>
                <w:rFonts w:ascii="Arial"/>
                <w:sz w:val="18"/>
              </w:rPr>
            </w:r>
          </w:p>
        </w:tc>
        <w:tc>
          <w:tcPr>
            <w:tcW w:w="19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85" w:hRule="exact"/>
        </w:trPr>
        <w:tc>
          <w:tcPr>
            <w:tcW w:w="46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453"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6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w:t>
            </w:r>
            <w:r>
              <w:rPr>
                <w:rFonts w:ascii="Arial"/>
                <w:sz w:val="18"/>
              </w:rPr>
            </w:r>
          </w:p>
        </w:tc>
        <w:tc>
          <w:tcPr>
            <w:tcW w:w="19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82" w:hRule="exact"/>
        </w:trPr>
        <w:tc>
          <w:tcPr>
            <w:tcW w:w="46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Arial" w:hAnsi="Arial" w:cs="Arial" w:eastAsia="Arial" w:hint="default"/>
                <w:b/>
                <w:bCs/>
                <w:sz w:val="18"/>
                <w:szCs w:val="18"/>
              </w:rPr>
              <w:t>3.</w:t>
            </w:r>
            <w:r>
              <w:rPr>
                <w:rFonts w:ascii="Arial" w:hAnsi="Arial" w:cs="Arial" w:eastAsia="Arial" w:hint="default"/>
                <w:b/>
                <w:bCs/>
                <w:spacing w:val="47"/>
                <w:sz w:val="18"/>
                <w:szCs w:val="18"/>
              </w:rPr>
              <w:t> </w:t>
            </w:r>
            <w:r>
              <w:rPr>
                <w:rFonts w:ascii="宋体" w:hAnsi="宋体" w:cs="宋体" w:eastAsia="宋体" w:hint="default"/>
                <w:sz w:val="18"/>
                <w:szCs w:val="18"/>
              </w:rPr>
              <w:t>现金及现金等价物净变动情况：</w:t>
            </w:r>
          </w:p>
        </w:tc>
        <w:tc>
          <w:tcPr>
            <w:tcW w:w="1690" w:type="dxa"/>
            <w:tcBorders>
              <w:top w:val="single" w:sz="12" w:space="0" w:color="000000"/>
              <w:left w:val="single" w:sz="12" w:space="0" w:color="000000"/>
              <w:bottom w:val="single" w:sz="12" w:space="0" w:color="000000"/>
              <w:right w:val="single" w:sz="12" w:space="0" w:color="000000"/>
            </w:tcBorders>
          </w:tcPr>
          <w:p>
            <w:pPr/>
          </w:p>
        </w:tc>
        <w:tc>
          <w:tcPr>
            <w:tcW w:w="1920" w:type="dxa"/>
            <w:tcBorders>
              <w:top w:val="single" w:sz="12" w:space="0" w:color="000000"/>
              <w:left w:val="single" w:sz="12" w:space="0" w:color="000000"/>
              <w:bottom w:val="single" w:sz="12" w:space="0" w:color="000000"/>
              <w:right w:val="single" w:sz="12" w:space="0" w:color="000000"/>
            </w:tcBorders>
          </w:tcPr>
          <w:p>
            <w:pPr/>
          </w:p>
        </w:tc>
      </w:tr>
      <w:tr>
        <w:trPr>
          <w:trHeight w:val="485" w:hRule="exact"/>
        </w:trPr>
        <w:tc>
          <w:tcPr>
            <w:tcW w:w="46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453" w:right="0"/>
              <w:jc w:val="left"/>
              <w:rPr>
                <w:rFonts w:ascii="宋体" w:hAnsi="宋体" w:cs="宋体" w:eastAsia="宋体" w:hint="default"/>
                <w:sz w:val="18"/>
                <w:szCs w:val="18"/>
              </w:rPr>
            </w:pPr>
            <w:r>
              <w:rPr>
                <w:rFonts w:ascii="宋体" w:hAnsi="宋体" w:cs="宋体" w:eastAsia="宋体" w:hint="default"/>
                <w:sz w:val="18"/>
                <w:szCs w:val="18"/>
              </w:rPr>
              <w:t>现金的年末余额</w:t>
            </w:r>
          </w:p>
        </w:tc>
        <w:tc>
          <w:tcPr>
            <w:tcW w:w="16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136,692,443.05</w:t>
            </w:r>
          </w:p>
        </w:tc>
        <w:tc>
          <w:tcPr>
            <w:tcW w:w="19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25,921,085.34</w:t>
            </w:r>
          </w:p>
        </w:tc>
      </w:tr>
      <w:tr>
        <w:trPr>
          <w:trHeight w:val="485" w:hRule="exact"/>
        </w:trPr>
        <w:tc>
          <w:tcPr>
            <w:tcW w:w="46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453"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16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25,921,085.34</w:t>
            </w:r>
          </w:p>
        </w:tc>
        <w:tc>
          <w:tcPr>
            <w:tcW w:w="19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13,361,577.26</w:t>
            </w:r>
          </w:p>
        </w:tc>
      </w:tr>
      <w:tr>
        <w:trPr>
          <w:trHeight w:val="482" w:hRule="exact"/>
        </w:trPr>
        <w:tc>
          <w:tcPr>
            <w:tcW w:w="46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453" w:right="0"/>
              <w:jc w:val="left"/>
              <w:rPr>
                <w:rFonts w:ascii="宋体" w:hAnsi="宋体" w:cs="宋体" w:eastAsia="宋体" w:hint="default"/>
                <w:sz w:val="18"/>
                <w:szCs w:val="18"/>
              </w:rPr>
            </w:pPr>
            <w:r>
              <w:rPr>
                <w:rFonts w:ascii="宋体" w:hAnsi="宋体" w:cs="宋体" w:eastAsia="宋体" w:hint="default"/>
                <w:sz w:val="18"/>
                <w:szCs w:val="18"/>
              </w:rPr>
              <w:t>加：现金等价物的年末余额</w:t>
            </w:r>
          </w:p>
        </w:tc>
        <w:tc>
          <w:tcPr>
            <w:tcW w:w="1690" w:type="dxa"/>
            <w:tcBorders>
              <w:top w:val="single" w:sz="12" w:space="0" w:color="000000"/>
              <w:left w:val="single" w:sz="12" w:space="0" w:color="000000"/>
              <w:bottom w:val="single" w:sz="12" w:space="0" w:color="000000"/>
              <w:right w:val="single" w:sz="12" w:space="0" w:color="000000"/>
            </w:tcBorders>
          </w:tcPr>
          <w:p>
            <w:pPr/>
          </w:p>
        </w:tc>
        <w:tc>
          <w:tcPr>
            <w:tcW w:w="19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85" w:hRule="exact"/>
        </w:trPr>
        <w:tc>
          <w:tcPr>
            <w:tcW w:w="46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453"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1690" w:type="dxa"/>
            <w:tcBorders>
              <w:top w:val="single" w:sz="12" w:space="0" w:color="000000"/>
              <w:left w:val="single" w:sz="12" w:space="0" w:color="000000"/>
              <w:bottom w:val="single" w:sz="12" w:space="0" w:color="000000"/>
              <w:right w:val="single" w:sz="12" w:space="0" w:color="000000"/>
            </w:tcBorders>
          </w:tcPr>
          <w:p>
            <w:pPr/>
          </w:p>
        </w:tc>
        <w:tc>
          <w:tcPr>
            <w:tcW w:w="19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82" w:hRule="exact"/>
        </w:trPr>
        <w:tc>
          <w:tcPr>
            <w:tcW w:w="46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45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6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110,771,357.71</w:t>
            </w:r>
          </w:p>
        </w:tc>
        <w:tc>
          <w:tcPr>
            <w:tcW w:w="19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12,559,508.08</w:t>
            </w:r>
          </w:p>
        </w:tc>
      </w:tr>
    </w:tbl>
    <w:p>
      <w:pPr>
        <w:spacing w:line="240" w:lineRule="auto" w:before="12"/>
        <w:rPr>
          <w:rFonts w:ascii="宋体" w:hAnsi="宋体" w:cs="宋体" w:eastAsia="宋体" w:hint="default"/>
          <w:sz w:val="23"/>
          <w:szCs w:val="23"/>
        </w:rPr>
      </w:pPr>
    </w:p>
    <w:p>
      <w:pPr>
        <w:pStyle w:val="BodyText"/>
        <w:spacing w:line="240" w:lineRule="auto"/>
        <w:ind w:left="237" w:right="0"/>
        <w:jc w:val="left"/>
      </w:pPr>
      <w:r>
        <w:rPr>
          <w:rFonts w:ascii="Arial" w:hAnsi="Arial" w:cs="Arial" w:eastAsia="Arial" w:hint="default"/>
        </w:rPr>
        <w:t>12.5.2</w:t>
      </w:r>
      <w:r>
        <w:rPr>
          <w:rFonts w:ascii="Arial" w:hAnsi="Arial" w:cs="Arial" w:eastAsia="Arial" w:hint="default"/>
          <w:spacing w:val="-10"/>
        </w:rPr>
        <w:t> </w:t>
      </w:r>
      <w:r>
        <w:rPr/>
        <w:t>现金和现金等价物的构成</w:t>
      </w:r>
    </w:p>
    <w:p>
      <w:pPr>
        <w:spacing w:line="240" w:lineRule="auto" w:before="5"/>
        <w:rPr>
          <w:rFonts w:ascii="宋体" w:hAnsi="宋体" w:cs="宋体" w:eastAsia="宋体" w:hint="default"/>
          <w:sz w:val="12"/>
          <w:szCs w:val="12"/>
        </w:rPr>
      </w:pPr>
    </w:p>
    <w:tbl>
      <w:tblPr>
        <w:tblW w:w="0" w:type="auto"/>
        <w:jc w:val="left"/>
        <w:tblInd w:w="309" w:type="dxa"/>
        <w:tblLayout w:type="fixed"/>
        <w:tblCellMar>
          <w:top w:w="0" w:type="dxa"/>
          <w:left w:w="0" w:type="dxa"/>
          <w:bottom w:w="0" w:type="dxa"/>
          <w:right w:w="0" w:type="dxa"/>
        </w:tblCellMar>
        <w:tblLook w:val="01E0"/>
      </w:tblPr>
      <w:tblGrid>
        <w:gridCol w:w="3526"/>
        <w:gridCol w:w="2561"/>
        <w:gridCol w:w="2378"/>
      </w:tblGrid>
      <w:tr>
        <w:trPr>
          <w:trHeight w:val="482" w:hRule="exact"/>
        </w:trPr>
        <w:tc>
          <w:tcPr>
            <w:tcW w:w="35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right="26"/>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3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right="26"/>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485" w:hRule="exact"/>
        </w:trPr>
        <w:tc>
          <w:tcPr>
            <w:tcW w:w="35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left="9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right="1"/>
              <w:jc w:val="center"/>
              <w:rPr>
                <w:rFonts w:ascii="Arial" w:hAnsi="Arial" w:cs="Arial" w:eastAsia="Arial" w:hint="default"/>
                <w:sz w:val="18"/>
                <w:szCs w:val="18"/>
              </w:rPr>
            </w:pPr>
            <w:r>
              <w:rPr>
                <w:rFonts w:ascii="Arial"/>
                <w:sz w:val="18"/>
              </w:rPr>
              <w:t>136,692,443.05</w:t>
            </w:r>
          </w:p>
        </w:tc>
        <w:tc>
          <w:tcPr>
            <w:tcW w:w="23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right="0"/>
              <w:jc w:val="center"/>
              <w:rPr>
                <w:rFonts w:ascii="Arial" w:hAnsi="Arial" w:cs="Arial" w:eastAsia="Arial" w:hint="default"/>
                <w:sz w:val="18"/>
                <w:szCs w:val="18"/>
              </w:rPr>
            </w:pPr>
            <w:r>
              <w:rPr>
                <w:rFonts w:ascii="Arial"/>
                <w:sz w:val="18"/>
              </w:rPr>
              <w:t>25,921,085.34</w:t>
            </w:r>
          </w:p>
        </w:tc>
      </w:tr>
      <w:tr>
        <w:trPr>
          <w:trHeight w:val="485" w:hRule="exact"/>
        </w:trPr>
        <w:tc>
          <w:tcPr>
            <w:tcW w:w="35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left="9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right="0"/>
              <w:jc w:val="center"/>
              <w:rPr>
                <w:rFonts w:ascii="Arial" w:hAnsi="Arial" w:cs="Arial" w:eastAsia="Arial" w:hint="default"/>
                <w:sz w:val="18"/>
                <w:szCs w:val="18"/>
              </w:rPr>
            </w:pPr>
            <w:r>
              <w:rPr>
                <w:rFonts w:ascii="Arial"/>
                <w:sz w:val="18"/>
              </w:rPr>
              <w:t>4,587.19</w:t>
            </w:r>
          </w:p>
        </w:tc>
        <w:tc>
          <w:tcPr>
            <w:tcW w:w="23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right="0"/>
              <w:jc w:val="center"/>
              <w:rPr>
                <w:rFonts w:ascii="Arial" w:hAnsi="Arial" w:cs="Arial" w:eastAsia="Arial" w:hint="default"/>
                <w:sz w:val="18"/>
                <w:szCs w:val="18"/>
              </w:rPr>
            </w:pPr>
            <w:r>
              <w:rPr>
                <w:rFonts w:ascii="Arial"/>
                <w:sz w:val="18"/>
              </w:rPr>
              <w:t>19,987.80</w:t>
            </w:r>
          </w:p>
        </w:tc>
      </w:tr>
      <w:tr>
        <w:trPr>
          <w:trHeight w:val="482" w:hRule="exact"/>
        </w:trPr>
        <w:tc>
          <w:tcPr>
            <w:tcW w:w="35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left="395"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right="1"/>
              <w:jc w:val="center"/>
              <w:rPr>
                <w:rFonts w:ascii="Arial" w:hAnsi="Arial" w:cs="Arial" w:eastAsia="Arial" w:hint="default"/>
                <w:sz w:val="18"/>
                <w:szCs w:val="18"/>
              </w:rPr>
            </w:pPr>
            <w:r>
              <w:rPr>
                <w:rFonts w:ascii="Arial"/>
                <w:sz w:val="18"/>
              </w:rPr>
              <w:t>136,687,855.86</w:t>
            </w:r>
          </w:p>
        </w:tc>
        <w:tc>
          <w:tcPr>
            <w:tcW w:w="23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right="0"/>
              <w:jc w:val="center"/>
              <w:rPr>
                <w:rFonts w:ascii="Arial" w:hAnsi="Arial" w:cs="Arial" w:eastAsia="Arial" w:hint="default"/>
                <w:sz w:val="18"/>
                <w:szCs w:val="18"/>
              </w:rPr>
            </w:pPr>
            <w:r>
              <w:rPr>
                <w:rFonts w:ascii="Arial"/>
                <w:sz w:val="18"/>
              </w:rPr>
              <w:t>23,001,097.54</w:t>
            </w:r>
          </w:p>
        </w:tc>
      </w:tr>
      <w:tr>
        <w:trPr>
          <w:trHeight w:val="485" w:hRule="exact"/>
        </w:trPr>
        <w:tc>
          <w:tcPr>
            <w:tcW w:w="35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left="395"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5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right="0"/>
              <w:jc w:val="center"/>
              <w:rPr>
                <w:rFonts w:ascii="Arial" w:hAnsi="Arial" w:cs="Arial" w:eastAsia="Arial" w:hint="default"/>
                <w:sz w:val="18"/>
                <w:szCs w:val="18"/>
              </w:rPr>
            </w:pPr>
            <w:r>
              <w:rPr>
                <w:rFonts w:ascii="Arial"/>
                <w:w w:val="99"/>
                <w:sz w:val="18"/>
              </w:rPr>
              <w:t>-</w:t>
            </w:r>
            <w:r>
              <w:rPr>
                <w:rFonts w:ascii="Arial"/>
                <w:sz w:val="18"/>
              </w:rPr>
            </w:r>
          </w:p>
        </w:tc>
        <w:tc>
          <w:tcPr>
            <w:tcW w:w="23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right="0"/>
              <w:jc w:val="center"/>
              <w:rPr>
                <w:rFonts w:ascii="Arial" w:hAnsi="Arial" w:cs="Arial" w:eastAsia="Arial" w:hint="default"/>
                <w:sz w:val="18"/>
                <w:szCs w:val="18"/>
              </w:rPr>
            </w:pPr>
            <w:r>
              <w:rPr>
                <w:rFonts w:ascii="Arial"/>
                <w:sz w:val="18"/>
              </w:rPr>
              <w:t>2,900,000.00</w:t>
            </w:r>
          </w:p>
        </w:tc>
      </w:tr>
      <w:tr>
        <w:trPr>
          <w:trHeight w:val="485" w:hRule="exact"/>
        </w:trPr>
        <w:tc>
          <w:tcPr>
            <w:tcW w:w="35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left="110"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5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right="0"/>
              <w:jc w:val="center"/>
              <w:rPr>
                <w:rFonts w:ascii="Arial" w:hAnsi="Arial" w:cs="Arial" w:eastAsia="Arial" w:hint="default"/>
                <w:sz w:val="18"/>
                <w:szCs w:val="18"/>
              </w:rPr>
            </w:pPr>
            <w:r>
              <w:rPr>
                <w:rFonts w:ascii="Arial"/>
                <w:w w:val="99"/>
                <w:sz w:val="18"/>
              </w:rPr>
              <w:t>-</w:t>
            </w:r>
            <w:r>
              <w:rPr>
                <w:rFonts w:ascii="Arial"/>
                <w:sz w:val="18"/>
              </w:rPr>
            </w:r>
          </w:p>
        </w:tc>
        <w:tc>
          <w:tcPr>
            <w:tcW w:w="2378" w:type="dxa"/>
            <w:tcBorders>
              <w:top w:val="single" w:sz="12" w:space="0" w:color="000000"/>
              <w:left w:val="single" w:sz="12" w:space="0" w:color="000000"/>
              <w:bottom w:val="single" w:sz="12" w:space="0" w:color="000000"/>
              <w:right w:val="single" w:sz="12" w:space="0" w:color="000000"/>
            </w:tcBorders>
          </w:tcPr>
          <w:p>
            <w:pPr/>
          </w:p>
        </w:tc>
      </w:tr>
      <w:tr>
        <w:trPr>
          <w:trHeight w:val="482" w:hRule="exact"/>
        </w:trPr>
        <w:tc>
          <w:tcPr>
            <w:tcW w:w="35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left="110"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5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right="0"/>
              <w:jc w:val="center"/>
              <w:rPr>
                <w:rFonts w:ascii="Arial" w:hAnsi="Arial" w:cs="Arial" w:eastAsia="Arial" w:hint="default"/>
                <w:sz w:val="18"/>
                <w:szCs w:val="18"/>
              </w:rPr>
            </w:pPr>
            <w:r>
              <w:rPr>
                <w:rFonts w:ascii="Arial"/>
                <w:w w:val="99"/>
                <w:sz w:val="18"/>
              </w:rPr>
              <w:t>-</w:t>
            </w:r>
            <w:r>
              <w:rPr>
                <w:rFonts w:ascii="Arial"/>
                <w:sz w:val="18"/>
              </w:rPr>
            </w:r>
          </w:p>
        </w:tc>
        <w:tc>
          <w:tcPr>
            <w:tcW w:w="23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4"/>
              <w:ind w:right="7"/>
              <w:jc w:val="center"/>
              <w:rPr>
                <w:rFonts w:ascii="Arial" w:hAnsi="Arial" w:cs="Arial" w:eastAsia="Arial" w:hint="default"/>
                <w:sz w:val="18"/>
                <w:szCs w:val="18"/>
              </w:rPr>
            </w:pPr>
            <w:r>
              <w:rPr>
                <w:rFonts w:ascii="Arial"/>
                <w:w w:val="99"/>
                <w:sz w:val="18"/>
              </w:rPr>
              <w:t>-</w:t>
            </w:r>
            <w:r>
              <w:rPr>
                <w:rFonts w:ascii="Arial"/>
                <w:sz w:val="18"/>
              </w:rPr>
            </w:r>
          </w:p>
        </w:tc>
      </w:tr>
      <w:tr>
        <w:trPr>
          <w:trHeight w:val="482" w:hRule="exact"/>
        </w:trPr>
        <w:tc>
          <w:tcPr>
            <w:tcW w:w="35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left="110"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right="1"/>
              <w:jc w:val="center"/>
              <w:rPr>
                <w:rFonts w:ascii="Arial" w:hAnsi="Arial" w:cs="Arial" w:eastAsia="Arial" w:hint="default"/>
                <w:sz w:val="18"/>
                <w:szCs w:val="18"/>
              </w:rPr>
            </w:pPr>
            <w:r>
              <w:rPr>
                <w:rFonts w:ascii="Arial"/>
                <w:sz w:val="18"/>
              </w:rPr>
              <w:t>136,692,443.05</w:t>
            </w:r>
          </w:p>
        </w:tc>
        <w:tc>
          <w:tcPr>
            <w:tcW w:w="23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right="0"/>
              <w:jc w:val="center"/>
              <w:rPr>
                <w:rFonts w:ascii="Arial" w:hAnsi="Arial" w:cs="Arial" w:eastAsia="Arial" w:hint="default"/>
                <w:sz w:val="18"/>
                <w:szCs w:val="18"/>
              </w:rPr>
            </w:pPr>
            <w:r>
              <w:rPr>
                <w:rFonts w:ascii="Arial"/>
                <w:sz w:val="18"/>
              </w:rPr>
              <w:t>25,921,085.34</w:t>
            </w:r>
          </w:p>
        </w:tc>
      </w:tr>
    </w:tbl>
    <w:p>
      <w:pPr>
        <w:spacing w:line="240" w:lineRule="auto" w:before="1"/>
        <w:rPr>
          <w:rFonts w:ascii="宋体" w:hAnsi="宋体" w:cs="宋体" w:eastAsia="宋体" w:hint="default"/>
          <w:sz w:val="24"/>
          <w:szCs w:val="24"/>
        </w:rPr>
      </w:pPr>
    </w:p>
    <w:p>
      <w:pPr>
        <w:pStyle w:val="BodyText"/>
        <w:spacing w:line="240" w:lineRule="auto"/>
        <w:ind w:left="237" w:right="0"/>
        <w:jc w:val="left"/>
      </w:pPr>
      <w:r>
        <w:rPr/>
        <w:t>注：现金和现金等价物不含母公司下列使用受限制的现金和现金等价物：</w:t>
      </w:r>
    </w:p>
    <w:p>
      <w:pPr>
        <w:spacing w:line="240" w:lineRule="auto" w:before="5"/>
        <w:rPr>
          <w:rFonts w:ascii="宋体" w:hAnsi="宋体" w:cs="宋体" w:eastAsia="宋体" w:hint="default"/>
          <w:sz w:val="13"/>
          <w:szCs w:val="13"/>
        </w:rPr>
      </w:pPr>
    </w:p>
    <w:tbl>
      <w:tblPr>
        <w:tblW w:w="0" w:type="auto"/>
        <w:jc w:val="left"/>
        <w:tblInd w:w="115" w:type="dxa"/>
        <w:tblLayout w:type="fixed"/>
        <w:tblCellMar>
          <w:top w:w="0" w:type="dxa"/>
          <w:left w:w="0" w:type="dxa"/>
          <w:bottom w:w="0" w:type="dxa"/>
          <w:right w:w="0" w:type="dxa"/>
        </w:tblCellMar>
        <w:tblLook w:val="01E0"/>
      </w:tblPr>
      <w:tblGrid>
        <w:gridCol w:w="3785"/>
        <w:gridCol w:w="2443"/>
        <w:gridCol w:w="2462"/>
      </w:tblGrid>
      <w:tr>
        <w:trPr>
          <w:trHeight w:val="454" w:hRule="exact"/>
        </w:trPr>
        <w:tc>
          <w:tcPr>
            <w:tcW w:w="37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5"/>
              <w:ind w:right="24"/>
              <w:jc w:val="center"/>
              <w:rPr>
                <w:rFonts w:ascii="宋体" w:hAnsi="宋体" w:cs="宋体" w:eastAsia="宋体" w:hint="default"/>
                <w:sz w:val="18"/>
                <w:szCs w:val="18"/>
              </w:rPr>
            </w:pPr>
            <w:r>
              <w:rPr>
                <w:rFonts w:ascii="宋体" w:hAnsi="宋体" w:cs="宋体" w:eastAsia="宋体" w:hint="default"/>
                <w:sz w:val="18"/>
                <w:szCs w:val="18"/>
              </w:rPr>
              <w:t>项目</w:t>
            </w:r>
          </w:p>
        </w:tc>
        <w:tc>
          <w:tcPr>
            <w:tcW w:w="24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5"/>
              <w:ind w:right="24"/>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4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5"/>
              <w:ind w:right="24"/>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454" w:hRule="exact"/>
        </w:trPr>
        <w:tc>
          <w:tcPr>
            <w:tcW w:w="37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5"/>
              <w:ind w:right="26"/>
              <w:jc w:val="center"/>
              <w:rPr>
                <w:rFonts w:ascii="宋体" w:hAnsi="宋体" w:cs="宋体" w:eastAsia="宋体" w:hint="default"/>
                <w:sz w:val="18"/>
                <w:szCs w:val="18"/>
              </w:rPr>
            </w:pPr>
            <w:r>
              <w:rPr>
                <w:rFonts w:ascii="宋体" w:hAnsi="宋体" w:cs="宋体" w:eastAsia="宋体" w:hint="default"/>
                <w:sz w:val="18"/>
                <w:szCs w:val="18"/>
              </w:rPr>
              <w:t>半年期定期存款</w:t>
            </w:r>
          </w:p>
        </w:tc>
        <w:tc>
          <w:tcPr>
            <w:tcW w:w="24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0"/>
              <w:jc w:val="center"/>
              <w:rPr>
                <w:rFonts w:ascii="Arial" w:hAnsi="Arial" w:cs="Arial" w:eastAsia="Arial" w:hint="default"/>
                <w:sz w:val="18"/>
                <w:szCs w:val="18"/>
              </w:rPr>
            </w:pPr>
            <w:r>
              <w:rPr>
                <w:rFonts w:ascii="Arial"/>
                <w:sz w:val="18"/>
              </w:rPr>
              <w:t>201,980,000.00</w:t>
            </w:r>
          </w:p>
        </w:tc>
        <w:tc>
          <w:tcPr>
            <w:tcW w:w="24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7"/>
              <w:ind w:right="0"/>
              <w:jc w:val="center"/>
              <w:rPr>
                <w:rFonts w:ascii="Arial" w:hAnsi="Arial" w:cs="Arial" w:eastAsia="Arial" w:hint="default"/>
                <w:sz w:val="18"/>
                <w:szCs w:val="18"/>
              </w:rPr>
            </w:pPr>
            <w:r>
              <w:rPr>
                <w:rFonts w:ascii="Arial"/>
                <w:w w:val="99"/>
                <w:sz w:val="18"/>
              </w:rPr>
              <w:t>-</w:t>
            </w:r>
            <w:r>
              <w:rPr>
                <w:rFonts w:ascii="Arial"/>
                <w:sz w:val="18"/>
              </w:rPr>
            </w:r>
          </w:p>
        </w:tc>
      </w:tr>
    </w:tbl>
    <w:p>
      <w:pPr>
        <w:spacing w:line="240" w:lineRule="auto" w:before="12"/>
        <w:rPr>
          <w:rFonts w:ascii="宋体" w:hAnsi="宋体" w:cs="宋体" w:eastAsia="宋体" w:hint="default"/>
          <w:sz w:val="23"/>
          <w:szCs w:val="23"/>
        </w:rPr>
      </w:pPr>
    </w:p>
    <w:p>
      <w:pPr>
        <w:pStyle w:val="BodyText"/>
        <w:spacing w:line="240" w:lineRule="auto"/>
        <w:ind w:left="237" w:right="0"/>
        <w:jc w:val="left"/>
      </w:pPr>
      <w:r>
        <w:rPr>
          <w:rFonts w:ascii="Arial" w:hAnsi="Arial" w:cs="Arial" w:eastAsia="Arial" w:hint="default"/>
        </w:rPr>
        <w:t>13</w:t>
      </w:r>
      <w:r>
        <w:rPr>
          <w:rFonts w:ascii="Arial" w:hAnsi="Arial" w:cs="Arial" w:eastAsia="Arial" w:hint="default"/>
          <w:spacing w:val="-5"/>
        </w:rPr>
        <w:t> </w:t>
      </w:r>
      <w:r>
        <w:rPr/>
        <w:t>补充资料</w:t>
      </w:r>
    </w:p>
    <w:p>
      <w:pPr>
        <w:pStyle w:val="BodyText"/>
        <w:spacing w:line="240" w:lineRule="auto" w:before="123"/>
        <w:ind w:left="237" w:right="0"/>
        <w:jc w:val="left"/>
      </w:pPr>
      <w:r>
        <w:rPr>
          <w:rFonts w:ascii="Arial" w:hAnsi="Arial" w:cs="Arial" w:eastAsia="Arial" w:hint="default"/>
        </w:rPr>
        <w:t>13.1</w:t>
      </w:r>
      <w:r>
        <w:rPr>
          <w:rFonts w:ascii="Arial" w:hAnsi="Arial" w:cs="Arial" w:eastAsia="Arial" w:hint="default"/>
          <w:spacing w:val="-9"/>
        </w:rPr>
        <w:t> </w:t>
      </w:r>
      <w:r>
        <w:rPr/>
        <w:t>当期非经常性损益明细表</w:t>
      </w:r>
    </w:p>
    <w:p>
      <w:pPr>
        <w:spacing w:after="0" w:line="240" w:lineRule="auto"/>
        <w:jc w:val="left"/>
        <w:sectPr>
          <w:pgSz w:w="11900" w:h="16840"/>
          <w:pgMar w:header="0" w:footer="983" w:top="1100" w:bottom="1180" w:left="1560" w:right="1320"/>
        </w:sectPr>
      </w:pPr>
    </w:p>
    <w:p>
      <w:pPr>
        <w:spacing w:line="240" w:lineRule="auto" w:before="8"/>
        <w:rPr>
          <w:rFonts w:ascii="宋体" w:hAnsi="宋体" w:cs="宋体" w:eastAsia="宋体" w:hint="default"/>
          <w:sz w:val="24"/>
          <w:szCs w:val="24"/>
        </w:rPr>
      </w:pPr>
    </w:p>
    <w:tbl>
      <w:tblPr>
        <w:tblW w:w="0" w:type="auto"/>
        <w:jc w:val="left"/>
        <w:tblInd w:w="135" w:type="dxa"/>
        <w:tblLayout w:type="fixed"/>
        <w:tblCellMar>
          <w:top w:w="0" w:type="dxa"/>
          <w:left w:w="0" w:type="dxa"/>
          <w:bottom w:w="0" w:type="dxa"/>
          <w:right w:w="0" w:type="dxa"/>
        </w:tblCellMar>
        <w:tblLook w:val="01E0"/>
      </w:tblPr>
      <w:tblGrid>
        <w:gridCol w:w="5237"/>
        <w:gridCol w:w="1970"/>
        <w:gridCol w:w="1409"/>
      </w:tblGrid>
      <w:tr>
        <w:trPr>
          <w:trHeight w:val="485" w:hRule="exact"/>
        </w:trPr>
        <w:tc>
          <w:tcPr>
            <w:tcW w:w="52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年度</w:t>
            </w:r>
          </w:p>
        </w:tc>
        <w:tc>
          <w:tcPr>
            <w:tcW w:w="14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82" w:hRule="exact"/>
        </w:trPr>
        <w:tc>
          <w:tcPr>
            <w:tcW w:w="52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非流动性资产处置损益，包括已计提资产减值准备的冲销部分</w:t>
            </w:r>
          </w:p>
        </w:tc>
        <w:tc>
          <w:tcPr>
            <w:tcW w:w="19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left="1" w:right="0"/>
              <w:jc w:val="center"/>
              <w:rPr>
                <w:rFonts w:ascii="Arial" w:hAnsi="Arial" w:cs="Arial" w:eastAsia="Arial" w:hint="default"/>
                <w:sz w:val="18"/>
                <w:szCs w:val="18"/>
              </w:rPr>
            </w:pPr>
            <w:r>
              <w:rPr>
                <w:rFonts w:ascii="Arial"/>
                <w:sz w:val="18"/>
              </w:rPr>
              <w:t>-74,241.50</w:t>
            </w:r>
          </w:p>
        </w:tc>
        <w:tc>
          <w:tcPr>
            <w:tcW w:w="1409" w:type="dxa"/>
            <w:tcBorders>
              <w:top w:val="single" w:sz="12" w:space="0" w:color="000000"/>
              <w:left w:val="single" w:sz="12" w:space="0" w:color="000000"/>
              <w:bottom w:val="single" w:sz="12" w:space="0" w:color="000000"/>
              <w:right w:val="single" w:sz="12" w:space="0" w:color="000000"/>
            </w:tcBorders>
          </w:tcPr>
          <w:p>
            <w:pPr/>
          </w:p>
        </w:tc>
      </w:tr>
      <w:tr>
        <w:trPr>
          <w:trHeight w:val="485" w:hRule="exact"/>
        </w:trPr>
        <w:tc>
          <w:tcPr>
            <w:tcW w:w="52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越权审批，或无正式批准文件，或偶发性的税收返还、减免</w:t>
            </w:r>
          </w:p>
        </w:tc>
        <w:tc>
          <w:tcPr>
            <w:tcW w:w="19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left="1" w:right="0"/>
              <w:jc w:val="center"/>
              <w:rPr>
                <w:rFonts w:ascii="Arial" w:hAnsi="Arial" w:cs="Arial" w:eastAsia="Arial" w:hint="default"/>
                <w:sz w:val="18"/>
                <w:szCs w:val="18"/>
              </w:rPr>
            </w:pPr>
            <w:r>
              <w:rPr>
                <w:rFonts w:ascii="Arial"/>
                <w:sz w:val="18"/>
              </w:rPr>
              <w:t>210,360.00</w:t>
            </w:r>
          </w:p>
        </w:tc>
        <w:tc>
          <w:tcPr>
            <w:tcW w:w="1409" w:type="dxa"/>
            <w:tcBorders>
              <w:top w:val="single" w:sz="12" w:space="0" w:color="000000"/>
              <w:left w:val="single" w:sz="12" w:space="0" w:color="000000"/>
              <w:bottom w:val="single" w:sz="12" w:space="0" w:color="000000"/>
              <w:right w:val="single" w:sz="12" w:space="0" w:color="000000"/>
            </w:tcBorders>
          </w:tcPr>
          <w:p>
            <w:pPr/>
          </w:p>
        </w:tc>
      </w:tr>
      <w:tr>
        <w:trPr>
          <w:trHeight w:val="941" w:hRule="exact"/>
        </w:trPr>
        <w:tc>
          <w:tcPr>
            <w:tcW w:w="5237"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计入当期损益的政府补助，但与公司正常经营业务密切相关，符</w:t>
            </w:r>
          </w:p>
          <w:p>
            <w:pPr>
              <w:pStyle w:val="TableParagraph"/>
              <w:spacing w:line="309" w:lineRule="auto" w:before="67"/>
              <w:ind w:left="93" w:right="91"/>
              <w:jc w:val="left"/>
              <w:rPr>
                <w:rFonts w:ascii="宋体" w:hAnsi="宋体" w:cs="宋体" w:eastAsia="宋体" w:hint="default"/>
                <w:sz w:val="18"/>
                <w:szCs w:val="18"/>
              </w:rPr>
            </w:pPr>
            <w:r>
              <w:rPr>
                <w:rFonts w:ascii="宋体" w:hAnsi="宋体" w:cs="宋体" w:eastAsia="宋体" w:hint="default"/>
                <w:sz w:val="18"/>
                <w:szCs w:val="18"/>
              </w:rPr>
              <w:t>合国家政策规定、按照一定标准定额或定量持续享受的政府补助</w:t>
            </w:r>
            <w:r>
              <w:rPr>
                <w:rFonts w:ascii="宋体" w:hAnsi="宋体" w:cs="宋体" w:eastAsia="宋体" w:hint="default"/>
                <w:w w:val="99"/>
                <w:sz w:val="18"/>
                <w:szCs w:val="18"/>
              </w:rPr>
              <w:t> </w:t>
            </w:r>
            <w:r>
              <w:rPr>
                <w:rFonts w:ascii="宋体" w:hAnsi="宋体" w:cs="宋体" w:eastAsia="宋体" w:hint="default"/>
                <w:sz w:val="18"/>
                <w:szCs w:val="18"/>
              </w:rPr>
              <w:t>除外</w:t>
            </w:r>
          </w:p>
        </w:tc>
        <w:tc>
          <w:tcPr>
            <w:tcW w:w="19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Arial" w:hAnsi="Arial" w:cs="Arial" w:eastAsia="Arial" w:hint="default"/>
                <w:sz w:val="18"/>
                <w:szCs w:val="18"/>
              </w:rPr>
            </w:pPr>
            <w:r>
              <w:rPr>
                <w:rFonts w:ascii="Arial"/>
                <w:sz w:val="18"/>
              </w:rPr>
              <w:t>8,453,700.00</w:t>
            </w:r>
          </w:p>
        </w:tc>
        <w:tc>
          <w:tcPr>
            <w:tcW w:w="1409" w:type="dxa"/>
            <w:tcBorders>
              <w:top w:val="single" w:sz="12" w:space="0" w:color="000000"/>
              <w:left w:val="single" w:sz="12" w:space="0" w:color="000000"/>
              <w:bottom w:val="single" w:sz="12" w:space="0" w:color="000000"/>
              <w:right w:val="single" w:sz="12" w:space="0" w:color="000000"/>
            </w:tcBorders>
          </w:tcPr>
          <w:p>
            <w:pPr/>
          </w:p>
        </w:tc>
      </w:tr>
      <w:tr>
        <w:trPr>
          <w:trHeight w:val="1243" w:hRule="exact"/>
        </w:trPr>
        <w:tc>
          <w:tcPr>
            <w:tcW w:w="5237"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93" w:right="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w:t>
            </w:r>
          </w:p>
          <w:p>
            <w:pPr>
              <w:pStyle w:val="TableParagraph"/>
              <w:spacing w:line="309" w:lineRule="auto" w:before="67"/>
              <w:ind w:left="93" w:right="91"/>
              <w:jc w:val="both"/>
              <w:rPr>
                <w:rFonts w:ascii="宋体" w:hAnsi="宋体" w:cs="宋体" w:eastAsia="宋体" w:hint="default"/>
                <w:sz w:val="18"/>
                <w:szCs w:val="18"/>
              </w:rPr>
            </w:pPr>
            <w:r>
              <w:rPr>
                <w:rFonts w:ascii="宋体" w:hAnsi="宋体" w:cs="宋体" w:eastAsia="宋体" w:hint="default"/>
                <w:sz w:val="18"/>
                <w:szCs w:val="18"/>
              </w:rPr>
              <w:t>金融资产、交易性金融负债产生的公允价值变动损益，以及处置</w:t>
            </w:r>
            <w:r>
              <w:rPr>
                <w:rFonts w:ascii="宋体" w:hAnsi="宋体" w:cs="宋体" w:eastAsia="宋体" w:hint="default"/>
                <w:w w:val="99"/>
                <w:sz w:val="18"/>
                <w:szCs w:val="18"/>
              </w:rPr>
              <w:t> </w:t>
            </w:r>
            <w:r>
              <w:rPr>
                <w:rFonts w:ascii="宋体" w:hAnsi="宋体" w:cs="宋体" w:eastAsia="宋体" w:hint="default"/>
                <w:sz w:val="18"/>
                <w:szCs w:val="18"/>
              </w:rPr>
              <w:t>交易性金融资产、交易性金融负债和可供出售金融资产取得的投</w:t>
            </w:r>
            <w:r>
              <w:rPr>
                <w:rFonts w:ascii="宋体" w:hAnsi="宋体" w:cs="宋体" w:eastAsia="宋体" w:hint="default"/>
                <w:w w:val="99"/>
                <w:sz w:val="18"/>
                <w:szCs w:val="18"/>
              </w:rPr>
              <w:t> </w:t>
            </w:r>
            <w:r>
              <w:rPr>
                <w:rFonts w:ascii="宋体" w:hAnsi="宋体" w:cs="宋体" w:eastAsia="宋体" w:hint="default"/>
                <w:sz w:val="18"/>
                <w:szCs w:val="18"/>
              </w:rPr>
              <w:t>资收益</w:t>
            </w:r>
          </w:p>
        </w:tc>
        <w:tc>
          <w:tcPr>
            <w:tcW w:w="19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25,583.34</w:t>
            </w:r>
          </w:p>
        </w:tc>
        <w:tc>
          <w:tcPr>
            <w:tcW w:w="1409" w:type="dxa"/>
            <w:tcBorders>
              <w:top w:val="single" w:sz="12" w:space="0" w:color="000000"/>
              <w:left w:val="single" w:sz="12" w:space="0" w:color="000000"/>
              <w:bottom w:val="single" w:sz="12" w:space="0" w:color="000000"/>
              <w:right w:val="single" w:sz="12" w:space="0" w:color="000000"/>
            </w:tcBorders>
          </w:tcPr>
          <w:p>
            <w:pPr/>
          </w:p>
        </w:tc>
      </w:tr>
      <w:tr>
        <w:trPr>
          <w:trHeight w:val="485" w:hRule="exact"/>
        </w:trPr>
        <w:tc>
          <w:tcPr>
            <w:tcW w:w="52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除上述各项之外的其他营业收外收入和支出</w:t>
            </w:r>
          </w:p>
        </w:tc>
        <w:tc>
          <w:tcPr>
            <w:tcW w:w="19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left="1" w:right="0"/>
              <w:jc w:val="center"/>
              <w:rPr>
                <w:rFonts w:ascii="Arial" w:hAnsi="Arial" w:cs="Arial" w:eastAsia="Arial" w:hint="default"/>
                <w:sz w:val="18"/>
                <w:szCs w:val="18"/>
              </w:rPr>
            </w:pPr>
            <w:r>
              <w:rPr>
                <w:rFonts w:ascii="Arial"/>
                <w:sz w:val="18"/>
              </w:rPr>
              <w:t>-1,117,109.63</w:t>
            </w:r>
          </w:p>
        </w:tc>
        <w:tc>
          <w:tcPr>
            <w:tcW w:w="1409" w:type="dxa"/>
            <w:tcBorders>
              <w:top w:val="single" w:sz="12" w:space="0" w:color="000000"/>
              <w:left w:val="single" w:sz="12" w:space="0" w:color="000000"/>
              <w:bottom w:val="single" w:sz="12" w:space="0" w:color="000000"/>
              <w:right w:val="single" w:sz="12" w:space="0" w:color="000000"/>
            </w:tcBorders>
          </w:tcPr>
          <w:p>
            <w:pPr/>
          </w:p>
        </w:tc>
      </w:tr>
      <w:tr>
        <w:trPr>
          <w:trHeight w:val="482" w:hRule="exact"/>
        </w:trPr>
        <w:tc>
          <w:tcPr>
            <w:tcW w:w="52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left="93" w:right="0"/>
              <w:jc w:val="left"/>
              <w:rPr>
                <w:rFonts w:ascii="宋体" w:hAnsi="宋体" w:cs="宋体" w:eastAsia="宋体" w:hint="default"/>
                <w:sz w:val="18"/>
                <w:szCs w:val="18"/>
              </w:rPr>
            </w:pPr>
            <w:r>
              <w:rPr>
                <w:rFonts w:ascii="宋体" w:hAnsi="宋体" w:cs="宋体" w:eastAsia="宋体" w:hint="default"/>
                <w:sz w:val="18"/>
                <w:szCs w:val="18"/>
              </w:rPr>
              <w:t>扣除所得税影响</w:t>
            </w:r>
          </w:p>
        </w:tc>
        <w:tc>
          <w:tcPr>
            <w:tcW w:w="19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1,438,964.71</w:t>
            </w:r>
          </w:p>
        </w:tc>
        <w:tc>
          <w:tcPr>
            <w:tcW w:w="1409" w:type="dxa"/>
            <w:tcBorders>
              <w:top w:val="single" w:sz="12" w:space="0" w:color="000000"/>
              <w:left w:val="single" w:sz="12" w:space="0" w:color="000000"/>
              <w:bottom w:val="single" w:sz="12" w:space="0" w:color="000000"/>
              <w:right w:val="single" w:sz="12" w:space="0" w:color="000000"/>
            </w:tcBorders>
          </w:tcPr>
          <w:p>
            <w:pPr/>
          </w:p>
        </w:tc>
      </w:tr>
      <w:tr>
        <w:trPr>
          <w:trHeight w:val="485" w:hRule="exact"/>
        </w:trPr>
        <w:tc>
          <w:tcPr>
            <w:tcW w:w="52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left="93" w:right="0"/>
              <w:jc w:val="left"/>
              <w:rPr>
                <w:rFonts w:ascii="宋体" w:hAnsi="宋体" w:cs="宋体" w:eastAsia="宋体" w:hint="default"/>
                <w:sz w:val="18"/>
                <w:szCs w:val="18"/>
              </w:rPr>
            </w:pPr>
            <w:r>
              <w:rPr>
                <w:rFonts w:ascii="宋体" w:hAnsi="宋体" w:cs="宋体" w:eastAsia="宋体" w:hint="default"/>
                <w:sz w:val="18"/>
                <w:szCs w:val="18"/>
              </w:rPr>
              <w:t>扣除少数股东权益影响额（税后）</w:t>
            </w:r>
          </w:p>
        </w:tc>
        <w:tc>
          <w:tcPr>
            <w:tcW w:w="19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w:t>
            </w:r>
            <w:r>
              <w:rPr>
                <w:rFonts w:ascii="Arial"/>
                <w:sz w:val="18"/>
              </w:rPr>
            </w:r>
          </w:p>
        </w:tc>
        <w:tc>
          <w:tcPr>
            <w:tcW w:w="1409" w:type="dxa"/>
            <w:tcBorders>
              <w:top w:val="single" w:sz="12" w:space="0" w:color="000000"/>
              <w:left w:val="single" w:sz="12" w:space="0" w:color="000000"/>
              <w:bottom w:val="single" w:sz="12" w:space="0" w:color="000000"/>
              <w:right w:val="single" w:sz="12" w:space="0" w:color="000000"/>
            </w:tcBorders>
          </w:tcPr>
          <w:p>
            <w:pPr/>
          </w:p>
        </w:tc>
      </w:tr>
      <w:tr>
        <w:trPr>
          <w:trHeight w:val="482" w:hRule="exact"/>
        </w:trPr>
        <w:tc>
          <w:tcPr>
            <w:tcW w:w="52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6,059,327.50</w:t>
            </w:r>
          </w:p>
        </w:tc>
        <w:tc>
          <w:tcPr>
            <w:tcW w:w="1409" w:type="dxa"/>
            <w:tcBorders>
              <w:top w:val="single" w:sz="12" w:space="0" w:color="000000"/>
              <w:left w:val="single" w:sz="12" w:space="0" w:color="000000"/>
              <w:bottom w:val="single" w:sz="12" w:space="0" w:color="000000"/>
              <w:right w:val="single" w:sz="12" w:space="0" w:color="000000"/>
            </w:tcBorders>
          </w:tcPr>
          <w:p>
            <w:pPr/>
          </w:p>
        </w:tc>
      </w:tr>
    </w:tbl>
    <w:p>
      <w:pPr>
        <w:spacing w:line="240" w:lineRule="auto" w:before="12"/>
        <w:rPr>
          <w:rFonts w:ascii="宋体" w:hAnsi="宋体" w:cs="宋体" w:eastAsia="宋体" w:hint="default"/>
          <w:sz w:val="23"/>
          <w:szCs w:val="23"/>
        </w:rPr>
      </w:pPr>
    </w:p>
    <w:p>
      <w:pPr>
        <w:pStyle w:val="BodyText"/>
        <w:spacing w:line="240" w:lineRule="auto"/>
        <w:ind w:right="137"/>
        <w:jc w:val="left"/>
      </w:pPr>
      <w:r>
        <w:rPr>
          <w:rFonts w:ascii="Arial" w:hAnsi="Arial" w:cs="Arial" w:eastAsia="Arial" w:hint="default"/>
        </w:rPr>
        <w:t>13.2</w:t>
      </w:r>
      <w:r>
        <w:rPr>
          <w:rFonts w:ascii="Arial" w:hAnsi="Arial" w:cs="Arial" w:eastAsia="Arial" w:hint="default"/>
          <w:spacing w:val="-9"/>
        </w:rPr>
        <w:t> </w:t>
      </w:r>
      <w:r>
        <w:rPr/>
        <w:t>净资产收益率及每股收益</w:t>
      </w:r>
    </w:p>
    <w:p>
      <w:pPr>
        <w:spacing w:line="240" w:lineRule="auto" w:before="5"/>
        <w:rPr>
          <w:rFonts w:ascii="宋体" w:hAnsi="宋体" w:cs="宋体" w:eastAsia="宋体" w:hint="default"/>
          <w:sz w:val="12"/>
          <w:szCs w:val="12"/>
        </w:rPr>
      </w:pPr>
    </w:p>
    <w:tbl>
      <w:tblPr>
        <w:tblW w:w="0" w:type="auto"/>
        <w:jc w:val="left"/>
        <w:tblInd w:w="204" w:type="dxa"/>
        <w:tblLayout w:type="fixed"/>
        <w:tblCellMar>
          <w:top w:w="0" w:type="dxa"/>
          <w:left w:w="0" w:type="dxa"/>
          <w:bottom w:w="0" w:type="dxa"/>
          <w:right w:w="0" w:type="dxa"/>
        </w:tblCellMar>
        <w:tblLook w:val="01E0"/>
      </w:tblPr>
      <w:tblGrid>
        <w:gridCol w:w="3794"/>
        <w:gridCol w:w="1454"/>
        <w:gridCol w:w="1690"/>
        <w:gridCol w:w="1538"/>
      </w:tblGrid>
      <w:tr>
        <w:trPr>
          <w:trHeight w:val="482" w:hRule="exact"/>
        </w:trPr>
        <w:tc>
          <w:tcPr>
            <w:tcW w:w="3794" w:type="dxa"/>
            <w:vMerge w:val="restart"/>
            <w:tcBorders>
              <w:top w:val="single" w:sz="12" w:space="0" w:color="000000"/>
              <w:left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报告期净利润</w:t>
            </w:r>
          </w:p>
        </w:tc>
        <w:tc>
          <w:tcPr>
            <w:tcW w:w="1454" w:type="dxa"/>
            <w:vMerge w:val="restart"/>
            <w:tcBorders>
              <w:top w:val="single" w:sz="12" w:space="0" w:color="000000"/>
              <w:left w:val="single" w:sz="12" w:space="0" w:color="000000"/>
              <w:right w:val="single" w:sz="12" w:space="0" w:color="000000"/>
            </w:tcBorders>
          </w:tcPr>
          <w:p>
            <w:pPr>
              <w:pStyle w:val="TableParagraph"/>
              <w:spacing w:line="307" w:lineRule="auto" w:before="121"/>
              <w:ind w:left="211" w:right="173" w:hanging="41"/>
              <w:jc w:val="left"/>
              <w:rPr>
                <w:rFonts w:ascii="Arial" w:hAnsi="Arial" w:cs="Arial" w:eastAsia="Arial" w:hint="default"/>
                <w:sz w:val="18"/>
                <w:szCs w:val="18"/>
              </w:rPr>
            </w:pPr>
            <w:r>
              <w:rPr>
                <w:rFonts w:ascii="宋体" w:hAnsi="宋体" w:cs="宋体" w:eastAsia="宋体" w:hint="default"/>
                <w:sz w:val="18"/>
                <w:szCs w:val="18"/>
              </w:rPr>
              <w:t>加权平均净资</w:t>
            </w:r>
            <w:r>
              <w:rPr>
                <w:rFonts w:ascii="宋体" w:hAnsi="宋体" w:cs="宋体" w:eastAsia="宋体" w:hint="default"/>
                <w:w w:val="99"/>
                <w:sz w:val="18"/>
                <w:szCs w:val="18"/>
              </w:rPr>
              <w:t> </w:t>
            </w:r>
            <w:r>
              <w:rPr>
                <w:rFonts w:ascii="宋体" w:hAnsi="宋体" w:cs="宋体" w:eastAsia="宋体" w:hint="default"/>
                <w:sz w:val="18"/>
                <w:szCs w:val="18"/>
              </w:rPr>
              <w:t>产收益率</w:t>
            </w:r>
            <w:r>
              <w:rPr>
                <w:rFonts w:ascii="Arial" w:hAnsi="Arial" w:cs="Arial" w:eastAsia="Arial" w:hint="default"/>
                <w:sz w:val="18"/>
                <w:szCs w:val="18"/>
              </w:rPr>
              <w:t>(%)</w:t>
            </w:r>
          </w:p>
        </w:tc>
        <w:tc>
          <w:tcPr>
            <w:tcW w:w="3228"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85" w:hRule="exact"/>
        </w:trPr>
        <w:tc>
          <w:tcPr>
            <w:tcW w:w="3794" w:type="dxa"/>
            <w:vMerge/>
            <w:tcBorders>
              <w:left w:val="single" w:sz="12" w:space="0" w:color="000000"/>
              <w:bottom w:val="single" w:sz="12" w:space="0" w:color="000000"/>
              <w:right w:val="single" w:sz="12" w:space="0" w:color="000000"/>
            </w:tcBorders>
          </w:tcPr>
          <w:p>
            <w:pPr/>
          </w:p>
        </w:tc>
        <w:tc>
          <w:tcPr>
            <w:tcW w:w="1454" w:type="dxa"/>
            <w:vMerge/>
            <w:tcBorders>
              <w:left w:val="single" w:sz="12" w:space="0" w:color="000000"/>
              <w:bottom w:val="single" w:sz="12" w:space="0" w:color="000000"/>
              <w:right w:val="single" w:sz="12" w:space="0" w:color="000000"/>
            </w:tcBorders>
          </w:tcPr>
          <w:p>
            <w:pPr/>
          </w:p>
        </w:tc>
        <w:tc>
          <w:tcPr>
            <w:tcW w:w="16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5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485" w:hRule="exact"/>
        </w:trPr>
        <w:tc>
          <w:tcPr>
            <w:tcW w:w="37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1"/>
              <w:ind w:right="3"/>
              <w:jc w:val="center"/>
              <w:rPr>
                <w:rFonts w:ascii="Arial" w:hAnsi="Arial" w:cs="Arial" w:eastAsia="Arial" w:hint="default"/>
                <w:sz w:val="18"/>
                <w:szCs w:val="18"/>
              </w:rPr>
            </w:pPr>
            <w:r>
              <w:rPr>
                <w:rFonts w:ascii="Arial"/>
                <w:sz w:val="18"/>
              </w:rPr>
              <w:t>5.04%</w:t>
            </w:r>
          </w:p>
        </w:tc>
        <w:tc>
          <w:tcPr>
            <w:tcW w:w="16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0.2765</w:t>
            </w:r>
          </w:p>
        </w:tc>
        <w:tc>
          <w:tcPr>
            <w:tcW w:w="15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0.2765</w:t>
            </w:r>
          </w:p>
        </w:tc>
      </w:tr>
      <w:tr>
        <w:trPr>
          <w:trHeight w:val="636" w:hRule="exact"/>
        </w:trPr>
        <w:tc>
          <w:tcPr>
            <w:tcW w:w="3794" w:type="dxa"/>
            <w:tcBorders>
              <w:top w:val="single" w:sz="12" w:space="0" w:color="000000"/>
              <w:left w:val="single" w:sz="12" w:space="0" w:color="000000"/>
              <w:bottom w:val="single" w:sz="12" w:space="0" w:color="000000"/>
              <w:right w:val="single" w:sz="12"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spacing w:val="8"/>
                <w:sz w:val="18"/>
                <w:szCs w:val="18"/>
              </w:rPr>
              <w:t>扣除非经常性损益后归属于公司普通股股东</w:t>
            </w:r>
          </w:p>
          <w:p>
            <w:pPr>
              <w:pStyle w:val="TableParagraph"/>
              <w:spacing w:line="240" w:lineRule="auto" w:before="67"/>
              <w:ind w:left="93" w:right="0"/>
              <w:jc w:val="left"/>
              <w:rPr>
                <w:rFonts w:ascii="宋体" w:hAnsi="宋体" w:cs="宋体" w:eastAsia="宋体" w:hint="default"/>
                <w:sz w:val="18"/>
                <w:szCs w:val="18"/>
              </w:rPr>
            </w:pPr>
            <w:r>
              <w:rPr>
                <w:rFonts w:ascii="宋体" w:hAnsi="宋体" w:cs="宋体" w:eastAsia="宋体" w:hint="default"/>
                <w:sz w:val="18"/>
                <w:szCs w:val="18"/>
              </w:rPr>
              <w:t>的净利润</w:t>
            </w:r>
          </w:p>
        </w:tc>
        <w:tc>
          <w:tcPr>
            <w:tcW w:w="14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3"/>
              <w:jc w:val="center"/>
              <w:rPr>
                <w:rFonts w:ascii="Arial" w:hAnsi="Arial" w:cs="Arial" w:eastAsia="Arial" w:hint="default"/>
                <w:sz w:val="18"/>
                <w:szCs w:val="18"/>
              </w:rPr>
            </w:pPr>
            <w:r>
              <w:rPr>
                <w:rFonts w:ascii="Arial"/>
                <w:sz w:val="18"/>
              </w:rPr>
              <w:t>3.91%</w:t>
            </w:r>
          </w:p>
        </w:tc>
        <w:tc>
          <w:tcPr>
            <w:tcW w:w="16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Arial" w:hAnsi="Arial" w:cs="Arial" w:eastAsia="Arial" w:hint="default"/>
                <w:sz w:val="18"/>
                <w:szCs w:val="18"/>
              </w:rPr>
            </w:pPr>
            <w:r>
              <w:rPr>
                <w:rFonts w:ascii="Arial"/>
                <w:sz w:val="18"/>
              </w:rPr>
              <w:t>0.2147</w:t>
            </w:r>
          </w:p>
        </w:tc>
        <w:tc>
          <w:tcPr>
            <w:tcW w:w="15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center"/>
              <w:rPr>
                <w:rFonts w:ascii="Arial" w:hAnsi="Arial" w:cs="Arial" w:eastAsia="Arial" w:hint="default"/>
                <w:sz w:val="18"/>
                <w:szCs w:val="18"/>
              </w:rPr>
            </w:pPr>
            <w:r>
              <w:rPr>
                <w:rFonts w:ascii="Arial"/>
                <w:sz w:val="18"/>
              </w:rPr>
              <w:t>0.2147</w:t>
            </w:r>
          </w:p>
        </w:tc>
      </w:tr>
    </w:tbl>
    <w:p>
      <w:pPr>
        <w:spacing w:line="240" w:lineRule="auto" w:before="1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00" w:h="16840"/>
          <w:pgMar w:header="0" w:footer="983" w:top="1100" w:bottom="1180" w:left="1660" w:right="1320"/>
        </w:sectPr>
      </w:pP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5"/>
          <w:szCs w:val="15"/>
        </w:rPr>
      </w:pPr>
    </w:p>
    <w:p>
      <w:pPr>
        <w:pStyle w:val="BodyText"/>
        <w:spacing w:line="240" w:lineRule="auto" w:before="0"/>
        <w:ind w:right="-17"/>
        <w:jc w:val="left"/>
        <w:rPr>
          <w:rFonts w:ascii="Arial" w:hAnsi="Arial" w:cs="Arial" w:eastAsia="Arial" w:hint="default"/>
        </w:rPr>
      </w:pPr>
      <w:r>
        <w:rPr>
          <w:rFonts w:ascii="Arial"/>
          <w:spacing w:val="-2"/>
        </w:rPr>
        <w:t>M0)</w:t>
      </w:r>
    </w:p>
    <w:p>
      <w:pPr>
        <w:pStyle w:val="BodyText"/>
        <w:spacing w:line="240" w:lineRule="auto"/>
        <w:ind w:left="23" w:right="0"/>
        <w:jc w:val="left"/>
      </w:pPr>
      <w:r>
        <w:rPr>
          <w:spacing w:val="3"/>
        </w:rPr>
        <w:br w:type="column"/>
      </w:r>
      <w:r>
        <w:rPr>
          <w:spacing w:val="3"/>
        </w:rPr>
        <w:t>加权平均净资产收益率</w:t>
      </w:r>
      <w:r>
        <w:rPr>
          <w:rFonts w:ascii="Arial" w:hAnsi="Arial" w:cs="Arial" w:eastAsia="Arial" w:hint="default"/>
          <w:spacing w:val="3"/>
        </w:rPr>
        <w:t>=P0.(E0</w:t>
      </w:r>
      <w:r>
        <w:rPr>
          <w:spacing w:val="3"/>
        </w:rPr>
        <w:t>＋</w:t>
      </w:r>
      <w:r>
        <w:rPr>
          <w:rFonts w:ascii="Arial" w:hAnsi="Arial" w:cs="Arial" w:eastAsia="Arial" w:hint="default"/>
          <w:spacing w:val="3"/>
        </w:rPr>
        <w:t>NP</w:t>
      </w:r>
      <w:r>
        <w:rPr>
          <w:spacing w:val="3"/>
        </w:rPr>
        <w:t>÷</w:t>
      </w:r>
      <w:r>
        <w:rPr>
          <w:rFonts w:ascii="Arial" w:hAnsi="Arial" w:cs="Arial" w:eastAsia="Arial" w:hint="default"/>
          <w:spacing w:val="3"/>
        </w:rPr>
        <w:t>2</w:t>
      </w:r>
      <w:r>
        <w:rPr>
          <w:spacing w:val="3"/>
        </w:rPr>
        <w:t>＋</w:t>
      </w:r>
      <w:r>
        <w:rPr>
          <w:rFonts w:ascii="Arial" w:hAnsi="Arial" w:cs="Arial" w:eastAsia="Arial" w:hint="default"/>
          <w:spacing w:val="3"/>
        </w:rPr>
        <w:t>Ei</w:t>
      </w:r>
      <w:r>
        <w:rPr>
          <w:spacing w:val="3"/>
        </w:rPr>
        <w:t>×</w:t>
      </w:r>
      <w:r>
        <w:rPr>
          <w:rFonts w:ascii="Arial" w:hAnsi="Arial" w:cs="Arial" w:eastAsia="Arial" w:hint="default"/>
          <w:spacing w:val="3"/>
        </w:rPr>
        <w:t>Mi</w:t>
      </w:r>
      <w:r>
        <w:rPr>
          <w:spacing w:val="3"/>
        </w:rPr>
        <w:t>÷</w:t>
      </w:r>
      <w:r>
        <w:rPr>
          <w:rFonts w:ascii="Arial" w:hAnsi="Arial" w:cs="Arial" w:eastAsia="Arial" w:hint="default"/>
          <w:spacing w:val="3"/>
        </w:rPr>
        <w:t>M0</w:t>
      </w:r>
      <w:r>
        <w:rPr>
          <w:spacing w:val="3"/>
        </w:rPr>
        <w:t>–</w:t>
      </w:r>
      <w:r>
        <w:rPr>
          <w:spacing w:val="65"/>
        </w:rPr>
        <w:t> </w:t>
      </w:r>
      <w:r>
        <w:rPr>
          <w:rFonts w:ascii="Arial" w:hAnsi="Arial" w:cs="Arial" w:eastAsia="Arial" w:hint="default"/>
          <w:spacing w:val="3"/>
        </w:rPr>
        <w:t>Ej</w:t>
      </w:r>
      <w:r>
        <w:rPr>
          <w:spacing w:val="3"/>
        </w:rPr>
        <w:t>×</w:t>
      </w:r>
      <w:r>
        <w:rPr>
          <w:rFonts w:ascii="Arial" w:hAnsi="Arial" w:cs="Arial" w:eastAsia="Arial" w:hint="default"/>
          <w:spacing w:val="3"/>
        </w:rPr>
        <w:t>Mj</w:t>
      </w:r>
      <w:r>
        <w:rPr>
          <w:spacing w:val="3"/>
        </w:rPr>
        <w:t>÷</w:t>
      </w:r>
      <w:r>
        <w:rPr>
          <w:rFonts w:ascii="Arial" w:hAnsi="Arial" w:cs="Arial" w:eastAsia="Arial" w:hint="default"/>
          <w:spacing w:val="3"/>
        </w:rPr>
        <w:t>M0</w:t>
      </w:r>
      <w:r>
        <w:rPr>
          <w:spacing w:val="3"/>
        </w:rPr>
        <w:t>±</w:t>
      </w:r>
      <w:r>
        <w:rPr>
          <w:rFonts w:ascii="Arial" w:hAnsi="Arial" w:cs="Arial" w:eastAsia="Arial" w:hint="default"/>
          <w:spacing w:val="3"/>
        </w:rPr>
        <w:t>Ek</w:t>
      </w:r>
      <w:r>
        <w:rPr>
          <w:spacing w:val="3"/>
        </w:rPr>
        <w:t>×</w:t>
      </w:r>
      <w:r>
        <w:rPr>
          <w:rFonts w:ascii="Arial" w:hAnsi="Arial" w:cs="Arial" w:eastAsia="Arial" w:hint="default"/>
          <w:spacing w:val="3"/>
        </w:rPr>
        <w:t>Mk</w:t>
      </w:r>
      <w:r>
        <w:rPr>
          <w:spacing w:val="3"/>
        </w:rPr>
        <w:t>÷</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6"/>
          <w:szCs w:val="16"/>
        </w:rPr>
      </w:pPr>
    </w:p>
    <w:p>
      <w:pPr>
        <w:pStyle w:val="BodyText"/>
        <w:spacing w:line="240" w:lineRule="auto" w:before="0"/>
        <w:ind w:left="23" w:right="0"/>
        <w:jc w:val="left"/>
      </w:pPr>
      <w:r>
        <w:rPr>
          <w:spacing w:val="-5"/>
        </w:rPr>
        <w:t>其中：</w:t>
      </w:r>
      <w:r>
        <w:rPr>
          <w:rFonts w:ascii="Arial" w:hAnsi="Arial" w:cs="Arial" w:eastAsia="Arial" w:hint="default"/>
          <w:spacing w:val="-5"/>
        </w:rPr>
        <w:t>P0</w:t>
      </w:r>
      <w:r>
        <w:rPr>
          <w:rFonts w:ascii="Arial" w:hAnsi="Arial" w:cs="Arial" w:eastAsia="Arial" w:hint="default"/>
          <w:spacing w:val="27"/>
        </w:rPr>
        <w:t> </w:t>
      </w:r>
      <w:r>
        <w:rPr>
          <w:spacing w:val="-2"/>
        </w:rPr>
        <w:t>分别对应于归属于公司普通股股东的净利润、扣除非经常性损益后归属于公</w:t>
      </w:r>
    </w:p>
    <w:p>
      <w:pPr>
        <w:spacing w:after="0" w:line="240" w:lineRule="auto"/>
        <w:jc w:val="left"/>
        <w:sectPr>
          <w:type w:val="continuous"/>
          <w:pgSz w:w="11900" w:h="16840"/>
          <w:pgMar w:top="1100" w:bottom="280" w:left="1660" w:right="1320"/>
          <w:cols w:num="2" w:equalWidth="0">
            <w:col w:w="514" w:space="40"/>
            <w:col w:w="8366"/>
          </w:cols>
        </w:sectPr>
      </w:pPr>
    </w:p>
    <w:p>
      <w:pPr>
        <w:pStyle w:val="BodyText"/>
        <w:spacing w:line="338" w:lineRule="auto" w:before="123"/>
        <w:ind w:right="135"/>
        <w:jc w:val="both"/>
      </w:pPr>
      <w:r>
        <w:rPr/>
        <w:t>司普通股股东的净利润；</w:t>
      </w:r>
      <w:r>
        <w:rPr>
          <w:rFonts w:ascii="Arial" w:hAnsi="Arial" w:cs="Arial" w:eastAsia="Arial" w:hint="default"/>
        </w:rPr>
        <w:t>NP </w:t>
      </w:r>
      <w:r>
        <w:rPr/>
        <w:t>为归属于公司普通股股东的净利润；</w:t>
      </w:r>
      <w:r>
        <w:rPr>
          <w:rFonts w:ascii="Arial" w:hAnsi="Arial" w:cs="Arial" w:eastAsia="Arial" w:hint="default"/>
        </w:rPr>
        <w:t>E0</w:t>
      </w:r>
      <w:r>
        <w:rPr>
          <w:rFonts w:ascii="Arial" w:hAnsi="Arial" w:cs="Arial" w:eastAsia="Arial" w:hint="default"/>
          <w:spacing w:val="14"/>
        </w:rPr>
        <w:t> </w:t>
      </w:r>
      <w:r>
        <w:rPr/>
        <w:t>为归属于公司普通股</w:t>
      </w:r>
      <w:r>
        <w:rPr>
          <w:w w:val="100"/>
        </w:rPr>
        <w:t> </w:t>
      </w:r>
      <w:r>
        <w:rPr/>
        <w:t>股东的期初净资产；</w:t>
      </w:r>
      <w:r>
        <w:rPr>
          <w:rFonts w:ascii="Arial" w:hAnsi="Arial" w:cs="Arial" w:eastAsia="Arial" w:hint="default"/>
        </w:rPr>
        <w:t>Ei</w:t>
      </w:r>
      <w:r>
        <w:rPr>
          <w:rFonts w:ascii="Arial" w:hAnsi="Arial" w:cs="Arial" w:eastAsia="Arial" w:hint="default"/>
          <w:spacing w:val="14"/>
        </w:rPr>
        <w:t> </w:t>
      </w:r>
      <w:r>
        <w:rPr/>
        <w:t>为报告期发行新股或债转股等新增的、归属于公司普通股股东的净</w:t>
      </w:r>
      <w:r>
        <w:rPr>
          <w:w w:val="100"/>
        </w:rPr>
        <w:t> </w:t>
      </w:r>
      <w:r>
        <w:rPr/>
        <w:t>资产；</w:t>
      </w:r>
      <w:r>
        <w:rPr>
          <w:rFonts w:ascii="Arial" w:hAnsi="Arial" w:cs="Arial" w:eastAsia="Arial" w:hint="default"/>
        </w:rPr>
        <w:t>Ej </w:t>
      </w:r>
      <w:r>
        <w:rPr/>
        <w:t>为报告期回购或现金分红等减少的、归属于公司普通股股东的净资产；</w:t>
      </w:r>
      <w:r>
        <w:rPr>
          <w:rFonts w:ascii="Arial" w:hAnsi="Arial" w:cs="Arial" w:eastAsia="Arial" w:hint="default"/>
        </w:rPr>
        <w:t>M0</w:t>
      </w:r>
      <w:r>
        <w:rPr>
          <w:rFonts w:ascii="Arial" w:hAnsi="Arial" w:cs="Arial" w:eastAsia="Arial" w:hint="default"/>
          <w:spacing w:val="23"/>
        </w:rPr>
        <w:t> </w:t>
      </w:r>
      <w:r>
        <w:rPr/>
        <w:t>为报</w:t>
      </w:r>
      <w:r>
        <w:rPr>
          <w:w w:val="100"/>
        </w:rPr>
        <w:t> </w:t>
      </w:r>
      <w:r>
        <w:rPr>
          <w:spacing w:val="-6"/>
        </w:rPr>
        <w:t>告期月份数；</w:t>
      </w:r>
      <w:r>
        <w:rPr>
          <w:rFonts w:ascii="Arial" w:hAnsi="Arial" w:cs="Arial" w:eastAsia="Arial" w:hint="default"/>
          <w:spacing w:val="-6"/>
        </w:rPr>
        <w:t>Mi</w:t>
      </w:r>
      <w:r>
        <w:rPr>
          <w:rFonts w:ascii="Arial" w:hAnsi="Arial" w:cs="Arial" w:eastAsia="Arial" w:hint="default"/>
          <w:spacing w:val="7"/>
        </w:rPr>
        <w:t> </w:t>
      </w:r>
      <w:r>
        <w:rPr>
          <w:spacing w:val="-3"/>
        </w:rPr>
        <w:t>为新增净资产次月起至报告期期末的累计月数；</w:t>
      </w:r>
      <w:r>
        <w:rPr>
          <w:rFonts w:ascii="Arial" w:hAnsi="Arial" w:cs="Arial" w:eastAsia="Arial" w:hint="default"/>
          <w:spacing w:val="-3"/>
        </w:rPr>
        <w:t>Mj</w:t>
      </w:r>
      <w:r>
        <w:rPr>
          <w:rFonts w:ascii="Arial" w:hAnsi="Arial" w:cs="Arial" w:eastAsia="Arial" w:hint="default"/>
          <w:spacing w:val="9"/>
        </w:rPr>
        <w:t> </w:t>
      </w:r>
      <w:r>
        <w:rPr/>
        <w:t>为减少净资产次月起至</w:t>
      </w:r>
      <w:r>
        <w:rPr>
          <w:spacing w:val="-106"/>
        </w:rPr>
        <w:t> </w:t>
      </w:r>
      <w:r>
        <w:rPr>
          <w:spacing w:val="-106"/>
        </w:rPr>
      </w:r>
      <w:r>
        <w:rPr>
          <w:spacing w:val="-3"/>
        </w:rPr>
        <w:t>报告期期末的累计月数；</w:t>
      </w:r>
      <w:r>
        <w:rPr>
          <w:rFonts w:ascii="Arial" w:hAnsi="Arial" w:cs="Arial" w:eastAsia="Arial" w:hint="default"/>
          <w:spacing w:val="-3"/>
        </w:rPr>
        <w:t>Ek</w:t>
      </w:r>
      <w:r>
        <w:rPr>
          <w:rFonts w:ascii="Arial" w:hAnsi="Arial" w:cs="Arial" w:eastAsia="Arial" w:hint="default"/>
          <w:spacing w:val="-7"/>
        </w:rPr>
        <w:t> </w:t>
      </w:r>
      <w:r>
        <w:rPr/>
        <w:t>为因其他交易或事项引起的、归属于公司普通股股东的净资产</w:t>
      </w:r>
      <w:r>
        <w:rPr>
          <w:w w:val="100"/>
        </w:rPr>
        <w:t> </w:t>
      </w:r>
      <w:r>
        <w:rPr/>
        <w:t>增减变动；</w:t>
      </w:r>
      <w:r>
        <w:rPr>
          <w:rFonts w:ascii="Arial" w:hAnsi="Arial" w:cs="Arial" w:eastAsia="Arial" w:hint="default"/>
        </w:rPr>
        <w:t>Mk</w:t>
      </w:r>
      <w:r>
        <w:rPr>
          <w:rFonts w:ascii="Arial" w:hAnsi="Arial" w:cs="Arial" w:eastAsia="Arial" w:hint="default"/>
          <w:spacing w:val="-19"/>
        </w:rPr>
        <w:t> </w:t>
      </w:r>
      <w:r>
        <w:rPr/>
        <w:t>为发生其他净资产增减变动次月起至报告期期末的累计月数。</w:t>
      </w:r>
    </w:p>
    <w:p>
      <w:pPr>
        <w:pStyle w:val="BodyText"/>
        <w:spacing w:line="357" w:lineRule="auto" w:before="23"/>
        <w:ind w:left="576" w:right="137"/>
        <w:jc w:val="left"/>
      </w:pPr>
      <w:r>
        <w:rPr>
          <w:spacing w:val="-1"/>
        </w:rPr>
        <w:t>本公司主要会计报表项目的异常情况及原因说明</w:t>
      </w:r>
      <w:r>
        <w:rPr>
          <w:spacing w:val="-93"/>
        </w:rPr>
        <w:t> </w:t>
      </w:r>
      <w:r>
        <w:rPr>
          <w:spacing w:val="-93"/>
        </w:rPr>
      </w:r>
      <w:r>
        <w:rPr/>
        <w:t>详见财务报表项目附注相关内容说明。</w:t>
      </w:r>
    </w:p>
    <w:p>
      <w:pPr>
        <w:spacing w:after="0" w:line="357" w:lineRule="auto"/>
        <w:jc w:val="left"/>
        <w:sectPr>
          <w:type w:val="continuous"/>
          <w:pgSz w:w="11900" w:h="16840"/>
          <w:pgMar w:top="1100" w:bottom="280" w:left="1660" w:right="1320"/>
        </w:sectPr>
      </w:pPr>
    </w:p>
    <w:p>
      <w:pPr>
        <w:spacing w:line="240" w:lineRule="auto" w:before="1"/>
        <w:rPr>
          <w:rFonts w:ascii="宋体" w:hAnsi="宋体" w:cs="宋体" w:eastAsia="宋体" w:hint="default"/>
          <w:sz w:val="27"/>
          <w:szCs w:val="27"/>
        </w:rPr>
      </w:pPr>
    </w:p>
    <w:p>
      <w:pPr>
        <w:pStyle w:val="Heading1"/>
        <w:spacing w:line="460" w:lineRule="exact"/>
        <w:ind w:left="2746" w:right="137"/>
        <w:jc w:val="left"/>
      </w:pPr>
      <w:bookmarkStart w:name="_TOC_250000" w:id="10"/>
      <w:r>
        <w:rPr/>
        <w:t>第十节</w:t>
      </w:r>
      <w:r>
        <w:rPr>
          <w:spacing w:val="-2"/>
        </w:rPr>
        <w:t> </w:t>
      </w:r>
      <w:bookmarkEnd w:id="10"/>
      <w:r>
        <w:rPr/>
        <w:t>备查文件目录</w:t>
      </w:r>
    </w:p>
    <w:p>
      <w:pPr>
        <w:pStyle w:val="Heading3"/>
        <w:spacing w:line="408" w:lineRule="auto" w:before="217"/>
        <w:ind w:right="137" w:firstLine="559"/>
        <w:jc w:val="left"/>
      </w:pPr>
      <w:r>
        <w:rPr>
          <w:spacing w:val="-3"/>
        </w:rPr>
        <w:t>一、载有公司法定代表人、主管会计工作负责人、公司会计机构负</w:t>
      </w:r>
      <w:r>
        <w:rPr>
          <w:w w:val="100"/>
        </w:rPr>
        <w:t> </w:t>
      </w:r>
      <w:r>
        <w:rPr/>
        <w:t>责人签名并盖章的财务报表。</w:t>
      </w:r>
    </w:p>
    <w:p>
      <w:pPr>
        <w:pStyle w:val="Heading3"/>
        <w:spacing w:line="408" w:lineRule="auto" w:before="61"/>
        <w:ind w:right="137" w:firstLine="559"/>
        <w:jc w:val="left"/>
      </w:pPr>
      <w:r>
        <w:rPr>
          <w:spacing w:val="-3"/>
        </w:rPr>
        <w:t>二、载有会计师事务所盖章、注册会计师签名并盖章的审计报告原</w:t>
      </w:r>
      <w:r>
        <w:rPr>
          <w:w w:val="100"/>
        </w:rPr>
        <w:t> </w:t>
      </w:r>
      <w:r>
        <w:rPr/>
        <w:t>件。</w:t>
      </w:r>
    </w:p>
    <w:p>
      <w:pPr>
        <w:pStyle w:val="Heading3"/>
        <w:spacing w:line="408" w:lineRule="auto" w:before="61"/>
        <w:ind w:right="137" w:firstLine="559"/>
        <w:jc w:val="left"/>
      </w:pPr>
      <w:r>
        <w:rPr>
          <w:spacing w:val="-3"/>
        </w:rPr>
        <w:t>三、报告期内在中国证监会指定网站上公开披露过的所有公司文件</w:t>
      </w:r>
      <w:r>
        <w:rPr>
          <w:w w:val="100"/>
        </w:rPr>
        <w:t> </w:t>
      </w:r>
      <w:r>
        <w:rPr/>
        <w:t>的正本及公告的原稿。</w:t>
      </w:r>
    </w:p>
    <w:p>
      <w:pPr>
        <w:pStyle w:val="Heading3"/>
        <w:spacing w:line="398" w:lineRule="auto" w:before="61"/>
        <w:ind w:left="696" w:right="137"/>
        <w:jc w:val="left"/>
      </w:pPr>
      <w:r>
        <w:rPr>
          <w:spacing w:val="-2"/>
        </w:rPr>
        <w:t>四、经公司法定代表人签名的</w:t>
      </w:r>
      <w:r>
        <w:rPr>
          <w:rFonts w:ascii="Arial" w:hAnsi="Arial" w:cs="Arial" w:eastAsia="Arial" w:hint="default"/>
          <w:spacing w:val="-2"/>
        </w:rPr>
        <w:t>2010</w:t>
      </w:r>
      <w:r>
        <w:rPr>
          <w:spacing w:val="-2"/>
        </w:rPr>
        <w:t>年年度报告文件原件。</w:t>
      </w:r>
      <w:r>
        <w:rPr>
          <w:spacing w:val="-98"/>
        </w:rPr>
        <w:t> </w:t>
      </w:r>
      <w:r>
        <w:rPr>
          <w:spacing w:val="-98"/>
        </w:rPr>
      </w:r>
      <w:r>
        <w:rPr/>
        <w:t>五、其他相关资料。</w:t>
      </w:r>
      <w:r>
        <w:rPr>
          <w:w w:val="100"/>
        </w:rPr>
        <w:t> </w:t>
      </w:r>
      <w:r>
        <w:rPr/>
        <w:t>以上备查文件的备置地点：公司董事会办公室</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pStyle w:val="Heading3"/>
        <w:spacing w:line="408" w:lineRule="auto" w:before="221"/>
        <w:ind w:left="5028" w:right="137" w:hanging="471"/>
        <w:jc w:val="left"/>
      </w:pPr>
      <w:r>
        <w:rPr/>
        <w:pict>
          <v:group style="position:absolute;margin-left:431.880005pt;margin-top:69.161011pt;width:72pt;height:.1pt;mso-position-horizontal-relative:page;mso-position-vertical-relative:paragraph;z-index:-601648" coordorigin="8638,1383" coordsize="1440,2">
            <v:shape style="position:absolute;left:8638;top:1383;width:1440;height:2" coordorigin="8638,1383" coordsize="1440,0" path="m8638,1383l10078,1383e" filled="false" stroked="true" strokeweight=".75pt" strokecolor="#000000">
              <v:path arrowok="t"/>
            </v:shape>
            <w10:wrap type="none"/>
          </v:group>
        </w:pict>
      </w:r>
      <w:r>
        <w:rPr/>
        <w:t>上海安诺其纺织化工股份有限公司</w:t>
      </w:r>
      <w:r>
        <w:rPr>
          <w:spacing w:val="-127"/>
        </w:rPr>
        <w:t> </w:t>
      </w:r>
      <w:r>
        <w:rPr>
          <w:spacing w:val="-127"/>
        </w:rPr>
      </w:r>
      <w:r>
        <w:rPr/>
        <w:t>法定代表人：</w:t>
      </w:r>
    </w:p>
    <w:p>
      <w:pPr>
        <w:pStyle w:val="Heading3"/>
        <w:spacing w:line="408" w:lineRule="auto" w:before="61"/>
        <w:ind w:left="5683" w:right="137" w:firstLine="1593"/>
        <w:jc w:val="left"/>
      </w:pPr>
      <w:r>
        <w:rPr/>
        <w:t>纪立军</w:t>
      </w:r>
      <w:r>
        <w:rPr>
          <w:w w:val="100"/>
        </w:rPr>
        <w:t> </w:t>
      </w:r>
      <w:r>
        <w:rPr/>
        <w:t>二〇一一年三月二十八日</w:t>
      </w:r>
    </w:p>
    <w:sectPr>
      <w:pgSz w:w="11900" w:h="16840"/>
      <w:pgMar w:header="0" w:footer="983" w:top="1100" w:bottom="1180" w:left="166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5.319702pt;margin-top:781.957764pt;width:8.5pt;height:11pt;mso-position-horizontal-relative:page;mso-position-vertical-relative:page;z-index:-6019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w w:val="99"/>
                    <w:sz w:val="18"/>
                  </w:rPr>
                  <w:instrText> PAGE </w:instrText>
                </w:r>
                <w:r>
                  <w:rPr/>
                  <w:fldChar w:fldCharType="separate"/>
                </w:r>
                <w:r>
                  <w:rPr/>
                  <w:t>2</w:t>
                </w:r>
                <w:r>
                  <w:rPr/>
                  <w:fldChar w:fldCharType="end"/>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88028pt;margin-top:781.957764pt;width:13.1pt;height:11pt;mso-position-horizontal-relative:page;mso-position-vertical-relative:page;z-index:-601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88028pt;margin-top:781.957764pt;width:13.1pt;height:11pt;mso-position-horizontal-relative:page;mso-position-vertical-relative:page;z-index:-601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54</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88028pt;margin-top:781.957764pt;width:13.1pt;height:11pt;mso-position-horizontal-relative:page;mso-position-vertical-relative:page;z-index:-6016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56</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88028pt;margin-top:781.957764pt;width:13.1pt;height:11pt;mso-position-horizontal-relative:page;mso-position-vertical-relative:page;z-index:-6015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57</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879944pt;margin-top:781.957764pt;width:13.1pt;height:11pt;mso-position-horizontal-relative:page;mso-position-vertical-relative:page;z-index:-6015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919434pt;margin-top:781.837769pt;width:13.1pt;height:11.15pt;mso-position-horizontal-relative:page;mso-position-vertical-relative:page;z-index:-6014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64</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919434pt;margin-top:781.837769pt;width:13.1pt;height:11.15pt;mso-position-horizontal-relative:page;mso-position-vertical-relative:page;z-index:-6014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79071pt;margin-top:535.237732pt;width:13.2pt;height:11.15pt;mso-position-horizontal-relative:page;mso-position-vertical-relative:page;z-index:-6013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75</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79071pt;margin-top:535.237732pt;width:13.2pt;height:11.15pt;mso-position-horizontal-relative:page;mso-position-vertical-relative:page;z-index:-601336" type="#_x0000_t202" filled="false" stroked="false">
          <v:textbox inset="0,0,0,0">
            <w:txbxContent>
              <w:p>
                <w:pPr>
                  <w:spacing w:line="206" w:lineRule="exact" w:before="0"/>
                  <w:ind w:left="42"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9796pt;margin-top:781.837769pt;width:13.1pt;height:11pt;mso-position-horizontal-relative:page;mso-position-vertical-relative:page;z-index:-6012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83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8.760284pt;margin-top:781.957764pt;width:8.5pt;height:11pt;mso-position-horizontal-relative:page;mso-position-vertical-relative:page;z-index:-6019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w w:val="99"/>
                    <w:sz w:val="18"/>
                  </w:rPr>
                  <w:instrText> PAGE </w:instrText>
                </w:r>
                <w:r>
                  <w:rPr/>
                  <w:fldChar w:fldCharType="separate"/>
                </w:r>
                <w:r>
                  <w:rPr/>
                  <w:t>4</w:t>
                </w:r>
                <w:r>
                  <w:rPr/>
                  <w:fldChar w:fldCharType="end"/>
                </w:r>
                <w:r>
                  <w:rPr>
                    <w:rFonts w:ascii="Times New Roman"/>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9796pt;margin-top:781.837769pt;width:13.1pt;height:11pt;mso-position-horizontal-relative:page;mso-position-vertical-relative:page;z-index:-6012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87</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9796pt;margin-top:781.837769pt;width:13.1pt;height:11pt;mso-position-horizontal-relative:page;mso-position-vertical-relative:page;z-index:-6011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9796pt;margin-top:781.837769pt;width:13.1pt;height:11pt;mso-position-horizontal-relative:page;mso-position-vertical-relative:page;z-index:-6011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91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9796pt;margin-top:781.837769pt;width:13.1pt;height:11pt;mso-position-horizontal-relative:page;mso-position-vertical-relative:page;z-index:-601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92</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9796pt;margin-top:781.837769pt;width:13.1pt;height:11pt;mso-position-horizontal-relative:page;mso-position-vertical-relative:page;z-index:-6011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93</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9796pt;margin-top:781.837769pt;width:13.1pt;height:11pt;mso-position-horizontal-relative:page;mso-position-vertical-relative:page;z-index:-6010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94</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9796pt;margin-top:781.837769pt;width:13.1pt;height:11pt;mso-position-horizontal-relative:page;mso-position-vertical-relative:page;z-index:-6010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95</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9796pt;margin-top:781.837769pt;width:13.1pt;height:11pt;mso-position-horizontal-relative:page;mso-position-vertical-relative:page;z-index:-6010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99</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6.199799pt;margin-top:781.837769pt;width:17.650pt;height:11pt;mso-position-horizontal-relative:page;mso-position-vertical-relative:page;z-index:-6010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6.559784pt;margin-top:781.837769pt;width:17.3pt;height:11pt;mso-position-horizontal-relative:page;mso-position-vertical-relative:page;z-index:-6010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6.199799pt;margin-top:781.837769pt;width:17.650pt;height:11pt;mso-position-horizontal-relative:page;mso-position-vertical-relative:page;z-index:-6009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6.199799pt;margin-top:781.837769pt;width:17.650pt;height:11pt;mso-position-horizontal-relative:page;mso-position-vertical-relative:page;z-index:-600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130</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6.199799pt;margin-top:781.837769pt;width:17.650pt;height:11pt;mso-position-horizontal-relative:page;mso-position-vertical-relative:page;z-index:-6009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132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5.319702pt;margin-top:781.957764pt;width:8.5pt;height:11pt;mso-position-horizontal-relative:page;mso-position-vertical-relative:page;z-index:-6017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w w:val="99"/>
                    <w:sz w:val="18"/>
                  </w:rPr>
                  <w:instrText> PAGE </w:instrText>
                </w:r>
                <w:r>
                  <w:rPr/>
                  <w:fldChar w:fldCharType="separate"/>
                </w:r>
                <w:r>
                  <w:rPr/>
                  <w:t>8</w:t>
                </w:r>
                <w:r>
                  <w:rPr/>
                  <w:fldChar w:fldCharType="end"/>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88028pt;margin-top:781.957764pt;width:13.1pt;height:11pt;mso-position-horizontal-relative:page;mso-position-vertical-relative:page;z-index:-6017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88028pt;margin-top:781.957764pt;width:13.1pt;height:11pt;mso-position-horizontal-relative:page;mso-position-vertical-relative:page;z-index:-6017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88028pt;margin-top:781.957764pt;width:13.1pt;height:11pt;mso-position-horizontal-relative:page;mso-position-vertical-relative:page;z-index:-6017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23</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88028pt;margin-top:781.957764pt;width:13.1pt;height:11pt;mso-position-horizontal-relative:page;mso-position-vertical-relative:page;z-index:-6016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88028pt;margin-top:781.957764pt;width:13.1pt;height:11pt;mso-position-horizontal-relative:page;mso-position-vertical-relative:page;z-index:-6016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59998pt;margin-top:55.559616pt;width:418.2pt;height:.1pt;mso-position-horizontal-relative:page;mso-position-vertical-relative:page;z-index:-602104" coordorigin="1771,1111" coordsize="8364,2">
          <v:shape style="position:absolute;left:1771;top:1111;width:8364;height:2" coordorigin="1771,1111" coordsize="8364,0" path="m1771,1111l10135,111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88.999962pt;margin-top:42.865944pt;width:137pt;height:11pt;mso-position-horizontal-relative:page;mso-position-vertical-relative:page;z-index:-6020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上海安诺其纺织化工股份有限公司</w:t>
                </w:r>
              </w:p>
            </w:txbxContent>
          </v:textbox>
          <w10:wrap type="none"/>
        </v:shape>
      </w:pict>
    </w:r>
    <w:r>
      <w:rPr/>
      <w:pict>
        <v:shape style="position:absolute;margin-left:440.119354pt;margin-top:42.865944pt;width:66.350pt;height:11.5pt;mso-position-horizontal-relative:page;mso-position-vertical-relative:page;z-index:-6020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88.439995pt;margin-top:55.559616pt;width:416.9pt;height:.1pt;mso-position-horizontal-relative:page;mso-position-vertical-relative:page;z-index:-602032" coordorigin="1769,1111" coordsize="8338,2">
          <v:shape style="position:absolute;left:1769;top:1111;width:8338;height:2" coordorigin="1769,1111" coordsize="8338,0" path="m1769,1111l10106,1111e" filled="false" stroked="true" strokeweight=".72pt" strokecolor="#000000">
            <v:path arrowok="t"/>
          </v:shape>
          <w10:wrap type="none"/>
        </v:group>
      </w:pict>
    </w:r>
    <w:r>
      <w:rPr/>
      <w:pict>
        <v:shape style="position:absolute;margin-left:88.999962pt;margin-top:42.865944pt;width:137pt;height:11pt;mso-position-horizontal-relative:page;mso-position-vertical-relative:page;z-index:-6020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上海安诺其纺织化工股份有限公司</w:t>
                </w:r>
              </w:p>
            </w:txbxContent>
          </v:textbox>
          <w10:wrap type="none"/>
        </v:shape>
      </w:pict>
    </w:r>
    <w:r>
      <w:rPr/>
      <w:pict>
        <v:shape style="position:absolute;margin-left:422.119385pt;margin-top:42.865944pt;width:66.2pt;height:11.5pt;mso-position-horizontal-relative:page;mso-position-vertical-relative:page;z-index:-6019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879967pt;margin-top:42.865944pt;width:137pt;height:11pt;mso-position-horizontal-relative:page;mso-position-vertical-relative:page;z-index:-6019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上海安诺其纺织化工股份有限公司</w:t>
                </w:r>
              </w:p>
            </w:txbxContent>
          </v:textbox>
          <w10:wrap type="none"/>
        </v:shape>
      </w:pict>
    </w:r>
    <w:r>
      <w:rPr/>
      <w:pict>
        <v:shape style="position:absolute;margin-left:439.999359pt;margin-top:42.865944pt;width:67.4pt;height:11.5pt;mso-position-horizontal-relative:page;mso-position-vertical-relative:page;z-index:-6018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39995pt;margin-top:55.559616pt;width:416.9pt;height:.1pt;mso-position-horizontal-relative:page;mso-position-vertical-relative:page;z-index:-601864" coordorigin="1769,1111" coordsize="8338,2">
          <v:shape style="position:absolute;left:1769;top:1111;width:8338;height:2" coordorigin="1769,1111" coordsize="8338,0" path="m1769,1111l10106,1111e" filled="false" stroked="true" strokeweight=".72pt" strokecolor="#000000">
            <v:path arrowok="t"/>
          </v:shape>
          <w10:wrap type="none"/>
        </v:group>
      </w:pict>
    </w:r>
    <w:r>
      <w:rPr/>
      <w:pict>
        <v:shape style="position:absolute;margin-left:88.879967pt;margin-top:42.865944pt;width:137pt;height:11pt;mso-position-horizontal-relative:page;mso-position-vertical-relative:page;z-index:-6018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上海安诺其纺织化工股份有限公司</w:t>
                </w:r>
              </w:p>
            </w:txbxContent>
          </v:textbox>
          <w10:wrap type="none"/>
        </v:shape>
      </w:pict>
    </w:r>
    <w:r>
      <w:rPr/>
      <w:pict>
        <v:shape style="position:absolute;margin-left:421.999359pt;margin-top:42.865944pt;width:67.2pt;height:11.5pt;mso-position-horizontal-relative:page;mso-position-vertical-relative:page;z-index:-6018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88.439995pt;margin-top:55.559616pt;width:434.9pt;height:.1pt;mso-position-horizontal-relative:page;mso-position-vertical-relative:page;z-index:-601528" coordorigin="1769,1111" coordsize="8698,2">
          <v:shape style="position:absolute;left:1769;top:1111;width:8698;height:2" coordorigin="1769,1111" coordsize="8698,0" path="m1769,1111l10466,1111e" filled="false" stroked="true" strokeweight=".72pt" strokecolor="#000000">
            <v:path arrowok="t"/>
          </v:shape>
          <w10:wrap type="none"/>
        </v:group>
      </w:pict>
    </w:r>
    <w:r>
      <w:rPr/>
      <w:pict>
        <v:shape style="position:absolute;margin-left:88.999962pt;margin-top:42.865944pt;width:137pt;height:11pt;mso-position-horizontal-relative:page;mso-position-vertical-relative:page;z-index:-6015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上海安诺其纺织化工股份有限公司</w:t>
                </w:r>
              </w:p>
            </w:txbxContent>
          </v:textbox>
          <w10:wrap type="none"/>
        </v:shape>
      </w:pict>
    </w:r>
    <w:r>
      <w:rPr/>
      <w:pict>
        <v:shape style="position:absolute;margin-left:440.119354pt;margin-top:42.865944pt;width:67.4pt;height:11.5pt;mso-position-horizontal-relative:page;mso-position-vertical-relative:page;z-index:-6014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90570pt;margin-top:42.865608pt;width:137.050pt;height:11pt;mso-position-horizontal-relative:page;mso-position-vertical-relative:page;z-index:-6014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上海安诺其纺织化工股份有限公司</w:t>
                </w:r>
              </w:p>
            </w:txbxContent>
          </v:textbox>
          <w10:wrap type="none"/>
        </v:shape>
      </w:pict>
    </w:r>
    <w:r>
      <w:rPr/>
      <w:pict>
        <v:shape style="position:absolute;margin-left:422.110535pt;margin-top:42.865608pt;width:67.45pt;height:11.5pt;mso-position-horizontal-relative:page;mso-position-vertical-relative:page;z-index:-6013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39995pt;margin-top:55.559616pt;width:434.9pt;height:.1pt;mso-position-horizontal-relative:page;mso-position-vertical-relative:page;z-index:-601312" coordorigin="1769,1111" coordsize="8698,2">
          <v:shape style="position:absolute;left:1769;top:1111;width:8698;height:2" coordorigin="1769,1111" coordsize="8698,0" path="m1769,1111l10466,1111e" filled="false" stroked="true" strokeweight=".72pt" strokecolor="#000000">
            <v:path arrowok="t"/>
          </v:shape>
          <w10:wrap type="none"/>
        </v:group>
      </w:pict>
    </w:r>
    <w:r>
      <w:rPr/>
      <w:pict>
        <v:shape style="position:absolute;margin-left:88.879967pt;margin-top:42.865944pt;width:137pt;height:11pt;mso-position-horizontal-relative:page;mso-position-vertical-relative:page;z-index:-6012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上海安诺其纺织化工股份有限公司</w:t>
                </w:r>
              </w:p>
            </w:txbxContent>
          </v:textbox>
          <w10:wrap type="none"/>
        </v:shape>
      </w:pict>
    </w:r>
    <w:r>
      <w:rPr/>
      <w:pict>
        <v:shape style="position:absolute;margin-left:453.559723pt;margin-top:42.865944pt;width:67.3pt;height:11.5pt;mso-position-horizontal-relative:page;mso-position-vertical-relative:page;z-index:-6012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57"/>
      <w:ind w:left="137"/>
    </w:pPr>
    <w:rPr>
      <w:rFonts w:ascii="宋体" w:hAnsi="宋体" w:eastAsia="宋体"/>
      <w:sz w:val="28"/>
      <w:szCs w:val="28"/>
    </w:rPr>
  </w:style>
  <w:style w:styleId="BodyText" w:type="paragraph">
    <w:name w:val="Body Text"/>
    <w:basedOn w:val="Normal"/>
    <w:uiPriority w:val="1"/>
    <w:qFormat/>
    <w:pPr>
      <w:spacing w:before="32"/>
      <w:ind w:left="137"/>
    </w:pPr>
    <w:rPr>
      <w:rFonts w:ascii="宋体" w:hAnsi="宋体" w:eastAsia="宋体"/>
      <w:sz w:val="22"/>
      <w:szCs w:val="22"/>
    </w:rPr>
  </w:style>
  <w:style w:styleId="Heading1" w:type="paragraph">
    <w:name w:val="Heading 1"/>
    <w:basedOn w:val="Normal"/>
    <w:uiPriority w:val="1"/>
    <w:qFormat/>
    <w:pPr>
      <w:outlineLvl w:val="1"/>
    </w:pPr>
    <w:rPr>
      <w:rFonts w:ascii="宋体" w:hAnsi="宋体" w:eastAsia="宋体"/>
      <w:sz w:val="36"/>
      <w:szCs w:val="36"/>
    </w:rPr>
  </w:style>
  <w:style w:styleId="Heading2" w:type="paragraph">
    <w:name w:val="Heading 2"/>
    <w:basedOn w:val="Normal"/>
    <w:uiPriority w:val="1"/>
    <w:qFormat/>
    <w:pPr>
      <w:outlineLvl w:val="2"/>
    </w:pPr>
    <w:rPr>
      <w:rFonts w:ascii="宋体" w:hAnsi="宋体" w:eastAsia="宋体"/>
      <w:sz w:val="32"/>
      <w:szCs w:val="32"/>
    </w:rPr>
  </w:style>
  <w:style w:styleId="Heading3" w:type="paragraph">
    <w:name w:val="Heading 3"/>
    <w:basedOn w:val="Normal"/>
    <w:uiPriority w:val="1"/>
    <w:qFormat/>
    <w:pPr>
      <w:ind w:left="137"/>
      <w:outlineLvl w:val="3"/>
    </w:pPr>
    <w:rPr>
      <w:rFonts w:ascii="宋体" w:hAnsi="宋体" w:eastAsia="宋体"/>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mailto:investor@anoky.com.cn" TargetMode="External"/><Relationship Id="rId11" Type="http://schemas.openxmlformats.org/officeDocument/2006/relationships/hyperlink" Target="http://www.anoky.com.cn/" TargetMode="Externa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image" Target="media/image2.jpeg"/><Relationship Id="rId18" Type="http://schemas.openxmlformats.org/officeDocument/2006/relationships/image" Target="media/image3.jpeg"/><Relationship Id="rId19" Type="http://schemas.openxmlformats.org/officeDocument/2006/relationships/image" Target="media/image4.jpeg"/><Relationship Id="rId20" Type="http://schemas.openxmlformats.org/officeDocument/2006/relationships/image" Target="media/image5.jpeg"/><Relationship Id="rId21" Type="http://schemas.openxmlformats.org/officeDocument/2006/relationships/image" Target="media/image6.jpeg"/><Relationship Id="rId22" Type="http://schemas.openxmlformats.org/officeDocument/2006/relationships/image" Target="media/image7.png"/><Relationship Id="rId23" Type="http://schemas.openxmlformats.org/officeDocument/2006/relationships/image" Target="media/image8.jpeg"/><Relationship Id="rId24" Type="http://schemas.openxmlformats.org/officeDocument/2006/relationships/image" Target="media/image9.jpeg"/><Relationship Id="rId25" Type="http://schemas.openxmlformats.org/officeDocument/2006/relationships/image" Target="media/image10.png"/><Relationship Id="rId26" Type="http://schemas.openxmlformats.org/officeDocument/2006/relationships/image" Target="media/image11.jpeg"/><Relationship Id="rId27" Type="http://schemas.openxmlformats.org/officeDocument/2006/relationships/image" Target="media/image12.jpeg"/><Relationship Id="rId28" Type="http://schemas.openxmlformats.org/officeDocument/2006/relationships/image" Target="media/image13.jpeg"/><Relationship Id="rId29" Type="http://schemas.openxmlformats.org/officeDocument/2006/relationships/image" Target="media/image14.jpeg"/><Relationship Id="rId30" Type="http://schemas.openxmlformats.org/officeDocument/2006/relationships/image" Target="media/image15.jpeg"/><Relationship Id="rId31" Type="http://schemas.openxmlformats.org/officeDocument/2006/relationships/image" Target="media/image16.jpeg"/><Relationship Id="rId32" Type="http://schemas.openxmlformats.org/officeDocument/2006/relationships/image" Target="media/image17.jpeg"/><Relationship Id="rId33" Type="http://schemas.openxmlformats.org/officeDocument/2006/relationships/image" Target="media/image18.jpeg"/><Relationship Id="rId34" Type="http://schemas.openxmlformats.org/officeDocument/2006/relationships/image" Target="media/image19.jpeg"/><Relationship Id="rId35" Type="http://schemas.openxmlformats.org/officeDocument/2006/relationships/image" Target="media/image20.jpeg"/><Relationship Id="rId36" Type="http://schemas.openxmlformats.org/officeDocument/2006/relationships/image" Target="media/image21.jpeg"/><Relationship Id="rId37" Type="http://schemas.openxmlformats.org/officeDocument/2006/relationships/image" Target="media/image22.jpeg"/><Relationship Id="rId38" Type="http://schemas.openxmlformats.org/officeDocument/2006/relationships/image" Target="media/image23.jpeg"/><Relationship Id="rId39" Type="http://schemas.openxmlformats.org/officeDocument/2006/relationships/footer" Target="footer6.xml"/><Relationship Id="rId40" Type="http://schemas.openxmlformats.org/officeDocument/2006/relationships/footer" Target="footer7.xml"/><Relationship Id="rId41" Type="http://schemas.openxmlformats.org/officeDocument/2006/relationships/footer" Target="footer8.xml"/><Relationship Id="rId42" Type="http://schemas.openxmlformats.org/officeDocument/2006/relationships/footer" Target="footer9.xml"/><Relationship Id="rId43" Type="http://schemas.openxmlformats.org/officeDocument/2006/relationships/footer" Target="footer10.xml"/><Relationship Id="rId44" Type="http://schemas.openxmlformats.org/officeDocument/2006/relationships/footer" Target="footer11.xml"/><Relationship Id="rId45" Type="http://schemas.openxmlformats.org/officeDocument/2006/relationships/footer" Target="footer12.xml"/><Relationship Id="rId46" Type="http://schemas.openxmlformats.org/officeDocument/2006/relationships/footer" Target="footer13.xml"/><Relationship Id="rId47" Type="http://schemas.openxmlformats.org/officeDocument/2006/relationships/footer" Target="footer14.xml"/><Relationship Id="rId48" Type="http://schemas.openxmlformats.org/officeDocument/2006/relationships/header" Target="header5.xml"/><Relationship Id="rId49" Type="http://schemas.openxmlformats.org/officeDocument/2006/relationships/footer" Target="footer15.xml"/><Relationship Id="rId50" Type="http://schemas.openxmlformats.org/officeDocument/2006/relationships/footer" Target="footer16.xml"/><Relationship Id="rId51" Type="http://schemas.openxmlformats.org/officeDocument/2006/relationships/header" Target="header6.xml"/><Relationship Id="rId52" Type="http://schemas.openxmlformats.org/officeDocument/2006/relationships/footer" Target="footer17.xml"/><Relationship Id="rId53" Type="http://schemas.openxmlformats.org/officeDocument/2006/relationships/footer" Target="footer18.xml"/><Relationship Id="rId54" Type="http://schemas.openxmlformats.org/officeDocument/2006/relationships/header" Target="header7.xml"/><Relationship Id="rId55" Type="http://schemas.openxmlformats.org/officeDocument/2006/relationships/footer" Target="footer19.xml"/><Relationship Id="rId56" Type="http://schemas.openxmlformats.org/officeDocument/2006/relationships/footer" Target="footer20.xml"/><Relationship Id="rId57" Type="http://schemas.openxmlformats.org/officeDocument/2006/relationships/footer" Target="footer21.xml"/><Relationship Id="rId58" Type="http://schemas.openxmlformats.org/officeDocument/2006/relationships/footer" Target="footer22.xml"/><Relationship Id="rId59" Type="http://schemas.openxmlformats.org/officeDocument/2006/relationships/footer" Target="footer23.xml"/><Relationship Id="rId60" Type="http://schemas.openxmlformats.org/officeDocument/2006/relationships/footer" Target="footer24.xml"/><Relationship Id="rId61" Type="http://schemas.openxmlformats.org/officeDocument/2006/relationships/footer" Target="footer25.xml"/><Relationship Id="rId62" Type="http://schemas.openxmlformats.org/officeDocument/2006/relationships/footer" Target="footer26.xml"/><Relationship Id="rId63" Type="http://schemas.openxmlformats.org/officeDocument/2006/relationships/header" Target="header8.xml"/><Relationship Id="rId64" Type="http://schemas.openxmlformats.org/officeDocument/2006/relationships/footer" Target="footer27.xml"/><Relationship Id="rId65" Type="http://schemas.openxmlformats.org/officeDocument/2006/relationships/footer" Target="footer28.xml"/><Relationship Id="rId66" Type="http://schemas.openxmlformats.org/officeDocument/2006/relationships/footer" Target="footer29.xml"/><Relationship Id="rId67" Type="http://schemas.openxmlformats.org/officeDocument/2006/relationships/header" Target="header9.xml"/><Relationship Id="rId68" Type="http://schemas.openxmlformats.org/officeDocument/2006/relationships/footer" Target="footer30.xml"/><Relationship Id="rId69" Type="http://schemas.openxmlformats.org/officeDocument/2006/relationships/footer" Target="footer31.xml"/><Relationship Id="rId70" Type="http://schemas.openxmlformats.org/officeDocument/2006/relationships/footer" Target="footer32.xml"/><Relationship Id="rId71" Type="http://schemas.openxmlformats.org/officeDocument/2006/relationships/footer" Target="footer33.xml"/><Relationship Id="rId72" Type="http://schemas.openxmlformats.org/officeDocument/2006/relationships/header" Target="header10.xml"/><Relationship Id="rId73" Type="http://schemas.openxmlformats.org/officeDocument/2006/relationships/footer" Target="footer34.xml"/><Relationship Id="rId74" Type="http://schemas.openxmlformats.org/officeDocument/2006/relationships/footer" Target="footer3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\376\377\000A\000d\000m\000i\000n\000i\000s\000t\000r\000a\000t\000o\000r</dc:creator>
  <dc:title>()</dc:title>
  <dcterms:created xsi:type="dcterms:W3CDTF">2020-04-29T03:54:42Z</dcterms:created>
  <dcterms:modified xsi:type="dcterms:W3CDTF">2020-04-29T03:54:42Z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2011-03-29T00:00:00Z</vt:filetime>
  </property>
  <property fmtid="{D5CDD505-2E9C-101B-9397-08002B2CF9AE}" pid="3" name="Creator">
    <vt:lpwstr>AFPL Ghostscript 8.54 PDF Writer</vt:lpwstr>
  </property>
  <property fmtid="{D5CDD505-2E9C-101B-9397-08002B2CF9AE}" pid="4" name="LastSaved">
    <vt:filetime>2020-04-28T00:00:00Z</vt:filetime>
  </property>
</Properties>
</file>